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10E22">
      <w:pPr>
        <w:keepNext w:val="0"/>
        <w:keepLines w:val="0"/>
        <w:pageBreakBefore/>
        <w:widowControl w:val="0"/>
        <w:kinsoku/>
        <w:wordWrap/>
        <w:overflowPunct/>
        <w:topLinePunct w:val="0"/>
        <w:autoSpaceDE/>
        <w:autoSpaceDN/>
        <w:bidi w:val="0"/>
        <w:adjustRightInd/>
        <w:snapToGrid/>
        <w:spacing w:before="104" w:line="224" w:lineRule="auto"/>
        <w:textAlignment w:val="auto"/>
        <w:rPr>
          <w:rFonts w:hint="eastAsia" w:ascii="黑体" w:hAnsi="黑体" w:eastAsia="黑体" w:cs="黑体"/>
          <w:spacing w:val="8"/>
          <w:sz w:val="32"/>
          <w:szCs w:val="32"/>
        </w:rPr>
      </w:pPr>
      <w:bookmarkStart w:id="0" w:name="OLE_LINK1"/>
      <w:r>
        <w:rPr>
          <w:rFonts w:hint="eastAsia" w:ascii="黑体" w:hAnsi="黑体" w:eastAsia="黑体" w:cs="黑体"/>
          <w:spacing w:val="8"/>
          <w:sz w:val="32"/>
          <w:szCs w:val="32"/>
        </w:rPr>
        <w:t>附件5：</w:t>
      </w:r>
    </w:p>
    <w:bookmarkEnd w:id="0"/>
    <w:p w14:paraId="2531115C">
      <w:pPr>
        <w:snapToGrid w:val="0"/>
        <w:spacing w:line="317" w:lineRule="auto"/>
        <w:jc w:val="center"/>
        <w:rPr>
          <w:rFonts w:ascii="仿宋_GB2312" w:hAnsi="仿宋_GB2312" w:eastAsia="仿宋_GB2312" w:cs="仿宋_GB2312"/>
          <w:sz w:val="32"/>
          <w:szCs w:val="32"/>
        </w:rPr>
      </w:pPr>
      <w:bookmarkStart w:id="1" w:name="_GoBack"/>
      <w:r>
        <w:rPr>
          <w:rFonts w:hint="eastAsia" w:ascii="方正小标宋简体" w:hAnsi="Calibri" w:eastAsia="方正小标宋简体"/>
          <w:sz w:val="44"/>
          <w:szCs w:val="44"/>
          <w:lang w:eastAsia="zh-CN"/>
        </w:rPr>
        <w:t>云南省石林彝族自治县</w:t>
      </w:r>
      <w:r>
        <w:rPr>
          <w:rFonts w:hint="eastAsia" w:ascii="方正小标宋简体" w:hAnsi="Calibri" w:eastAsia="方正小标宋简体"/>
          <w:sz w:val="44"/>
          <w:szCs w:val="44"/>
        </w:rPr>
        <w:t>烟草专卖局烟草制品零售点排队轮候制度</w:t>
      </w:r>
    </w:p>
    <w:bookmarkEnd w:id="1"/>
    <w:p w14:paraId="7A44050E">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总则</w:t>
      </w:r>
    </w:p>
    <w:p w14:paraId="410BA983">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烟草制品零售点合理布局规划》，根据《中华人民共和国行政许可法》《烟草专卖许可证管理办法》《烟草专卖许可证管理办法实施细则》等法律法规和规章的规定，结合</w:t>
      </w:r>
      <w:r>
        <w:rPr>
          <w:rFonts w:hint="eastAsia" w:ascii="仿宋_GB2312" w:hAnsi="仿宋_GB2312" w:eastAsia="仿宋_GB2312" w:cs="仿宋_GB2312"/>
          <w:sz w:val="32"/>
          <w:szCs w:val="32"/>
          <w:lang w:eastAsia="zh-CN"/>
        </w:rPr>
        <w:t>石林彝族自治县</w:t>
      </w:r>
      <w:r>
        <w:rPr>
          <w:rFonts w:hint="eastAsia" w:ascii="仿宋_GB2312" w:hAnsi="仿宋_GB2312" w:eastAsia="仿宋_GB2312" w:cs="仿宋_GB2312"/>
          <w:sz w:val="32"/>
          <w:szCs w:val="32"/>
        </w:rPr>
        <w:t>实际，制定本制度。</w:t>
      </w:r>
    </w:p>
    <w:p w14:paraId="62A3F49A">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行政辖区烟草制品零售点新办申请排队轮候预登记。</w:t>
      </w:r>
    </w:p>
    <w:p w14:paraId="2713EED4">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规划数时，再按照排队轮候的顺序依次提交新办申请。</w:t>
      </w:r>
    </w:p>
    <w:p w14:paraId="52F66DE7">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程序及要求</w:t>
      </w:r>
    </w:p>
    <w:p w14:paraId="0736037F">
      <w:pPr>
        <w:numPr>
          <w:ilvl w:val="2"/>
          <w:numId w:val="2"/>
        </w:numPr>
        <w:spacing w:line="360" w:lineRule="auto"/>
        <w:ind w:firstLine="640" w:firstLineChars="200"/>
        <w:rPr>
          <w:rFonts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本县</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79834DE1">
      <w:pPr>
        <w:spacing w:line="360" w:lineRule="auto"/>
        <w:ind w:firstLine="640" w:firstLineChars="200"/>
        <w:rPr>
          <w:rFonts w:hint="eastAsia"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24F0C263">
      <w:pPr>
        <w:numPr>
          <w:ilvl w:val="2"/>
          <w:numId w:val="2"/>
        </w:numPr>
        <w:spacing w:line="360" w:lineRule="auto"/>
        <w:ind w:firstLine="640" w:firstLineChars="200"/>
        <w:rPr>
          <w:rFonts w:ascii="楷体" w:hAnsi="楷体" w:eastAsia="楷体" w:cs="楷体"/>
          <w:sz w:val="32"/>
          <w:szCs w:val="32"/>
        </w:rPr>
      </w:pPr>
      <w:r>
        <w:rPr>
          <w:rFonts w:hint="eastAsia" w:ascii="仿宋_GB2312" w:hAnsi="仿宋_GB2312" w:eastAsia="仿宋_GB2312" w:cs="仿宋_GB2312"/>
          <w:kern w:val="28"/>
          <w:sz w:val="32"/>
          <w:szCs w:val="32"/>
        </w:rPr>
        <w:t>集中抽签按照“提前申请—集中公证抽签—公示抽签结果”的程序进行。自本制度实施之日起5个工作日内，对外发布参与集中抽签的报名地点、时间和方式；自本制度实施之日起10个工作日内，对外发布集中公证抽签的地点、时间和方案；自本制度实施之日起15个工作日内，完成集中公证抽签。</w:t>
      </w:r>
    </w:p>
    <w:p w14:paraId="3EE552AB">
      <w:pPr>
        <w:spacing w:line="360" w:lineRule="auto"/>
        <w:ind w:firstLine="640" w:firstLineChars="200"/>
        <w:rPr>
          <w:rFonts w:hint="eastAsia"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集中公证抽签现场按照对外发布方案确定最小单元网格首次排队轮候顺序，并在2个工作日内公示。</w:t>
      </w:r>
    </w:p>
    <w:p w14:paraId="605130DF">
      <w:pPr>
        <w:numPr>
          <w:ilvl w:val="2"/>
          <w:numId w:val="2"/>
        </w:numPr>
        <w:spacing w:line="360" w:lineRule="auto"/>
        <w:ind w:firstLine="640" w:firstLineChars="200"/>
        <w:rPr>
          <w:rFonts w:hint="eastAsia"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烟草制品零售点排队轮候采取最小单元网格管理，自愿加入排队轮候的申请人，应线上填写并提交《</w:t>
      </w:r>
      <w:r>
        <w:rPr>
          <w:rFonts w:hint="eastAsia" w:ascii="仿宋_GB2312" w:hAnsi="仿宋_GB2312" w:eastAsia="仿宋_GB2312" w:cs="仿宋_GB2312"/>
          <w:kern w:val="28"/>
          <w:sz w:val="32"/>
          <w:szCs w:val="32"/>
          <w:lang w:eastAsia="zh-CN"/>
        </w:rPr>
        <w:t>云南省石林彝族自治县</w:t>
      </w:r>
      <w:r>
        <w:rPr>
          <w:rFonts w:hint="eastAsia" w:ascii="仿宋_GB2312" w:hAnsi="仿宋_GB2312" w:eastAsia="仿宋_GB2312" w:cs="仿宋_GB2312"/>
          <w:kern w:val="28"/>
          <w:sz w:val="32"/>
          <w:szCs w:val="32"/>
        </w:rPr>
        <w:t>烟草专卖局烟草制品零售点XX单元网格排队轮候申请表》（详见附表）。申请人在填报信息时应准确、真实。</w:t>
      </w:r>
    </w:p>
    <w:p w14:paraId="13A42610">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系统根据申请人线上提交时间，自动生成排队轮候顺序，并由系统自动推送告知申请人单元网格内排队轮候顺序号。</w:t>
      </w:r>
    </w:p>
    <w:p w14:paraId="01AF8A07">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排队轮候实行有效期管理，每一次申请排队轮候的有效期限为180天，自顺序号生成之日起生效。</w:t>
      </w:r>
    </w:p>
    <w:p w14:paraId="5A3CA43D">
      <w:pPr>
        <w:pStyle w:val="7"/>
        <w:rPr>
          <w:color w:val="auto"/>
        </w:rPr>
      </w:pPr>
      <w:r>
        <w:rPr>
          <w:rFonts w:hint="eastAsia" w:ascii="仿宋_GB2312" w:hAnsi="仿宋_GB2312" w:eastAsia="仿宋_GB2312" w:cs="仿宋_GB2312"/>
          <w:color w:val="auto"/>
          <w:sz w:val="32"/>
          <w:szCs w:val="32"/>
        </w:rPr>
        <w:t xml:space="preserve">    顺序号过期后自动失效，该顺序号的后序顺序号自动递补。</w:t>
      </w:r>
    </w:p>
    <w:p w14:paraId="72D55267">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发证机关应公开排队轮候情况，并接受公众监督。申请人可通过线上、线下等方式查询排队轮候的排号情况。</w:t>
      </w:r>
    </w:p>
    <w:p w14:paraId="7A37A86C">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当单元网格内可新增零售点时，由发证机关按照顺序号和申请表约定的联系方式，在5个工作日内，依次通知申请人提交烟草专卖零售许可证新办申请。</w:t>
      </w:r>
    </w:p>
    <w:p w14:paraId="79D0DA4C">
      <w:pPr>
        <w:numPr>
          <w:ilvl w:val="2"/>
          <w:numId w:val="2"/>
        </w:numPr>
        <w:spacing w:line="360" w:lineRule="auto"/>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65193E8D">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监督检查</w:t>
      </w:r>
    </w:p>
    <w:p w14:paraId="616C1688">
      <w:pPr>
        <w:numPr>
          <w:ilvl w:val="2"/>
          <w:numId w:val="2"/>
        </w:numPr>
        <w:spacing w:line="360" w:lineRule="auto"/>
        <w:ind w:firstLine="680"/>
        <w:rPr>
          <w:rFonts w:ascii="楷体" w:hAnsi="楷体" w:eastAsia="楷体" w:cs="楷体"/>
          <w:sz w:val="32"/>
          <w:szCs w:val="32"/>
        </w:rPr>
      </w:pPr>
      <w:r>
        <w:rPr>
          <w:rFonts w:hint="eastAsia" w:ascii="仿宋_GB2312" w:hAnsi="仿宋_GB2312" w:eastAsia="仿宋_GB2312" w:cs="仿宋_GB2312"/>
          <w:sz w:val="32"/>
          <w:szCs w:val="32"/>
        </w:rPr>
        <w:t>上级烟草专卖局应当加强对下级烟草专卖局排队轮候管理工作的监督检查，完善排队轮候管理工作督查机制，防范违法违规行为的发生。</w:t>
      </w:r>
    </w:p>
    <w:p w14:paraId="1416CA01">
      <w:pPr>
        <w:numPr>
          <w:ilvl w:val="2"/>
          <w:numId w:val="2"/>
        </w:numPr>
        <w:spacing w:line="360" w:lineRule="auto"/>
        <w:ind w:firstLine="68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03F18D9A">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附则</w:t>
      </w:r>
    </w:p>
    <w:p w14:paraId="37466A0E">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4C5BB3D7">
      <w:pPr>
        <w:numPr>
          <w:ilvl w:val="2"/>
          <w:numId w:val="2"/>
        </w:numPr>
        <w:spacing w:line="360" w:lineRule="auto"/>
        <w:ind w:firstLine="68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烟草专卖局负责解释。</w:t>
      </w:r>
    </w:p>
    <w:p w14:paraId="499157FD">
      <w:pPr>
        <w:numPr>
          <w:ilvl w:val="2"/>
          <w:numId w:val="2"/>
        </w:numPr>
        <w:spacing w:line="360" w:lineRule="auto"/>
        <w:ind w:firstLine="680"/>
        <w:rPr>
          <w:rFonts w:ascii="楷体" w:hAnsi="楷体" w:eastAsia="楷体" w:cs="楷体"/>
          <w:sz w:val="32"/>
          <w:szCs w:val="32"/>
        </w:rPr>
      </w:pPr>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烟草制品零售点合理布局规划》实施之日起同时施行。</w:t>
      </w:r>
    </w:p>
    <w:p w14:paraId="0E2F490D">
      <w:pPr>
        <w:spacing w:line="360" w:lineRule="auto"/>
        <w:ind w:left="402" w:firstLine="640" w:firstLineChars="200"/>
        <w:rPr>
          <w:rFonts w:ascii="仿宋_GB2312" w:hAnsi="仿宋_GB2312" w:eastAsia="仿宋_GB2312" w:cs="仿宋_GB2312"/>
          <w:sz w:val="32"/>
          <w:szCs w:val="32"/>
        </w:rPr>
      </w:pPr>
    </w:p>
    <w:p w14:paraId="355300BB">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w:t>
      </w:r>
      <w:r>
        <w:rPr>
          <w:rFonts w:hint="eastAsia" w:ascii="仿宋_GB2312" w:hAnsi="仿宋_GB2312" w:eastAsia="仿宋_GB2312" w:cs="仿宋_GB2312"/>
          <w:sz w:val="32"/>
          <w:szCs w:val="32"/>
          <w:lang w:eastAsia="zh-CN"/>
        </w:rPr>
        <w:t>云南省石林彝族自治县</w:t>
      </w:r>
      <w:r>
        <w:rPr>
          <w:rFonts w:hint="eastAsia" w:ascii="仿宋_GB2312" w:hAnsi="仿宋_GB2312" w:eastAsia="仿宋_GB2312" w:cs="仿宋_GB2312"/>
          <w:sz w:val="32"/>
          <w:szCs w:val="32"/>
        </w:rPr>
        <w:t>烟草专卖局烟草制品零售点XX单元网格排队轮候申请表。</w:t>
      </w:r>
    </w:p>
    <w:p w14:paraId="0B98C811">
      <w:pPr>
        <w:pStyle w:val="7"/>
        <w:rPr>
          <w:rFonts w:hint="eastAsia" w:ascii="仿宋_GB2312" w:hAnsi="仿宋_GB2312" w:eastAsia="仿宋_GB2312" w:cs="仿宋_GB2312"/>
          <w:color w:val="auto"/>
          <w:sz w:val="32"/>
          <w:szCs w:val="32"/>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9C24FC1">
      <w:pPr>
        <w:spacing w:line="360" w:lineRule="auto"/>
        <w:rPr>
          <w:rFonts w:ascii="黑体" w:hAnsi="黑体" w:eastAsia="黑体" w:cs="黑体"/>
          <w:sz w:val="44"/>
          <w:szCs w:val="44"/>
        </w:rPr>
      </w:pPr>
      <w:r>
        <w:rPr>
          <w:rFonts w:hint="eastAsia" w:ascii="黑体" w:hAnsi="黑体" w:eastAsia="黑体" w:cs="黑体"/>
          <w:sz w:val="32"/>
          <w:szCs w:val="32"/>
        </w:rPr>
        <w:t>附表</w:t>
      </w:r>
    </w:p>
    <w:p w14:paraId="462C1F44">
      <w:pPr>
        <w:spacing w:line="360" w:lineRule="auto"/>
        <w:ind w:left="40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云南省石林彝族自治县</w:t>
      </w:r>
      <w:r>
        <w:rPr>
          <w:rFonts w:hint="eastAsia" w:ascii="方正小标宋简体" w:hAnsi="方正小标宋简体" w:eastAsia="方正小标宋简体" w:cs="方正小标宋简体"/>
          <w:sz w:val="44"/>
          <w:szCs w:val="44"/>
        </w:rPr>
        <w:t>烟草专卖局烟草制品零售点XX单元网格排队轮候申请表</w:t>
      </w:r>
    </w:p>
    <w:tbl>
      <w:tblPr>
        <w:tblStyle w:val="5"/>
        <w:tblW w:w="0" w:type="auto"/>
        <w:tblInd w:w="96" w:type="dxa"/>
        <w:tblLayout w:type="fixed"/>
        <w:tblCellMar>
          <w:top w:w="0" w:type="dxa"/>
          <w:left w:w="108" w:type="dxa"/>
          <w:bottom w:w="0" w:type="dxa"/>
          <w:right w:w="108" w:type="dxa"/>
        </w:tblCellMar>
      </w:tblPr>
      <w:tblGrid>
        <w:gridCol w:w="2422"/>
        <w:gridCol w:w="2283"/>
        <w:gridCol w:w="1543"/>
        <w:gridCol w:w="2178"/>
      </w:tblGrid>
      <w:tr w14:paraId="02BE3686">
        <w:tblPrEx>
          <w:tblCellMar>
            <w:top w:w="0" w:type="dxa"/>
            <w:left w:w="108" w:type="dxa"/>
            <w:bottom w:w="0" w:type="dxa"/>
            <w:right w:w="108" w:type="dxa"/>
          </w:tblCellMar>
        </w:tblPrEx>
        <w:trPr>
          <w:trHeight w:val="42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77A0CC00">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申请人基本信息</w:t>
            </w:r>
          </w:p>
        </w:tc>
      </w:tr>
      <w:tr w14:paraId="017B8713">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4468DA2E">
            <w:pPr>
              <w:widowControl/>
              <w:jc w:val="center"/>
              <w:textAlignment w:val="center"/>
              <w:rPr>
                <w:rFonts w:ascii="宋体" w:hAnsi="宋体" w:cs="宋体"/>
                <w:sz w:val="24"/>
                <w:szCs w:val="22"/>
              </w:rPr>
            </w:pPr>
            <w:r>
              <w:rPr>
                <w:rFonts w:hint="eastAsia" w:ascii="宋体" w:hAnsi="宋体" w:cs="宋体"/>
                <w:kern w:val="0"/>
                <w:sz w:val="24"/>
                <w:szCs w:val="22"/>
                <w:lang w:bidi="ar"/>
              </w:rPr>
              <w:t>申请人姓名</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380E44EB">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082ADC66">
            <w:pPr>
              <w:widowControl/>
              <w:jc w:val="center"/>
              <w:textAlignment w:val="center"/>
              <w:rPr>
                <w:rFonts w:ascii="宋体" w:hAnsi="宋体" w:cs="宋体"/>
                <w:sz w:val="24"/>
                <w:szCs w:val="22"/>
              </w:rPr>
            </w:pPr>
            <w:r>
              <w:rPr>
                <w:rFonts w:hint="eastAsia" w:ascii="宋体" w:hAnsi="宋体" w:cs="宋体"/>
                <w:kern w:val="0"/>
                <w:sz w:val="24"/>
                <w:szCs w:val="22"/>
                <w:lang w:bidi="ar"/>
              </w:rPr>
              <w:t>申请日期</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3DDA7D3E">
            <w:pPr>
              <w:jc w:val="center"/>
              <w:rPr>
                <w:rFonts w:ascii="宋体" w:hAnsi="宋体" w:cs="宋体"/>
                <w:sz w:val="24"/>
                <w:szCs w:val="22"/>
              </w:rPr>
            </w:pPr>
          </w:p>
        </w:tc>
      </w:tr>
      <w:tr w14:paraId="5B2DAB19">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1345C8AE">
            <w:pPr>
              <w:widowControl/>
              <w:jc w:val="center"/>
              <w:textAlignment w:val="center"/>
              <w:rPr>
                <w:rFonts w:ascii="宋体" w:hAnsi="宋体" w:cs="宋体"/>
                <w:sz w:val="24"/>
                <w:szCs w:val="22"/>
              </w:rPr>
            </w:pPr>
            <w:r>
              <w:rPr>
                <w:rFonts w:hint="eastAsia" w:ascii="宋体" w:hAnsi="宋体" w:cs="宋体"/>
                <w:kern w:val="0"/>
                <w:sz w:val="24"/>
                <w:szCs w:val="22"/>
                <w:lang w:bidi="ar"/>
              </w:rPr>
              <w:t>身份证号码</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20810F68">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2927B535">
            <w:pPr>
              <w:widowControl/>
              <w:jc w:val="center"/>
              <w:textAlignment w:val="center"/>
              <w:rPr>
                <w:rFonts w:ascii="宋体" w:hAnsi="宋体" w:cs="宋体"/>
                <w:sz w:val="24"/>
                <w:szCs w:val="22"/>
              </w:rPr>
            </w:pPr>
            <w:r>
              <w:rPr>
                <w:rFonts w:hint="eastAsia" w:ascii="宋体" w:hAnsi="宋体" w:cs="宋体"/>
                <w:kern w:val="0"/>
                <w:sz w:val="24"/>
                <w:szCs w:val="22"/>
                <w:lang w:bidi="ar"/>
              </w:rPr>
              <w:t>联系电话</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14000DA9">
            <w:pPr>
              <w:jc w:val="center"/>
              <w:rPr>
                <w:rFonts w:ascii="宋体" w:hAnsi="宋体" w:cs="宋体"/>
                <w:sz w:val="24"/>
                <w:szCs w:val="22"/>
              </w:rPr>
            </w:pPr>
          </w:p>
        </w:tc>
      </w:tr>
      <w:tr w14:paraId="3AF9A00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02840891">
            <w:pPr>
              <w:widowControl/>
              <w:jc w:val="center"/>
              <w:textAlignment w:val="center"/>
              <w:rPr>
                <w:rFonts w:ascii="宋体" w:hAnsi="宋体" w:cs="宋体"/>
                <w:sz w:val="24"/>
                <w:szCs w:val="22"/>
              </w:rPr>
            </w:pPr>
            <w:r>
              <w:rPr>
                <w:rFonts w:hint="eastAsia" w:ascii="宋体" w:hAnsi="宋体" w:cs="宋体"/>
                <w:kern w:val="0"/>
                <w:sz w:val="24"/>
                <w:szCs w:val="22"/>
                <w:lang w:bidi="ar"/>
              </w:rPr>
              <w:t>归属街道</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4B703F14">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2C99BCE5">
            <w:pPr>
              <w:widowControl/>
              <w:jc w:val="center"/>
              <w:textAlignment w:val="center"/>
              <w:rPr>
                <w:rFonts w:ascii="宋体" w:hAnsi="宋体" w:cs="宋体"/>
                <w:sz w:val="24"/>
                <w:szCs w:val="22"/>
              </w:rPr>
            </w:pPr>
            <w:r>
              <w:rPr>
                <w:rFonts w:hint="eastAsia" w:ascii="宋体" w:hAnsi="宋体" w:cs="宋体"/>
                <w:kern w:val="0"/>
                <w:sz w:val="24"/>
                <w:szCs w:val="22"/>
                <w:lang w:bidi="ar"/>
              </w:rPr>
              <w:t>归属网格</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77DB4CDA">
            <w:pPr>
              <w:jc w:val="center"/>
              <w:rPr>
                <w:rFonts w:ascii="宋体" w:hAnsi="宋体" w:cs="宋体"/>
                <w:sz w:val="24"/>
                <w:szCs w:val="22"/>
              </w:rPr>
            </w:pPr>
          </w:p>
        </w:tc>
      </w:tr>
      <w:tr w14:paraId="5A5A191F">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A1FF425">
            <w:pPr>
              <w:widowControl/>
              <w:jc w:val="center"/>
              <w:textAlignment w:val="center"/>
              <w:rPr>
                <w:rFonts w:ascii="宋体" w:hAnsi="宋体" w:cs="宋体"/>
                <w:sz w:val="24"/>
                <w:szCs w:val="22"/>
              </w:rPr>
            </w:pPr>
            <w:r>
              <w:rPr>
                <w:rFonts w:hint="eastAsia" w:ascii="宋体" w:hAnsi="宋体" w:cs="宋体"/>
                <w:kern w:val="0"/>
                <w:sz w:val="24"/>
                <w:szCs w:val="22"/>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5E4F06D8">
            <w:pPr>
              <w:jc w:val="center"/>
              <w:rPr>
                <w:rFonts w:ascii="宋体" w:hAnsi="宋体" w:cs="宋体"/>
                <w:sz w:val="24"/>
                <w:szCs w:val="22"/>
              </w:rPr>
            </w:pPr>
          </w:p>
        </w:tc>
      </w:tr>
      <w:tr w14:paraId="5D8EAA2F">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2DE61B38">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营业执照基本信息</w:t>
            </w:r>
          </w:p>
        </w:tc>
      </w:tr>
      <w:tr w14:paraId="26B9CE8B">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7F258C72">
            <w:pPr>
              <w:widowControl/>
              <w:jc w:val="center"/>
              <w:textAlignment w:val="center"/>
              <w:rPr>
                <w:rFonts w:ascii="宋体" w:hAnsi="宋体" w:cs="宋体"/>
                <w:sz w:val="24"/>
                <w:szCs w:val="22"/>
              </w:rPr>
            </w:pPr>
            <w:r>
              <w:rPr>
                <w:rFonts w:hint="eastAsia" w:ascii="宋体" w:hAnsi="宋体" w:cs="宋体"/>
                <w:kern w:val="0"/>
                <w:sz w:val="24"/>
                <w:szCs w:val="22"/>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54B5BF72">
            <w:pPr>
              <w:jc w:val="center"/>
              <w:rPr>
                <w:rFonts w:ascii="宋体" w:hAnsi="宋体" w:cs="宋体"/>
                <w:sz w:val="24"/>
                <w:szCs w:val="22"/>
              </w:rPr>
            </w:pPr>
          </w:p>
        </w:tc>
      </w:tr>
      <w:tr w14:paraId="0EC4440A">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5D53911">
            <w:pPr>
              <w:widowControl/>
              <w:jc w:val="center"/>
              <w:textAlignment w:val="center"/>
              <w:rPr>
                <w:rFonts w:ascii="宋体" w:hAnsi="宋体" w:cs="宋体"/>
                <w:sz w:val="24"/>
                <w:szCs w:val="22"/>
              </w:rPr>
            </w:pPr>
            <w:r>
              <w:rPr>
                <w:rFonts w:hint="eastAsia" w:ascii="宋体" w:hAnsi="宋体" w:cs="宋体"/>
                <w:kern w:val="0"/>
                <w:sz w:val="24"/>
                <w:szCs w:val="22"/>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0F646EE6">
            <w:pPr>
              <w:jc w:val="center"/>
              <w:rPr>
                <w:rFonts w:ascii="宋体" w:hAnsi="宋体" w:cs="宋体"/>
                <w:sz w:val="24"/>
                <w:szCs w:val="22"/>
              </w:rPr>
            </w:pPr>
          </w:p>
        </w:tc>
      </w:tr>
      <w:tr w14:paraId="2F42CFD8">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7E6CEDA7">
            <w:pPr>
              <w:widowControl/>
              <w:jc w:val="center"/>
              <w:textAlignment w:val="center"/>
              <w:rPr>
                <w:rFonts w:ascii="宋体" w:hAnsi="宋体" w:cs="宋体"/>
                <w:sz w:val="24"/>
                <w:szCs w:val="22"/>
              </w:rPr>
            </w:pPr>
            <w:r>
              <w:rPr>
                <w:rFonts w:hint="eastAsia" w:ascii="宋体" w:hAnsi="宋体" w:cs="宋体"/>
                <w:kern w:val="0"/>
                <w:sz w:val="24"/>
                <w:szCs w:val="22"/>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64E810C3">
            <w:pPr>
              <w:jc w:val="center"/>
              <w:rPr>
                <w:rFonts w:ascii="宋体" w:hAnsi="宋体" w:cs="宋体"/>
                <w:sz w:val="24"/>
                <w:szCs w:val="22"/>
              </w:rPr>
            </w:pPr>
          </w:p>
        </w:tc>
      </w:tr>
      <w:tr w14:paraId="351DDEEF">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871CE78">
            <w:pPr>
              <w:widowControl/>
              <w:jc w:val="center"/>
              <w:textAlignment w:val="center"/>
              <w:rPr>
                <w:rFonts w:ascii="宋体" w:hAnsi="宋体" w:cs="宋体"/>
                <w:sz w:val="24"/>
                <w:szCs w:val="22"/>
              </w:rPr>
            </w:pPr>
            <w:r>
              <w:rPr>
                <w:rFonts w:hint="eastAsia" w:ascii="宋体" w:hAnsi="宋体" w:cs="宋体"/>
                <w:kern w:val="0"/>
                <w:sz w:val="24"/>
                <w:szCs w:val="22"/>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409EBF6D">
            <w:pPr>
              <w:jc w:val="center"/>
              <w:rPr>
                <w:rFonts w:ascii="宋体" w:hAnsi="宋体" w:cs="宋体"/>
                <w:sz w:val="24"/>
                <w:szCs w:val="22"/>
              </w:rPr>
            </w:pPr>
          </w:p>
        </w:tc>
      </w:tr>
      <w:tr w14:paraId="75913135">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noWrap w:val="0"/>
            <w:vAlign w:val="center"/>
          </w:tcPr>
          <w:p w14:paraId="4E840A31">
            <w:pPr>
              <w:widowControl/>
              <w:jc w:val="left"/>
              <w:textAlignment w:val="center"/>
              <w:rPr>
                <w:rFonts w:ascii="宋体" w:hAnsi="宋体" w:cs="宋体"/>
                <w:b/>
                <w:bCs/>
                <w:sz w:val="24"/>
                <w:lang w:bidi="ar"/>
              </w:rPr>
            </w:pPr>
            <w:r>
              <w:rPr>
                <w:rFonts w:ascii="宋体" w:hAnsi="宋体" w:cs="宋体"/>
                <w:b/>
                <w:bCs/>
                <w:sz w:val="24"/>
                <w:lang w:bidi="ar"/>
              </w:rPr>
              <w:t>申请人承诺：</w:t>
            </w:r>
          </w:p>
          <w:p w14:paraId="055D7EE1">
            <w:pPr>
              <w:widowControl/>
              <w:ind w:firstLine="480" w:firstLineChars="200"/>
              <w:jc w:val="left"/>
              <w:textAlignment w:val="center"/>
              <w:rPr>
                <w:rFonts w:ascii="宋体" w:hAnsi="宋体" w:cs="宋体"/>
                <w:sz w:val="24"/>
                <w:lang w:bidi="ar"/>
              </w:rPr>
            </w:pPr>
            <w:r>
              <w:rPr>
                <w:rFonts w:ascii="宋体" w:hAnsi="宋体" w:cs="宋体"/>
                <w:sz w:val="24"/>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01DB8382">
            <w:pPr>
              <w:widowControl/>
              <w:ind w:firstLine="480" w:firstLineChars="200"/>
              <w:jc w:val="left"/>
              <w:textAlignment w:val="center"/>
              <w:rPr>
                <w:rFonts w:ascii="宋体" w:hAnsi="宋体" w:cs="宋体"/>
                <w:sz w:val="24"/>
                <w:lang w:bidi="ar"/>
              </w:rPr>
            </w:pPr>
            <w:r>
              <w:rPr>
                <w:rFonts w:ascii="宋体" w:hAnsi="宋体" w:cs="宋体"/>
                <w:sz w:val="24"/>
                <w:lang w:bidi="ar"/>
              </w:rPr>
              <w:t>2.</w:t>
            </w:r>
            <w:r>
              <w:rPr>
                <w:rFonts w:hint="eastAsia" w:ascii="宋体" w:hAnsi="宋体" w:cs="宋体"/>
                <w:sz w:val="24"/>
                <w:lang w:bidi="ar"/>
              </w:rPr>
              <w:t>排队轮候实行有效期管理，每一次申请排队轮候的有效期限为180天，自顺序号生成之日起生效。顺序号过期后自动失效，该顺序号的后序顺序号自动递补。</w:t>
            </w:r>
          </w:p>
          <w:p w14:paraId="02230417">
            <w:pPr>
              <w:widowControl/>
              <w:ind w:firstLine="480" w:firstLineChars="200"/>
              <w:jc w:val="left"/>
              <w:textAlignment w:val="center"/>
              <w:rPr>
                <w:rFonts w:ascii="宋体" w:hAnsi="宋体" w:cs="宋体"/>
                <w:sz w:val="24"/>
                <w:lang w:bidi="ar"/>
              </w:rPr>
            </w:pPr>
            <w:r>
              <w:rPr>
                <w:rFonts w:hint="eastAsia" w:ascii="宋体" w:hAnsi="宋体" w:cs="宋体"/>
                <w:sz w:val="24"/>
                <w:lang w:bidi="ar"/>
              </w:rPr>
              <w:t>3.</w:t>
            </w:r>
            <w:r>
              <w:rPr>
                <w:rFonts w:ascii="宋体" w:hAnsi="宋体" w:cs="宋体"/>
                <w:sz w:val="24"/>
                <w:lang w:bidi="ar"/>
              </w:rPr>
              <w:t>申请人所提交的预登记信息确保与到号办理时提交的办证信息一致，若不一致的，申请人应重新登记轮候；</w:t>
            </w:r>
          </w:p>
          <w:p w14:paraId="72CF7610">
            <w:pPr>
              <w:widowControl/>
              <w:ind w:firstLine="480" w:firstLineChars="200"/>
              <w:jc w:val="left"/>
              <w:textAlignment w:val="center"/>
              <w:rPr>
                <w:rFonts w:ascii="宋体" w:hAnsi="宋体" w:cs="宋体"/>
                <w:sz w:val="24"/>
                <w:lang w:bidi="ar"/>
              </w:rPr>
            </w:pPr>
            <w:r>
              <w:rPr>
                <w:rFonts w:hint="eastAsia" w:ascii="宋体" w:hAnsi="宋体" w:cs="宋体"/>
                <w:sz w:val="24"/>
                <w:lang w:bidi="ar"/>
              </w:rPr>
              <w:t>4</w:t>
            </w:r>
            <w:r>
              <w:rPr>
                <w:rFonts w:ascii="宋体" w:hAnsi="宋体" w:cs="宋体"/>
                <w:sz w:val="24"/>
                <w:lang w:bidi="ar"/>
              </w:rPr>
              <w:t>.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02F54F2E">
            <w:pPr>
              <w:widowControl/>
              <w:ind w:firstLine="482" w:firstLineChars="200"/>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p>
        </w:tc>
      </w:tr>
      <w:tr w14:paraId="10CC8372">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noWrap w:val="0"/>
            <w:vAlign w:val="center"/>
          </w:tcPr>
          <w:p w14:paraId="16B9509E">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noWrap w:val="0"/>
            <w:vAlign w:val="center"/>
          </w:tcPr>
          <w:p w14:paraId="0C1E3A09">
            <w:pPr>
              <w:jc w:val="center"/>
              <w:rPr>
                <w:rFonts w:ascii="宋体" w:hAnsi="宋体" w:cs="宋体"/>
                <w:b/>
                <w:bCs/>
                <w:sz w:val="24"/>
                <w:szCs w:val="22"/>
              </w:rPr>
            </w:pPr>
          </w:p>
        </w:tc>
      </w:tr>
    </w:tbl>
    <w:p w14:paraId="0F6A659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E3677">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34035" cy="230505"/>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a:effectLst/>
                    </wps:spPr>
                    <wps:txbx>
                      <w:txbxContent>
                        <w:p w14:paraId="17985390">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8.15pt;width:42.05pt;mso-position-horizontal:right;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Fs9TQdIAAAADAQAADwAAAAAAAAABACAAAAAiAAAAZHJzL2Rvd25yZXYueG1s&#10;UEsBAhQAFAAAAAgAh07iQG/nXjc3AgAAYwQAAA4AAAAAAAAAAQAgAAAAIQEAAGRycy9lMm9Eb2Mu&#10;eG1sUEsFBgAAAAAGAAYAWQEAAMoFAAAAAA==&#10;">
              <v:path/>
              <v:fill on="f" focussize="0,0"/>
              <v:stroke on="f" weight="0.5pt"/>
              <v:imagedata o:title=""/>
              <o:lock v:ext="edit" aspectratio="f"/>
              <v:textbox inset="0mm,0mm,0mm,0mm" style="mso-fit-shape-to-text:t;">
                <w:txbxContent>
                  <w:p w14:paraId="17985390">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9E9B3"/>
    <w:multiLevelType w:val="multilevel"/>
    <w:tmpl w:val="8BB9E9B3"/>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710E9C"/>
    <w:rsid w:val="4D710E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正文-公1"/>
    <w:basedOn w:val="1"/>
    <w:next w:val="3"/>
    <w:qFormat/>
    <w:uiPriority w:val="0"/>
    <w:pPr>
      <w:ind w:firstLine="200" w:firstLineChars="200"/>
    </w:pPr>
  </w:style>
  <w:style w:type="paragraph" w:styleId="3">
    <w:name w:val="Normal (Web)"/>
    <w:basedOn w:val="1"/>
    <w:qFormat/>
    <w:uiPriority w:val="99"/>
    <w:pPr>
      <w:spacing w:before="100" w:beforeAutospacing="1" w:after="100" w:afterAutospacing="1"/>
      <w:jc w:val="left"/>
    </w:pPr>
    <w:rPr>
      <w:rFonts w:ascii="Calibri" w:hAnsi="Calibri"/>
      <w:kern w:val="0"/>
      <w:sz w:val="24"/>
    </w:rPr>
  </w:style>
  <w:style w:type="paragraph" w:styleId="4">
    <w:name w:val="footer"/>
    <w:basedOn w:val="1"/>
    <w:qFormat/>
    <w:uiPriority w:val="0"/>
    <w:pPr>
      <w:tabs>
        <w:tab w:val="center" w:pos="4153"/>
        <w:tab w:val="right" w:pos="8306"/>
      </w:tabs>
      <w:snapToGrid w:val="0"/>
      <w:jc w:val="left"/>
    </w:pPr>
    <w:rPr>
      <w:sz w:val="18"/>
    </w:rPr>
  </w:style>
  <w:style w:type="paragraph" w:customStyle="1" w:styleId="7">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2026-09-01T06:57:00Z</dcterms:created>
  <dc:creator>Administrator</dc:creator>
  <cp:lastModifiedBy>Administrator</cp:lastModifiedBy>
  <dcterms:modified xsi:type="dcterms:W3CDTF">2026-09-01T06:58:03Z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C5A9C3D3FBE34E43BBCC004853C659FD_11</vt:lpwstr>
  </property>
  <property fmtid="{D5CDD505-2E9C-101B-9397-08002B2CF9AE}" pid="4" name="KSOTemplateDocerSaveRecord">
    <vt:lpwstr>eyJoZGlkIjoiNDk5MjViODAyNGVlNDgwMWUxMTY3MTY1ZmZlZTViODgiLCJ1c2VySWQiOiI0MDkwNjc1NzUifQ==</vt:lpwstr>
  </property>
</Properties>
</file>