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19713">
      <w:pPr>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楷体_GBK" w:cs="Times New Roman Regular"/>
          <w:color w:val="auto"/>
          <w:sz w:val="32"/>
          <w:szCs w:val="32"/>
          <w:highlight w:val="none"/>
        </w:rPr>
      </w:pPr>
    </w:p>
    <w:p w14:paraId="6C4C095E">
      <w:pPr>
        <w:pStyle w:val="28"/>
        <w:rPr>
          <w:rFonts w:hint="default" w:ascii="宋体" w:hAnsi="宋体" w:eastAsia="方正楷体_GBK" w:cs="Times New Roman Regular"/>
          <w:color w:val="auto"/>
          <w:sz w:val="32"/>
          <w:szCs w:val="32"/>
          <w:highlight w:val="none"/>
        </w:rPr>
      </w:pPr>
    </w:p>
    <w:p w14:paraId="7A1A5163">
      <w:pPr>
        <w:pStyle w:val="28"/>
        <w:rPr>
          <w:rFonts w:hint="default" w:ascii="宋体" w:hAnsi="宋体" w:eastAsia="方正楷体_GBK" w:cs="Times New Roman Regular"/>
          <w:color w:val="auto"/>
          <w:sz w:val="32"/>
          <w:szCs w:val="32"/>
          <w:highlight w:val="none"/>
        </w:rPr>
      </w:pPr>
    </w:p>
    <w:p w14:paraId="129F5A6C">
      <w:pPr>
        <w:pStyle w:val="28"/>
        <w:rPr>
          <w:rFonts w:hint="default" w:ascii="宋体" w:hAnsi="宋体" w:eastAsia="方正楷体_GBK" w:cs="Times New Roman Regular"/>
          <w:color w:val="auto"/>
          <w:sz w:val="32"/>
          <w:szCs w:val="32"/>
          <w:highlight w:val="none"/>
        </w:rPr>
      </w:pPr>
    </w:p>
    <w:p w14:paraId="46826C33">
      <w:pPr>
        <w:pStyle w:val="28"/>
        <w:rPr>
          <w:rFonts w:hint="default" w:ascii="宋体" w:hAnsi="宋体" w:eastAsia="方正楷体_GBK" w:cs="Times New Roman Regular"/>
          <w:color w:val="auto"/>
          <w:sz w:val="32"/>
          <w:szCs w:val="32"/>
          <w:highlight w:val="none"/>
        </w:rPr>
      </w:pPr>
    </w:p>
    <w:p w14:paraId="64010E4A">
      <w:pPr>
        <w:pStyle w:val="28"/>
        <w:rPr>
          <w:rFonts w:hint="default" w:ascii="宋体" w:hAnsi="宋体" w:eastAsia="方正楷体_GBK" w:cs="Times New Roman Regular"/>
          <w:color w:val="auto"/>
          <w:sz w:val="32"/>
          <w:szCs w:val="32"/>
          <w:highlight w:val="none"/>
        </w:rPr>
      </w:pPr>
    </w:p>
    <w:p w14:paraId="79342AE4">
      <w:pPr>
        <w:overflowPunct w:val="0"/>
        <w:snapToGrid w:val="0"/>
        <w:spacing w:line="700" w:lineRule="exact"/>
        <w:ind w:firstLine="0" w:firstLineChars="0"/>
        <w:jc w:val="center"/>
        <w:rPr>
          <w:rFonts w:hint="default" w:ascii="宋体" w:hAnsi="宋体" w:eastAsia="方正小标宋简体" w:cs="Times New Roman Regular"/>
          <w:b w:val="0"/>
          <w:bCs w:val="0"/>
          <w:color w:val="auto"/>
          <w:sz w:val="44"/>
          <w:szCs w:val="44"/>
          <w:highlight w:val="none"/>
        </w:rPr>
      </w:pPr>
      <w:r>
        <w:rPr>
          <w:rFonts w:hint="default" w:ascii="宋体" w:hAnsi="宋体" w:eastAsia="方正小标宋简体" w:cs="Times New Roman Regular"/>
          <w:b w:val="0"/>
          <w:bCs w:val="0"/>
          <w:color w:val="auto"/>
          <w:sz w:val="44"/>
          <w:szCs w:val="44"/>
          <w:highlight w:val="none"/>
        </w:rPr>
        <w:t>石林彝族自治县国民经济和社会发展</w:t>
      </w:r>
    </w:p>
    <w:p w14:paraId="36889E8E">
      <w:pPr>
        <w:overflowPunct w:val="0"/>
        <w:snapToGrid w:val="0"/>
        <w:spacing w:line="700" w:lineRule="exact"/>
        <w:ind w:firstLine="0" w:firstLineChars="0"/>
        <w:jc w:val="center"/>
        <w:rPr>
          <w:rFonts w:hint="eastAsia" w:ascii="宋体" w:hAnsi="宋体" w:eastAsia="方正小标宋简体" w:cs="Times New Roman Regular"/>
          <w:b/>
          <w:bCs/>
          <w:color w:val="auto"/>
          <w:sz w:val="44"/>
          <w:szCs w:val="44"/>
          <w:highlight w:val="none"/>
          <w:lang w:eastAsia="zh-CN"/>
        </w:rPr>
      </w:pPr>
      <w:r>
        <w:rPr>
          <w:rFonts w:hint="default" w:ascii="宋体" w:hAnsi="宋体" w:eastAsia="方正小标宋简体" w:cs="Times New Roman Regular"/>
          <w:b w:val="0"/>
          <w:bCs w:val="0"/>
          <w:color w:val="auto"/>
          <w:sz w:val="44"/>
          <w:szCs w:val="44"/>
          <w:highlight w:val="none"/>
        </w:rPr>
        <w:t>第十</w:t>
      </w:r>
      <w:r>
        <w:rPr>
          <w:rFonts w:hint="default" w:ascii="宋体" w:hAnsi="宋体" w:eastAsia="方正小标宋简体" w:cs="Times New Roman Regular"/>
          <w:b w:val="0"/>
          <w:bCs w:val="0"/>
          <w:color w:val="auto"/>
          <w:sz w:val="44"/>
          <w:szCs w:val="44"/>
          <w:highlight w:val="none"/>
          <w:lang w:val="en-US" w:eastAsia="zh-CN"/>
        </w:rPr>
        <w:t>五</w:t>
      </w:r>
      <w:r>
        <w:rPr>
          <w:rFonts w:hint="default" w:ascii="宋体" w:hAnsi="宋体" w:eastAsia="方正小标宋简体" w:cs="Times New Roman Regular"/>
          <w:b w:val="0"/>
          <w:bCs w:val="0"/>
          <w:color w:val="auto"/>
          <w:sz w:val="44"/>
          <w:szCs w:val="44"/>
          <w:highlight w:val="none"/>
        </w:rPr>
        <w:t>个五年规划纲要</w:t>
      </w:r>
    </w:p>
    <w:p w14:paraId="1F86B0EE">
      <w:pPr>
        <w:pStyle w:val="28"/>
        <w:rPr>
          <w:rFonts w:hint="default" w:ascii="宋体" w:hAnsi="宋体" w:eastAsia="方正楷体_GBK" w:cs="Times New Roman Regular"/>
          <w:color w:val="auto"/>
          <w:sz w:val="32"/>
          <w:szCs w:val="32"/>
          <w:highlight w:val="none"/>
        </w:rPr>
      </w:pPr>
    </w:p>
    <w:p w14:paraId="4DF31D47">
      <w:pPr>
        <w:pStyle w:val="28"/>
        <w:rPr>
          <w:rFonts w:hint="default" w:ascii="宋体" w:hAnsi="宋体" w:eastAsia="方正楷体_GBK" w:cs="Times New Roman Regular"/>
          <w:color w:val="auto"/>
          <w:sz w:val="32"/>
          <w:szCs w:val="32"/>
          <w:highlight w:val="none"/>
        </w:rPr>
      </w:pPr>
    </w:p>
    <w:p w14:paraId="05590D1B">
      <w:pPr>
        <w:pStyle w:val="28"/>
        <w:rPr>
          <w:rFonts w:hint="default" w:ascii="宋体" w:hAnsi="宋体" w:eastAsia="方正楷体_GBK" w:cs="Times New Roman Regular"/>
          <w:color w:val="auto"/>
          <w:sz w:val="32"/>
          <w:szCs w:val="32"/>
          <w:highlight w:val="none"/>
        </w:rPr>
      </w:pPr>
    </w:p>
    <w:p w14:paraId="098ED79E">
      <w:pPr>
        <w:pStyle w:val="28"/>
        <w:rPr>
          <w:rFonts w:hint="default" w:ascii="宋体" w:hAnsi="宋体" w:eastAsia="方正楷体_GBK" w:cs="Times New Roman Regular"/>
          <w:color w:val="auto"/>
          <w:sz w:val="32"/>
          <w:szCs w:val="32"/>
          <w:highlight w:val="none"/>
        </w:rPr>
      </w:pPr>
    </w:p>
    <w:p w14:paraId="4FCFFBA1">
      <w:pPr>
        <w:pStyle w:val="28"/>
        <w:rPr>
          <w:rFonts w:hint="default" w:ascii="宋体" w:hAnsi="宋体" w:eastAsia="方正楷体_GBK" w:cs="Times New Roman Regular"/>
          <w:color w:val="auto"/>
          <w:sz w:val="32"/>
          <w:szCs w:val="32"/>
          <w:highlight w:val="none"/>
        </w:rPr>
      </w:pPr>
    </w:p>
    <w:p w14:paraId="25FFCE28">
      <w:pPr>
        <w:pStyle w:val="28"/>
        <w:rPr>
          <w:rFonts w:hint="default" w:ascii="宋体" w:hAnsi="宋体" w:eastAsia="方正楷体_GBK" w:cs="Times New Roman Regular"/>
          <w:color w:val="auto"/>
          <w:sz w:val="32"/>
          <w:szCs w:val="32"/>
          <w:highlight w:val="none"/>
        </w:rPr>
      </w:pPr>
    </w:p>
    <w:p w14:paraId="02F4DFB4">
      <w:pPr>
        <w:pStyle w:val="28"/>
        <w:rPr>
          <w:rFonts w:hint="default" w:ascii="宋体" w:hAnsi="宋体" w:eastAsia="方正楷体_GBK" w:cs="Times New Roman Regular"/>
          <w:color w:val="auto"/>
          <w:sz w:val="32"/>
          <w:szCs w:val="32"/>
          <w:highlight w:val="none"/>
        </w:rPr>
      </w:pPr>
    </w:p>
    <w:p w14:paraId="7D8A410D">
      <w:pPr>
        <w:pStyle w:val="28"/>
        <w:rPr>
          <w:rFonts w:hint="default" w:ascii="宋体" w:hAnsi="宋体" w:eastAsia="方正楷体_GBK" w:cs="Times New Roman Regular"/>
          <w:color w:val="auto"/>
          <w:sz w:val="32"/>
          <w:szCs w:val="32"/>
          <w:highlight w:val="none"/>
        </w:rPr>
      </w:pPr>
    </w:p>
    <w:p w14:paraId="4CAA5C27">
      <w:pPr>
        <w:pStyle w:val="28"/>
        <w:rPr>
          <w:rFonts w:hint="default" w:ascii="宋体" w:hAnsi="宋体" w:eastAsia="方正楷体_GBK" w:cs="Times New Roman Regular"/>
          <w:color w:val="auto"/>
          <w:sz w:val="32"/>
          <w:szCs w:val="32"/>
          <w:highlight w:val="none"/>
        </w:rPr>
      </w:pPr>
    </w:p>
    <w:p w14:paraId="01601619">
      <w:pPr>
        <w:pStyle w:val="28"/>
        <w:rPr>
          <w:rFonts w:hint="default" w:ascii="宋体" w:hAnsi="宋体" w:eastAsia="方正楷体_GBK" w:cs="Times New Roman Regular"/>
          <w:color w:val="auto"/>
          <w:sz w:val="32"/>
          <w:szCs w:val="32"/>
          <w:highlight w:val="none"/>
        </w:rPr>
      </w:pPr>
    </w:p>
    <w:p w14:paraId="01B5E6CD">
      <w:pPr>
        <w:pStyle w:val="28"/>
        <w:rPr>
          <w:rFonts w:hint="default" w:ascii="宋体" w:hAnsi="宋体" w:eastAsia="方正楷体_GBK" w:cs="Times New Roman Regular"/>
          <w:color w:val="auto"/>
          <w:sz w:val="32"/>
          <w:szCs w:val="32"/>
          <w:highlight w:val="none"/>
        </w:rPr>
      </w:pPr>
    </w:p>
    <w:p w14:paraId="16DEADBB">
      <w:pPr>
        <w:pStyle w:val="28"/>
        <w:rPr>
          <w:rFonts w:hint="default" w:ascii="宋体" w:hAnsi="宋体" w:eastAsia="方正楷体_GBK" w:cs="Times New Roman Regular"/>
          <w:color w:val="auto"/>
          <w:sz w:val="32"/>
          <w:szCs w:val="32"/>
          <w:highlight w:val="none"/>
        </w:rPr>
      </w:pPr>
    </w:p>
    <w:p w14:paraId="64578D08">
      <w:pPr>
        <w:pStyle w:val="28"/>
        <w:rPr>
          <w:rFonts w:hint="default" w:ascii="宋体" w:hAnsi="宋体" w:eastAsia="方正楷体_GBK" w:cs="Times New Roman Regular"/>
          <w:color w:val="auto"/>
          <w:sz w:val="32"/>
          <w:szCs w:val="32"/>
          <w:highlight w:val="none"/>
        </w:rPr>
      </w:pPr>
    </w:p>
    <w:p w14:paraId="6C062ACB">
      <w:pPr>
        <w:pStyle w:val="28"/>
        <w:ind w:left="0" w:leftChars="0" w:firstLine="0" w:firstLineChars="0"/>
        <w:rPr>
          <w:rFonts w:hint="default" w:ascii="宋体" w:hAnsi="宋体" w:eastAsia="方正楷体_GBK" w:cs="Times New Roman Regular"/>
          <w:color w:val="auto"/>
          <w:sz w:val="32"/>
          <w:szCs w:val="32"/>
          <w:highlight w:val="none"/>
        </w:rPr>
      </w:pPr>
    </w:p>
    <w:p w14:paraId="2B7060AB">
      <w:pPr>
        <w:pStyle w:val="28"/>
        <w:rPr>
          <w:rFonts w:hint="default" w:ascii="宋体" w:hAnsi="宋体" w:eastAsia="方正楷体_GBK" w:cs="Times New Roman Regular"/>
          <w:color w:val="auto"/>
          <w:sz w:val="32"/>
          <w:szCs w:val="32"/>
          <w:highlight w:val="none"/>
        </w:rPr>
      </w:pPr>
    </w:p>
    <w:p w14:paraId="48E88E63">
      <w:pPr>
        <w:pStyle w:val="28"/>
        <w:ind w:left="0" w:leftChars="0" w:firstLine="0" w:firstLineChars="0"/>
        <w:rPr>
          <w:rFonts w:hint="default" w:ascii="宋体" w:hAnsi="宋体" w:eastAsia="方正楷体_GBK" w:cs="Times New Roman Regular"/>
          <w:color w:val="auto"/>
          <w:sz w:val="32"/>
          <w:szCs w:val="32"/>
          <w:highlight w:val="none"/>
        </w:rPr>
      </w:pPr>
    </w:p>
    <w:p w14:paraId="4210D728">
      <w:pPr>
        <w:overflowPunct w:val="0"/>
        <w:spacing w:line="240" w:lineRule="auto"/>
        <w:ind w:firstLine="0" w:firstLineChars="0"/>
        <w:jc w:val="center"/>
        <w:rPr>
          <w:rFonts w:hint="eastAsia" w:ascii="宋体" w:hAnsi="宋体" w:eastAsia="楷体_GB2312" w:cs="楷体_GB2312"/>
          <w:kern w:val="0"/>
          <w:sz w:val="32"/>
          <w:szCs w:val="32"/>
          <w:lang w:val="en-US" w:eastAsia="zh-CN"/>
        </w:rPr>
      </w:pPr>
    </w:p>
    <w:p w14:paraId="6C18D831">
      <w:pPr>
        <w:overflowPunct w:val="0"/>
        <w:spacing w:line="240" w:lineRule="auto"/>
        <w:ind w:firstLine="0" w:firstLineChars="0"/>
        <w:jc w:val="center"/>
        <w:rPr>
          <w:rFonts w:hint="eastAsia" w:ascii="宋体" w:hAnsi="宋体" w:eastAsia="楷体_GB2312" w:cs="楷体_GB2312"/>
          <w:kern w:val="0"/>
          <w:sz w:val="32"/>
          <w:szCs w:val="32"/>
          <w:lang w:val="en-US" w:eastAsia="zh-CN"/>
        </w:rPr>
      </w:pPr>
    </w:p>
    <w:p w14:paraId="560D36B8">
      <w:pPr>
        <w:overflowPunct w:val="0"/>
        <w:spacing w:line="240" w:lineRule="auto"/>
        <w:ind w:firstLine="0" w:firstLineChars="0"/>
        <w:jc w:val="center"/>
        <w:rPr>
          <w:rFonts w:hint="default" w:ascii="宋体" w:hAnsi="宋体" w:eastAsia="楷体_GB2312" w:cs="楷体_GB2312"/>
          <w:kern w:val="0"/>
          <w:sz w:val="32"/>
          <w:szCs w:val="32"/>
          <w:lang w:val="en-US" w:eastAsia="zh-CN"/>
        </w:rPr>
      </w:pPr>
      <w:r>
        <w:rPr>
          <w:rFonts w:hint="eastAsia" w:ascii="宋体" w:hAnsi="宋体" w:eastAsia="楷体_GB2312" w:cs="楷体_GB2312"/>
          <w:kern w:val="0"/>
          <w:sz w:val="32"/>
          <w:szCs w:val="32"/>
          <w:lang w:val="en-US" w:eastAsia="zh-CN"/>
        </w:rPr>
        <w:t>2026年5月</w:t>
      </w:r>
    </w:p>
    <w:p w14:paraId="59906BF1">
      <w:pPr>
        <w:overflowPunct w:val="0"/>
        <w:spacing w:line="240" w:lineRule="auto"/>
        <w:ind w:firstLine="0" w:firstLineChars="0"/>
        <w:jc w:val="center"/>
        <w:rPr>
          <w:rFonts w:ascii="宋体" w:hAnsi="宋体" w:eastAsia="宋体" w:cs="Times New Roman Regular"/>
          <w:b/>
          <w:bCs/>
          <w:color w:val="auto"/>
          <w:kern w:val="2"/>
          <w:sz w:val="32"/>
          <w:szCs w:val="40"/>
          <w:highlight w:val="none"/>
          <w:lang w:val="en-US" w:eastAsia="zh-CN" w:bidi="ar-SA"/>
        </w:rPr>
        <w:sectPr>
          <w:pgSz w:w="11906" w:h="16838"/>
          <w:pgMar w:top="1899" w:right="1474" w:bottom="1899" w:left="1587" w:header="851" w:footer="1417" w:gutter="0"/>
          <w:pgNumType w:fmt="decimal" w:start="1"/>
          <w:cols w:space="0" w:num="1"/>
          <w:rtlGutter w:val="0"/>
          <w:docGrid w:type="lines" w:linePitch="450" w:charSpace="0"/>
        </w:sectPr>
      </w:pPr>
    </w:p>
    <w:sdt>
      <w:sdtPr>
        <w:rPr>
          <w:rFonts w:ascii="宋体" w:hAnsi="宋体" w:eastAsia="宋体" w:cs="Times New Roman Regular"/>
          <w:b/>
          <w:bCs/>
          <w:color w:val="auto"/>
          <w:kern w:val="2"/>
          <w:sz w:val="32"/>
          <w:szCs w:val="40"/>
          <w:highlight w:val="none"/>
          <w:lang w:val="en-US" w:eastAsia="zh-CN" w:bidi="ar-SA"/>
        </w:rPr>
        <w:id w:val="886561293"/>
        <w15:color w:val="DBDBDB"/>
        <w:docPartObj>
          <w:docPartGallery w:val="Table of Contents"/>
          <w:docPartUnique/>
        </w:docPartObj>
      </w:sdtPr>
      <w:sdtEndPr>
        <w:rPr>
          <w:rFonts w:ascii="宋体" w:hAnsi="宋体" w:eastAsia="宋体" w:cs="Times New Roman Regular"/>
          <w:b/>
          <w:bCs/>
          <w:color w:val="auto"/>
          <w:kern w:val="2"/>
          <w:sz w:val="32"/>
          <w:szCs w:val="40"/>
          <w:highlight w:val="none"/>
          <w:lang w:val="en-US" w:eastAsia="zh-CN" w:bidi="ar-SA"/>
        </w:rPr>
      </w:sdtEndPr>
      <w:sdtContent>
        <w:p w14:paraId="1ED43276">
          <w:pPr>
            <w:overflowPunct w:val="0"/>
            <w:spacing w:line="240" w:lineRule="auto"/>
            <w:ind w:firstLine="0" w:firstLineChars="0"/>
            <w:jc w:val="center"/>
            <w:rPr>
              <w:rFonts w:hint="eastAsia" w:ascii="方正小标宋简体" w:hAnsi="方正小标宋简体" w:eastAsia="方正小标宋简体" w:cs="方正小标宋简体"/>
              <w:b w:val="0"/>
              <w:bCs w:val="0"/>
              <w:color w:val="auto"/>
              <w:sz w:val="36"/>
              <w:szCs w:val="36"/>
              <w:highlight w:val="none"/>
            </w:rPr>
          </w:pPr>
          <w:r>
            <w:rPr>
              <w:rFonts w:hint="eastAsia" w:ascii="方正小标宋简体" w:hAnsi="方正小标宋简体" w:eastAsia="方正小标宋简体" w:cs="方正小标宋简体"/>
              <w:b w:val="0"/>
              <w:bCs w:val="0"/>
              <w:color w:val="auto"/>
              <w:sz w:val="36"/>
              <w:szCs w:val="36"/>
              <w:highlight w:val="none"/>
            </w:rPr>
            <w:t>目</w:t>
          </w:r>
          <w:r>
            <w:rPr>
              <w:rFonts w:hint="eastAsia" w:ascii="方正小标宋简体" w:hAnsi="方正小标宋简体" w:eastAsia="方正小标宋简体" w:cs="方正小标宋简体"/>
              <w:b w:val="0"/>
              <w:bCs w:val="0"/>
              <w:color w:val="auto"/>
              <w:sz w:val="36"/>
              <w:szCs w:val="36"/>
              <w:highlight w:val="none"/>
              <w:lang w:val="en-US" w:eastAsia="zh-CN"/>
            </w:rPr>
            <w:t xml:space="preserve">  </w:t>
          </w:r>
          <w:r>
            <w:rPr>
              <w:rFonts w:hint="eastAsia" w:ascii="方正小标宋简体" w:hAnsi="方正小标宋简体" w:eastAsia="方正小标宋简体" w:cs="方正小标宋简体"/>
              <w:b w:val="0"/>
              <w:bCs w:val="0"/>
              <w:color w:val="auto"/>
              <w:sz w:val="36"/>
              <w:szCs w:val="36"/>
              <w:highlight w:val="none"/>
            </w:rPr>
            <w:t>录</w:t>
          </w:r>
        </w:p>
        <w:p w14:paraId="4E252439">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楷体_GBK" w:cs="方正楷体_GBK"/>
              <w:sz w:val="28"/>
              <w:szCs w:val="28"/>
            </w:rPr>
          </w:pPr>
          <w:r>
            <w:rPr>
              <w:rFonts w:hint="eastAsia" w:ascii="宋体" w:hAnsi="宋体" w:eastAsia="方正楷体_GBK" w:cs="方正楷体_GBK"/>
              <w:b w:val="0"/>
              <w:bCs w:val="0"/>
              <w:color w:val="auto"/>
              <w:sz w:val="28"/>
              <w:szCs w:val="28"/>
              <w:highlight w:val="none"/>
            </w:rPr>
            <w:fldChar w:fldCharType="begin"/>
          </w:r>
          <w:r>
            <w:rPr>
              <w:rFonts w:hint="eastAsia" w:ascii="宋体" w:hAnsi="宋体" w:eastAsia="方正楷体_GBK" w:cs="方正楷体_GBK"/>
              <w:b w:val="0"/>
              <w:bCs w:val="0"/>
              <w:color w:val="auto"/>
              <w:sz w:val="28"/>
              <w:szCs w:val="28"/>
              <w:highlight w:val="none"/>
            </w:rPr>
            <w:instrText xml:space="preserve">TOC \o "1-2" \h \u </w:instrText>
          </w:r>
          <w:r>
            <w:rPr>
              <w:rFonts w:hint="eastAsia" w:ascii="宋体" w:hAnsi="宋体" w:eastAsia="方正楷体_GBK" w:cs="方正楷体_GBK"/>
              <w:b w:val="0"/>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sz w:val="28"/>
              <w:szCs w:val="28"/>
              <w:highlight w:val="none"/>
            </w:rPr>
            <w:instrText xml:space="preserve"> HYPERLINK \l _Toc17385 </w:instrText>
          </w:r>
          <w:r>
            <w:rPr>
              <w:rFonts w:hint="eastAsia" w:ascii="宋体" w:hAnsi="宋体" w:eastAsia="方正黑体_GBK" w:cs="方正黑体_GBK"/>
              <w:bCs w:val="0"/>
              <w:sz w:val="28"/>
              <w:szCs w:val="28"/>
              <w:highlight w:val="none"/>
            </w:rPr>
            <w:fldChar w:fldCharType="separate"/>
          </w:r>
          <w:r>
            <w:rPr>
              <w:rFonts w:hint="eastAsia" w:ascii="宋体" w:hAnsi="宋体" w:eastAsia="方正黑体_GBK" w:cs="方正黑体_GBK"/>
              <w:bCs/>
              <w:sz w:val="28"/>
              <w:szCs w:val="28"/>
              <w:highlight w:val="none"/>
              <w:lang w:val="en-US" w:eastAsia="zh-CN"/>
            </w:rPr>
            <w:t xml:space="preserve">第一章  </w:t>
          </w:r>
          <w:r>
            <w:rPr>
              <w:rFonts w:hint="eastAsia" w:ascii="宋体" w:hAnsi="宋体" w:eastAsia="方正黑体_GBK" w:cs="方正黑体_GBK"/>
              <w:bCs/>
              <w:sz w:val="28"/>
              <w:szCs w:val="28"/>
              <w:highlight w:val="none"/>
            </w:rPr>
            <w:t>中国式现代化石林实践迈出</w:t>
          </w:r>
          <w:r>
            <w:rPr>
              <w:rFonts w:hint="eastAsia" w:ascii="宋体" w:hAnsi="宋体" w:eastAsia="方正黑体_GBK" w:cs="方正黑体_GBK"/>
              <w:bCs/>
              <w:sz w:val="28"/>
              <w:szCs w:val="28"/>
              <w:highlight w:val="none"/>
              <w:lang w:val="en-US" w:eastAsia="zh-CN"/>
            </w:rPr>
            <w:t>坚实</w:t>
          </w:r>
          <w:r>
            <w:rPr>
              <w:rFonts w:hint="eastAsia" w:ascii="宋体" w:hAnsi="宋体" w:eastAsia="方正黑体_GBK" w:cs="方正黑体_GBK"/>
              <w:bCs/>
              <w:sz w:val="28"/>
              <w:szCs w:val="28"/>
              <w:highlight w:val="none"/>
            </w:rPr>
            <w:t>步伐</w:t>
          </w:r>
          <w:r>
            <w:rPr>
              <w:rFonts w:hint="eastAsia" w:ascii="宋体" w:hAnsi="宋体" w:eastAsia="方正黑体_GBK" w:cs="方正黑体_GBK"/>
              <w:sz w:val="28"/>
              <w:szCs w:val="28"/>
            </w:rPr>
            <w:tab/>
          </w:r>
          <w:r>
            <w:rPr>
              <w:rFonts w:hint="eastAsia" w:ascii="宋体" w:hAnsi="宋体" w:eastAsia="方正黑体_GBK" w:cs="方正黑体_GBK"/>
              <w:sz w:val="28"/>
              <w:szCs w:val="28"/>
            </w:rPr>
            <w:fldChar w:fldCharType="begin"/>
          </w:r>
          <w:r>
            <w:rPr>
              <w:rFonts w:hint="eastAsia" w:ascii="宋体" w:hAnsi="宋体" w:eastAsia="方正黑体_GBK" w:cs="方正黑体_GBK"/>
              <w:sz w:val="28"/>
              <w:szCs w:val="28"/>
            </w:rPr>
            <w:instrText xml:space="preserve"> PAGEREF _Toc17385 \h </w:instrText>
          </w:r>
          <w:r>
            <w:rPr>
              <w:rFonts w:hint="eastAsia" w:ascii="宋体" w:hAnsi="宋体" w:eastAsia="方正黑体_GBK" w:cs="方正黑体_GBK"/>
              <w:sz w:val="28"/>
              <w:szCs w:val="28"/>
            </w:rPr>
            <w:fldChar w:fldCharType="separate"/>
          </w:r>
          <w:r>
            <w:rPr>
              <w:rFonts w:hint="eastAsia" w:ascii="宋体" w:hAnsi="宋体" w:eastAsia="方正黑体_GBK" w:cs="方正黑体_GBK"/>
              <w:sz w:val="28"/>
              <w:szCs w:val="28"/>
            </w:rPr>
            <w:t>1</w:t>
          </w:r>
          <w:r>
            <w:rPr>
              <w:rFonts w:hint="eastAsia" w:ascii="宋体" w:hAnsi="宋体" w:eastAsia="方正黑体_GBK" w:cs="方正黑体_GBK"/>
              <w:sz w:val="28"/>
              <w:szCs w:val="28"/>
            </w:rPr>
            <w:fldChar w:fldCharType="end"/>
          </w:r>
          <w:r>
            <w:rPr>
              <w:rFonts w:hint="eastAsia" w:ascii="宋体" w:hAnsi="宋体" w:eastAsia="方正黑体_GBK" w:cs="方正黑体_GBK"/>
              <w:bCs w:val="0"/>
              <w:color w:val="auto"/>
              <w:sz w:val="28"/>
              <w:szCs w:val="28"/>
              <w:highlight w:val="none"/>
            </w:rPr>
            <w:fldChar w:fldCharType="end"/>
          </w:r>
        </w:p>
        <w:p w14:paraId="63BC6C6D">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_Toc20183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发展基础</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_Toc20183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1</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33FE395">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_Toc18877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发展环境</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_Toc18877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AF87E40">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_Toc5223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第二章  奋力开创中国式现代化石林发展新局面</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_Toc5223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11</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7933B37F">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_Toc5889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总体要求</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_Toc5889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11</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5DC9D453">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_Toc26972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基本原则</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_Toc26972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12</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0DFC83F">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_Toc7681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发展定位</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_Toc7681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13</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2DEB9178">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_Toc3681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发展目标</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_Toc3681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14</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0DE44A4">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_Toc7684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第五节  发展布局</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_Toc7684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17</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C6E6FB0">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_Toc27077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第三章  重塑文旅发展优势，打造国际知名旅游目的地</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_Toc27077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19</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119B6EAE">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_Toc32697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全力打造国际文旅品牌</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_Toc32697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20</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8521934">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_Toc22185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打响阿诗玛文化品牌</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_Toc22185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22</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70597686">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_Toc14881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培育发展多元化文旅融合新业态</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_Toc14881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24</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6EC1B20">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_Toc32463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高质量发展旅居产业</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_Toc32463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26</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514CD46E">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_Toc11191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第五节  </w:t>
          </w:r>
          <w:r>
            <w:rPr>
              <w:rFonts w:hint="eastAsia" w:ascii="宋体" w:hAnsi="宋体" w:eastAsia="方正楷体_GBK" w:cs="方正楷体_GBK"/>
              <w:bCs/>
              <w:sz w:val="28"/>
              <w:szCs w:val="28"/>
              <w:highlight w:val="none"/>
            </w:rPr>
            <w:t>加快构建国际一流的</w:t>
          </w:r>
          <w:r>
            <w:rPr>
              <w:rFonts w:hint="eastAsia" w:ascii="宋体" w:hAnsi="宋体" w:eastAsia="方正楷体_GBK" w:cs="方正楷体_GBK"/>
              <w:bCs/>
              <w:sz w:val="28"/>
              <w:szCs w:val="28"/>
              <w:highlight w:val="none"/>
              <w:lang w:val="en-US" w:eastAsia="zh-CN"/>
            </w:rPr>
            <w:t>文旅</w:t>
          </w:r>
          <w:r>
            <w:rPr>
              <w:rFonts w:hint="eastAsia" w:ascii="宋体" w:hAnsi="宋体" w:eastAsia="方正楷体_GBK" w:cs="方正楷体_GBK"/>
              <w:bCs/>
              <w:sz w:val="28"/>
              <w:szCs w:val="28"/>
              <w:highlight w:val="none"/>
            </w:rPr>
            <w:t>服务体系</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_Toc11191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28</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7721397">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_Toc7063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第六节  完善文旅市场监督管理机制</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_Toc7063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29</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5DA814D5">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_Toc29154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第四章  聚力工业强县，构建现代化工业产业体系</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_Toc29154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30</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2458EA8F">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_Toc8236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第一节  </w:t>
          </w:r>
          <w:r>
            <w:rPr>
              <w:rFonts w:hint="eastAsia" w:ascii="宋体" w:hAnsi="宋体" w:eastAsia="方正楷体_GBK" w:cs="方正楷体_GBK"/>
              <w:bCs/>
              <w:sz w:val="28"/>
              <w:szCs w:val="28"/>
              <w:highlight w:val="none"/>
            </w:rPr>
            <w:t>打造百亿级高原绿色肉制品产业</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_Toc8236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30</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67F24F1">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_Toc22778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第二节  </w:t>
          </w:r>
          <w:r>
            <w:rPr>
              <w:rFonts w:hint="eastAsia" w:ascii="宋体" w:hAnsi="宋体" w:eastAsia="方正楷体_GBK" w:cs="方正楷体_GBK"/>
              <w:bCs/>
              <w:sz w:val="28"/>
              <w:szCs w:val="28"/>
              <w:highlight w:val="none"/>
            </w:rPr>
            <w:t>打造百亿级钙基新材料（石材）产业</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_Toc22778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32</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64E3935">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_Toc7676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第三节  </w:t>
          </w:r>
          <w:r>
            <w:rPr>
              <w:rFonts w:hint="eastAsia" w:ascii="宋体" w:hAnsi="宋体" w:eastAsia="方正楷体_GBK" w:cs="方正楷体_GBK"/>
              <w:bCs/>
              <w:sz w:val="28"/>
              <w:szCs w:val="28"/>
              <w:highlight w:val="none"/>
            </w:rPr>
            <w:t>发展壮大生物医药与现代物流两大重点优势产业</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_Toc7676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33</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1A75A97">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_Toc4450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培育壮大新兴产业和未来产业</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_Toc4450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35</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90EDF1F">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_Toc32225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第五节  着力打造全省特色产业发展高地</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_Toc32225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36</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7FE68E2A">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_Toc31363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第六节  深化三产融合发展</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_Toc31363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38</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94665D8">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_Toc15275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第五章  全面推进乡村振兴，加快农业农村现代化步伐</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_Toc15275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40</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2CA1CCB8">
          <w:pPr>
            <w:pStyle w:val="15"/>
            <w:tabs>
              <w:tab w:val="right" w:leader="dot" w:pos="8306"/>
            </w:tabs>
            <w:spacing w:line="520" w:lineRule="exact"/>
            <w:ind w:left="0" w:leftChars="0" w:firstLine="560" w:firstLineChars="200"/>
            <w:rPr>
              <w:rFonts w:hint="eastAsia" w:ascii="宋体" w:hAnsi="宋体" w:eastAsia="方正楷体_GBK" w:cs="方正楷体_GBK"/>
              <w:bCs w:val="0"/>
              <w:color w:val="auto"/>
              <w:sz w:val="28"/>
              <w:szCs w:val="28"/>
              <w:highlight w:val="none"/>
            </w:rPr>
            <w:sectPr>
              <w:footerReference r:id="rId5" w:type="default"/>
              <w:pgSz w:w="11906" w:h="16838"/>
              <w:pgMar w:top="1899" w:right="1474" w:bottom="1899" w:left="1587" w:header="851" w:footer="1417" w:gutter="0"/>
              <w:pgNumType w:fmt="decimal" w:start="1"/>
              <w:cols w:space="0" w:num="1"/>
              <w:rtlGutter w:val="0"/>
              <w:docGrid w:type="lines" w:linePitch="450" w:charSpace="0"/>
            </w:sectPr>
          </w:pPr>
        </w:p>
        <w:p w14:paraId="422AB12C">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_Toc6842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稳定发展高原特色农业</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_Toc6842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40</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6BDDC0C">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_Toc32493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建设宜居宜业和美乡村</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_Toc32493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44</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5042459">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_Toc21349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推动农民持续增收致富</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_Toc21349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47</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BBCBD2C">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_Toc824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深化农业农村改革</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_Toc824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48</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7E3BA998">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_Toc6844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第六章  聚焦景城融合发展，高质量推动旅游城市建设</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_Toc6844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49</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452ACA8F">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_Toc4907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建设现代化人民城市</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_Toc4907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49</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5E469DF4">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_Toc4380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第二节  </w:t>
          </w:r>
          <w:r>
            <w:rPr>
              <w:rFonts w:hint="eastAsia" w:ascii="宋体" w:hAnsi="宋体" w:eastAsia="方正楷体_GBK" w:cs="方正楷体_GBK"/>
              <w:bCs/>
              <w:sz w:val="28"/>
              <w:szCs w:val="28"/>
              <w:highlight w:val="none"/>
            </w:rPr>
            <w:t>分类引导乡镇</w:t>
          </w:r>
          <w:r>
            <w:rPr>
              <w:rFonts w:hint="eastAsia" w:ascii="宋体" w:hAnsi="宋体" w:eastAsia="方正楷体_GBK" w:cs="方正楷体_GBK"/>
              <w:bCs/>
              <w:sz w:val="28"/>
              <w:szCs w:val="28"/>
              <w:highlight w:val="none"/>
              <w:lang w:val="en-US" w:eastAsia="zh-CN"/>
            </w:rPr>
            <w:t>街道</w:t>
          </w:r>
          <w:r>
            <w:rPr>
              <w:rFonts w:hint="eastAsia" w:ascii="宋体" w:hAnsi="宋体" w:eastAsia="方正楷体_GBK" w:cs="方正楷体_GBK"/>
              <w:bCs/>
              <w:sz w:val="28"/>
              <w:szCs w:val="28"/>
              <w:highlight w:val="none"/>
            </w:rPr>
            <w:t>特色发展</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_Toc4380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52</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526C2D4">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_Toc13567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第三节  </w:t>
          </w:r>
          <w:r>
            <w:rPr>
              <w:rFonts w:hint="eastAsia" w:ascii="宋体" w:hAnsi="宋体" w:eastAsia="方正楷体_GBK" w:cs="方正楷体_GBK"/>
              <w:bCs/>
              <w:sz w:val="28"/>
              <w:szCs w:val="28"/>
              <w:highlight w:val="none"/>
            </w:rPr>
            <w:t>推进新一轮农业转移人口市民化</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_Toc13567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53</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4B1F9A81">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_Toc13796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第四节  </w:t>
          </w:r>
          <w:r>
            <w:rPr>
              <w:rFonts w:hint="eastAsia" w:ascii="宋体" w:hAnsi="宋体" w:eastAsia="方正楷体_GBK" w:cs="方正楷体_GBK"/>
              <w:bCs/>
              <w:sz w:val="28"/>
              <w:szCs w:val="28"/>
              <w:highlight w:val="none"/>
            </w:rPr>
            <w:t>健全城乡融合发展机制</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_Toc13796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54</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56D2CF8">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_Toc23673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第七章  铸牢中华民族共同体意识，推进中华民族共同体建设</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_Toc23673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54</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53805131">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_Toc24607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第一节  </w:t>
          </w:r>
          <w:r>
            <w:rPr>
              <w:rFonts w:hint="eastAsia" w:ascii="宋体" w:hAnsi="宋体" w:eastAsia="方正楷体_GBK" w:cs="方正楷体_GBK"/>
              <w:bCs/>
              <w:sz w:val="28"/>
              <w:szCs w:val="28"/>
              <w:highlight w:val="none"/>
            </w:rPr>
            <w:t>构筑中华民族共有精神家园</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_Toc24607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55</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586C36B3">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_Toc21864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繁荣发展社会主义文化</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_Toc21864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55</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7D7DA133">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_Toc395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建设民族团结进步示范区</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_Toc395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57</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78383AB">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_Toc29466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第四节  </w:t>
          </w:r>
          <w:r>
            <w:rPr>
              <w:rFonts w:hint="eastAsia" w:ascii="宋体" w:hAnsi="宋体" w:eastAsia="方正楷体_GBK" w:cs="方正楷体_GBK"/>
              <w:bCs/>
              <w:sz w:val="28"/>
              <w:szCs w:val="28"/>
              <w:highlight w:val="none"/>
            </w:rPr>
            <w:t>激活民族地区现代化新动能</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_Toc29466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58</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48E2F980">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_Toc11961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第五节  </w:t>
          </w:r>
          <w:r>
            <w:rPr>
              <w:rFonts w:hint="eastAsia" w:ascii="宋体" w:hAnsi="宋体" w:eastAsia="方正楷体_GBK" w:cs="方正楷体_GBK"/>
              <w:bCs/>
              <w:sz w:val="28"/>
              <w:szCs w:val="28"/>
              <w:highlight w:val="none"/>
            </w:rPr>
            <w:t>深化民族宗教事务治理</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_Toc11961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59</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9512697">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_Toc13418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第八章  完善现代基础设施，夯实经济社会发展硬支撑</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_Toc13418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59</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2AF6FB7F">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_Toc32094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构建综合立体交通运输网络</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_Toc32094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59</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356376B">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_Toc18777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补齐现代水网设施短板</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_Toc18777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61</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47112D79">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_Toc4628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打造绿色低碳能源网络</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_Toc4628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63</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3FF85169">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_Toc3662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第四节  </w:t>
          </w:r>
          <w:r>
            <w:rPr>
              <w:rFonts w:hint="eastAsia" w:ascii="宋体" w:hAnsi="宋体" w:eastAsia="方正楷体_GBK" w:cs="方正楷体_GBK"/>
              <w:bCs/>
              <w:sz w:val="28"/>
              <w:szCs w:val="28"/>
              <w:highlight w:val="none"/>
            </w:rPr>
            <w:t>加快新型信息基础设施建设</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_Toc3662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64</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603B69C">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_Toc16655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第九章  贯彻创新驱动发展战略，培育发展新质生产力</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_Toc16655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64</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189E9CD9">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_Toc29295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加强</w:t>
          </w:r>
          <w:r>
            <w:rPr>
              <w:rFonts w:hint="eastAsia" w:ascii="宋体" w:hAnsi="宋体" w:eastAsia="方正楷体_GBK" w:cs="方正楷体_GBK"/>
              <w:bCs/>
              <w:sz w:val="28"/>
              <w:szCs w:val="28"/>
              <w:highlight w:val="none"/>
            </w:rPr>
            <w:t>科技创新平台建设</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_Toc29295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65</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606687C">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_Toc407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第二节  </w:t>
          </w:r>
          <w:r>
            <w:rPr>
              <w:rFonts w:hint="eastAsia" w:ascii="宋体" w:hAnsi="宋体" w:eastAsia="方正楷体_GBK" w:cs="方正楷体_GBK"/>
              <w:bCs/>
              <w:sz w:val="28"/>
              <w:szCs w:val="28"/>
              <w:highlight w:val="none"/>
            </w:rPr>
            <w:t>强化</w:t>
          </w:r>
          <w:r>
            <w:rPr>
              <w:rFonts w:hint="eastAsia" w:ascii="宋体" w:hAnsi="宋体" w:eastAsia="方正楷体_GBK" w:cs="方正楷体_GBK"/>
              <w:bCs/>
              <w:sz w:val="28"/>
              <w:szCs w:val="28"/>
              <w:highlight w:val="none"/>
              <w:lang w:val="en-US" w:eastAsia="zh-CN"/>
            </w:rPr>
            <w:t>企业</w:t>
          </w:r>
          <w:r>
            <w:rPr>
              <w:rFonts w:hint="eastAsia" w:ascii="宋体" w:hAnsi="宋体" w:eastAsia="方正楷体_GBK" w:cs="方正楷体_GBK"/>
              <w:bCs/>
              <w:sz w:val="28"/>
              <w:szCs w:val="28"/>
              <w:highlight w:val="none"/>
            </w:rPr>
            <w:t>创新主体</w:t>
          </w:r>
          <w:r>
            <w:rPr>
              <w:rFonts w:hint="eastAsia" w:ascii="宋体" w:hAnsi="宋体" w:eastAsia="方正楷体_GBK" w:cs="方正楷体_GBK"/>
              <w:bCs/>
              <w:sz w:val="28"/>
              <w:szCs w:val="28"/>
              <w:highlight w:val="none"/>
              <w:lang w:val="en-US" w:eastAsia="zh-CN"/>
            </w:rPr>
            <w:t>地位</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_Toc407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65</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517E3770">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_Toc10678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第三节  </w:t>
          </w:r>
          <w:r>
            <w:rPr>
              <w:rFonts w:hint="eastAsia" w:ascii="宋体" w:hAnsi="宋体" w:eastAsia="方正楷体_GBK" w:cs="方正楷体_GBK"/>
              <w:bCs/>
              <w:sz w:val="28"/>
              <w:szCs w:val="28"/>
              <w:highlight w:val="none"/>
            </w:rPr>
            <w:t>推进科技创新与产业创新深度融合</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_Toc10678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66</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C9B141A">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_Toc12874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加强高质量人才队伍建设</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_Toc12874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67</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3EB92820">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_Toc20647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第十章  持续增进民生福祉，满足人民美好生活新期待</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_Toc20647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67</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147C40CA">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bCs w:val="0"/>
              <w:color w:val="auto"/>
              <w:sz w:val="28"/>
              <w:szCs w:val="28"/>
              <w:highlight w:val="none"/>
            </w:rPr>
            <w:sectPr>
              <w:footerReference r:id="rId6" w:type="default"/>
              <w:pgSz w:w="11906" w:h="16838"/>
              <w:pgMar w:top="1899" w:right="1474" w:bottom="1899" w:left="1587" w:header="851" w:footer="1417" w:gutter="0"/>
              <w:pgNumType w:fmt="decimal" w:start="1"/>
              <w:cols w:space="0" w:num="1"/>
              <w:rtlGutter w:val="0"/>
              <w:docGrid w:type="lines" w:linePitch="450" w:charSpace="0"/>
            </w:sectPr>
          </w:pPr>
        </w:p>
        <w:p w14:paraId="164127F3">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_Toc23665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推进高质量充分就业</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_Toc23665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67</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79C74733">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_Toc5853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推动教育扩优提质</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_Toc5853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69</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3506F00B">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_Toc22251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全力建设健康石林</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_Toc22251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72</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C3ED6EE">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_Toc28352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完善社会保障体系</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_Toc28352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74</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5DF6704">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_Toc28022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第五节  健全人口发展支持和服务体系</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_Toc28022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76</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7A237A06">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_Toc29728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第十一章  推动绿色低碳发展，厚植高质量发展生态本底</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_Toc29728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78</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0D30A756">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_Toc5998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深入打好污染防治攻坚战</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_Toc5998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78</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26164319">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_Toc2195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加强生态系统保护和修复</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_Toc2195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80</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7957D0CE">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_Toc24875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全面推动经济社会绿色低碳发展</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_Toc24875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81</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241F3E25">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_Toc23486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推进生态产品价值实现</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_Toc23486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82</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2254C5CB">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_Toc1446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第五节  加快健全现代环境治理体系</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_Toc1446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83</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AD95A4D">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_Toc1782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第十二章  全面深化改革开放，激发高质量发展新动能</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_Toc1782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84</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4F9720A6">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_Toc25116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激发多层次市场主体活力</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_Toc25116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84</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7245B02C">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_Toc24284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深化财税金融改革</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_Toc24284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85</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3F33A6C0">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_Toc31666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推动更高水平对外开放</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_Toc31666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86</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3431315F">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_Toc29407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持续优化营商环境</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_Toc29407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88</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670A039">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_Toc20342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 xml:space="preserve">第五节  </w:t>
          </w:r>
          <w:r>
            <w:rPr>
              <w:rFonts w:hint="eastAsia" w:ascii="宋体" w:hAnsi="宋体" w:eastAsia="方正楷体_GBK" w:cs="方正楷体_GBK"/>
              <w:bCs/>
              <w:sz w:val="28"/>
              <w:szCs w:val="28"/>
              <w:highlight w:val="none"/>
            </w:rPr>
            <w:t>提升招商引资质效</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_Toc20342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89</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6F398C3">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_Toc12748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第十三章  统筹发展和安全，建设更高水平平安法治石林</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_Toc12748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90</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41E1D2A3">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_Toc10030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坚定践行全过程人民民主</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_Toc10030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90</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3B11AB90">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_Toc9165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推进法治石林建设</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_Toc9165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91</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5E671CA">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_Toc16849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推进更高水平平安石林建设</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_Toc16849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92</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0889EF07">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_Toc28046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加强和创新基层社会治理</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_Toc28046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94</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C9F9B2C">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_Toc21670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val="0"/>
              <w:sz w:val="28"/>
              <w:szCs w:val="28"/>
              <w:highlight w:val="none"/>
              <w:lang w:val="en-US" w:eastAsia="zh-CN"/>
            </w:rPr>
            <w:t xml:space="preserve">第五节  </w:t>
          </w:r>
          <w:r>
            <w:rPr>
              <w:rFonts w:hint="eastAsia" w:ascii="宋体" w:hAnsi="宋体" w:eastAsia="方正楷体_GBK" w:cs="方正楷体_GBK"/>
              <w:bCs w:val="0"/>
              <w:sz w:val="28"/>
              <w:szCs w:val="28"/>
              <w:highlight w:val="none"/>
            </w:rPr>
            <w:t>推动新时代石林国防动员后备力量建设</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_Toc21670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95</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22BE87CD">
          <w:pPr>
            <w:pStyle w:val="13"/>
            <w:keepNext/>
            <w:keepLines w:val="0"/>
            <w:pageBreakBefore w:val="0"/>
            <w:widowControl w:val="0"/>
            <w:tabs>
              <w:tab w:val="right" w:leader="dot" w:pos="8306"/>
            </w:tabs>
            <w:kinsoku/>
            <w:wordWrap/>
            <w:overflowPunct/>
            <w:topLinePunct w:val="0"/>
            <w:autoSpaceDE/>
            <w:autoSpaceDN/>
            <w:bidi w:val="0"/>
            <w:adjustRightInd/>
            <w:snapToGrid/>
            <w:spacing w:line="500" w:lineRule="exact"/>
            <w:ind w:firstLine="0" w:firstLineChars="0"/>
            <w:textAlignment w:val="auto"/>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_Toc11619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第十四章  合力谱写石林高质量发展新篇章</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_Toc11619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96</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635E7F4A">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_Toc21070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第一节  坚持和加强党的全面领导</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_Toc21070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96</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4F3CE34B">
          <w:pPr>
            <w:pStyle w:val="15"/>
            <w:keepNext/>
            <w:keepLines w:val="0"/>
            <w:pageBreakBefore w:val="0"/>
            <w:widowControl w:val="0"/>
            <w:tabs>
              <w:tab w:val="right" w:leader="dot" w:pos="8306"/>
            </w:tabs>
            <w:kinsoku/>
            <w:wordWrap/>
            <w:overflowPunct/>
            <w:topLinePunct w:val="0"/>
            <w:autoSpaceDE/>
            <w:autoSpaceDN/>
            <w:bidi w:val="0"/>
            <w:adjustRightInd/>
            <w:snapToGrid/>
            <w:spacing w:line="500" w:lineRule="exact"/>
            <w:ind w:left="0" w:leftChars="0" w:firstLine="560" w:firstLineChars="200"/>
            <w:textAlignment w:val="auto"/>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_Toc2711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第二节  健全统一规划体系</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_Toc2711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96</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56606E9D">
          <w:pPr>
            <w:pStyle w:val="15"/>
            <w:tabs>
              <w:tab w:val="right" w:leader="dot" w:pos="8306"/>
            </w:tabs>
            <w:spacing w:line="520" w:lineRule="exact"/>
            <w:ind w:left="0" w:leftChars="0" w:firstLine="560" w:firstLineChars="200"/>
            <w:rPr>
              <w:rFonts w:hint="eastAsia" w:ascii="宋体" w:hAnsi="宋体" w:eastAsia="方正楷体_GBK" w:cs="方正楷体_GBK"/>
              <w:bCs w:val="0"/>
              <w:color w:val="auto"/>
              <w:sz w:val="28"/>
              <w:szCs w:val="28"/>
              <w:highlight w:val="none"/>
            </w:rPr>
            <w:sectPr>
              <w:footerReference r:id="rId7" w:type="default"/>
              <w:pgSz w:w="11906" w:h="16838"/>
              <w:pgMar w:top="1899" w:right="1474" w:bottom="1899" w:left="1587" w:header="851" w:footer="1417" w:gutter="0"/>
              <w:pgNumType w:fmt="decimal" w:start="1"/>
              <w:cols w:space="0" w:num="1"/>
              <w:rtlGutter w:val="0"/>
              <w:docGrid w:type="lines" w:linePitch="450" w:charSpace="0"/>
            </w:sectPr>
          </w:pPr>
        </w:p>
        <w:p w14:paraId="34672599">
          <w:pPr>
            <w:pStyle w:val="15"/>
            <w:tabs>
              <w:tab w:val="right" w:leader="dot" w:pos="8306"/>
            </w:tabs>
            <w:spacing w:line="520" w:lineRule="exact"/>
            <w:ind w:left="0" w:leftChars="0" w:firstLine="560" w:firstLineChars="200"/>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_Toc3920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第三节  强化规划要素保障</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_Toc3920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97</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648A731E">
          <w:pPr>
            <w:pStyle w:val="15"/>
            <w:tabs>
              <w:tab w:val="right" w:leader="dot" w:pos="8306"/>
            </w:tabs>
            <w:spacing w:line="520" w:lineRule="exact"/>
            <w:ind w:left="0" w:leftChars="0" w:firstLine="560" w:firstLineChars="200"/>
            <w:rPr>
              <w:rFonts w:hint="eastAsia" w:ascii="宋体" w:hAnsi="宋体" w:eastAsia="方正楷体_GBK" w:cs="方正楷体_GBK"/>
              <w:sz w:val="28"/>
              <w:szCs w:val="28"/>
            </w:rPr>
          </w:pPr>
          <w:r>
            <w:rPr>
              <w:rFonts w:hint="eastAsia" w:ascii="宋体" w:hAnsi="宋体" w:eastAsia="方正楷体_GBK" w:cs="方正楷体_GBK"/>
              <w:bCs w:val="0"/>
              <w:color w:val="auto"/>
              <w:sz w:val="28"/>
              <w:szCs w:val="28"/>
              <w:highlight w:val="none"/>
            </w:rPr>
            <w:fldChar w:fldCharType="begin"/>
          </w:r>
          <w:r>
            <w:rPr>
              <w:rFonts w:hint="eastAsia" w:ascii="宋体" w:hAnsi="宋体" w:eastAsia="方正楷体_GBK" w:cs="方正楷体_GBK"/>
              <w:bCs w:val="0"/>
              <w:sz w:val="28"/>
              <w:szCs w:val="28"/>
              <w:highlight w:val="none"/>
            </w:rPr>
            <w:instrText xml:space="preserve"> HYPERLINK \l _Toc20566 </w:instrText>
          </w:r>
          <w:r>
            <w:rPr>
              <w:rFonts w:hint="eastAsia" w:ascii="宋体" w:hAnsi="宋体" w:eastAsia="方正楷体_GBK" w:cs="方正楷体_GBK"/>
              <w:bCs w:val="0"/>
              <w:sz w:val="28"/>
              <w:szCs w:val="28"/>
              <w:highlight w:val="none"/>
            </w:rPr>
            <w:fldChar w:fldCharType="separate"/>
          </w:r>
          <w:r>
            <w:rPr>
              <w:rFonts w:hint="eastAsia" w:ascii="宋体" w:hAnsi="宋体" w:eastAsia="方正楷体_GBK" w:cs="方正楷体_GBK"/>
              <w:bCs/>
              <w:sz w:val="28"/>
              <w:szCs w:val="28"/>
              <w:highlight w:val="none"/>
              <w:lang w:val="en-US" w:eastAsia="zh-CN"/>
            </w:rPr>
            <w:t>第四节  完善规划实施机制</w:t>
          </w:r>
          <w:r>
            <w:rPr>
              <w:rFonts w:hint="eastAsia" w:ascii="宋体" w:hAnsi="宋体" w:eastAsia="方正楷体_GBK" w:cs="方正楷体_GBK"/>
              <w:sz w:val="28"/>
              <w:szCs w:val="28"/>
            </w:rPr>
            <w:tab/>
          </w:r>
          <w:r>
            <w:rPr>
              <w:rFonts w:hint="eastAsia" w:ascii="宋体" w:hAnsi="宋体" w:eastAsia="方正楷体_GBK" w:cs="方正楷体_GBK"/>
              <w:sz w:val="28"/>
              <w:szCs w:val="28"/>
            </w:rPr>
            <w:fldChar w:fldCharType="begin"/>
          </w:r>
          <w:r>
            <w:rPr>
              <w:rFonts w:hint="eastAsia" w:ascii="宋体" w:hAnsi="宋体" w:eastAsia="方正楷体_GBK" w:cs="方正楷体_GBK"/>
              <w:sz w:val="28"/>
              <w:szCs w:val="28"/>
            </w:rPr>
            <w:instrText xml:space="preserve"> PAGEREF _Toc20566 \h </w:instrText>
          </w:r>
          <w:r>
            <w:rPr>
              <w:rFonts w:hint="eastAsia" w:ascii="宋体" w:hAnsi="宋体" w:eastAsia="方正楷体_GBK" w:cs="方正楷体_GBK"/>
              <w:sz w:val="28"/>
              <w:szCs w:val="28"/>
            </w:rPr>
            <w:fldChar w:fldCharType="separate"/>
          </w:r>
          <w:r>
            <w:rPr>
              <w:rFonts w:hint="eastAsia" w:ascii="宋体" w:hAnsi="宋体" w:eastAsia="方正楷体_GBK" w:cs="方正楷体_GBK"/>
              <w:sz w:val="28"/>
              <w:szCs w:val="28"/>
            </w:rPr>
            <w:t>97</w:t>
          </w:r>
          <w:r>
            <w:rPr>
              <w:rFonts w:hint="eastAsia" w:ascii="宋体" w:hAnsi="宋体" w:eastAsia="方正楷体_GBK" w:cs="方正楷体_GBK"/>
              <w:sz w:val="28"/>
              <w:szCs w:val="28"/>
            </w:rPr>
            <w:fldChar w:fldCharType="end"/>
          </w:r>
          <w:r>
            <w:rPr>
              <w:rFonts w:hint="eastAsia" w:ascii="宋体" w:hAnsi="宋体" w:eastAsia="方正楷体_GBK" w:cs="方正楷体_GBK"/>
              <w:bCs w:val="0"/>
              <w:color w:val="auto"/>
              <w:sz w:val="28"/>
              <w:szCs w:val="28"/>
              <w:highlight w:val="none"/>
            </w:rPr>
            <w:fldChar w:fldCharType="end"/>
          </w:r>
        </w:p>
        <w:p w14:paraId="112A27AF">
          <w:pPr>
            <w:pStyle w:val="13"/>
            <w:tabs>
              <w:tab w:val="right" w:leader="dot" w:pos="8306"/>
            </w:tabs>
            <w:spacing w:line="520" w:lineRule="exact"/>
            <w:ind w:firstLine="0" w:firstLineChars="0"/>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_Toc22498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 xml:space="preserve">附件1  </w:t>
          </w:r>
          <w:r>
            <w:rPr>
              <w:rFonts w:hint="eastAsia" w:ascii="宋体" w:hAnsi="宋体" w:eastAsia="方正黑体_GBK" w:cs="方正黑体_GBK"/>
              <w:bCs w:val="0"/>
              <w:color w:val="auto"/>
              <w:sz w:val="28"/>
              <w:szCs w:val="28"/>
              <w:highlight w:val="none"/>
              <w:vertAlign w:val="baseline"/>
              <w:lang w:val="en-US" w:eastAsia="zh-CN"/>
            </w:rPr>
            <w:t>石林县“十四五”规划主要指标完成情况</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_Toc22498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99</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686343BD">
          <w:pPr>
            <w:pStyle w:val="13"/>
            <w:tabs>
              <w:tab w:val="right" w:leader="dot" w:pos="8306"/>
            </w:tabs>
            <w:spacing w:line="520" w:lineRule="exact"/>
            <w:ind w:firstLine="0" w:firstLineChars="0"/>
            <w:rPr>
              <w:rFonts w:hint="eastAsia" w:ascii="宋体" w:hAnsi="宋体" w:eastAsia="方正黑体_GBK" w:cs="方正黑体_GBK"/>
              <w:color w:val="auto"/>
              <w:sz w:val="28"/>
              <w:szCs w:val="28"/>
              <w:highlight w:val="none"/>
            </w:rPr>
          </w:pPr>
          <w:r>
            <w:rPr>
              <w:rFonts w:hint="eastAsia" w:ascii="宋体" w:hAnsi="宋体" w:eastAsia="方正黑体_GBK" w:cs="方正黑体_GBK"/>
              <w:bCs w:val="0"/>
              <w:color w:val="auto"/>
              <w:sz w:val="28"/>
              <w:szCs w:val="28"/>
              <w:highlight w:val="none"/>
            </w:rPr>
            <w:fldChar w:fldCharType="begin"/>
          </w:r>
          <w:r>
            <w:rPr>
              <w:rFonts w:hint="eastAsia" w:ascii="宋体" w:hAnsi="宋体" w:eastAsia="方正黑体_GBK" w:cs="方正黑体_GBK"/>
              <w:bCs w:val="0"/>
              <w:color w:val="auto"/>
              <w:sz w:val="28"/>
              <w:szCs w:val="28"/>
              <w:highlight w:val="none"/>
            </w:rPr>
            <w:instrText xml:space="preserve"> HYPERLINK \l _Toc30930 </w:instrText>
          </w:r>
          <w:r>
            <w:rPr>
              <w:rFonts w:hint="eastAsia" w:ascii="宋体" w:hAnsi="宋体" w:eastAsia="方正黑体_GBK" w:cs="方正黑体_GBK"/>
              <w:bCs w:val="0"/>
              <w:color w:val="auto"/>
              <w:sz w:val="28"/>
              <w:szCs w:val="28"/>
              <w:highlight w:val="none"/>
            </w:rPr>
            <w:fldChar w:fldCharType="separate"/>
          </w:r>
          <w:r>
            <w:rPr>
              <w:rFonts w:hint="eastAsia" w:ascii="宋体" w:hAnsi="宋体" w:eastAsia="方正黑体_GBK" w:cs="方正黑体_GBK"/>
              <w:bCs w:val="0"/>
              <w:color w:val="auto"/>
              <w:sz w:val="28"/>
              <w:szCs w:val="28"/>
              <w:highlight w:val="none"/>
              <w:lang w:val="en-US" w:eastAsia="zh-CN"/>
            </w:rPr>
            <w:t>附件2  石林县“十五五”空间布局图</w:t>
          </w:r>
          <w:r>
            <w:rPr>
              <w:rFonts w:hint="eastAsia" w:ascii="宋体" w:hAnsi="宋体" w:eastAsia="方正黑体_GBK" w:cs="方正黑体_GBK"/>
              <w:color w:val="auto"/>
              <w:sz w:val="28"/>
              <w:szCs w:val="28"/>
              <w:highlight w:val="none"/>
            </w:rPr>
            <w:tab/>
          </w:r>
          <w:r>
            <w:rPr>
              <w:rFonts w:hint="eastAsia" w:ascii="宋体" w:hAnsi="宋体" w:eastAsia="方正黑体_GBK" w:cs="方正黑体_GBK"/>
              <w:color w:val="auto"/>
              <w:sz w:val="28"/>
              <w:szCs w:val="28"/>
              <w:highlight w:val="none"/>
            </w:rPr>
            <w:fldChar w:fldCharType="begin"/>
          </w:r>
          <w:r>
            <w:rPr>
              <w:rFonts w:hint="eastAsia" w:ascii="宋体" w:hAnsi="宋体" w:eastAsia="方正黑体_GBK" w:cs="方正黑体_GBK"/>
              <w:color w:val="auto"/>
              <w:sz w:val="28"/>
              <w:szCs w:val="28"/>
              <w:highlight w:val="none"/>
            </w:rPr>
            <w:instrText xml:space="preserve"> PAGEREF _Toc30930 \h </w:instrText>
          </w:r>
          <w:r>
            <w:rPr>
              <w:rFonts w:hint="eastAsia" w:ascii="宋体" w:hAnsi="宋体" w:eastAsia="方正黑体_GBK" w:cs="方正黑体_GBK"/>
              <w:color w:val="auto"/>
              <w:sz w:val="28"/>
              <w:szCs w:val="28"/>
              <w:highlight w:val="none"/>
            </w:rPr>
            <w:fldChar w:fldCharType="separate"/>
          </w:r>
          <w:r>
            <w:rPr>
              <w:rFonts w:hint="eastAsia" w:ascii="宋体" w:hAnsi="宋体" w:eastAsia="方正黑体_GBK" w:cs="方正黑体_GBK"/>
              <w:color w:val="auto"/>
              <w:sz w:val="28"/>
              <w:szCs w:val="28"/>
              <w:highlight w:val="none"/>
            </w:rPr>
            <w:t>100</w:t>
          </w:r>
          <w:r>
            <w:rPr>
              <w:rFonts w:hint="eastAsia" w:ascii="宋体" w:hAnsi="宋体" w:eastAsia="方正黑体_GBK" w:cs="方正黑体_GBK"/>
              <w:color w:val="auto"/>
              <w:sz w:val="28"/>
              <w:szCs w:val="28"/>
              <w:highlight w:val="none"/>
            </w:rPr>
            <w:fldChar w:fldCharType="end"/>
          </w:r>
          <w:r>
            <w:rPr>
              <w:rFonts w:hint="eastAsia" w:ascii="宋体" w:hAnsi="宋体" w:eastAsia="方正黑体_GBK" w:cs="方正黑体_GBK"/>
              <w:bCs w:val="0"/>
              <w:color w:val="auto"/>
              <w:sz w:val="28"/>
              <w:szCs w:val="28"/>
              <w:highlight w:val="none"/>
            </w:rPr>
            <w:fldChar w:fldCharType="end"/>
          </w:r>
        </w:p>
        <w:p w14:paraId="3137AA5F">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宋体" w:hAnsi="宋体" w:eastAsia="方正仿宋_GBK" w:cs="Times New Roman Regular"/>
              <w:color w:val="auto"/>
              <w:kern w:val="2"/>
              <w:sz w:val="21"/>
              <w:szCs w:val="32"/>
              <w:highlight w:val="none"/>
              <w:lang w:val="en-US" w:eastAsia="zh-CN" w:bidi="ar-SA"/>
            </w:rPr>
          </w:pPr>
          <w:r>
            <w:rPr>
              <w:rFonts w:hint="eastAsia" w:ascii="宋体" w:hAnsi="宋体" w:eastAsia="方正楷体_GBK" w:cs="方正楷体_GBK"/>
              <w:bCs w:val="0"/>
              <w:color w:val="auto"/>
              <w:sz w:val="28"/>
              <w:szCs w:val="28"/>
              <w:highlight w:val="none"/>
            </w:rPr>
            <w:fldChar w:fldCharType="end"/>
          </w:r>
        </w:p>
      </w:sdtContent>
    </w:sdt>
    <w:p w14:paraId="753C1074">
      <w:pPr>
        <w:pStyle w:val="13"/>
        <w:tabs>
          <w:tab w:val="right" w:leader="dot" w:pos="8306"/>
        </w:tabs>
        <w:spacing w:line="520" w:lineRule="exact"/>
        <w:ind w:firstLine="0" w:firstLineChars="0"/>
        <w:rPr>
          <w:rFonts w:hint="default" w:ascii="宋体" w:hAnsi="宋体" w:eastAsia="方正仿宋_GBK" w:cs="Times New Roman Regular"/>
          <w:color w:val="auto"/>
          <w:kern w:val="2"/>
          <w:sz w:val="21"/>
          <w:szCs w:val="32"/>
          <w:highlight w:val="none"/>
          <w:lang w:val="en-US" w:eastAsia="zh-CN" w:bidi="ar-SA"/>
        </w:rPr>
        <w:sectPr>
          <w:footerReference r:id="rId8" w:type="default"/>
          <w:pgSz w:w="11906" w:h="16838"/>
          <w:pgMar w:top="1899" w:right="1474" w:bottom="1899" w:left="1587" w:header="851" w:footer="1417" w:gutter="0"/>
          <w:pgNumType w:fmt="decimal" w:start="1"/>
          <w:cols w:space="0" w:num="1"/>
          <w:rtlGutter w:val="0"/>
          <w:docGrid w:type="lines" w:linePitch="450" w:charSpace="0"/>
        </w:sectPr>
      </w:pPr>
    </w:p>
    <w:p w14:paraId="5514AAFA">
      <w:pPr>
        <w:pStyle w:val="2"/>
        <w:keepNext/>
        <w:keepLines/>
        <w:pageBreakBefore w:val="0"/>
        <w:widowControl w:val="0"/>
        <w:numPr>
          <w:ilvl w:val="0"/>
          <w:numId w:val="0"/>
        </w:numPr>
        <w:kinsoku/>
        <w:wordWrap/>
        <w:overflowPunct/>
        <w:topLinePunct w:val="0"/>
        <w:autoSpaceDE/>
        <w:autoSpaceDN/>
        <w:bidi w:val="0"/>
        <w:adjustRightInd/>
        <w:snapToGrid/>
        <w:spacing w:before="0" w:after="0" w:line="660" w:lineRule="exact"/>
        <w:ind w:left="0" w:leftChars="0" w:firstLine="0" w:firstLineChars="0"/>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bookmarkStart w:id="0" w:name="_Toc26283299"/>
      <w:bookmarkStart w:id="1" w:name="_Toc10140"/>
      <w:bookmarkStart w:id="2" w:name="_Toc173947225"/>
      <w:bookmarkStart w:id="3" w:name="_Toc970273038"/>
      <w:bookmarkStart w:id="4" w:name="_Toc751509205"/>
      <w:bookmarkStart w:id="5" w:name="_Toc27376"/>
      <w:bookmarkStart w:id="6" w:name="_Toc17617"/>
      <w:bookmarkStart w:id="7" w:name="_Toc83"/>
      <w:bookmarkStart w:id="8" w:name="_Toc1621406787"/>
      <w:bookmarkStart w:id="9" w:name="_Toc28622"/>
      <w:bookmarkStart w:id="10" w:name="_Toc1101930671"/>
      <w:bookmarkStart w:id="11" w:name="_Toc7666"/>
      <w:bookmarkStart w:id="12" w:name="_Toc1062812717"/>
      <w:bookmarkStart w:id="13" w:name="_Toc1162417528"/>
      <w:bookmarkStart w:id="14" w:name="_Toc31183"/>
      <w:bookmarkStart w:id="15" w:name="_Toc23318"/>
      <w:bookmarkStart w:id="16" w:name="_Toc1141114467"/>
      <w:bookmarkStart w:id="17" w:name="_Toc1657406147"/>
      <w:r>
        <w:rPr>
          <w:rFonts w:hint="eastAsia" w:ascii="方正小标宋简体" w:hAnsi="方正小标宋简体" w:eastAsia="方正小标宋简体" w:cs="方正小标宋简体"/>
          <w:b w:val="0"/>
          <w:bCs/>
          <w:color w:val="auto"/>
          <w:sz w:val="36"/>
          <w:szCs w:val="36"/>
          <w:highlight w:val="none"/>
          <w:lang w:val="en-US" w:eastAsia="zh-CN"/>
        </w:rPr>
        <w:t>前  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7DC7CA5F">
      <w:pPr>
        <w:keepNext/>
        <w:keepLines w:val="0"/>
        <w:pageBreakBefore w:val="0"/>
        <w:widowControl w:val="0"/>
        <w:kinsoku/>
        <w:wordWrap/>
        <w:overflowPunct/>
        <w:topLinePunct w:val="0"/>
        <w:autoSpaceDE/>
        <w:autoSpaceDN/>
        <w:bidi w:val="0"/>
        <w:adjustRightInd/>
        <w:snapToGrid/>
        <w:spacing w:line="320" w:lineRule="exact"/>
        <w:textAlignment w:val="auto"/>
        <w:rPr>
          <w:rFonts w:hint="default"/>
          <w:lang w:val="en-US" w:eastAsia="zh-CN"/>
        </w:rPr>
      </w:pPr>
    </w:p>
    <w:p w14:paraId="65F361F9">
      <w:pPr>
        <w:keepNext/>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r>
        <w:rPr>
          <w:rFonts w:hint="default"/>
          <w:lang w:val="en-US" w:eastAsia="zh-CN"/>
        </w:rPr>
        <w:t>“十五五”时期（2026—2030年）是</w:t>
      </w:r>
      <w:r>
        <w:rPr>
          <w:rFonts w:hint="eastAsia"/>
          <w:lang w:val="en-US" w:eastAsia="zh-CN"/>
        </w:rPr>
        <w:t>为基本实现现代化夯实基础、全面发力的关键时期，</w:t>
      </w:r>
      <w:r>
        <w:rPr>
          <w:rFonts w:hint="default"/>
          <w:lang w:val="en-US" w:eastAsia="zh-CN"/>
        </w:rPr>
        <w:t>也是石林彝族自治县积极主动服务和融入国家和省、市发展大局，推动经济社会高质量发展的关键时期。为加快石林彝族自治县经济社会发展，与全国、全省、全市同步基本实现社会主义现代化目标，按照《中共石林县委关于制定石林彝族自治县国民经济和社会发展第十五个五年规划的建议》，编制《石林彝族自治县国民经济和社会发展第十五个五年规划纲要》（以下简称《纲要》）。</w:t>
      </w:r>
    </w:p>
    <w:p w14:paraId="639D8493">
      <w:pPr>
        <w:keepNext/>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r>
        <w:rPr>
          <w:rFonts w:hint="default"/>
          <w:lang w:val="en-US" w:eastAsia="zh-CN"/>
        </w:rPr>
        <w:t>《纲要》主要阐明发展战略意图，明确政府工作重点，引导规范市场主体行为，是全县</w:t>
      </w:r>
      <w:r>
        <w:rPr>
          <w:rFonts w:hint="eastAsia"/>
          <w:lang w:val="en-US" w:eastAsia="zh-CN"/>
        </w:rPr>
        <w:t>各族人民解放思想、改革创新、奋发进取、真抓实干，在中国式现代化进程中开创石林发展新局面，为与全国、全省、全市同步基本实现社会主义现代化打下坚实基础的行动纲领。</w:t>
      </w:r>
    </w:p>
    <w:p w14:paraId="4EC460B9">
      <w:pPr>
        <w:pStyle w:val="2"/>
        <w:pageBreakBefore w:val="0"/>
        <w:widowControl w:val="0"/>
        <w:numPr>
          <w:ilvl w:val="0"/>
          <w:numId w:val="0"/>
        </w:numPr>
        <w:kinsoku/>
        <w:wordWrap/>
        <w:overflowPunct/>
        <w:topLinePunct w:val="0"/>
        <w:autoSpaceDE/>
        <w:autoSpaceDN/>
        <w:bidi w:val="0"/>
        <w:adjustRightInd/>
        <w:snapToGrid/>
        <w:spacing w:before="200" w:after="200" w:line="560" w:lineRule="exact"/>
        <w:ind w:left="0" w:leftChars="0" w:firstLine="0" w:firstLineChars="0"/>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sectPr>
          <w:footerReference r:id="rId9" w:type="default"/>
          <w:pgSz w:w="11906" w:h="16838"/>
          <w:pgMar w:top="1899" w:right="1474" w:bottom="1899" w:left="1587" w:header="851" w:footer="1247" w:gutter="0"/>
          <w:pgNumType w:fmt="decimal" w:start="1"/>
          <w:cols w:space="720" w:num="1"/>
          <w:docGrid w:type="lines" w:linePitch="312" w:charSpace="0"/>
        </w:sectPr>
      </w:pPr>
      <w:bookmarkStart w:id="18" w:name="_Toc1263880428"/>
      <w:bookmarkStart w:id="19" w:name="_Toc805767008"/>
      <w:bookmarkStart w:id="20" w:name="_Toc18573"/>
      <w:bookmarkStart w:id="21" w:name="_Toc1551076880"/>
      <w:bookmarkStart w:id="22" w:name="_Toc31147"/>
      <w:bookmarkStart w:id="23" w:name="_Toc2071842520"/>
      <w:bookmarkStart w:id="24" w:name="_Toc1563872326"/>
      <w:bookmarkStart w:id="25" w:name="_Toc249815769"/>
      <w:bookmarkStart w:id="26" w:name="_Toc1736"/>
      <w:bookmarkStart w:id="27" w:name="_Toc1710228231"/>
      <w:bookmarkStart w:id="28" w:name="_Toc9323"/>
      <w:bookmarkStart w:id="29" w:name="_Toc17385"/>
      <w:bookmarkStart w:id="30" w:name="_Toc1509258658"/>
      <w:bookmarkStart w:id="31" w:name="_Toc1317531739"/>
      <w:bookmarkStart w:id="32" w:name="_Toc14728"/>
      <w:bookmarkStart w:id="33" w:name="_Toc13154"/>
      <w:bookmarkStart w:id="34" w:name="_Toc18688"/>
      <w:bookmarkStart w:id="35" w:name="_Toc1014727392"/>
      <w:bookmarkStart w:id="36" w:name="_Toc1092656337"/>
      <w:bookmarkStart w:id="37" w:name="_Toc1681879159"/>
      <w:bookmarkStart w:id="38" w:name="_Toc1535617995"/>
    </w:p>
    <w:p w14:paraId="423317D6">
      <w:pPr>
        <w:pStyle w:val="2"/>
        <w:pageBreakBefore w:val="0"/>
        <w:widowControl w:val="0"/>
        <w:numPr>
          <w:ilvl w:val="0"/>
          <w:numId w:val="0"/>
        </w:numPr>
        <w:kinsoku/>
        <w:wordWrap/>
        <w:overflowPunct/>
        <w:topLinePunct w:val="0"/>
        <w:autoSpaceDE/>
        <w:autoSpaceDN/>
        <w:bidi w:val="0"/>
        <w:adjustRightInd/>
        <w:snapToGrid/>
        <w:spacing w:before="200" w:after="200" w:line="560" w:lineRule="exact"/>
        <w:ind w:left="0" w:leftChars="0" w:firstLine="0" w:firstLineChars="0"/>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r>
        <w:rPr>
          <w:rFonts w:hint="eastAsia" w:ascii="方正小标宋简体" w:hAnsi="方正小标宋简体" w:eastAsia="方正小标宋简体" w:cs="方正小标宋简体"/>
          <w:b w:val="0"/>
          <w:bCs/>
          <w:color w:val="auto"/>
          <w:sz w:val="36"/>
          <w:szCs w:val="36"/>
          <w:highlight w:val="none"/>
          <w:lang w:val="en-US" w:eastAsia="zh-CN"/>
        </w:rPr>
        <w:t xml:space="preserve">第一章  </w:t>
      </w:r>
      <w:r>
        <w:rPr>
          <w:rFonts w:hint="eastAsia" w:ascii="方正小标宋简体" w:hAnsi="方正小标宋简体" w:eastAsia="方正小标宋简体" w:cs="方正小标宋简体"/>
          <w:b w:val="0"/>
          <w:bCs/>
          <w:color w:val="auto"/>
          <w:sz w:val="36"/>
          <w:szCs w:val="36"/>
          <w:highlight w:val="none"/>
        </w:rPr>
        <w:t>中国式现代化石林实践迈出</w:t>
      </w:r>
      <w:r>
        <w:rPr>
          <w:rFonts w:hint="eastAsia" w:ascii="方正小标宋简体" w:hAnsi="方正小标宋简体" w:eastAsia="方正小标宋简体" w:cs="方正小标宋简体"/>
          <w:b w:val="0"/>
          <w:bCs/>
          <w:color w:val="auto"/>
          <w:sz w:val="36"/>
          <w:szCs w:val="36"/>
          <w:highlight w:val="none"/>
          <w:lang w:val="en-US" w:eastAsia="zh-CN"/>
        </w:rPr>
        <w:t>坚实</w:t>
      </w:r>
      <w:r>
        <w:rPr>
          <w:rFonts w:hint="eastAsia" w:ascii="方正小标宋简体" w:hAnsi="方正小标宋简体" w:eastAsia="方正小标宋简体" w:cs="方正小标宋简体"/>
          <w:b w:val="0"/>
          <w:bCs/>
          <w:color w:val="auto"/>
          <w:sz w:val="36"/>
          <w:szCs w:val="36"/>
          <w:highlight w:val="none"/>
        </w:rPr>
        <w:t>步伐</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3BD9D41C">
      <w:pPr>
        <w:keepNext/>
        <w:keepLines w:val="0"/>
        <w:pageBreakBefore w:val="0"/>
        <w:widowControl w:val="0"/>
        <w:kinsoku/>
        <w:wordWrap/>
        <w:overflowPunct/>
        <w:topLinePunct w:val="0"/>
        <w:autoSpaceDE/>
        <w:autoSpaceDN/>
        <w:bidi w:val="0"/>
        <w:adjustRightInd/>
        <w:snapToGrid/>
        <w:spacing w:line="524" w:lineRule="exact"/>
        <w:textAlignment w:val="auto"/>
        <w:rPr>
          <w:rFonts w:hint="default"/>
          <w:lang w:val="en-US" w:eastAsia="zh-CN"/>
        </w:rPr>
      </w:pPr>
      <w:r>
        <w:rPr>
          <w:rFonts w:hint="default"/>
          <w:lang w:val="en-US" w:eastAsia="zh-CN"/>
        </w:rPr>
        <w:t>“十四五”时期，在县委、县政府的</w:t>
      </w:r>
      <w:bookmarkStart w:id="1060" w:name="_GoBack"/>
      <w:bookmarkEnd w:id="1060"/>
      <w:r>
        <w:rPr>
          <w:rFonts w:hint="default"/>
          <w:lang w:val="en-US" w:eastAsia="zh-CN"/>
        </w:rPr>
        <w:t>领导下，在县人大、县政协的监督支持下，全县上下坚持以习近平新时代中国特色社会主义思想为指导，全面贯彻党的二十大和二十届历次全会精神，深入贯彻习近平总书记考察云南重要讲话和重要指示批示精神，紧紧围绕“一个跨越”“三个定位”“开创发展新局面”这个总纲，锚定省委“3815”战略发展目标和市委建设“六个春城”发展思路，按照“23521”发展思路，聚焦国际知名旅游目的地、现代特色农业基地两个目标，坚持发展第一要务，落实系列稳增长政策，全力以赴守底线、稳支撑、增动力、上台阶，“七个石林”建设取得扎实成效，中国式现代化石林实践迈出</w:t>
      </w:r>
      <w:r>
        <w:rPr>
          <w:rFonts w:hint="eastAsia"/>
          <w:lang w:val="en-US" w:eastAsia="zh-CN"/>
        </w:rPr>
        <w:t>坚实</w:t>
      </w:r>
      <w:r>
        <w:rPr>
          <w:rFonts w:hint="default"/>
          <w:lang w:val="en-US" w:eastAsia="zh-CN"/>
        </w:rPr>
        <w:t>步伐。</w:t>
      </w:r>
    </w:p>
    <w:p w14:paraId="10D144C2">
      <w:pPr>
        <w:pStyle w:val="3"/>
        <w:keepNext/>
        <w:keepLines w:val="0"/>
        <w:pageBreakBefore w:val="0"/>
        <w:widowControl w:val="0"/>
        <w:numPr>
          <w:ilvl w:val="-1"/>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eastAsia" w:ascii="黑体" w:hAnsi="黑体" w:eastAsia="黑体" w:cs="黑体"/>
          <w:b w:val="0"/>
          <w:bCs/>
          <w:color w:val="auto"/>
          <w:sz w:val="32"/>
          <w:szCs w:val="32"/>
          <w:highlight w:val="none"/>
          <w:lang w:val="en-US" w:eastAsia="zh-CN"/>
        </w:rPr>
      </w:pPr>
      <w:bookmarkStart w:id="39" w:name="_Toc1355636517"/>
      <w:bookmarkStart w:id="40" w:name="_Toc323099698"/>
      <w:bookmarkStart w:id="41" w:name="_Toc33426642"/>
      <w:bookmarkStart w:id="42" w:name="_Toc1142390462"/>
      <w:bookmarkStart w:id="43" w:name="_Toc16420"/>
      <w:bookmarkStart w:id="44" w:name="_Toc1277600919"/>
      <w:bookmarkStart w:id="45" w:name="_Toc673172319"/>
      <w:bookmarkStart w:id="46" w:name="_Toc15779852"/>
      <w:bookmarkStart w:id="47" w:name="_Toc20183"/>
      <w:bookmarkStart w:id="48" w:name="_Toc9897535"/>
      <w:bookmarkStart w:id="49" w:name="_Toc5234"/>
      <w:bookmarkStart w:id="50" w:name="_Toc949827449"/>
      <w:bookmarkStart w:id="51" w:name="_Toc494225474"/>
      <w:r>
        <w:rPr>
          <w:rFonts w:hint="eastAsia" w:ascii="黑体" w:hAnsi="黑体" w:eastAsia="黑体" w:cs="黑体"/>
          <w:b w:val="0"/>
          <w:bCs/>
          <w:color w:val="auto"/>
          <w:sz w:val="32"/>
          <w:szCs w:val="32"/>
          <w:highlight w:val="none"/>
          <w:lang w:val="en-US" w:eastAsia="zh-CN"/>
        </w:rPr>
        <w:t>第一节  发展基础</w:t>
      </w:r>
      <w:bookmarkEnd w:id="39"/>
      <w:bookmarkEnd w:id="40"/>
      <w:bookmarkEnd w:id="41"/>
      <w:bookmarkEnd w:id="42"/>
      <w:bookmarkEnd w:id="43"/>
      <w:bookmarkEnd w:id="44"/>
      <w:bookmarkEnd w:id="45"/>
      <w:bookmarkEnd w:id="46"/>
      <w:bookmarkEnd w:id="47"/>
      <w:bookmarkEnd w:id="48"/>
      <w:bookmarkEnd w:id="49"/>
      <w:bookmarkEnd w:id="50"/>
      <w:bookmarkEnd w:id="51"/>
    </w:p>
    <w:p w14:paraId="460E4380">
      <w:pPr>
        <w:keepNext/>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一、凝心聚力谋求发展，综合实力明显增强</w:t>
      </w:r>
    </w:p>
    <w:p w14:paraId="2EFA14A6">
      <w:pPr>
        <w:keepNext/>
        <w:keepLines w:val="0"/>
        <w:pageBreakBefore w:val="0"/>
        <w:widowControl w:val="0"/>
        <w:kinsoku/>
        <w:wordWrap/>
        <w:overflowPunct/>
        <w:topLinePunct w:val="0"/>
        <w:autoSpaceDE/>
        <w:autoSpaceDN/>
        <w:bidi w:val="0"/>
        <w:adjustRightInd/>
        <w:snapToGrid/>
        <w:spacing w:line="530" w:lineRule="exact"/>
        <w:textAlignment w:val="auto"/>
        <w:rPr>
          <w:rFonts w:hint="default"/>
          <w:lang w:val="en-US" w:eastAsia="zh-CN"/>
        </w:rPr>
      </w:pPr>
      <w:r>
        <w:rPr>
          <w:rFonts w:hint="default"/>
          <w:lang w:val="en-US" w:eastAsia="zh-CN"/>
        </w:rPr>
        <w:t>坚持发展第一要务，落实系列稳增长政策，经济实现质的有效提升和量的合理增长。地区生产总值从</w:t>
      </w:r>
      <w:r>
        <w:rPr>
          <w:rFonts w:hint="eastAsia"/>
          <w:lang w:val="en-US" w:eastAsia="zh-CN"/>
        </w:rPr>
        <w:t>2020年</w:t>
      </w:r>
      <w:r>
        <w:rPr>
          <w:rFonts w:hint="default"/>
          <w:lang w:val="en-US" w:eastAsia="zh-CN"/>
        </w:rPr>
        <w:t>的112.73亿元增长到140.78亿元，年均增长4.67%，全市排名近10年来首次实现进位。人均地区生产总值达5.97万元，年均增长4.75%。城镇化进程稳步推进，常住人口城镇化率达50.1%，较2020年提高</w:t>
      </w:r>
      <w:r>
        <w:rPr>
          <w:rFonts w:hint="eastAsia"/>
          <w:lang w:val="en-US" w:eastAsia="zh-CN"/>
        </w:rPr>
        <w:t>5</w:t>
      </w:r>
      <w:r>
        <w:rPr>
          <w:rFonts w:hint="default"/>
          <w:lang w:val="en-US" w:eastAsia="zh-CN"/>
        </w:rPr>
        <w:t>个百分点。地方一般公共预算收入8.1</w:t>
      </w:r>
      <w:r>
        <w:rPr>
          <w:rFonts w:hint="eastAsia"/>
          <w:lang w:val="en-US" w:eastAsia="zh-CN"/>
        </w:rPr>
        <w:t>8</w:t>
      </w:r>
      <w:r>
        <w:rPr>
          <w:rFonts w:hint="default"/>
          <w:lang w:val="en-US" w:eastAsia="zh-CN"/>
        </w:rPr>
        <w:t>亿元，年均增长5.</w:t>
      </w:r>
      <w:r>
        <w:rPr>
          <w:rFonts w:hint="eastAsia"/>
          <w:lang w:val="en-US" w:eastAsia="zh-CN"/>
        </w:rPr>
        <w:t>7</w:t>
      </w:r>
      <w:r>
        <w:rPr>
          <w:rFonts w:hint="default"/>
          <w:lang w:val="en-US" w:eastAsia="zh-CN"/>
        </w:rPr>
        <w:t>%。固定资产投资累计完成</w:t>
      </w:r>
      <w:r>
        <w:rPr>
          <w:rFonts w:hint="eastAsia"/>
          <w:lang w:val="en-US" w:eastAsia="zh-CN"/>
        </w:rPr>
        <w:t>265.9</w:t>
      </w:r>
      <w:r>
        <w:rPr>
          <w:rFonts w:hint="default"/>
          <w:lang w:val="en-US" w:eastAsia="zh-CN"/>
        </w:rPr>
        <w:t>亿元，投资结构持续优化，产业投资占比逐步提高。社会消费品零售总额59.02亿元，年均增长6.09%。民营经济活力持续增强，昆明双汇入选云南省优强民营企业，民营经济增加值占GDP比重从45%提升至</w:t>
      </w:r>
      <w:r>
        <w:rPr>
          <w:rFonts w:hint="eastAsia"/>
          <w:lang w:val="en-US" w:eastAsia="zh-CN"/>
        </w:rPr>
        <w:t>59.5</w:t>
      </w:r>
      <w:r>
        <w:rPr>
          <w:rFonts w:hint="default"/>
          <w:lang w:val="en-US" w:eastAsia="zh-CN"/>
        </w:rPr>
        <w:t>%。</w:t>
      </w:r>
    </w:p>
    <w:p w14:paraId="2E0E4892">
      <w:pPr>
        <w:keepNext/>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二、实施产业强县战略，实力石林成效明显</w:t>
      </w:r>
    </w:p>
    <w:p w14:paraId="1BD4CC21">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实施产业强县战略，按照</w:t>
      </w:r>
      <w:r>
        <w:rPr>
          <w:rFonts w:hint="eastAsia"/>
          <w:lang w:val="en-US" w:eastAsia="zh-CN"/>
        </w:rPr>
        <w:t>“</w:t>
      </w:r>
      <w:r>
        <w:rPr>
          <w:rFonts w:hint="default"/>
          <w:lang w:val="en-US" w:eastAsia="zh-CN"/>
        </w:rPr>
        <w:t>优旅游、稳农业、强工业</w:t>
      </w:r>
      <w:r>
        <w:rPr>
          <w:rFonts w:hint="eastAsia"/>
          <w:lang w:val="en-US" w:eastAsia="zh-CN"/>
        </w:rPr>
        <w:t>”</w:t>
      </w:r>
      <w:r>
        <w:rPr>
          <w:rFonts w:hint="default"/>
          <w:lang w:val="en-US" w:eastAsia="zh-CN"/>
        </w:rPr>
        <w:t>发展思路，</w:t>
      </w:r>
      <w:r>
        <w:rPr>
          <w:rFonts w:hint="eastAsia"/>
          <w:lang w:val="en-US" w:eastAsia="zh-CN"/>
        </w:rPr>
        <w:t>“</w:t>
      </w:r>
      <w:r>
        <w:rPr>
          <w:rFonts w:hint="default"/>
          <w:lang w:val="en-US" w:eastAsia="zh-CN"/>
        </w:rPr>
        <w:t>1+3</w:t>
      </w:r>
      <w:r>
        <w:rPr>
          <w:rFonts w:hint="eastAsia"/>
          <w:lang w:val="en-US" w:eastAsia="zh-CN"/>
        </w:rPr>
        <w:t>”</w:t>
      </w:r>
      <w:r>
        <w:rPr>
          <w:rFonts w:hint="default"/>
          <w:lang w:val="en-US" w:eastAsia="zh-CN"/>
        </w:rPr>
        <w:t>百亿级产业体系建设成效明显。旅游金字招牌更加响亮，“石林喀斯特”入选全球首批100个地质遗产地名录，杏林大观园被评为全国旅居康养示范基地，</w:t>
      </w:r>
      <w:r>
        <w:rPr>
          <w:rFonts w:hint="eastAsia"/>
          <w:lang w:val="en-US" w:eastAsia="zh-CN"/>
        </w:rPr>
        <w:t>“</w:t>
      </w:r>
      <w:r>
        <w:rPr>
          <w:rFonts w:hint="default"/>
          <w:lang w:val="en-US" w:eastAsia="zh-CN"/>
        </w:rPr>
        <w:t>旅居康养</w:t>
      </w:r>
      <w:r>
        <w:rPr>
          <w:rFonts w:hint="eastAsia"/>
          <w:lang w:val="en-US" w:eastAsia="zh-CN"/>
        </w:rPr>
        <w:t>”</w:t>
      </w:r>
      <w:r>
        <w:rPr>
          <w:rFonts w:hint="default"/>
          <w:lang w:val="en-US" w:eastAsia="zh-CN"/>
        </w:rPr>
        <w:t>模式入选全国创新发展案例，连续5年入选全国县域旅游发展潜力百佳县，被评为“全国县域旅游综合竞争力百强县”，成功入选全国</w:t>
      </w:r>
      <w:r>
        <w:rPr>
          <w:rFonts w:hint="eastAsia"/>
          <w:lang w:val="en-US" w:eastAsia="zh-CN"/>
        </w:rPr>
        <w:t>“</w:t>
      </w:r>
      <w:r>
        <w:rPr>
          <w:rFonts w:hint="default"/>
          <w:lang w:val="en-US" w:eastAsia="zh-CN"/>
        </w:rPr>
        <w:t>2025旅居康养旅游名县创新发展案例</w:t>
      </w:r>
      <w:r>
        <w:rPr>
          <w:rFonts w:hint="eastAsia"/>
          <w:lang w:val="en-US" w:eastAsia="zh-CN"/>
        </w:rPr>
        <w:t>”</w:t>
      </w:r>
      <w:r>
        <w:rPr>
          <w:rFonts w:hint="default"/>
          <w:lang w:val="en-US" w:eastAsia="zh-CN"/>
        </w:rPr>
        <w:t>。特色农业稳步提升，培育省级农业龙头企业14户，建成全国最大的商品人参果种植基地、集散地、销售中心和人参果优质种苗繁育中心，石林国际花卉农特产品展示交易中心揭牌运营，人参果综合产值</w:t>
      </w:r>
      <w:r>
        <w:rPr>
          <w:rFonts w:hint="eastAsia"/>
          <w:lang w:val="en-US" w:eastAsia="zh-CN"/>
        </w:rPr>
        <w:t>达</w:t>
      </w:r>
      <w:r>
        <w:rPr>
          <w:rFonts w:hint="default"/>
          <w:lang w:val="en-US" w:eastAsia="zh-CN"/>
        </w:rPr>
        <w:t>37</w:t>
      </w:r>
      <w:r>
        <w:rPr>
          <w:rFonts w:hint="eastAsia"/>
          <w:lang w:val="en-US" w:eastAsia="zh-CN"/>
        </w:rPr>
        <w:t>.6</w:t>
      </w:r>
      <w:r>
        <w:rPr>
          <w:rFonts w:hint="default"/>
          <w:lang w:val="en-US" w:eastAsia="zh-CN"/>
        </w:rPr>
        <w:t>亿元；以肉鸡为主的家禽出栏量居全省首位。生态工业量质齐升，基本形成集屠宰、食品加工、冷链物流于一体的肉制品全链条产业集群，昆明双汇成为全县首个年产值突破15亿元的企业；全县雨生红球藻年产能达380吨，居全球雨生红球藻产业链第一梯队；华润</w:t>
      </w:r>
      <w:r>
        <w:rPr>
          <w:rFonts w:hint="eastAsia"/>
          <w:lang w:val="en-US" w:eastAsia="zh-CN"/>
        </w:rPr>
        <w:t>“</w:t>
      </w:r>
      <w:r>
        <w:rPr>
          <w:rFonts w:hint="default"/>
          <w:lang w:val="en-US" w:eastAsia="zh-CN"/>
        </w:rPr>
        <w:t>芋头得</w:t>
      </w:r>
      <w:r>
        <w:rPr>
          <w:rFonts w:hint="eastAsia"/>
          <w:lang w:val="en-US" w:eastAsia="zh-CN"/>
        </w:rPr>
        <w:t>”“</w:t>
      </w:r>
      <w:r>
        <w:rPr>
          <w:rFonts w:hint="default"/>
          <w:lang w:val="en-US" w:eastAsia="zh-CN"/>
        </w:rPr>
        <w:t>大地梁子</w:t>
      </w:r>
      <w:r>
        <w:rPr>
          <w:rFonts w:hint="eastAsia"/>
          <w:lang w:val="en-US" w:eastAsia="zh-CN"/>
        </w:rPr>
        <w:t>”</w:t>
      </w:r>
      <w:r>
        <w:rPr>
          <w:rFonts w:hint="default"/>
          <w:lang w:val="en-US" w:eastAsia="zh-CN"/>
        </w:rPr>
        <w:t>光伏发电等8个新能源项目建成并网，电化学储能项目建成投产，全县集中式新能源发电项目并网装机规模达592.5兆瓦，2025年规上工业总产值达38.9亿元，规上工业增加值增速达20</w:t>
      </w:r>
      <w:r>
        <w:rPr>
          <w:rFonts w:hint="eastAsia"/>
          <w:lang w:val="en-US" w:eastAsia="zh-CN"/>
        </w:rPr>
        <w:t>.2</w:t>
      </w:r>
      <w:r>
        <w:rPr>
          <w:rFonts w:hint="default"/>
          <w:lang w:val="en-US" w:eastAsia="zh-CN"/>
        </w:rPr>
        <w:t>%，首次名列全市14个县（市、区）第一。</w:t>
      </w:r>
    </w:p>
    <w:p w14:paraId="62776779">
      <w:pPr>
        <w:keepNext/>
        <w:keepLines w:val="0"/>
        <w:pageBreakBefore w:val="0"/>
        <w:widowControl w:val="0"/>
        <w:kinsoku/>
        <w:wordWrap/>
        <w:overflowPunct/>
        <w:topLinePunct w:val="0"/>
        <w:autoSpaceDE/>
        <w:autoSpaceDN/>
        <w:bidi w:val="0"/>
        <w:adjustRightInd/>
        <w:snapToGrid/>
        <w:spacing w:beforeLines="0" w:afterLines="0"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三、聚焦打造投资洼地，魅力石林内涵发展</w:t>
      </w:r>
    </w:p>
    <w:p w14:paraId="7426530B">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坚定将项目建设和招商引资作为“一号工程”和“一把手工程”，持续优化营商环境，创新设立四级“营商环境会客厅”，150余个“高效办成一件事”事项全部入驻县级政务大厅接件受理，</w:t>
      </w:r>
      <w:r>
        <w:rPr>
          <w:rFonts w:hint="eastAsia"/>
          <w:lang w:val="en-US" w:eastAsia="zh-CN"/>
        </w:rPr>
        <w:t>“</w:t>
      </w:r>
      <w:r>
        <w:rPr>
          <w:rFonts w:hint="default"/>
          <w:lang w:val="en-US" w:eastAsia="zh-CN"/>
        </w:rPr>
        <w:t>石在办、及石办</w:t>
      </w:r>
      <w:r>
        <w:rPr>
          <w:rFonts w:hint="eastAsia"/>
          <w:lang w:val="en-US" w:eastAsia="zh-CN"/>
        </w:rPr>
        <w:t>”</w:t>
      </w:r>
      <w:r>
        <w:rPr>
          <w:rFonts w:hint="default"/>
          <w:lang w:val="en-US" w:eastAsia="zh-CN"/>
        </w:rPr>
        <w:t>营商环境品牌持续擦亮。主动融入全国统一大市场建设，规范招商和项目实施领域突出问题整治，健全常态化项目服务机制，累计开展省外精准招商58次，引进500强企业2户、上市企业3户，10亿元以上项目4个、亿元以上项目56个，建成项目286个；引进国内市外资金261.23亿元，实际利用外资4325万美元，成功引进双汇屠宰场、牧原和神农养殖、华润三九、云彩金可虾青素深加工基地、羊小贝乳业有限公司等一批国内知名企业和项目。减税降费政策持续落实，实有经营</w:t>
      </w:r>
      <w:r>
        <w:rPr>
          <w:rFonts w:hint="default"/>
          <w:spacing w:val="-6"/>
          <w:lang w:val="en-US" w:eastAsia="zh-CN"/>
        </w:rPr>
        <w:t>主体总数从1.76万户增至3.2万户，有效支撑实体经济发展。</w:t>
      </w:r>
    </w:p>
    <w:p w14:paraId="265F5C9F">
      <w:pPr>
        <w:keepNext/>
        <w:keepLines w:val="0"/>
        <w:pageBreakBefore w:val="0"/>
        <w:widowControl w:val="0"/>
        <w:kinsoku/>
        <w:wordWrap/>
        <w:overflowPunct/>
        <w:topLinePunct w:val="0"/>
        <w:autoSpaceDE/>
        <w:autoSpaceDN/>
        <w:bidi w:val="0"/>
        <w:adjustRightInd/>
        <w:snapToGrid/>
        <w:spacing w:beforeLines="0" w:afterLines="0" w:line="546"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四、聚焦深改革谋创新，开放石林初显成效</w:t>
      </w:r>
    </w:p>
    <w:p w14:paraId="31E59395">
      <w:pPr>
        <w:keepNext/>
        <w:keepLines w:val="0"/>
        <w:pageBreakBefore w:val="0"/>
        <w:widowControl w:val="0"/>
        <w:kinsoku/>
        <w:wordWrap/>
        <w:overflowPunct/>
        <w:topLinePunct w:val="0"/>
        <w:autoSpaceDE/>
        <w:autoSpaceDN/>
        <w:bidi w:val="0"/>
        <w:adjustRightInd/>
        <w:snapToGrid/>
        <w:spacing w:line="554" w:lineRule="exact"/>
        <w:textAlignment w:val="auto"/>
        <w:rPr>
          <w:rFonts w:hint="default"/>
          <w:lang w:val="en-US" w:eastAsia="zh-CN"/>
        </w:rPr>
      </w:pPr>
      <w:r>
        <w:rPr>
          <w:rFonts w:hint="default"/>
          <w:lang w:val="en-US" w:eastAsia="zh-CN"/>
        </w:rPr>
        <w:t>国有企业改革全面提速，完成国有企业整合重组，“1+4+N”架构初步形成，实现县属国有企业人财物和投融资集团化管控，景区经营性资产分批注入石林旅游集团；全市首宗农村集体经营性建设用地入市成交，供销综合改革列为全国“绿色农资”升级行动试点县；设立石林产业园区企业服务窗口，实现“园区事园区办”；完成群团联盟改革、农业综合水价改革；财政体制、行政执法体制、产业工人队伍建设等改革持续加快。创新动能加速集聚，累计培育高新技术企业</w:t>
      </w:r>
      <w:r>
        <w:rPr>
          <w:rFonts w:hint="eastAsia"/>
          <w:lang w:val="en-US" w:eastAsia="zh-CN"/>
        </w:rPr>
        <w:t>18</w:t>
      </w:r>
      <w:r>
        <w:rPr>
          <w:rFonts w:hint="default"/>
          <w:lang w:val="en-US" w:eastAsia="zh-CN"/>
        </w:rPr>
        <w:t>户、省级科技型中小企业31家，培育云南省科技特派员22人，全国科普示范县创建成果持续巩固。开放条件逐步成熟，物流体系基本搭建完成，石林冷链物流中心一期（屠宰场）、物流配送中心等物流项目建成投产，大宗商品交易中心、昆明石林南站物流园、宜奈铁路专用线物流基地建设等有序推进，多式联运及货运物流产业取得突破；石林台创园对外宣传和台商投资平台优势不断放大，两岸农业、文化、科技等领域交流合作持续深化。</w:t>
      </w:r>
    </w:p>
    <w:p w14:paraId="445AB304">
      <w:pPr>
        <w:keepNext/>
        <w:keepLines w:val="0"/>
        <w:pageBreakBefore w:val="0"/>
        <w:widowControl w:val="0"/>
        <w:kinsoku/>
        <w:wordWrap/>
        <w:overflowPunct/>
        <w:topLinePunct w:val="0"/>
        <w:autoSpaceDE/>
        <w:autoSpaceDN/>
        <w:bidi w:val="0"/>
        <w:adjustRightInd/>
        <w:snapToGrid/>
        <w:spacing w:beforeLines="0" w:afterLines="0"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五、聚焦抓保护优环境，绿美石林底色鲜明</w:t>
      </w:r>
    </w:p>
    <w:p w14:paraId="4DB36895">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深入开展绿美石林建设，持续打好</w:t>
      </w:r>
      <w:r>
        <w:rPr>
          <w:rFonts w:hint="eastAsia"/>
          <w:lang w:val="en-US" w:eastAsia="zh-CN"/>
        </w:rPr>
        <w:t>“</w:t>
      </w:r>
      <w:r>
        <w:rPr>
          <w:rFonts w:hint="default"/>
          <w:lang w:val="en-US" w:eastAsia="zh-CN"/>
        </w:rPr>
        <w:t>蓝天、碧水、净土</w:t>
      </w:r>
      <w:r>
        <w:rPr>
          <w:rFonts w:hint="eastAsia"/>
          <w:lang w:val="en-US" w:eastAsia="zh-CN"/>
        </w:rPr>
        <w:t>”</w:t>
      </w:r>
      <w:r>
        <w:rPr>
          <w:rFonts w:hint="default"/>
          <w:lang w:val="en-US" w:eastAsia="zh-CN"/>
        </w:rPr>
        <w:t>三大保卫战，协同推进减污、降碳、扩绿和增长，生态宜居底色更加靓丽。污染防治攻坚取得实效，全县空气质量优良率达99.</w:t>
      </w:r>
      <w:r>
        <w:rPr>
          <w:rFonts w:hint="eastAsia"/>
          <w:lang w:val="en-US" w:eastAsia="zh-CN"/>
        </w:rPr>
        <w:t>72</w:t>
      </w:r>
      <w:r>
        <w:rPr>
          <w:rFonts w:hint="default"/>
          <w:lang w:val="en-US" w:eastAsia="zh-CN"/>
        </w:rPr>
        <w:t>%，巴江东山桥、巴江大叠水、团结水库三个省控断面水质达标率（达到或优于Ⅲ类）保持100%，县城集中式饮用水水源地、城区声环境功能区达标率均达100%，建成全国首个喀斯特地貌耕地重金属风险管控示范区，受污染耕地安全利用率达100%。新增城市绿地32.63公顷、小游园38个，全县绿化覆盖率达41.66%，人均公园绿地面积提升至20.5㎡，</w:t>
      </w:r>
      <w:r>
        <w:rPr>
          <w:rFonts w:hint="eastAsia"/>
          <w:lang w:val="en-US" w:eastAsia="zh-CN"/>
        </w:rPr>
        <w:t>排名全市前列</w:t>
      </w:r>
      <w:r>
        <w:rPr>
          <w:rFonts w:hint="default"/>
          <w:lang w:val="en-US" w:eastAsia="zh-CN"/>
        </w:rPr>
        <w:t>，入选省级绿美城市推荐奖补名单，通过省级生态文明建设示范区复审。人居环境整治成效显著，行政村污水治理率达96.63%；建成餐厨垃圾综合利用项目，村到镇生活垃圾收转运体系实现全覆盖，生活垃圾无害化处理率达100%；农村公厕改建年度目标完成率100%。</w:t>
      </w:r>
    </w:p>
    <w:p w14:paraId="5C59F6B6">
      <w:pPr>
        <w:keepNext/>
        <w:keepLines w:val="0"/>
        <w:pageBreakBefore w:val="0"/>
        <w:widowControl w:val="0"/>
        <w:kinsoku/>
        <w:wordWrap/>
        <w:overflowPunct/>
        <w:topLinePunct w:val="0"/>
        <w:autoSpaceDE/>
        <w:autoSpaceDN/>
        <w:bidi w:val="0"/>
        <w:adjustRightInd/>
        <w:snapToGrid/>
        <w:spacing w:beforeLines="0" w:afterLines="0"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六、聚焦扬优势强引领，特色石林根基扎实</w:t>
      </w:r>
    </w:p>
    <w:p w14:paraId="3D43179E">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eastAsia"/>
          <w:lang w:val="en-US" w:eastAsia="zh-CN"/>
        </w:rPr>
        <w:t>持续巩固特质经作优势和民族文化优势，全面开展民族团结进步示范创建，多领域融合发展持续深化。石林刺绣、斗牛等文化产业蓬勃发展，石林火把节、阿诗玛文化旅游季、唱响阿诗玛“音乐嘉年华”、密枝节等旅游文化节庆活动影响力持续提升，“中国民间文化艺术之乡”创建取得显著成果，五大“阿诗玛”文化品牌项目建设全面推进，文化影响力进一步扩大；常态化巩固提升全国文明城市创建成果，小箐村成功创建为全国文明村。石林特质农产品体系日益完善，“石林人参果”“石林甜柿”“石林乳糯玉米”入选全国名特优新农产品收集名录，特色农产品的品牌效应和市场影响力显著增强。巩固拓展民族团结进步创建“十进+N”成果，成功创建为全国民族团结进步示范县；持续推进旅游促“三交”试点项目，作为云南省唯一自治县在全国自治县（旗）铸牢中华民族共同体意识经验交流现场会上交流发言。</w:t>
      </w:r>
    </w:p>
    <w:p w14:paraId="63FEF004">
      <w:pPr>
        <w:keepNext/>
        <w:keepLines w:val="0"/>
        <w:pageBreakBefore w:val="0"/>
        <w:widowControl w:val="0"/>
        <w:kinsoku/>
        <w:wordWrap/>
        <w:overflowPunct/>
        <w:topLinePunct w:val="0"/>
        <w:autoSpaceDE/>
        <w:autoSpaceDN/>
        <w:bidi w:val="0"/>
        <w:adjustRightInd/>
        <w:snapToGrid/>
        <w:spacing w:beforeLines="0" w:afterLines="0"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七、聚焦抓保障惠民生，幸福石林活力</w:t>
      </w:r>
      <w:r>
        <w:rPr>
          <w:rFonts w:hint="eastAsia" w:ascii="楷体_GB2312" w:hAnsi="楷体_GB2312" w:eastAsia="楷体_GB2312" w:cs="楷体_GB2312"/>
          <w:b w:val="0"/>
          <w:bCs w:val="0"/>
          <w:color w:val="auto"/>
          <w:sz w:val="32"/>
          <w:szCs w:val="32"/>
          <w:highlight w:val="none"/>
          <w:lang w:val="en-US" w:eastAsia="zh-CN"/>
        </w:rPr>
        <w:t>凸显</w:t>
      </w:r>
    </w:p>
    <w:p w14:paraId="1BCAE063">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城乡公共服务质量不断提高，居民生活品质稳步提高，群众幸福感和获得感显著增强。巩固拓展脱贫攻坚成果同乡村振兴有效衔接成效明显，全县脱贫人口未发生规模性返贫，脱贫人口人均纯收入较“十三五”末增长11%。居民收入持续增长，城镇、农村常住居民人均可支配收入分别年均增长4.</w:t>
      </w:r>
      <w:r>
        <w:rPr>
          <w:rFonts w:hint="eastAsia"/>
          <w:lang w:val="en-US" w:eastAsia="zh-CN"/>
        </w:rPr>
        <w:t>1</w:t>
      </w:r>
      <w:r>
        <w:rPr>
          <w:rFonts w:hint="default"/>
          <w:lang w:val="en-US" w:eastAsia="zh-CN"/>
        </w:rPr>
        <w:t>%、7.1%，城乡居民收入比从2020年的2.59:1下降至2.2</w:t>
      </w:r>
      <w:r>
        <w:rPr>
          <w:rFonts w:hint="eastAsia"/>
          <w:lang w:val="en-US" w:eastAsia="zh-CN"/>
        </w:rPr>
        <w:t>5</w:t>
      </w:r>
      <w:r>
        <w:rPr>
          <w:rFonts w:hint="default"/>
          <w:lang w:val="en-US" w:eastAsia="zh-CN"/>
        </w:rPr>
        <w:t>:1。教育发展成效显著，成为全省首批“学前教育普及普惠先行达标县”，被教育部正式认定为“国家义务教育优质均衡发展县”，成为全省唯一的教育“双创”县；特殊教育学校投入使用；县一中与昆一中合作办学，高考成绩居全市郊县前列，云南林业职业技术学院招生办学。医疗服务和公共卫生能力全面提升，与昆明市第一人民医院合作成立紧密型城市医疗集团，建成县域内医疗资源共享中心，新建县人民医院住院楼即将投用，中医药传承创新取得新进展，县、乡、村三级医疗服务能力显著增强。社会保障体系日臻完善，城乡居民养老保险参保率达标，基本医疗保险参保率达98.92%。</w:t>
      </w:r>
    </w:p>
    <w:p w14:paraId="676D16D8">
      <w:pPr>
        <w:keepNext/>
        <w:keepLines w:val="0"/>
        <w:pageBreakBefore w:val="0"/>
        <w:widowControl w:val="0"/>
        <w:kinsoku/>
        <w:wordWrap/>
        <w:overflowPunct/>
        <w:topLinePunct w:val="0"/>
        <w:autoSpaceDE/>
        <w:autoSpaceDN/>
        <w:bidi w:val="0"/>
        <w:adjustRightInd/>
        <w:snapToGrid/>
        <w:spacing w:beforeLines="0" w:afterLines="0"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八、聚焦优治理保平安，效能石林成效显著</w:t>
      </w:r>
    </w:p>
    <w:p w14:paraId="6D4F7232">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修订《云南省石林彝族自治县自治条例》，把铸牢中华民族共同体意识纳入自治条例。创新打造“政治引领、法治保障、德治教化、自治强基、智治支撑、美治添彩”的“六治融合”基层社会治理新模式，基层社会治理能力不断增强。创新基层矛盾纠纷排查化解机制，成立“高玛饶”“阿诗玛”调解室，彝、汉双语化解民族地区群众矛盾纠纷，矛盾纠纷化解率达95%以上。严厉打击各类违法犯罪，常态化扫黑除恶斗争纵深推进，成功创建平安中国建设示范县。法治石林建设取得新突破，全县“法律明白人”覆盖率达100%，群众法治意识和社会治理参与度显著提升。稳步推进安全生产整治，强化道路交通、建筑施工、消防燃气、校园食品等重点领域安全监管，智慧应急广播体系入围国家广播电视总局的智慧广电示范案例，全县较大及以上安全事故“零发生”。</w:t>
      </w:r>
    </w:p>
    <w:p w14:paraId="52C840A8">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在取得成绩的同时，我们也要清醒看到推进中国式现代化石林实践仍然面临不少问题和困难：全县高质量发展基础尚不牢固，投资消费增长乏力，内需动能不足；经济总量小、长期低位运行、低速发展的现状没有根本改变</w:t>
      </w:r>
      <w:r>
        <w:rPr>
          <w:rFonts w:hint="eastAsia"/>
          <w:lang w:val="en-US" w:eastAsia="zh-CN"/>
        </w:rPr>
        <w:t>，</w:t>
      </w:r>
      <w:r>
        <w:rPr>
          <w:rFonts w:hint="default"/>
          <w:lang w:val="en-US" w:eastAsia="zh-CN"/>
        </w:rPr>
        <w:t>产业结构不优、</w:t>
      </w:r>
      <w:r>
        <w:rPr>
          <w:rFonts w:hint="eastAsia"/>
          <w:lang w:val="en-US" w:eastAsia="zh-CN"/>
        </w:rPr>
        <w:t>特色不明显</w:t>
      </w:r>
      <w:r>
        <w:rPr>
          <w:rFonts w:hint="default"/>
          <w:lang w:val="en-US" w:eastAsia="zh-CN"/>
        </w:rPr>
        <w:t>，传统产业占主导地位，</w:t>
      </w:r>
      <w:r>
        <w:rPr>
          <w:rFonts w:hint="eastAsia"/>
          <w:lang w:val="en-US" w:eastAsia="zh-CN"/>
        </w:rPr>
        <w:t>新材料、新能源</w:t>
      </w:r>
      <w:r>
        <w:rPr>
          <w:rFonts w:hint="default"/>
          <w:lang w:val="en-US" w:eastAsia="zh-CN"/>
        </w:rPr>
        <w:t>等新兴产业处于起步期，尚未形成有力支撑；城镇化水平不高，城市功能品质与建设国际知名旅游目的地的目标还存在较大差距，</w:t>
      </w:r>
      <w:r>
        <w:rPr>
          <w:rFonts w:hint="eastAsia"/>
          <w:lang w:val="en-US" w:eastAsia="zh-CN"/>
        </w:rPr>
        <w:t>景城融合、产城融合、</w:t>
      </w:r>
      <w:r>
        <w:rPr>
          <w:rFonts w:hint="default"/>
          <w:lang w:val="en-US" w:eastAsia="zh-CN"/>
        </w:rPr>
        <w:t>城乡融合发展短板弱项还未有效解决；民生事业仍有短板，优质公共服务供给与人民日益增长的美好生活需要还存在差距；生态环保、社会治理对现代化建设的支撑不足，防范化解各类风险的任务仍然十分艰巨。今后一个时期，全县必须坚持问题导向，强化系统观念，深化改革创新、勇于攻坚克难，努力实现经济持续健康发展、社会长治久安。</w:t>
      </w:r>
    </w:p>
    <w:p w14:paraId="23FFD15F">
      <w:pPr>
        <w:pStyle w:val="3"/>
        <w:keepNext/>
        <w:keepLines w:val="0"/>
        <w:pageBreakBefore w:val="0"/>
        <w:widowControl w:val="0"/>
        <w:numPr>
          <w:ilvl w:val="-1"/>
          <w:numId w:val="0"/>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黑体" w:hAnsi="黑体" w:eastAsia="黑体" w:cs="黑体"/>
          <w:b w:val="0"/>
          <w:bCs/>
          <w:color w:val="auto"/>
          <w:sz w:val="32"/>
          <w:szCs w:val="32"/>
          <w:highlight w:val="none"/>
          <w:lang w:val="en-US" w:eastAsia="zh-CN"/>
        </w:rPr>
      </w:pPr>
      <w:bookmarkStart w:id="52" w:name="_Toc1558514733"/>
      <w:bookmarkStart w:id="53" w:name="_Toc1497964670"/>
      <w:bookmarkStart w:id="54" w:name="_Toc13639"/>
      <w:bookmarkStart w:id="55" w:name="_Toc1624527141"/>
      <w:bookmarkStart w:id="56" w:name="_Toc1063313037"/>
      <w:bookmarkStart w:id="57" w:name="_Toc2097142927"/>
      <w:bookmarkStart w:id="58" w:name="_Toc25666"/>
      <w:bookmarkStart w:id="59" w:name="_Toc28490"/>
      <w:bookmarkStart w:id="60" w:name="_Toc1071483983"/>
      <w:bookmarkStart w:id="61" w:name="_Toc760"/>
      <w:bookmarkStart w:id="62" w:name="_Toc1503987192"/>
      <w:bookmarkStart w:id="63" w:name="_Toc1308340227"/>
      <w:bookmarkStart w:id="64" w:name="_Toc32610"/>
      <w:bookmarkStart w:id="65" w:name="_Toc18682"/>
      <w:bookmarkStart w:id="66" w:name="_Toc991629926"/>
      <w:bookmarkStart w:id="67" w:name="_Toc2128278569"/>
      <w:bookmarkStart w:id="68" w:name="_Toc1528930196"/>
      <w:bookmarkStart w:id="69" w:name="_Toc1652690654"/>
      <w:bookmarkStart w:id="70" w:name="_Toc75598486"/>
      <w:bookmarkStart w:id="71" w:name="_Toc18877"/>
      <w:bookmarkStart w:id="72" w:name="_Toc26356"/>
      <w:r>
        <w:rPr>
          <w:rFonts w:hint="eastAsia" w:ascii="黑体" w:hAnsi="黑体" w:eastAsia="黑体" w:cs="黑体"/>
          <w:b w:val="0"/>
          <w:bCs/>
          <w:color w:val="auto"/>
          <w:sz w:val="32"/>
          <w:szCs w:val="32"/>
          <w:highlight w:val="none"/>
          <w:lang w:val="en-US" w:eastAsia="zh-CN"/>
        </w:rPr>
        <w:t>第二节  发展环境</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17401380">
      <w:pPr>
        <w:keepNext/>
        <w:keepLines w:val="0"/>
        <w:pageBreakBefore w:val="0"/>
        <w:widowControl w:val="0"/>
        <w:kinsoku/>
        <w:wordWrap/>
        <w:overflowPunct/>
        <w:topLinePunct w:val="0"/>
        <w:autoSpaceDE/>
        <w:autoSpaceDN/>
        <w:bidi w:val="0"/>
        <w:adjustRightInd/>
        <w:snapToGrid/>
        <w:spacing w:beforeLines="0" w:afterLines="0"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一、面临的形势</w:t>
      </w:r>
    </w:p>
    <w:p w14:paraId="467F9E11">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从国际看，</w:t>
      </w:r>
      <w:r>
        <w:rPr>
          <w:rFonts w:hint="default"/>
          <w:lang w:val="en-US" w:eastAsia="zh-CN"/>
        </w:rPr>
        <w:t>世界百年变局加速演进，国际力量对比深刻调整，</w:t>
      </w:r>
      <w:r>
        <w:rPr>
          <w:rFonts w:hint="eastAsia"/>
          <w:lang w:val="en-US" w:eastAsia="zh-CN"/>
        </w:rPr>
        <w:t>全球格局“东升西降”趋势更加清晰、世界多极体系加快形成，</w:t>
      </w:r>
      <w:r>
        <w:rPr>
          <w:rFonts w:hint="default"/>
          <w:lang w:val="en-US" w:eastAsia="zh-CN"/>
        </w:rPr>
        <w:t>新一轮科技革命和产业变革加速突破，</w:t>
      </w:r>
      <w:r>
        <w:rPr>
          <w:rFonts w:hint="eastAsia"/>
          <w:lang w:val="en-US" w:eastAsia="zh-CN"/>
        </w:rPr>
        <w:t>产业形态和经济格局将深刻重塑，</w:t>
      </w:r>
      <w:r>
        <w:rPr>
          <w:rFonts w:hint="default"/>
          <w:lang w:val="en-US" w:eastAsia="zh-CN"/>
        </w:rPr>
        <w:t>我国具备主动运筹国际空间、塑造外部环境的诸多有利因素。同时，世界变乱交织、动荡加剧，地缘冲突易发多发；单边主义、保护主义抬头，霸权主义和强权政治威胁上升，国际经济贸易秩序遇到严峻挑战，世界经济增长动能不足；大国博弈更加复杂激烈，我国发展面临的外部挑战增多。</w:t>
      </w:r>
    </w:p>
    <w:p w14:paraId="49250624">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从国内来看，</w:t>
      </w:r>
      <w:r>
        <w:rPr>
          <w:rFonts w:hint="default"/>
          <w:lang w:val="en-US" w:eastAsia="zh-CN"/>
        </w:rPr>
        <w:t>我国发展环境面临深刻复杂变化，战略机遇和风险挑战并存、不确定难预料因素增多，正处于从中等收入国家向高收入国家跨越、进而向中等发达国家迈进的关键阶段，发展条件和增长模式都在发生深刻变化。我国经济基础稳、优势多、韧性强、潜能大，长期向好的支撑条件和基本趋势没有变，中国特色社会主义制度优势、超大规模市场优势、完整产业体系优势、丰富人才资源优势更加彰显。同时，也面临着国内有效需求不足、农业农村现代化相对滞后、就业和居民收入增长压力较大等困难和问题。</w:t>
      </w:r>
    </w:p>
    <w:p w14:paraId="44DCDCE3">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方正仿宋_GBK" w:cs="Times New Roman Regular"/>
          <w:color w:val="auto"/>
          <w:szCs w:val="32"/>
          <w:highlight w:val="none"/>
          <w:lang w:val="en-US" w:eastAsia="zh-CN"/>
        </w:rPr>
      </w:pPr>
      <w:r>
        <w:rPr>
          <w:rFonts w:hint="default"/>
          <w:b/>
          <w:bCs/>
          <w:lang w:val="en-US" w:eastAsia="zh-CN"/>
        </w:rPr>
        <w:t>从全省来看，</w:t>
      </w:r>
      <w:r>
        <w:rPr>
          <w:rFonts w:hint="eastAsia"/>
        </w:rPr>
        <w:t>云南欠发达的基本省情仍然没有改变，全省发展既面临全国共性的难题，也存在新旧动能转换接续不畅、科技创新支撑不足、社会民生事业短板突出、有效需求不足、统筹发展和安全压力大等风险挑战</w:t>
      </w:r>
      <w:r>
        <w:rPr>
          <w:rFonts w:hint="eastAsia"/>
          <w:lang w:eastAsia="zh-CN"/>
        </w:rPr>
        <w:t>。</w:t>
      </w:r>
      <w:r>
        <w:rPr>
          <w:rFonts w:hint="eastAsia"/>
        </w:rPr>
        <w:t>“十五五”时期是“</w:t>
      </w:r>
      <w:r>
        <w:rPr>
          <w:rFonts w:hint="default"/>
        </w:rPr>
        <w:t>3815</w:t>
      </w:r>
      <w:r>
        <w:rPr>
          <w:rFonts w:hint="eastAsia"/>
        </w:rPr>
        <w:t>”战略发展目标“八年大发展”的</w:t>
      </w:r>
      <w:r>
        <w:rPr>
          <w:rFonts w:hint="eastAsia"/>
          <w:lang w:val="en-US" w:eastAsia="zh-CN"/>
        </w:rPr>
        <w:t>关键</w:t>
      </w:r>
      <w:r>
        <w:rPr>
          <w:rFonts w:hint="eastAsia"/>
        </w:rPr>
        <w:t>期，明确了全省社会主义现代化的路径，全省仍处于充满挑战但大有可为的战略机遇期</w:t>
      </w:r>
      <w:r>
        <w:rPr>
          <w:rFonts w:hint="default"/>
          <w:lang w:val="en-US" w:eastAsia="zh-CN"/>
        </w:rPr>
        <w:t>。</w:t>
      </w:r>
    </w:p>
    <w:p w14:paraId="4F5DE4D7">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从昆明市看，</w:t>
      </w:r>
      <w:r>
        <w:rPr>
          <w:rFonts w:hint="default"/>
        </w:rPr>
        <w:t>昆明作为云南省会和省内唯一特大城市，</w:t>
      </w:r>
      <w:r>
        <w:rPr>
          <w:rFonts w:hint="eastAsia"/>
          <w:lang w:eastAsia="zh-CN"/>
        </w:rPr>
        <w:t>省委、省政府</w:t>
      </w:r>
      <w:r>
        <w:rPr>
          <w:rFonts w:hint="eastAsia"/>
          <w:lang w:val="en-US" w:eastAsia="zh-CN"/>
        </w:rPr>
        <w:t>作出“昆明率先”重大决策，叠加11个国家南向开放平台赋能，昆明加快发展、跨越发展的黄金战略期前所未有，春城生态优势、资源禀赋优势、省会发展优势、产业基础优势、门户开放优势“五大优势”将持续彰显。“十五五”时期全市将</w:t>
      </w:r>
      <w:r>
        <w:rPr>
          <w:rFonts w:hint="eastAsia"/>
        </w:rPr>
        <w:t>在高质量发展</w:t>
      </w:r>
      <w:r>
        <w:rPr>
          <w:rFonts w:hint="eastAsia"/>
          <w:lang w:eastAsia="zh-CN"/>
        </w:rPr>
        <w:t>、</w:t>
      </w:r>
      <w:r>
        <w:rPr>
          <w:rFonts w:hint="eastAsia"/>
          <w:lang w:val="en-US" w:eastAsia="zh-CN"/>
        </w:rPr>
        <w:t>区域协同、城市发展、对外开放</w:t>
      </w:r>
      <w:r>
        <w:rPr>
          <w:rFonts w:hint="eastAsia"/>
        </w:rPr>
        <w:t>等方面率先突破，</w:t>
      </w:r>
      <w:r>
        <w:rPr>
          <w:rFonts w:hint="eastAsia"/>
          <w:lang w:val="en-US" w:eastAsia="zh-CN"/>
        </w:rPr>
        <w:t>加快构建以先进制造业为骨干、现代服务业为支撑、未来产业为引领的“5+7+5+7”昆明特色现代化产业体系，全力打造面向南亚东南亚和环印度洋地区开放门户、西部先进制造业基地、国家战略性资源经济承载地、民族团结进步示范样板区、美丽中国昆明样板、国际旅游目的地。</w:t>
      </w:r>
      <w:r>
        <w:rPr>
          <w:rFonts w:hint="default"/>
          <w:lang w:val="en-US" w:eastAsia="zh-CN"/>
        </w:rPr>
        <w:t>石林</w:t>
      </w:r>
      <w:r>
        <w:rPr>
          <w:rFonts w:hint="eastAsia"/>
          <w:lang w:val="en-US" w:eastAsia="zh-CN"/>
        </w:rPr>
        <w:t>县有基础、有机会争取更多省、市倾斜支持，</w:t>
      </w:r>
      <w:r>
        <w:rPr>
          <w:rFonts w:hint="default"/>
          <w:lang w:val="en-US" w:eastAsia="zh-CN"/>
        </w:rPr>
        <w:t>未来在</w:t>
      </w:r>
      <w:r>
        <w:rPr>
          <w:rFonts w:hint="eastAsia"/>
          <w:lang w:val="en-US" w:eastAsia="zh-CN"/>
        </w:rPr>
        <w:t>优化现代化产业体系、发展壮大</w:t>
      </w:r>
      <w:r>
        <w:rPr>
          <w:rFonts w:hint="default"/>
          <w:lang w:val="en-US" w:eastAsia="zh-CN"/>
        </w:rPr>
        <w:t>园区经济</w:t>
      </w:r>
      <w:r>
        <w:rPr>
          <w:rFonts w:hint="eastAsia"/>
          <w:lang w:val="en-US" w:eastAsia="zh-CN"/>
        </w:rPr>
        <w:t>、新型城镇化建设</w:t>
      </w:r>
      <w:r>
        <w:rPr>
          <w:rFonts w:hint="default"/>
          <w:lang w:val="en-US" w:eastAsia="zh-CN"/>
        </w:rPr>
        <w:t>等方面将有更大的空间。</w:t>
      </w:r>
    </w:p>
    <w:p w14:paraId="4161933A">
      <w:pPr>
        <w:keepNext/>
        <w:keepLines w:val="0"/>
        <w:pageBreakBefore w:val="0"/>
        <w:widowControl w:val="0"/>
        <w:kinsoku/>
        <w:wordWrap/>
        <w:overflowPunct/>
        <w:topLinePunct w:val="0"/>
        <w:autoSpaceDE/>
        <w:autoSpaceDN/>
        <w:bidi w:val="0"/>
        <w:adjustRightInd/>
        <w:snapToGrid/>
        <w:spacing w:beforeLines="0" w:afterLines="0"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二、面临</w:t>
      </w:r>
      <w:r>
        <w:rPr>
          <w:rFonts w:hint="eastAsia" w:ascii="楷体_GB2312" w:hAnsi="楷体_GB2312" w:eastAsia="楷体_GB2312" w:cs="楷体_GB2312"/>
          <w:b w:val="0"/>
          <w:bCs w:val="0"/>
          <w:color w:val="auto"/>
          <w:sz w:val="32"/>
          <w:szCs w:val="32"/>
          <w:highlight w:val="none"/>
          <w:lang w:val="en-US" w:eastAsia="zh-CN"/>
        </w:rPr>
        <w:t>的</w:t>
      </w:r>
      <w:r>
        <w:rPr>
          <w:rFonts w:hint="default" w:ascii="楷体_GB2312" w:hAnsi="楷体_GB2312" w:eastAsia="楷体_GB2312" w:cs="楷体_GB2312"/>
          <w:b w:val="0"/>
          <w:bCs w:val="0"/>
          <w:color w:val="auto"/>
          <w:sz w:val="32"/>
          <w:szCs w:val="32"/>
          <w:highlight w:val="none"/>
          <w:lang w:val="en-US" w:eastAsia="zh-CN"/>
        </w:rPr>
        <w:t>机遇</w:t>
      </w:r>
    </w:p>
    <w:p w14:paraId="6291CE81">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习近平总书记三次考察云南重要讲话精神为石林县推动高质量发展指明方向。</w:t>
      </w:r>
      <w:r>
        <w:rPr>
          <w:rFonts w:hint="default"/>
          <w:lang w:val="en-US" w:eastAsia="zh-CN"/>
        </w:rPr>
        <w:t>总书记三次考察云南并发表重要讲话，</w:t>
      </w:r>
      <w:r>
        <w:rPr>
          <w:rFonts w:hint="default"/>
        </w:rPr>
        <w:t>对云南工作作出一系列重要指示批示，</w:t>
      </w:r>
      <w:r>
        <w:rPr>
          <w:rFonts w:hint="default"/>
          <w:lang w:val="en-US" w:eastAsia="zh-CN"/>
        </w:rPr>
        <w:t>明确提出了当前和今后一个时期云南的前进方向和重要任务，要努力成为我国民族团结进步示范区、生态文明建设排头兵、面向南亚东南亚辐射中心，为石林县经济社会发展提供明确指引，有利于石林县加快新旧动能转换、补齐基础设施和公共服务短板，促进城乡融合发展。</w:t>
      </w:r>
    </w:p>
    <w:p w14:paraId="2E35CD01">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国家、省市多重发展战略和政策红利叠加，为石林县培育经济新增长点带来机遇。</w:t>
      </w:r>
      <w:r>
        <w:rPr>
          <w:rFonts w:hint="default"/>
          <w:lang w:val="en-US" w:eastAsia="zh-CN"/>
        </w:rPr>
        <w:t>国家高质量共建</w:t>
      </w:r>
      <w:r>
        <w:rPr>
          <w:rFonts w:hint="eastAsia"/>
          <w:lang w:val="en-US" w:eastAsia="zh-CN"/>
        </w:rPr>
        <w:t>“</w:t>
      </w:r>
      <w:r>
        <w:rPr>
          <w:rFonts w:hint="default"/>
          <w:lang w:val="en-US" w:eastAsia="zh-CN"/>
        </w:rPr>
        <w:t>一带一路</w:t>
      </w:r>
      <w:r>
        <w:rPr>
          <w:rFonts w:hint="eastAsia"/>
          <w:lang w:val="en-US" w:eastAsia="zh-CN"/>
        </w:rPr>
        <w:t>”</w:t>
      </w:r>
      <w:r>
        <w:rPr>
          <w:rFonts w:hint="default"/>
          <w:lang w:val="en-US" w:eastAsia="zh-CN"/>
        </w:rPr>
        <w:t>、新时代推动西部大开发、东中西部产业梯次有序转移等重大国家战略和政策交汇叠加；省委提出</w:t>
      </w:r>
      <w:r>
        <w:rPr>
          <w:rFonts w:hint="eastAsia"/>
          <w:lang w:val="en-US" w:eastAsia="zh-CN"/>
        </w:rPr>
        <w:t>“</w:t>
      </w:r>
      <w:r>
        <w:rPr>
          <w:rFonts w:hint="default"/>
          <w:lang w:val="en-US" w:eastAsia="zh-CN"/>
        </w:rPr>
        <w:t>3815</w:t>
      </w:r>
      <w:r>
        <w:rPr>
          <w:rFonts w:hint="eastAsia"/>
          <w:lang w:val="en-US" w:eastAsia="zh-CN"/>
        </w:rPr>
        <w:t>”</w:t>
      </w:r>
      <w:r>
        <w:rPr>
          <w:rFonts w:hint="default"/>
          <w:lang w:val="en-US" w:eastAsia="zh-CN"/>
        </w:rPr>
        <w:t>战略发展目标，面向南亚东南亚辐射中心加快建设、</w:t>
      </w:r>
      <w:r>
        <w:rPr>
          <w:rFonts w:hint="eastAsia"/>
          <w:lang w:val="en-US" w:eastAsia="zh-CN"/>
        </w:rPr>
        <w:t>“</w:t>
      </w:r>
      <w:r>
        <w:rPr>
          <w:rFonts w:hint="default"/>
          <w:lang w:val="en-US" w:eastAsia="zh-CN"/>
        </w:rPr>
        <w:t>三大经济</w:t>
      </w:r>
      <w:r>
        <w:rPr>
          <w:rFonts w:hint="eastAsia"/>
          <w:lang w:val="en-US" w:eastAsia="zh-CN"/>
        </w:rPr>
        <w:t>”</w:t>
      </w:r>
      <w:r>
        <w:rPr>
          <w:rFonts w:hint="default"/>
          <w:lang w:val="en-US" w:eastAsia="zh-CN"/>
        </w:rPr>
        <w:t>一体推动以及产业强省、扩大内需等系列三年行动纵深推进；昆明市统筹推进工业强市、贸易富市、旅游兴市、金融活市，持续推动</w:t>
      </w:r>
      <w:r>
        <w:rPr>
          <w:rFonts w:hint="eastAsia"/>
          <w:lang w:val="en-US" w:eastAsia="zh-CN"/>
        </w:rPr>
        <w:t>“</w:t>
      </w:r>
      <w:r>
        <w:rPr>
          <w:rFonts w:hint="default"/>
          <w:lang w:val="en-US" w:eastAsia="zh-CN"/>
        </w:rPr>
        <w:t>六个春城</w:t>
      </w:r>
      <w:r>
        <w:rPr>
          <w:rFonts w:hint="eastAsia"/>
          <w:lang w:val="en-US" w:eastAsia="zh-CN"/>
        </w:rPr>
        <w:t>”</w:t>
      </w:r>
      <w:r>
        <w:rPr>
          <w:rFonts w:hint="default"/>
          <w:lang w:val="en-US" w:eastAsia="zh-CN"/>
        </w:rPr>
        <w:t>建设，加快建设昆明都市圈。国家、省、市各级利好政策叠加效应将逐步释放，为石林县“十五五”时期增强经济发展内生动力、加快区域</w:t>
      </w:r>
      <w:r>
        <w:rPr>
          <w:rFonts w:hint="default"/>
          <w:spacing w:val="-6"/>
          <w:lang w:val="en-US" w:eastAsia="zh-CN"/>
        </w:rPr>
        <w:t>开放合作、提升基础设施和公共服务水平等创造了更为有利的条件。</w:t>
      </w:r>
    </w:p>
    <w:p w14:paraId="2419B82C">
      <w:pPr>
        <w:bidi w:val="0"/>
        <w:rPr>
          <w:rFonts w:hint="default"/>
          <w:lang w:val="en-US" w:eastAsia="zh-CN"/>
        </w:rPr>
      </w:pPr>
      <w:r>
        <w:rPr>
          <w:rFonts w:hint="default"/>
          <w:b/>
          <w:bCs/>
          <w:lang w:val="en-US" w:eastAsia="zh-CN"/>
        </w:rPr>
        <w:t>东中西部产业梯次有序转移，为石林县加快推动产业转型升级带来的机遇。</w:t>
      </w:r>
      <w:r>
        <w:rPr>
          <w:rFonts w:hint="default"/>
          <w:lang w:val="en-US" w:eastAsia="zh-CN"/>
        </w:rPr>
        <w:t>建设国家战略腹地和关键产业备份已成为国家百年大计，《关于实施就业优先战略促进高质量充分就业的意见》提出</w:t>
      </w:r>
      <w:r>
        <w:rPr>
          <w:rFonts w:hint="eastAsia"/>
          <w:lang w:val="en-US" w:eastAsia="zh-CN"/>
        </w:rPr>
        <w:t>“</w:t>
      </w:r>
      <w:r>
        <w:rPr>
          <w:rFonts w:hint="default"/>
          <w:lang w:val="en-US" w:eastAsia="zh-CN"/>
        </w:rPr>
        <w:t>引导资金、技术、劳动密集型产业从东部向中西部、从中心城市向腹地有序转移</w:t>
      </w:r>
      <w:r>
        <w:rPr>
          <w:rFonts w:hint="eastAsia"/>
          <w:lang w:val="en-US" w:eastAsia="zh-CN"/>
        </w:rPr>
        <w:t>”</w:t>
      </w:r>
      <w:r>
        <w:rPr>
          <w:rFonts w:hint="default"/>
          <w:lang w:val="en-US" w:eastAsia="zh-CN"/>
        </w:rPr>
        <w:t>，《关于促进制造业有序转移的指导意见》明确提出，西部地区有序承接东部地区产业转移，建设国家重要能源化工、资源精深加工、新材料、轻工产品等劳动密集型产业、绿色食品基地，以及区域性高技术产业和先进制造业基地，为石林县</w:t>
      </w:r>
      <w:r>
        <w:rPr>
          <w:rFonts w:hint="eastAsia"/>
          <w:lang w:val="en-US" w:eastAsia="zh-CN"/>
        </w:rPr>
        <w:t>“</w:t>
      </w:r>
      <w:r>
        <w:rPr>
          <w:rFonts w:hint="default"/>
          <w:lang w:val="en-US" w:eastAsia="zh-CN"/>
        </w:rPr>
        <w:t>十五五</w:t>
      </w:r>
      <w:r>
        <w:rPr>
          <w:rFonts w:hint="eastAsia"/>
          <w:lang w:val="en-US" w:eastAsia="zh-CN"/>
        </w:rPr>
        <w:t>”</w:t>
      </w:r>
      <w:r>
        <w:rPr>
          <w:rFonts w:hint="default"/>
          <w:lang w:val="en-US" w:eastAsia="zh-CN"/>
        </w:rPr>
        <w:t>时期推动绿色建材迭代升级、生物医药创新发展，打造优势产业集群等带来重大机遇。</w:t>
      </w:r>
    </w:p>
    <w:p w14:paraId="75F247A6">
      <w:pPr>
        <w:bidi w:val="0"/>
        <w:rPr>
          <w:rFonts w:hint="default"/>
          <w:lang w:val="en-US" w:eastAsia="zh-CN"/>
        </w:rPr>
      </w:pPr>
      <w:r>
        <w:rPr>
          <w:rFonts w:hint="default"/>
          <w:b/>
          <w:bCs/>
          <w:lang w:val="en-US" w:eastAsia="zh-CN"/>
        </w:rPr>
        <w:t>“旅居云南”加快建设，为石林县文旅产业转型和文旅消费升级带来机遇。</w:t>
      </w:r>
      <w:r>
        <w:rPr>
          <w:rFonts w:hint="default"/>
          <w:lang w:val="en-US" w:eastAsia="zh-CN"/>
        </w:rPr>
        <w:t>近年来，云南省委、省政府高度重视文旅产业发展，提出文旅融合、</w:t>
      </w:r>
      <w:r>
        <w:rPr>
          <w:rFonts w:hint="eastAsia"/>
          <w:lang w:val="en-US" w:eastAsia="zh-CN"/>
        </w:rPr>
        <w:t>“</w:t>
      </w:r>
      <w:r>
        <w:rPr>
          <w:rFonts w:hint="default"/>
          <w:lang w:val="en-US" w:eastAsia="zh-CN"/>
        </w:rPr>
        <w:t>旅居云南</w:t>
      </w:r>
      <w:r>
        <w:rPr>
          <w:rFonts w:hint="eastAsia"/>
          <w:lang w:val="en-US" w:eastAsia="zh-CN"/>
        </w:rPr>
        <w:t>”</w:t>
      </w:r>
      <w:r>
        <w:rPr>
          <w:rFonts w:hint="default"/>
          <w:lang w:val="en-US" w:eastAsia="zh-CN"/>
        </w:rPr>
        <w:t>发展战略，出台《加快推进旅居云南建设三年行动》以及旅居产业用地保障、</w:t>
      </w:r>
      <w:r>
        <w:rPr>
          <w:rFonts w:hint="eastAsia"/>
          <w:lang w:val="en-US" w:eastAsia="zh-CN"/>
        </w:rPr>
        <w:t>“</w:t>
      </w:r>
      <w:r>
        <w:rPr>
          <w:rFonts w:hint="default"/>
          <w:lang w:val="en-US" w:eastAsia="zh-CN"/>
        </w:rPr>
        <w:t>旅居云南</w:t>
      </w:r>
      <w:r>
        <w:rPr>
          <w:rFonts w:hint="eastAsia"/>
          <w:lang w:val="en-US" w:eastAsia="zh-CN"/>
        </w:rPr>
        <w:t>”</w:t>
      </w:r>
      <w:r>
        <w:rPr>
          <w:rFonts w:hint="default"/>
          <w:lang w:val="en-US" w:eastAsia="zh-CN"/>
        </w:rPr>
        <w:t>高质量发展试点工作方案、旅居发展正负面清单等政策文件。石林县拥有世界喀斯特地貌的精华，是阿诗玛文化的故乡，拥有</w:t>
      </w:r>
      <w:r>
        <w:rPr>
          <w:rFonts w:hint="eastAsia"/>
          <w:lang w:val="en-US" w:eastAsia="zh-CN"/>
        </w:rPr>
        <w:t>“</w:t>
      </w:r>
      <w:r>
        <w:rPr>
          <w:rFonts w:hint="default"/>
          <w:lang w:val="en-US" w:eastAsia="zh-CN"/>
        </w:rPr>
        <w:t>世界地质公园</w:t>
      </w:r>
      <w:r>
        <w:rPr>
          <w:rFonts w:hint="eastAsia"/>
          <w:lang w:val="en-US" w:eastAsia="zh-CN"/>
        </w:rPr>
        <w:t>”</w:t>
      </w:r>
      <w:r>
        <w:rPr>
          <w:rFonts w:hint="default"/>
          <w:lang w:val="en-US" w:eastAsia="zh-CN"/>
        </w:rPr>
        <w:t>石林和阿诗玛文化两个世界级IP优势。随着</w:t>
      </w:r>
      <w:r>
        <w:rPr>
          <w:rFonts w:hint="eastAsia"/>
          <w:lang w:val="en-US" w:eastAsia="zh-CN"/>
        </w:rPr>
        <w:t>“</w:t>
      </w:r>
      <w:r>
        <w:rPr>
          <w:rFonts w:hint="default"/>
          <w:lang w:val="en-US" w:eastAsia="zh-CN"/>
        </w:rPr>
        <w:t>旅居云南</w:t>
      </w:r>
      <w:r>
        <w:rPr>
          <w:rFonts w:hint="eastAsia"/>
          <w:lang w:val="en-US" w:eastAsia="zh-CN"/>
        </w:rPr>
        <w:t>”</w:t>
      </w:r>
      <w:r>
        <w:rPr>
          <w:rFonts w:hint="default"/>
          <w:lang w:val="en-US" w:eastAsia="zh-CN"/>
        </w:rPr>
        <w:t>加快建设，文化旅游、康养休闲等产业将持续壮大，为石林发展多元旅居业态、擦亮石林旅游金字招牌带来机遇。</w:t>
      </w:r>
    </w:p>
    <w:p w14:paraId="50D1E8C9">
      <w:pPr>
        <w:keepNext/>
        <w:keepLines w:val="0"/>
        <w:pageBreakBefore w:val="0"/>
        <w:widowControl w:val="0"/>
        <w:kinsoku/>
        <w:wordWrap/>
        <w:overflowPunct/>
        <w:topLinePunct w:val="0"/>
        <w:autoSpaceDE/>
        <w:autoSpaceDN/>
        <w:bidi w:val="0"/>
        <w:adjustRightInd/>
        <w:snapToGrid/>
        <w:spacing w:line="526" w:lineRule="exact"/>
        <w:textAlignment w:val="auto"/>
        <w:rPr>
          <w:rFonts w:hint="default" w:ascii="宋体" w:hAnsi="宋体"/>
          <w:lang w:val="en-US" w:eastAsia="zh-CN"/>
        </w:rPr>
      </w:pPr>
      <w:r>
        <w:rPr>
          <w:rFonts w:hint="eastAsia"/>
          <w:b/>
          <w:bCs/>
          <w:lang w:val="en-US" w:eastAsia="zh-CN"/>
        </w:rPr>
        <w:t>昆明</w:t>
      </w:r>
      <w:r>
        <w:rPr>
          <w:rFonts w:hint="eastAsia"/>
          <w:b/>
          <w:bCs/>
        </w:rPr>
        <w:t>托管磨憨</w:t>
      </w:r>
      <w:r>
        <w:rPr>
          <w:rFonts w:hint="eastAsia"/>
          <w:b/>
          <w:bCs/>
          <w:lang w:val="en-US" w:eastAsia="zh-CN"/>
        </w:rPr>
        <w:t>建设国际口岸城市，为石林县加快推进高水平对外开放带来机遇。</w:t>
      </w:r>
      <w:r>
        <w:rPr>
          <w:rFonts w:hint="eastAsia"/>
          <w:lang w:val="en-US" w:eastAsia="zh-CN"/>
        </w:rPr>
        <w:t>昆明</w:t>
      </w:r>
      <w:r>
        <w:rPr>
          <w:rFonts w:hint="default"/>
        </w:rPr>
        <w:t>托管磨憨后</w:t>
      </w:r>
      <w:r>
        <w:rPr>
          <w:rFonts w:hint="eastAsia"/>
          <w:lang w:eastAsia="zh-CN"/>
        </w:rPr>
        <w:t>，</w:t>
      </w:r>
      <w:r>
        <w:rPr>
          <w:rFonts w:hint="default"/>
        </w:rPr>
        <w:t>南向开放持续扩大，昆明开放枢纽门户功能作用日益凸显，将协同推进</w:t>
      </w:r>
      <w:r>
        <w:rPr>
          <w:rFonts w:hint="eastAsia"/>
          <w:lang w:eastAsia="zh-CN"/>
        </w:rPr>
        <w:t>“</w:t>
      </w:r>
      <w:r>
        <w:rPr>
          <w:rFonts w:hint="default"/>
        </w:rPr>
        <w:t>省会城市+边境口岸</w:t>
      </w:r>
      <w:r>
        <w:rPr>
          <w:rFonts w:hint="eastAsia"/>
          <w:lang w:eastAsia="zh-CN"/>
        </w:rPr>
        <w:t>”</w:t>
      </w:r>
      <w:r>
        <w:rPr>
          <w:rFonts w:hint="eastAsia"/>
          <w:lang w:val="en-US" w:eastAsia="zh-CN"/>
        </w:rPr>
        <w:t>一</w:t>
      </w:r>
      <w:r>
        <w:rPr>
          <w:rFonts w:hint="default"/>
        </w:rPr>
        <w:t>体化发展，释放</w:t>
      </w:r>
      <w:r>
        <w:rPr>
          <w:rFonts w:hint="eastAsia"/>
          <w:lang w:eastAsia="zh-CN"/>
        </w:rPr>
        <w:t>“</w:t>
      </w:r>
      <w:r>
        <w:rPr>
          <w:rFonts w:hint="default"/>
        </w:rPr>
        <w:t>边境口岸</w:t>
      </w:r>
      <w:r>
        <w:rPr>
          <w:rFonts w:hint="eastAsia"/>
          <w:lang w:eastAsia="zh-CN"/>
        </w:rPr>
        <w:t>”</w:t>
      </w:r>
      <w:r>
        <w:rPr>
          <w:rFonts w:hint="default"/>
        </w:rPr>
        <w:t>与</w:t>
      </w:r>
      <w:r>
        <w:rPr>
          <w:rFonts w:hint="eastAsia"/>
          <w:lang w:eastAsia="zh-CN"/>
        </w:rPr>
        <w:t>“</w:t>
      </w:r>
      <w:r>
        <w:rPr>
          <w:rFonts w:hint="default"/>
        </w:rPr>
        <w:t>数据口岸</w:t>
      </w:r>
      <w:r>
        <w:rPr>
          <w:rFonts w:hint="eastAsia"/>
          <w:lang w:eastAsia="zh-CN"/>
        </w:rPr>
        <w:t>”</w:t>
      </w:r>
      <w:r>
        <w:rPr>
          <w:rFonts w:hint="default"/>
        </w:rPr>
        <w:t>叠加优势，全面提升在国内国际</w:t>
      </w:r>
      <w:r>
        <w:rPr>
          <w:rFonts w:hint="eastAsia"/>
          <w:lang w:eastAsia="zh-CN"/>
        </w:rPr>
        <w:t>“</w:t>
      </w:r>
      <w:r>
        <w:rPr>
          <w:rFonts w:hint="default"/>
        </w:rPr>
        <w:t>大循环、双循环</w:t>
      </w:r>
      <w:r>
        <w:rPr>
          <w:rFonts w:hint="eastAsia"/>
          <w:lang w:eastAsia="zh-CN"/>
        </w:rPr>
        <w:t>”</w:t>
      </w:r>
      <w:r>
        <w:rPr>
          <w:rFonts w:hint="default"/>
        </w:rPr>
        <w:t>中的嵌入度、贡献度</w:t>
      </w:r>
      <w:r>
        <w:rPr>
          <w:rFonts w:hint="eastAsia"/>
          <w:lang w:eastAsia="zh-CN"/>
        </w:rPr>
        <w:t>。</w:t>
      </w:r>
      <w:r>
        <w:rPr>
          <w:rFonts w:hint="eastAsia"/>
          <w:lang w:val="en-US" w:eastAsia="zh-CN"/>
        </w:rPr>
        <w:t>这为石林县发挥区位交通优势，主动服务和融入昆明市建设国际口岸城市、云南省加快建设面向南亚东南亚辐射中心，扩大高水平对外开放带来重大机遇。</w:t>
      </w:r>
    </w:p>
    <w:p w14:paraId="209ECA7F">
      <w:pPr>
        <w:keepNext/>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三、面临的困难和挑战</w:t>
      </w:r>
    </w:p>
    <w:p w14:paraId="6B34F5C7">
      <w:pPr>
        <w:bidi w:val="0"/>
        <w:rPr>
          <w:rFonts w:hint="eastAsia"/>
          <w:lang w:val="en-US" w:eastAsia="zh-CN"/>
        </w:rPr>
      </w:pPr>
      <w:r>
        <w:rPr>
          <w:rFonts w:hint="eastAsia"/>
          <w:b/>
          <w:bCs/>
          <w:lang w:val="en-US" w:eastAsia="zh-CN"/>
        </w:rPr>
        <w:t>经济形势复杂严峻带来的挑战。</w:t>
      </w:r>
      <w:r>
        <w:rPr>
          <w:rFonts w:hint="eastAsia"/>
        </w:rPr>
        <w:t>世界经济增长动能不足，全球经济下行风险和国际贸易不确定性</w:t>
      </w:r>
      <w:r>
        <w:rPr>
          <w:rFonts w:hint="eastAsia"/>
          <w:lang w:val="en-US" w:eastAsia="zh-CN"/>
        </w:rPr>
        <w:t>依然存在</w:t>
      </w:r>
      <w:r>
        <w:rPr>
          <w:rFonts w:hint="eastAsia"/>
        </w:rPr>
        <w:t>，</w:t>
      </w:r>
      <w:r>
        <w:rPr>
          <w:rFonts w:hint="eastAsia"/>
          <w:lang w:val="en-US" w:eastAsia="zh-CN"/>
        </w:rPr>
        <w:t>我国经济发展中老问题、新挑战仍然不少，投资、消费和出口等经济增长动力减弱，企业生产经营困难，投资意愿下降，消费者信心不足，消费支出减少，出口面临贸易摩擦、市场需求下降等问题，石林县与全市乃至全省全国经济增长速度或将放缓。</w:t>
      </w:r>
    </w:p>
    <w:p w14:paraId="5E9749E1">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资源环境约束趋紧带来的挑战。</w:t>
      </w:r>
      <w:r>
        <w:rPr>
          <w:rFonts w:hint="default"/>
          <w:lang w:val="en-US" w:eastAsia="zh-CN"/>
        </w:rPr>
        <w:t>石林县生态环境敏感脆弱，石漠化治理任务重，地下水资源保护和供水相互制约，生态保护修复受资金、技术制约明显，生态文明建设正处于压力叠加、负重前行的关键期。同时国家对严格控制耕地</w:t>
      </w:r>
      <w:r>
        <w:rPr>
          <w:rFonts w:hint="eastAsia"/>
          <w:lang w:val="en-US" w:eastAsia="zh-CN"/>
        </w:rPr>
        <w:t>“</w:t>
      </w:r>
      <w:r>
        <w:rPr>
          <w:rFonts w:hint="default"/>
          <w:lang w:val="en-US" w:eastAsia="zh-CN"/>
        </w:rPr>
        <w:t>非农化</w:t>
      </w:r>
      <w:r>
        <w:rPr>
          <w:rFonts w:hint="eastAsia"/>
          <w:lang w:val="en-US" w:eastAsia="zh-CN"/>
        </w:rPr>
        <w:t>”“</w:t>
      </w:r>
      <w:r>
        <w:rPr>
          <w:rFonts w:hint="default"/>
          <w:lang w:val="en-US" w:eastAsia="zh-CN"/>
        </w:rPr>
        <w:t>非粮化</w:t>
      </w:r>
      <w:r>
        <w:rPr>
          <w:rFonts w:hint="eastAsia"/>
          <w:lang w:val="en-US" w:eastAsia="zh-CN"/>
        </w:rPr>
        <w:t>”</w:t>
      </w:r>
      <w:r>
        <w:rPr>
          <w:rFonts w:hint="default"/>
          <w:lang w:val="en-US" w:eastAsia="zh-CN"/>
        </w:rPr>
        <w:t>相关政策要求日渐趋紧，耕地保护、人口集聚与城镇建设及产业发展用地等矛盾也愈加突出。</w:t>
      </w:r>
    </w:p>
    <w:p w14:paraId="500C0C7E">
      <w:pPr>
        <w:keepNext/>
        <w:keepLines w:val="0"/>
        <w:pageBreakBefore w:val="0"/>
        <w:widowControl w:val="0"/>
        <w:kinsoku/>
        <w:wordWrap/>
        <w:overflowPunct/>
        <w:topLinePunct w:val="0"/>
        <w:autoSpaceDE/>
        <w:autoSpaceDN/>
        <w:bidi w:val="0"/>
        <w:adjustRightInd/>
        <w:snapToGrid/>
        <w:spacing w:line="510" w:lineRule="exact"/>
        <w:textAlignment w:val="auto"/>
        <w:rPr>
          <w:rFonts w:hint="default"/>
          <w:lang w:val="en-US" w:eastAsia="zh-CN"/>
        </w:rPr>
      </w:pPr>
      <w:r>
        <w:rPr>
          <w:rFonts w:hint="default"/>
          <w:b/>
          <w:bCs/>
          <w:lang w:val="en-US" w:eastAsia="zh-CN"/>
        </w:rPr>
        <w:t>区域竞争加剧带来的挑战。</w:t>
      </w:r>
      <w:r>
        <w:rPr>
          <w:rFonts w:hint="default"/>
          <w:lang w:val="en-US" w:eastAsia="zh-CN"/>
        </w:rPr>
        <w:t>石林县与周边县（市、区）在产业布局上存在一定的同质化倾向，尤其在资源型产业、劳动密集型产业等领域，竞争日趋激烈</w:t>
      </w:r>
      <w:r>
        <w:rPr>
          <w:rFonts w:hint="eastAsia"/>
          <w:lang w:val="en-US" w:eastAsia="zh-CN"/>
        </w:rPr>
        <w:t>。石林县经济总量在云南省129个县</w:t>
      </w:r>
      <w:r>
        <w:rPr>
          <w:rFonts w:hint="default"/>
          <w:lang w:val="en-US" w:eastAsia="zh-CN"/>
        </w:rPr>
        <w:t>（市、区）</w:t>
      </w:r>
      <w:r>
        <w:rPr>
          <w:rFonts w:hint="eastAsia"/>
          <w:lang w:val="en-US" w:eastAsia="zh-CN"/>
        </w:rPr>
        <w:t>排名78位，全省29个自治县排名第9位，前有标兵，后有追兵</w:t>
      </w:r>
      <w:r>
        <w:rPr>
          <w:rFonts w:hint="default"/>
          <w:lang w:val="en-US" w:eastAsia="zh-CN"/>
        </w:rPr>
        <w:t>。在吸引高端要素、承接优质产业转移等方面，面临着来自区位条件更优、政策支持力度更大地区的挤压，若不能在产业特色化、差异化发展上取得突破，很可能陷入“低端锁定”或发展空间被进一步压缩的困境。</w:t>
      </w:r>
    </w:p>
    <w:p w14:paraId="006BBC02">
      <w:pPr>
        <w:bidi w:val="0"/>
        <w:rPr>
          <w:rFonts w:hint="default"/>
          <w:lang w:val="en-US" w:eastAsia="zh-CN"/>
        </w:rPr>
      </w:pPr>
      <w:r>
        <w:rPr>
          <w:rFonts w:hint="default"/>
          <w:b/>
          <w:bCs/>
          <w:lang w:val="en-US" w:eastAsia="zh-CN"/>
        </w:rPr>
        <w:t>各类社会风险并存带来的挑战。</w:t>
      </w:r>
      <w:r>
        <w:rPr>
          <w:rFonts w:hint="eastAsia"/>
          <w:lang w:val="en-US" w:eastAsia="zh-CN"/>
        </w:rPr>
        <w:t>全县</w:t>
      </w:r>
      <w:r>
        <w:rPr>
          <w:rFonts w:hint="default"/>
          <w:lang w:val="en-US" w:eastAsia="zh-CN"/>
        </w:rPr>
        <w:t>财政收支矛盾突出，收入结构不优，财政刚性支出较多，</w:t>
      </w:r>
      <w:r>
        <w:rPr>
          <w:rFonts w:hint="eastAsia"/>
          <w:lang w:val="en-US" w:eastAsia="zh-CN"/>
        </w:rPr>
        <w:t>“</w:t>
      </w:r>
      <w:r>
        <w:rPr>
          <w:rFonts w:hint="default"/>
          <w:lang w:val="en-US" w:eastAsia="zh-CN"/>
        </w:rPr>
        <w:t>三保</w:t>
      </w:r>
      <w:r>
        <w:rPr>
          <w:rFonts w:hint="eastAsia"/>
          <w:lang w:val="en-US" w:eastAsia="zh-CN"/>
        </w:rPr>
        <w:t>”</w:t>
      </w:r>
      <w:r>
        <w:rPr>
          <w:rFonts w:hint="default"/>
          <w:lang w:val="en-US" w:eastAsia="zh-CN"/>
        </w:rPr>
        <w:t>压力持续加大，税源培育不足，可用财力与刚性支出矛盾突出。偿债高峰期尚未消退，地方政府债务及平台公司偿债压力增加，可供盘活的优质存量资产日趋减少，统筹</w:t>
      </w:r>
      <w:r>
        <w:rPr>
          <w:rFonts w:hint="eastAsia"/>
          <w:lang w:val="en-US" w:eastAsia="zh-CN"/>
        </w:rPr>
        <w:t>“</w:t>
      </w:r>
      <w:r>
        <w:rPr>
          <w:rFonts w:hint="default"/>
          <w:lang w:val="en-US" w:eastAsia="zh-CN"/>
        </w:rPr>
        <w:t>三保</w:t>
      </w:r>
      <w:r>
        <w:rPr>
          <w:rFonts w:hint="eastAsia"/>
          <w:lang w:val="en-US" w:eastAsia="zh-CN"/>
        </w:rPr>
        <w:t>”</w:t>
      </w:r>
      <w:r>
        <w:rPr>
          <w:rFonts w:hint="default"/>
          <w:lang w:val="en-US" w:eastAsia="zh-CN"/>
        </w:rPr>
        <w:t>与防范化解债务风险的压力仍然较大。安全生产、社会治理等方面风险隐患仍然较多。</w:t>
      </w:r>
    </w:p>
    <w:p w14:paraId="69C6A6DD">
      <w:pPr>
        <w:bidi w:val="0"/>
        <w:rPr>
          <w:rFonts w:hint="default"/>
          <w:lang w:val="en-US" w:eastAsia="zh-CN"/>
        </w:rPr>
      </w:pPr>
      <w:r>
        <w:rPr>
          <w:rFonts w:hint="default"/>
          <w:lang w:val="en-US" w:eastAsia="zh-CN"/>
        </w:rPr>
        <w:t>综合来看，石林县正处于战略叠加的机遇窗口期、追赶跨越的承压前行期、蓄势勃发的发展提速期，发展其势已成、其时已至。全县要深刻认识错综复杂的国际环境带来的新矛盾新挑战，深刻把握新发展阶段的新特征新要求，始终保持战略定力，坚持守正创新，努力在</w:t>
      </w:r>
      <w:r>
        <w:rPr>
          <w:rFonts w:hint="eastAsia"/>
          <w:lang w:val="en-US" w:eastAsia="zh-CN"/>
        </w:rPr>
        <w:t>中国式现代化进程中开创石林发展新局面</w:t>
      </w:r>
      <w:r>
        <w:rPr>
          <w:rFonts w:hint="default"/>
          <w:lang w:val="en-US" w:eastAsia="zh-CN"/>
        </w:rPr>
        <w:t>。</w:t>
      </w:r>
    </w:p>
    <w:p w14:paraId="532CC27B">
      <w:pPr>
        <w:pStyle w:val="2"/>
        <w:keepNext/>
        <w:keepLines/>
        <w:pageBreakBefore w:val="0"/>
        <w:widowControl w:val="0"/>
        <w:numPr>
          <w:ilvl w:val="0"/>
          <w:numId w:val="0"/>
        </w:numPr>
        <w:kinsoku/>
        <w:wordWrap/>
        <w:overflowPunct/>
        <w:topLinePunct w:val="0"/>
        <w:autoSpaceDE/>
        <w:autoSpaceDN/>
        <w:bidi w:val="0"/>
        <w:adjustRightInd/>
        <w:snapToGrid/>
        <w:spacing w:before="400" w:after="200" w:line="560" w:lineRule="exact"/>
        <w:ind w:left="0" w:leftChars="0" w:firstLine="0" w:firstLineChars="0"/>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bookmarkStart w:id="73" w:name="_Toc1189133556"/>
      <w:bookmarkStart w:id="74" w:name="_Toc30497"/>
      <w:bookmarkStart w:id="75" w:name="_Toc32075878"/>
      <w:bookmarkStart w:id="76" w:name="_Toc1630210754"/>
      <w:bookmarkStart w:id="77" w:name="_Toc26652"/>
      <w:bookmarkStart w:id="78" w:name="_Toc1420918825"/>
      <w:bookmarkStart w:id="79" w:name="_Toc29559"/>
      <w:bookmarkStart w:id="80" w:name="_Toc6591"/>
      <w:bookmarkStart w:id="81" w:name="_Toc9298"/>
      <w:bookmarkStart w:id="82" w:name="_Toc1218331480"/>
      <w:bookmarkStart w:id="83" w:name="_Toc1099075072"/>
      <w:bookmarkStart w:id="84" w:name="_Toc1890786172"/>
      <w:bookmarkStart w:id="85" w:name="_Toc2531"/>
      <w:bookmarkStart w:id="86" w:name="_Toc2087967817"/>
      <w:bookmarkStart w:id="87" w:name="_Toc1780922186"/>
      <w:bookmarkStart w:id="88" w:name="_Toc1851065562"/>
      <w:bookmarkStart w:id="89" w:name="_Toc320570829"/>
      <w:bookmarkStart w:id="90" w:name="_Toc28789"/>
      <w:bookmarkStart w:id="91" w:name="_Toc1341414909"/>
      <w:bookmarkStart w:id="92" w:name="_Toc1490284751"/>
      <w:bookmarkStart w:id="93" w:name="_Toc5223"/>
      <w:r>
        <w:rPr>
          <w:rFonts w:hint="eastAsia" w:ascii="方正小标宋简体" w:hAnsi="方正小标宋简体" w:eastAsia="方正小标宋简体" w:cs="方正小标宋简体"/>
          <w:b w:val="0"/>
          <w:bCs/>
          <w:color w:val="auto"/>
          <w:sz w:val="36"/>
          <w:szCs w:val="36"/>
          <w:highlight w:val="none"/>
          <w:lang w:val="en-US" w:eastAsia="zh-CN"/>
        </w:rPr>
        <w:t xml:space="preserve">第二章  </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Fonts w:hint="eastAsia" w:ascii="方正小标宋简体" w:hAnsi="方正小标宋简体" w:eastAsia="方正小标宋简体" w:cs="方正小标宋简体"/>
          <w:b w:val="0"/>
          <w:bCs/>
          <w:color w:val="auto"/>
          <w:sz w:val="36"/>
          <w:szCs w:val="36"/>
          <w:highlight w:val="none"/>
          <w:lang w:val="en-US" w:eastAsia="zh-CN"/>
        </w:rPr>
        <w:t>奋力开创中国式现代化石林发展新局面</w:t>
      </w:r>
      <w:bookmarkEnd w:id="90"/>
      <w:bookmarkEnd w:id="91"/>
      <w:bookmarkEnd w:id="92"/>
      <w:bookmarkEnd w:id="93"/>
    </w:p>
    <w:p w14:paraId="4D20B40C">
      <w:pPr>
        <w:pStyle w:val="3"/>
        <w:keepNext/>
        <w:keepLines w:val="0"/>
        <w:pageBreakBefore w:val="0"/>
        <w:widowControl w:val="0"/>
        <w:numPr>
          <w:ilvl w:val="-1"/>
          <w:numId w:val="0"/>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94" w:name="_Toc1284856710"/>
      <w:bookmarkStart w:id="95" w:name="_Toc1944936327"/>
      <w:bookmarkStart w:id="96" w:name="_Toc240610215"/>
      <w:bookmarkStart w:id="97" w:name="_Toc30506"/>
      <w:bookmarkStart w:id="98" w:name="_Toc26300"/>
      <w:bookmarkStart w:id="99" w:name="_Toc1647887257"/>
      <w:bookmarkStart w:id="100" w:name="_Toc263306445"/>
      <w:bookmarkStart w:id="101" w:name="_Toc1364537135"/>
      <w:bookmarkStart w:id="102" w:name="_Toc444824692"/>
      <w:bookmarkStart w:id="103" w:name="_Toc1355774052"/>
      <w:bookmarkStart w:id="104" w:name="_Toc2127668145"/>
      <w:bookmarkStart w:id="105" w:name="_Toc23187"/>
      <w:bookmarkStart w:id="106" w:name="_Toc24132"/>
      <w:bookmarkStart w:id="107" w:name="_Toc80886149"/>
      <w:bookmarkStart w:id="108" w:name="_Toc332108216"/>
      <w:bookmarkStart w:id="109" w:name="_Toc15542"/>
      <w:bookmarkStart w:id="110" w:name="_Toc14951"/>
      <w:bookmarkStart w:id="111" w:name="_Toc14827"/>
      <w:bookmarkStart w:id="112" w:name="_Toc5889"/>
      <w:bookmarkStart w:id="113" w:name="_Toc1114035096"/>
      <w:bookmarkStart w:id="114" w:name="_Toc877049357"/>
      <w:r>
        <w:rPr>
          <w:rFonts w:hint="default" w:ascii="宋体" w:hAnsi="宋体" w:eastAsia="方正黑体_GBK" w:cs="Times New Roman Regular"/>
          <w:b w:val="0"/>
          <w:bCs/>
          <w:color w:val="auto"/>
          <w:sz w:val="32"/>
          <w:szCs w:val="32"/>
          <w:highlight w:val="none"/>
          <w:lang w:val="en-US" w:eastAsia="zh-CN"/>
        </w:rPr>
        <w:t>第一节</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 xml:space="preserve"> </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hint="eastAsia" w:ascii="宋体" w:hAnsi="宋体" w:eastAsia="方正黑体_GBK" w:cs="Times New Roman Regular"/>
          <w:b w:val="0"/>
          <w:bCs/>
          <w:color w:val="auto"/>
          <w:sz w:val="32"/>
          <w:szCs w:val="32"/>
          <w:highlight w:val="none"/>
          <w:lang w:val="en-US" w:eastAsia="zh-CN"/>
        </w:rPr>
        <w:t>总体要求</w:t>
      </w:r>
      <w:bookmarkEnd w:id="112"/>
      <w:bookmarkEnd w:id="113"/>
      <w:bookmarkEnd w:id="114"/>
    </w:p>
    <w:p w14:paraId="0FE45E1F">
      <w:pPr>
        <w:keepNext/>
        <w:keepLines w:val="0"/>
        <w:pageBreakBefore w:val="0"/>
        <w:widowControl w:val="0"/>
        <w:kinsoku/>
        <w:wordWrap/>
        <w:overflowPunct/>
        <w:topLinePunct w:val="0"/>
        <w:autoSpaceDE/>
        <w:autoSpaceDN/>
        <w:bidi w:val="0"/>
        <w:adjustRightInd/>
        <w:snapToGrid/>
        <w:spacing w:line="510" w:lineRule="exact"/>
        <w:textAlignment w:val="auto"/>
        <w:rPr>
          <w:rFonts w:hint="default"/>
          <w:lang w:val="en-US" w:eastAsia="zh-CN"/>
        </w:rPr>
      </w:pPr>
      <w:r>
        <w:rPr>
          <w:rFonts w:hint="default"/>
        </w:rPr>
        <w:t>坚持马克思列宁主义、毛泽东思想、邓小平理论、</w:t>
      </w:r>
      <w:r>
        <w:rPr>
          <w:rFonts w:hint="eastAsia"/>
          <w:lang w:eastAsia="zh-CN"/>
        </w:rPr>
        <w:t>“</w:t>
      </w:r>
      <w:r>
        <w:rPr>
          <w:rFonts w:hint="default"/>
        </w:rPr>
        <w:t>三个代表</w:t>
      </w:r>
      <w:r>
        <w:rPr>
          <w:rFonts w:hint="eastAsia"/>
          <w:lang w:eastAsia="zh-CN"/>
        </w:rPr>
        <w:t>”</w:t>
      </w:r>
      <w:r>
        <w:rPr>
          <w:rFonts w:hint="default"/>
        </w:rPr>
        <w:t>重要思想、科学发展观，全面贯彻习近平新时代中国特色社会主义思想，深入贯彻党的二十大和二十届历次全会精神，深入贯彻落实习近平总书记考察云南重要讲话精神和指示批示精神，统筹推进</w:t>
      </w:r>
      <w:r>
        <w:rPr>
          <w:rFonts w:hint="eastAsia"/>
          <w:lang w:eastAsia="zh-CN"/>
        </w:rPr>
        <w:t>“</w:t>
      </w:r>
      <w:r>
        <w:rPr>
          <w:rFonts w:hint="default"/>
        </w:rPr>
        <w:t>五位一体</w:t>
      </w:r>
      <w:r>
        <w:rPr>
          <w:rFonts w:hint="eastAsia"/>
          <w:lang w:eastAsia="zh-CN"/>
        </w:rPr>
        <w:t>”</w:t>
      </w:r>
      <w:r>
        <w:rPr>
          <w:rFonts w:hint="default"/>
        </w:rPr>
        <w:t>总体布局，协调推进</w:t>
      </w:r>
      <w:r>
        <w:rPr>
          <w:rFonts w:hint="eastAsia"/>
          <w:lang w:eastAsia="zh-CN"/>
        </w:rPr>
        <w:t>“</w:t>
      </w:r>
      <w:r>
        <w:rPr>
          <w:rFonts w:hint="default"/>
        </w:rPr>
        <w:t>四个全面</w:t>
      </w:r>
      <w:r>
        <w:rPr>
          <w:rFonts w:hint="eastAsia"/>
          <w:lang w:eastAsia="zh-CN"/>
        </w:rPr>
        <w:t>”</w:t>
      </w:r>
      <w:r>
        <w:rPr>
          <w:rFonts w:hint="default"/>
        </w:rPr>
        <w:t>战略布局，完整准确全面贯彻新发展理念，主动服务和融入新发展格局，围绕</w:t>
      </w:r>
      <w:r>
        <w:rPr>
          <w:rFonts w:hint="eastAsia"/>
          <w:lang w:eastAsia="zh-CN"/>
        </w:rPr>
        <w:t>“</w:t>
      </w:r>
      <w:r>
        <w:rPr>
          <w:rFonts w:hint="default"/>
        </w:rPr>
        <w:t>一个跨越</w:t>
      </w:r>
      <w:r>
        <w:rPr>
          <w:rFonts w:hint="eastAsia"/>
          <w:lang w:eastAsia="zh-CN"/>
        </w:rPr>
        <w:t>”“</w:t>
      </w:r>
      <w:r>
        <w:rPr>
          <w:rFonts w:hint="default"/>
        </w:rPr>
        <w:t>三个定位</w:t>
      </w:r>
      <w:r>
        <w:rPr>
          <w:rFonts w:hint="eastAsia"/>
          <w:lang w:eastAsia="zh-CN"/>
        </w:rPr>
        <w:t>”“</w:t>
      </w:r>
      <w:r>
        <w:rPr>
          <w:rFonts w:hint="default"/>
        </w:rPr>
        <w:t>开创发展新局面</w:t>
      </w:r>
      <w:r>
        <w:rPr>
          <w:rFonts w:hint="eastAsia"/>
          <w:lang w:eastAsia="zh-CN"/>
        </w:rPr>
        <w:t>”</w:t>
      </w:r>
      <w:r>
        <w:rPr>
          <w:rFonts w:hint="default"/>
        </w:rPr>
        <w:t>这个总纲，锚定省委“3815”战略发展目标和市委“六个春城”建设，坚持稳中求进工作总基调，坚持以经济建设为中心，以推动高质量发展为主题，以改革创新为根本动力，以满足人民日益增长的美好生活需要为根本目的，以铸牢中华民族共同体意识作为全县经济社会各项工作的主线，实施</w:t>
      </w:r>
      <w:r>
        <w:rPr>
          <w:rFonts w:hint="eastAsia"/>
          <w:lang w:eastAsia="zh-CN"/>
        </w:rPr>
        <w:t>“</w:t>
      </w:r>
      <w:r>
        <w:rPr>
          <w:rFonts w:hint="default"/>
        </w:rPr>
        <w:t>旅游立县、农业稳县、工业强县、生态美县、文化活县</w:t>
      </w:r>
      <w:r>
        <w:rPr>
          <w:rFonts w:hint="eastAsia"/>
          <w:lang w:eastAsia="zh-CN"/>
        </w:rPr>
        <w:t>”</w:t>
      </w:r>
      <w:r>
        <w:rPr>
          <w:rFonts w:hint="default"/>
        </w:rPr>
        <w:t>发展战略，坚持</w:t>
      </w:r>
      <w:r>
        <w:rPr>
          <w:rFonts w:hint="eastAsia"/>
          <w:lang w:eastAsia="zh-CN"/>
        </w:rPr>
        <w:t>“</w:t>
      </w:r>
      <w:r>
        <w:rPr>
          <w:rFonts w:hint="default"/>
        </w:rPr>
        <w:t>优旅游、稳农业、强工业</w:t>
      </w:r>
      <w:r>
        <w:rPr>
          <w:rFonts w:hint="eastAsia"/>
          <w:lang w:eastAsia="zh-CN"/>
        </w:rPr>
        <w:t>”</w:t>
      </w:r>
      <w:r>
        <w:rPr>
          <w:rFonts w:hint="default"/>
        </w:rPr>
        <w:t>，搭建石林景区、产业园区、台创园</w:t>
      </w:r>
      <w:r>
        <w:rPr>
          <w:rFonts w:hint="eastAsia"/>
          <w:lang w:eastAsia="zh-CN"/>
        </w:rPr>
        <w:t>“</w:t>
      </w:r>
      <w:r>
        <w:rPr>
          <w:rFonts w:hint="default"/>
        </w:rPr>
        <w:t>三大平台</w:t>
      </w:r>
      <w:r>
        <w:rPr>
          <w:rFonts w:hint="eastAsia"/>
          <w:lang w:eastAsia="zh-CN"/>
        </w:rPr>
        <w:t>”</w:t>
      </w:r>
      <w:r>
        <w:rPr>
          <w:rFonts w:hint="default"/>
        </w:rPr>
        <w:t>，驱动一二三产深度融合发展，以景城融合、产城融合、城乡融合思维统筹新型城镇化和乡村全面振兴，推动基础设施、绿色低碳、改革创新取得新成效，促进公共服务、社会治理得到新提升，统筹高质量发展和高水平安全，</w:t>
      </w:r>
      <w:r>
        <w:rPr>
          <w:rFonts w:hint="default"/>
          <w:b/>
          <w:bCs/>
        </w:rPr>
        <w:t>全力打造民族团结进步示范区、三产深度融合发展区、国际知名旅游目的地</w:t>
      </w:r>
      <w:r>
        <w:rPr>
          <w:rFonts w:hint="default"/>
        </w:rPr>
        <w:t>，推动人的全面发展、全体人民共同富裕迈出坚实步伐，确保与全国全省全市同步基本实现社会主义现代化取得决定性进展。</w:t>
      </w:r>
    </w:p>
    <w:p w14:paraId="153E816E">
      <w:pPr>
        <w:pStyle w:val="3"/>
        <w:keepNext w:val="0"/>
        <w:keepLines w:val="0"/>
        <w:pageBreakBefore w:val="0"/>
        <w:widowControl w:val="0"/>
        <w:numPr>
          <w:ilvl w:val="-1"/>
          <w:numId w:val="0"/>
        </w:numPr>
        <w:kinsoku/>
        <w:wordWrap/>
        <w:overflowPunct/>
        <w:topLinePunct w:val="0"/>
        <w:autoSpaceDE/>
        <w:autoSpaceDN/>
        <w:bidi w:val="0"/>
        <w:adjustRightInd/>
        <w:snapToGrid/>
        <w:spacing w:before="0" w:after="63" w:afterLines="20" w:line="540"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115" w:name="_Toc1696256902"/>
      <w:bookmarkStart w:id="116" w:name="_Toc1968306818"/>
      <w:bookmarkStart w:id="117" w:name="_Toc240790091"/>
      <w:bookmarkStart w:id="118" w:name="_Toc1638654385"/>
      <w:bookmarkStart w:id="119" w:name="_Toc10694"/>
      <w:bookmarkStart w:id="120" w:name="_Toc1825423926"/>
      <w:bookmarkStart w:id="121" w:name="_Toc1575108295"/>
      <w:bookmarkStart w:id="122" w:name="_Toc778023237"/>
      <w:bookmarkStart w:id="123" w:name="_Toc2092016687"/>
      <w:bookmarkStart w:id="124" w:name="_Toc20096"/>
      <w:bookmarkStart w:id="125" w:name="_Toc23624"/>
      <w:bookmarkStart w:id="126" w:name="_Toc26972"/>
      <w:bookmarkStart w:id="127" w:name="_Toc432787759"/>
      <w:bookmarkStart w:id="128" w:name="_Toc25331"/>
      <w:bookmarkStart w:id="129" w:name="_Toc224176204"/>
      <w:bookmarkStart w:id="130" w:name="_Toc96357692"/>
      <w:bookmarkStart w:id="131" w:name="_Toc25607"/>
      <w:bookmarkStart w:id="132" w:name="_Toc797761632"/>
      <w:bookmarkStart w:id="133" w:name="_Toc1692997294"/>
      <w:bookmarkStart w:id="134" w:name="_Toc6419"/>
      <w:bookmarkStart w:id="135" w:name="_Toc10609"/>
      <w:r>
        <w:rPr>
          <w:rFonts w:hint="default" w:ascii="宋体" w:hAnsi="宋体" w:eastAsia="方正黑体_GBK" w:cs="Times New Roman Regular"/>
          <w:b w:val="0"/>
          <w:bCs/>
          <w:color w:val="auto"/>
          <w:sz w:val="32"/>
          <w:szCs w:val="32"/>
          <w:highlight w:val="none"/>
          <w:lang w:val="en-US" w:eastAsia="zh-CN"/>
        </w:rPr>
        <w:t xml:space="preserve">第二节 </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基本原则</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4969EA18">
      <w:pPr>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——坚持党的全面领导。</w:t>
      </w:r>
      <w:r>
        <w:rPr>
          <w:rFonts w:hint="default"/>
          <w:lang w:val="en-US" w:eastAsia="zh-CN"/>
        </w:rPr>
        <w:t>以习近平新时代中国特色社会主义思想为指导，坚决维护党中央权威和集中统一领导，提高党把方向、谋大局、定政策、促改革</w:t>
      </w:r>
      <w:r>
        <w:rPr>
          <w:rFonts w:hint="eastAsia"/>
          <w:lang w:val="en-US" w:eastAsia="zh-CN"/>
        </w:rPr>
        <w:t>的能力</w:t>
      </w:r>
      <w:r>
        <w:rPr>
          <w:rFonts w:hint="default"/>
          <w:lang w:val="en-US" w:eastAsia="zh-CN"/>
        </w:rPr>
        <w:t>，把党的领导贯穿经济社会发展各方面全过程，为中国式现代化石林实践建设提供根本保证。</w:t>
      </w:r>
    </w:p>
    <w:p w14:paraId="45618DCC">
      <w:pPr>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——坚持人民至上。</w:t>
      </w:r>
      <w:r>
        <w:rPr>
          <w:rFonts w:hint="default"/>
          <w:lang w:val="en-US" w:eastAsia="zh-CN"/>
        </w:rPr>
        <w:t>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14:paraId="7CD67DB5">
      <w:pPr>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——坚持高质量发展。</w:t>
      </w:r>
      <w:r>
        <w:rPr>
          <w:rFonts w:hint="default"/>
          <w:lang w:val="en-US" w:eastAsia="zh-CN"/>
        </w:rPr>
        <w:t>以新发展理念引领发展，因地制宜发展新质生产力，主动服务融入国内大循环、国内国际双循环，统筹扩大内需和深化供给侧结构性改革，加快培育新动能，促进经济结构优化升级，做优增量、盘活存量，推动经济持续健康发展和社会全面进步。</w:t>
      </w:r>
    </w:p>
    <w:p w14:paraId="34801A40">
      <w:pPr>
        <w:bidi w:val="0"/>
        <w:rPr>
          <w:rFonts w:hint="default"/>
          <w:lang w:val="en-US" w:eastAsia="zh-CN"/>
        </w:rPr>
      </w:pPr>
      <w:r>
        <w:rPr>
          <w:rFonts w:hint="default"/>
          <w:b/>
          <w:bCs/>
          <w:lang w:val="en-US" w:eastAsia="zh-CN"/>
        </w:rPr>
        <w:t>——坚持全面深化改革。</w:t>
      </w:r>
      <w:r>
        <w:rPr>
          <w:rFonts w:hint="default"/>
          <w:lang w:val="en-US" w:eastAsia="zh-CN"/>
        </w:rPr>
        <w:t>以经济体制改革为牵引，深入推进改革创新，着力破解深层次体制机制障碍，有效提高资源配置效率，坚定不移推进高水平对外开放，不断增强社会主义现代化建设的动力和活力。</w:t>
      </w:r>
    </w:p>
    <w:p w14:paraId="530349F3">
      <w:pPr>
        <w:bidi w:val="0"/>
        <w:rPr>
          <w:rFonts w:hint="default"/>
          <w:lang w:val="en-US" w:eastAsia="zh-CN"/>
        </w:rPr>
      </w:pPr>
      <w:r>
        <w:rPr>
          <w:rFonts w:hint="default"/>
          <w:b/>
          <w:bCs/>
          <w:lang w:val="en-US" w:eastAsia="zh-CN"/>
        </w:rPr>
        <w:t>——坚持有效市场和有为政府相结合。</w:t>
      </w:r>
      <w:r>
        <w:rPr>
          <w:rFonts w:hint="default"/>
          <w:lang w:val="en-US" w:eastAsia="zh-CN"/>
        </w:rPr>
        <w:t>充分发挥市场在资源配置中的决定性作用，更好发挥政府作用，提速市场化、产业化、法治化、生态化、数字化进程，发挥好比较优势，大抓产业发展、大抓营商环境、大抓改革开放、大抓经营主体、大抓绿色发展、大抓创新发展，稳定预期、激发活力，进一步解放和发展</w:t>
      </w:r>
      <w:r>
        <w:rPr>
          <w:rFonts w:hint="eastAsia"/>
          <w:lang w:val="en-US" w:eastAsia="zh-CN"/>
        </w:rPr>
        <w:t>社会</w:t>
      </w:r>
      <w:r>
        <w:rPr>
          <w:rFonts w:hint="default"/>
          <w:lang w:val="en-US" w:eastAsia="zh-CN"/>
        </w:rPr>
        <w:t>生产力。</w:t>
      </w:r>
    </w:p>
    <w:p w14:paraId="19DACDE9">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——坚持统筹发展和安全。</w:t>
      </w:r>
      <w:r>
        <w:rPr>
          <w:rFonts w:hint="default"/>
          <w:lang w:val="en-US" w:eastAsia="zh-CN"/>
        </w:rPr>
        <w:t>全面贯彻总体国家安全观，强化底线思维，在发展中固安全，在安全中谋发展，强化底线思维，有效防范化解各类风险，增强经济和社会韧性，以新安全格局保障新发展格局。</w:t>
      </w:r>
    </w:p>
    <w:p w14:paraId="4BE945F4">
      <w:pPr>
        <w:pStyle w:val="3"/>
        <w:keepNext/>
        <w:keepLines w:val="0"/>
        <w:pageBreakBefore w:val="0"/>
        <w:widowControl w:val="0"/>
        <w:numPr>
          <w:ilvl w:val="-1"/>
          <w:numId w:val="0"/>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136" w:name="_Toc20550"/>
      <w:bookmarkStart w:id="137" w:name="_Toc21554"/>
      <w:bookmarkStart w:id="138" w:name="_Toc336753124"/>
      <w:bookmarkStart w:id="139" w:name="_Toc6984"/>
      <w:bookmarkStart w:id="140" w:name="_Toc1533959567"/>
      <w:bookmarkStart w:id="141" w:name="_Toc47197508"/>
      <w:bookmarkStart w:id="142" w:name="_Toc1144337989"/>
      <w:bookmarkStart w:id="143" w:name="_Toc208617676"/>
      <w:bookmarkStart w:id="144" w:name="_Toc1099868489"/>
      <w:bookmarkStart w:id="145" w:name="_Toc9162"/>
      <w:bookmarkStart w:id="146" w:name="_Toc19195"/>
      <w:bookmarkStart w:id="147" w:name="_Toc814197496"/>
      <w:bookmarkStart w:id="148" w:name="_Toc1239340803"/>
      <w:bookmarkStart w:id="149" w:name="_Toc1922189725"/>
      <w:bookmarkStart w:id="150" w:name="_Toc1043143790"/>
      <w:bookmarkStart w:id="151" w:name="_Toc948543240"/>
      <w:bookmarkStart w:id="152" w:name="_Toc1494591738"/>
      <w:bookmarkStart w:id="153" w:name="_Toc17330"/>
      <w:bookmarkStart w:id="154" w:name="_Toc7681"/>
      <w:bookmarkStart w:id="155" w:name="_Toc3414"/>
      <w:bookmarkStart w:id="156" w:name="_Toc281059606"/>
      <w:r>
        <w:rPr>
          <w:rFonts w:hint="default" w:ascii="宋体" w:hAnsi="宋体" w:eastAsia="方正黑体_GBK" w:cs="Times New Roman Regular"/>
          <w:b w:val="0"/>
          <w:bCs/>
          <w:color w:val="auto"/>
          <w:sz w:val="32"/>
          <w:szCs w:val="32"/>
          <w:highlight w:val="none"/>
          <w:lang w:val="en-US" w:eastAsia="zh-CN"/>
        </w:rPr>
        <w:t xml:space="preserve">第三节 </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发展定位</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4D2ACA6F">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rPr>
      </w:pPr>
      <w:r>
        <w:rPr>
          <w:rFonts w:hint="default"/>
        </w:rPr>
        <w:t>立足石林县资源禀赋、区位优势，正确认识和把握石林在全国、全省、全市发展大局中的地位和作用，本着</w:t>
      </w:r>
      <w:r>
        <w:rPr>
          <w:rFonts w:hint="eastAsia"/>
          <w:lang w:eastAsia="zh-CN"/>
        </w:rPr>
        <w:t>“</w:t>
      </w:r>
      <w:r>
        <w:rPr>
          <w:rFonts w:hint="default"/>
        </w:rPr>
        <w:t>一盘棋</w:t>
      </w:r>
      <w:r>
        <w:rPr>
          <w:rFonts w:hint="eastAsia"/>
          <w:lang w:eastAsia="zh-CN"/>
        </w:rPr>
        <w:t>”</w:t>
      </w:r>
      <w:r>
        <w:rPr>
          <w:rFonts w:hint="default"/>
        </w:rPr>
        <w:t>整体布局，一张蓝图绘到底，科学谋划石林县发展定位。</w:t>
      </w:r>
    </w:p>
    <w:p w14:paraId="5C503224">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rPr>
      </w:pPr>
      <w:r>
        <w:rPr>
          <w:rFonts w:hint="default"/>
          <w:b/>
          <w:bCs/>
        </w:rPr>
        <w:t>民族团结进步示范区。</w:t>
      </w:r>
      <w:r>
        <w:rPr>
          <w:rFonts w:hint="default"/>
        </w:rPr>
        <w:t>把民族工作放到全县经济社会发展大局中谋划，以铸牢中华民族共同体意识为主线，紧扣“石林喀斯特地貌+阿诗玛文化”双重特色，通过文化赋能、文旅带动，培育特色种养殖业、民族手</w:t>
      </w:r>
      <w:r>
        <w:rPr>
          <w:rFonts w:hint="eastAsia"/>
          <w:lang w:val="en-US" w:eastAsia="zh-CN"/>
        </w:rPr>
        <w:t>工业</w:t>
      </w:r>
      <w:r>
        <w:rPr>
          <w:rFonts w:hint="default"/>
        </w:rPr>
        <w:t>等富民产业，以产业发展夯实共同富裕根基，以共同发展促进民族团结，推进全域全业全民民族团结进步示范创建，推动民族团结进步与乡村全面振兴协同发展，打造民族团结进步示范区建设的“石林样本”。</w:t>
      </w:r>
    </w:p>
    <w:p w14:paraId="221EE787">
      <w:pPr>
        <w:keepNext/>
        <w:keepLines w:val="0"/>
        <w:pageBreakBefore w:val="0"/>
        <w:widowControl w:val="0"/>
        <w:kinsoku/>
        <w:wordWrap/>
        <w:overflowPunct/>
        <w:topLinePunct w:val="0"/>
        <w:autoSpaceDE/>
        <w:autoSpaceDN/>
        <w:bidi w:val="0"/>
        <w:adjustRightInd/>
        <w:snapToGrid/>
        <w:spacing w:line="516" w:lineRule="exact"/>
        <w:textAlignment w:val="auto"/>
        <w:rPr>
          <w:rFonts w:hint="default" w:ascii="宋体" w:hAnsi="宋体" w:eastAsia="方正仿宋_GBK" w:cs="Times New Roman Regular"/>
          <w:b/>
          <w:bCs/>
          <w:color w:val="auto"/>
          <w:szCs w:val="32"/>
          <w:highlight w:val="none"/>
        </w:rPr>
      </w:pPr>
      <w:r>
        <w:rPr>
          <w:rFonts w:hint="default"/>
          <w:b/>
          <w:bCs/>
        </w:rPr>
        <w:t>三产</w:t>
      </w:r>
      <w:r>
        <w:rPr>
          <w:rFonts w:hint="eastAsia"/>
          <w:b/>
          <w:bCs/>
          <w:lang w:val="en-US" w:eastAsia="zh-CN"/>
        </w:rPr>
        <w:t>深度</w:t>
      </w:r>
      <w:r>
        <w:rPr>
          <w:rFonts w:hint="default"/>
          <w:b/>
          <w:bCs/>
        </w:rPr>
        <w:t>融合发展区。</w:t>
      </w:r>
      <w:r>
        <w:rPr>
          <w:rFonts w:hint="default"/>
        </w:rPr>
        <w:t>以农工文旅深度融合为主线，聚焦</w:t>
      </w:r>
      <w:r>
        <w:rPr>
          <w:rFonts w:hint="eastAsia"/>
          <w:lang w:eastAsia="zh-CN"/>
        </w:rPr>
        <w:t>“</w:t>
      </w:r>
      <w:r>
        <w:rPr>
          <w:rFonts w:hint="default"/>
        </w:rPr>
        <w:t>为工业提供原料、为旅游提供场景</w:t>
      </w:r>
      <w:r>
        <w:rPr>
          <w:rFonts w:hint="eastAsia"/>
          <w:lang w:eastAsia="zh-CN"/>
        </w:rPr>
        <w:t>”</w:t>
      </w:r>
      <w:r>
        <w:rPr>
          <w:rFonts w:hint="default"/>
        </w:rPr>
        <w:t>，发展壮大石林</w:t>
      </w:r>
      <w:r>
        <w:rPr>
          <w:rFonts w:hint="eastAsia"/>
          <w:lang w:val="en-US" w:eastAsia="zh-CN"/>
        </w:rPr>
        <w:t>畜禽养殖、</w:t>
      </w:r>
      <w:r>
        <w:rPr>
          <w:rFonts w:hint="default"/>
        </w:rPr>
        <w:t>人参果、蔬菜花卉</w:t>
      </w:r>
      <w:r>
        <w:rPr>
          <w:rFonts w:hint="eastAsia"/>
          <w:lang w:val="en-US" w:eastAsia="zh-CN"/>
        </w:rPr>
        <w:t>等</w:t>
      </w:r>
      <w:r>
        <w:rPr>
          <w:rFonts w:hint="default"/>
        </w:rPr>
        <w:t>优势特色农业，</w:t>
      </w:r>
      <w:r>
        <w:rPr>
          <w:rFonts w:hint="eastAsia"/>
          <w:lang w:val="en-US" w:eastAsia="zh-CN"/>
        </w:rPr>
        <w:t>做强畜禽肉制品、乳制品等精深加工，</w:t>
      </w:r>
      <w:r>
        <w:rPr>
          <w:rFonts w:hint="default"/>
        </w:rPr>
        <w:t>培育一批土特产、伴手礼，</w:t>
      </w:r>
      <w:r>
        <w:rPr>
          <w:rFonts w:hint="default"/>
          <w:lang w:val="en-US" w:eastAsia="zh-CN"/>
        </w:rPr>
        <w:t>推动特色产品</w:t>
      </w:r>
      <w:r>
        <w:rPr>
          <w:rFonts w:hint="default"/>
        </w:rPr>
        <w:t>与文旅消费需求对接；聚焦工业赋能文旅发展和城市建设，发挥石林产业园区产业集聚作用，推动绿色食品、生物医药、</w:t>
      </w:r>
      <w:r>
        <w:rPr>
          <w:rFonts w:hint="eastAsia"/>
          <w:lang w:val="en-US" w:eastAsia="zh-CN"/>
        </w:rPr>
        <w:t>钙基新材料（石材）</w:t>
      </w:r>
      <w:r>
        <w:rPr>
          <w:rFonts w:hint="default"/>
        </w:rPr>
        <w:t>等工业发展重点突破，积极开发特色工业旅游产品和工业旅游新场景；优化文旅服务品质，联动景区、城镇、乡村构建全域旅游发展格局，形成</w:t>
      </w:r>
      <w:r>
        <w:rPr>
          <w:rFonts w:hint="eastAsia"/>
          <w:lang w:eastAsia="zh-CN"/>
        </w:rPr>
        <w:t>“</w:t>
      </w:r>
      <w:r>
        <w:rPr>
          <w:rFonts w:hint="default"/>
        </w:rPr>
        <w:t>以文塑旅、以旅兴农、以工强基</w:t>
      </w:r>
      <w:r>
        <w:rPr>
          <w:rFonts w:hint="eastAsia"/>
          <w:lang w:eastAsia="zh-CN"/>
        </w:rPr>
        <w:t>”</w:t>
      </w:r>
      <w:r>
        <w:rPr>
          <w:rFonts w:hint="default"/>
        </w:rPr>
        <w:t>的三产融合新格局，打造成为展示石林特色的全市三产</w:t>
      </w:r>
      <w:r>
        <w:rPr>
          <w:rFonts w:hint="eastAsia"/>
          <w:lang w:val="en-US" w:eastAsia="zh-CN"/>
        </w:rPr>
        <w:t>深度</w:t>
      </w:r>
      <w:r>
        <w:rPr>
          <w:rFonts w:hint="default"/>
        </w:rPr>
        <w:t>融合发展区。</w:t>
      </w:r>
    </w:p>
    <w:p w14:paraId="37789EA2">
      <w:pPr>
        <w:keepNext/>
        <w:keepLines w:val="0"/>
        <w:pageBreakBefore w:val="0"/>
        <w:widowControl w:val="0"/>
        <w:kinsoku/>
        <w:wordWrap/>
        <w:overflowPunct/>
        <w:topLinePunct w:val="0"/>
        <w:autoSpaceDE/>
        <w:autoSpaceDN/>
        <w:bidi w:val="0"/>
        <w:adjustRightInd/>
        <w:snapToGrid/>
        <w:spacing w:line="516" w:lineRule="exact"/>
        <w:textAlignment w:val="auto"/>
        <w:rPr>
          <w:rFonts w:hint="default"/>
          <w:lang w:val="en-US" w:eastAsia="zh-CN"/>
        </w:rPr>
      </w:pPr>
      <w:r>
        <w:rPr>
          <w:rFonts w:hint="default"/>
          <w:b/>
          <w:bCs/>
        </w:rPr>
        <w:t>国际知名旅游目的地。</w:t>
      </w:r>
      <w:r>
        <w:rPr>
          <w:rFonts w:hint="default"/>
        </w:rPr>
        <w:t>围绕</w:t>
      </w:r>
      <w:r>
        <w:rPr>
          <w:rFonts w:hint="eastAsia"/>
          <w:lang w:eastAsia="zh-CN"/>
        </w:rPr>
        <w:t>“</w:t>
      </w:r>
      <w:r>
        <w:rPr>
          <w:rFonts w:hint="default"/>
        </w:rPr>
        <w:t>国际知名旅游目的地</w:t>
      </w:r>
      <w:r>
        <w:rPr>
          <w:rFonts w:hint="eastAsia"/>
          <w:lang w:eastAsia="zh-CN"/>
        </w:rPr>
        <w:t>”“</w:t>
      </w:r>
      <w:r>
        <w:rPr>
          <w:rFonts w:hint="default"/>
        </w:rPr>
        <w:t>天然氧吧·旅居石林</w:t>
      </w:r>
      <w:r>
        <w:rPr>
          <w:rFonts w:hint="eastAsia"/>
          <w:lang w:eastAsia="zh-CN"/>
        </w:rPr>
        <w:t>”</w:t>
      </w:r>
      <w:r>
        <w:rPr>
          <w:rFonts w:hint="default"/>
        </w:rPr>
        <w:t>两条赛道，锚定</w:t>
      </w:r>
      <w:r>
        <w:rPr>
          <w:rFonts w:hint="eastAsia"/>
          <w:lang w:eastAsia="zh-CN"/>
        </w:rPr>
        <w:t>“</w:t>
      </w:r>
      <w:r>
        <w:rPr>
          <w:rFonts w:hint="default"/>
        </w:rPr>
        <w:t>全景石林、全域旅游</w:t>
      </w:r>
      <w:r>
        <w:rPr>
          <w:rFonts w:hint="eastAsia"/>
          <w:lang w:eastAsia="zh-CN"/>
        </w:rPr>
        <w:t>”</w:t>
      </w:r>
      <w:r>
        <w:rPr>
          <w:rFonts w:hint="default"/>
        </w:rPr>
        <w:t>，坚持统筹思维、融合理念、高水平规划设计，以旅游型县城建设思维，优化提升现有景区品质，推进景城融合，创新</w:t>
      </w:r>
      <w:r>
        <w:rPr>
          <w:rFonts w:hint="eastAsia"/>
          <w:lang w:eastAsia="zh-CN"/>
        </w:rPr>
        <w:t>“</w:t>
      </w:r>
      <w:r>
        <w:rPr>
          <w:rFonts w:hint="default"/>
        </w:rPr>
        <w:t>地貌观光+文化体验</w:t>
      </w:r>
      <w:r>
        <w:rPr>
          <w:rFonts w:hint="eastAsia"/>
          <w:lang w:eastAsia="zh-CN"/>
        </w:rPr>
        <w:t>”“</w:t>
      </w:r>
      <w:r>
        <w:rPr>
          <w:rFonts w:hint="default"/>
        </w:rPr>
        <w:t>生态旅居+康养休闲</w:t>
      </w:r>
      <w:r>
        <w:rPr>
          <w:rFonts w:hint="eastAsia"/>
          <w:lang w:eastAsia="zh-CN"/>
        </w:rPr>
        <w:t>”</w:t>
      </w:r>
      <w:r>
        <w:rPr>
          <w:rFonts w:hint="default"/>
        </w:rPr>
        <w:t>等文旅新业态、新消费、新模式，推动石林从</w:t>
      </w:r>
      <w:r>
        <w:rPr>
          <w:rFonts w:hint="eastAsia"/>
          <w:lang w:eastAsia="zh-CN"/>
        </w:rPr>
        <w:t>“</w:t>
      </w:r>
      <w:r>
        <w:rPr>
          <w:rFonts w:hint="eastAsia"/>
          <w:lang w:val="en-US" w:eastAsia="zh-CN"/>
        </w:rPr>
        <w:t>观光打卡地</w:t>
      </w:r>
      <w:r>
        <w:rPr>
          <w:rFonts w:hint="eastAsia"/>
          <w:lang w:eastAsia="zh-CN"/>
        </w:rPr>
        <w:t>”</w:t>
      </w:r>
      <w:r>
        <w:rPr>
          <w:rFonts w:hint="default"/>
        </w:rPr>
        <w:t>向</w:t>
      </w:r>
      <w:r>
        <w:rPr>
          <w:rFonts w:hint="eastAsia"/>
          <w:lang w:eastAsia="zh-CN"/>
        </w:rPr>
        <w:t>“</w:t>
      </w:r>
      <w:r>
        <w:rPr>
          <w:rFonts w:hint="eastAsia"/>
          <w:lang w:val="en-US" w:eastAsia="zh-CN"/>
        </w:rPr>
        <w:t>深度旅居地</w:t>
      </w:r>
      <w:r>
        <w:rPr>
          <w:rFonts w:hint="eastAsia"/>
          <w:lang w:eastAsia="zh-CN"/>
        </w:rPr>
        <w:t>”</w:t>
      </w:r>
      <w:r>
        <w:rPr>
          <w:rFonts w:hint="default"/>
        </w:rPr>
        <w:t>转型，让</w:t>
      </w:r>
      <w:r>
        <w:rPr>
          <w:rFonts w:hint="eastAsia"/>
          <w:lang w:eastAsia="zh-CN"/>
        </w:rPr>
        <w:t>“</w:t>
      </w:r>
      <w:r>
        <w:rPr>
          <w:rFonts w:hint="default"/>
        </w:rPr>
        <w:t>看石林奇观、住氧吧石林、品彝乡风情</w:t>
      </w:r>
      <w:r>
        <w:rPr>
          <w:rFonts w:hint="eastAsia"/>
          <w:lang w:eastAsia="zh-CN"/>
        </w:rPr>
        <w:t>”</w:t>
      </w:r>
      <w:r>
        <w:rPr>
          <w:rFonts w:hint="default"/>
        </w:rPr>
        <w:t>成为核心吸引力，打响国际知名旅游目的地金</w:t>
      </w:r>
      <w:r>
        <w:rPr>
          <w:rFonts w:hint="eastAsia"/>
          <w:lang w:val="en-US" w:eastAsia="zh-CN"/>
        </w:rPr>
        <w:t>字</w:t>
      </w:r>
      <w:r>
        <w:rPr>
          <w:rFonts w:hint="default"/>
        </w:rPr>
        <w:t>招牌。</w:t>
      </w:r>
    </w:p>
    <w:p w14:paraId="6D2624C0">
      <w:pPr>
        <w:pStyle w:val="3"/>
        <w:keepNext/>
        <w:keepLines w:val="0"/>
        <w:pageBreakBefore w:val="0"/>
        <w:widowControl w:val="0"/>
        <w:numPr>
          <w:ilvl w:val="-1"/>
          <w:numId w:val="0"/>
        </w:numPr>
        <w:kinsoku/>
        <w:wordWrap/>
        <w:overflowPunct/>
        <w:topLinePunct w:val="0"/>
        <w:autoSpaceDE/>
        <w:autoSpaceDN/>
        <w:bidi w:val="0"/>
        <w:adjustRightInd/>
        <w:snapToGrid/>
        <w:spacing w:before="0" w:after="92" w:afterLines="20" w:line="516"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157" w:name="_Toc5136"/>
      <w:bookmarkStart w:id="158" w:name="_Toc25038591"/>
      <w:bookmarkStart w:id="159" w:name="_Toc25515"/>
      <w:bookmarkStart w:id="160" w:name="_Toc1543968628"/>
      <w:bookmarkStart w:id="161" w:name="_Toc2097944894"/>
      <w:bookmarkStart w:id="162" w:name="_Toc487121607"/>
      <w:bookmarkStart w:id="163" w:name="_Toc1452258289"/>
      <w:bookmarkStart w:id="164" w:name="_Toc61184422"/>
      <w:bookmarkStart w:id="165" w:name="_Toc1395122999"/>
      <w:bookmarkStart w:id="166" w:name="_Toc1156983768"/>
      <w:bookmarkStart w:id="167" w:name="_Toc24178"/>
      <w:bookmarkStart w:id="168" w:name="_Toc827051213"/>
      <w:bookmarkStart w:id="169" w:name="_Toc3681"/>
      <w:bookmarkStart w:id="170" w:name="_Toc21655"/>
      <w:bookmarkStart w:id="171" w:name="_Toc717260334"/>
      <w:bookmarkStart w:id="172" w:name="_Toc1190345223"/>
      <w:bookmarkStart w:id="173" w:name="_Toc31317"/>
      <w:bookmarkStart w:id="174" w:name="_Toc451516588"/>
      <w:bookmarkStart w:id="175" w:name="_Toc1646206254"/>
      <w:bookmarkStart w:id="176" w:name="_Toc12226"/>
      <w:bookmarkStart w:id="177" w:name="_Toc32263"/>
      <w:r>
        <w:rPr>
          <w:rFonts w:hint="default" w:ascii="宋体" w:hAnsi="宋体" w:eastAsia="方正黑体_GBK" w:cs="Times New Roman Regular"/>
          <w:b w:val="0"/>
          <w:bCs/>
          <w:color w:val="auto"/>
          <w:sz w:val="32"/>
          <w:szCs w:val="32"/>
          <w:highlight w:val="none"/>
          <w:lang w:val="en-US" w:eastAsia="zh-CN"/>
        </w:rPr>
        <w:t xml:space="preserve">第四节 </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发展目标</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0F747B4A">
      <w:pPr>
        <w:keepNext/>
        <w:keepLines w:val="0"/>
        <w:pageBreakBefore w:val="0"/>
        <w:widowControl w:val="0"/>
        <w:kinsoku/>
        <w:wordWrap/>
        <w:overflowPunct/>
        <w:topLinePunct w:val="0"/>
        <w:autoSpaceDE/>
        <w:autoSpaceDN/>
        <w:bidi w:val="0"/>
        <w:adjustRightInd/>
        <w:snapToGrid/>
        <w:spacing w:line="518" w:lineRule="exact"/>
        <w:textAlignment w:val="auto"/>
        <w:rPr>
          <w:rFonts w:hint="default"/>
          <w:lang w:val="en-US" w:eastAsia="zh-CN"/>
        </w:rPr>
      </w:pPr>
      <w:r>
        <w:rPr>
          <w:rFonts w:hint="eastAsia"/>
          <w:lang w:val="en-US" w:eastAsia="zh-CN"/>
        </w:rPr>
        <w:t>围绕</w:t>
      </w:r>
      <w:r>
        <w:rPr>
          <w:rFonts w:hint="default"/>
          <w:lang w:val="en-US" w:eastAsia="zh-CN"/>
        </w:rPr>
        <w:t>2035年</w:t>
      </w:r>
      <w:r>
        <w:rPr>
          <w:rFonts w:hint="eastAsia"/>
          <w:lang w:val="en-US" w:eastAsia="zh-CN"/>
        </w:rPr>
        <w:t>与全国、全省、全市同步</w:t>
      </w:r>
      <w:r>
        <w:rPr>
          <w:rFonts w:hint="default"/>
          <w:lang w:val="en-US" w:eastAsia="zh-CN"/>
        </w:rPr>
        <w:t>基本实现社会主义现代化</w:t>
      </w:r>
      <w:r>
        <w:rPr>
          <w:rFonts w:hint="eastAsia"/>
          <w:lang w:val="en-US" w:eastAsia="zh-CN"/>
        </w:rPr>
        <w:t>发展</w:t>
      </w:r>
      <w:r>
        <w:rPr>
          <w:rFonts w:hint="default"/>
          <w:lang w:val="en-US" w:eastAsia="zh-CN"/>
        </w:rPr>
        <w:t>目标，</w:t>
      </w:r>
      <w:r>
        <w:rPr>
          <w:rFonts w:hint="eastAsia"/>
          <w:lang w:val="en-US" w:eastAsia="zh-CN"/>
        </w:rPr>
        <w:t>锚定“</w:t>
      </w:r>
      <w:r>
        <w:rPr>
          <w:rFonts w:hint="default"/>
          <w:lang w:val="en-US" w:eastAsia="zh-CN"/>
        </w:rPr>
        <w:t>3815</w:t>
      </w:r>
      <w:r>
        <w:rPr>
          <w:rFonts w:hint="eastAsia"/>
          <w:lang w:val="en-US" w:eastAsia="zh-CN"/>
        </w:rPr>
        <w:t>”</w:t>
      </w:r>
      <w:r>
        <w:rPr>
          <w:rFonts w:hint="default"/>
          <w:lang w:val="en-US" w:eastAsia="zh-CN"/>
        </w:rPr>
        <w:t>战略发展目标中</w:t>
      </w:r>
      <w:r>
        <w:rPr>
          <w:rFonts w:hint="eastAsia"/>
          <w:lang w:val="en-US" w:eastAsia="zh-CN"/>
        </w:rPr>
        <w:t>“</w:t>
      </w:r>
      <w:r>
        <w:rPr>
          <w:rFonts w:hint="default"/>
          <w:lang w:val="en-US" w:eastAsia="zh-CN"/>
        </w:rPr>
        <w:t>八年大发展</w:t>
      </w:r>
      <w:r>
        <w:rPr>
          <w:rFonts w:hint="eastAsia"/>
          <w:lang w:val="en-US" w:eastAsia="zh-CN"/>
        </w:rPr>
        <w:t>”</w:t>
      </w:r>
      <w:r>
        <w:rPr>
          <w:rFonts w:hint="default"/>
          <w:lang w:val="en-US" w:eastAsia="zh-CN"/>
        </w:rPr>
        <w:t>要求，</w:t>
      </w:r>
      <w:r>
        <w:rPr>
          <w:rFonts w:hint="eastAsia"/>
          <w:lang w:val="en-US" w:eastAsia="zh-CN"/>
        </w:rPr>
        <w:t>结合昆明市打造“六个春城”升级版内在要求，</w:t>
      </w:r>
      <w:r>
        <w:rPr>
          <w:rFonts w:hint="default"/>
          <w:lang w:val="en-US" w:eastAsia="zh-CN"/>
        </w:rPr>
        <w:t>本着既鼓舞人心、又切实可行的原则，提出以下目标：</w:t>
      </w:r>
    </w:p>
    <w:p w14:paraId="5E0A1B46">
      <w:pPr>
        <w:keepNext/>
        <w:keepLines w:val="0"/>
        <w:pageBreakBefore w:val="0"/>
        <w:widowControl w:val="0"/>
        <w:kinsoku/>
        <w:wordWrap/>
        <w:overflowPunct/>
        <w:topLinePunct w:val="0"/>
        <w:autoSpaceDE/>
        <w:autoSpaceDN/>
        <w:bidi w:val="0"/>
        <w:adjustRightInd/>
        <w:snapToGrid/>
        <w:spacing w:line="518" w:lineRule="exact"/>
        <w:textAlignment w:val="auto"/>
        <w:rPr>
          <w:rFonts w:hint="default"/>
          <w:lang w:val="en-US" w:eastAsia="zh-CN"/>
        </w:rPr>
      </w:pPr>
      <w:r>
        <w:rPr>
          <w:rFonts w:hint="default"/>
          <w:b/>
          <w:bCs/>
          <w:lang w:val="en-US" w:eastAsia="zh-CN"/>
        </w:rPr>
        <w:t>县域综合实力迈上新台阶。</w:t>
      </w:r>
      <w:r>
        <w:rPr>
          <w:rFonts w:hint="default"/>
          <w:lang w:val="en-US" w:eastAsia="zh-CN"/>
        </w:rPr>
        <w:t>到2030</w:t>
      </w:r>
      <w:r>
        <w:rPr>
          <w:rFonts w:hint="eastAsia"/>
          <w:lang w:val="en-US" w:eastAsia="zh-CN"/>
        </w:rPr>
        <w:t>年</w:t>
      </w:r>
      <w:r>
        <w:rPr>
          <w:rFonts w:hint="default"/>
          <w:lang w:val="en-US" w:eastAsia="zh-CN"/>
        </w:rPr>
        <w:t>，地区生产总值达200亿元</w:t>
      </w:r>
      <w:r>
        <w:rPr>
          <w:rFonts w:hint="eastAsia"/>
          <w:lang w:val="en-US" w:eastAsia="zh-CN"/>
        </w:rPr>
        <w:t>以上</w:t>
      </w:r>
      <w:r>
        <w:rPr>
          <w:rFonts w:hint="default"/>
          <w:lang w:val="en-US" w:eastAsia="zh-CN"/>
        </w:rPr>
        <w:t>、年均增长</w:t>
      </w:r>
      <w:r>
        <w:rPr>
          <w:rFonts w:hint="eastAsia"/>
          <w:lang w:val="en-US" w:eastAsia="zh-CN"/>
        </w:rPr>
        <w:t>6</w:t>
      </w:r>
      <w:r>
        <w:rPr>
          <w:rFonts w:hint="default"/>
          <w:lang w:val="en-US" w:eastAsia="zh-CN"/>
        </w:rPr>
        <w:t>%左右</w:t>
      </w:r>
      <w:r>
        <w:rPr>
          <w:rFonts w:hint="eastAsia"/>
          <w:lang w:val="en-US" w:eastAsia="zh-CN"/>
        </w:rPr>
        <w:t>（考虑1.5%左右的价格因素则为7.5%左右），力争经济总量在全省全市实现进位争先</w:t>
      </w:r>
      <w:r>
        <w:rPr>
          <w:rFonts w:hint="default"/>
          <w:lang w:val="en-US" w:eastAsia="zh-CN"/>
        </w:rPr>
        <w:t>。有效投资不断扩大，消费市场进一步激活，经济发展动能更加强劲。以</w:t>
      </w:r>
      <w:r>
        <w:rPr>
          <w:rFonts w:hint="eastAsia"/>
          <w:lang w:val="en-US" w:eastAsia="zh-CN"/>
        </w:rPr>
        <w:t>“</w:t>
      </w:r>
      <w:r>
        <w:rPr>
          <w:rFonts w:hint="default"/>
          <w:lang w:val="en-US" w:eastAsia="zh-CN"/>
        </w:rPr>
        <w:t>1+3</w:t>
      </w:r>
      <w:r>
        <w:rPr>
          <w:rFonts w:hint="eastAsia"/>
          <w:lang w:val="en-US" w:eastAsia="zh-CN"/>
        </w:rPr>
        <w:t>”</w:t>
      </w:r>
      <w:r>
        <w:rPr>
          <w:rFonts w:hint="default"/>
          <w:lang w:val="en-US" w:eastAsia="zh-CN"/>
        </w:rPr>
        <w:t>百亿级产业为代表的现代化产业体系基本形成，</w:t>
      </w:r>
      <w:r>
        <w:rPr>
          <w:rFonts w:hint="eastAsia"/>
          <w:lang w:val="en-US" w:eastAsia="zh-CN"/>
        </w:rPr>
        <w:t>三产深度融合发展成效明显，</w:t>
      </w:r>
      <w:r>
        <w:rPr>
          <w:rFonts w:hint="default"/>
          <w:lang w:val="en-US" w:eastAsia="zh-CN"/>
        </w:rPr>
        <w:t>创新驱动新质生产力发展取得明显进展</w:t>
      </w:r>
      <w:r>
        <w:rPr>
          <w:rFonts w:hint="eastAsia"/>
          <w:lang w:val="en-US" w:eastAsia="zh-CN"/>
        </w:rPr>
        <w:t>，三次产业结构比调整为20</w:t>
      </w:r>
      <w:r>
        <w:rPr>
          <w:rFonts w:hint="default"/>
          <w:lang w:val="en-US" w:eastAsia="zh-CN"/>
        </w:rPr>
        <w:t>:</w:t>
      </w:r>
      <w:r>
        <w:rPr>
          <w:rFonts w:hint="eastAsia"/>
          <w:lang w:val="en-US" w:eastAsia="zh-CN"/>
        </w:rPr>
        <w:t>25</w:t>
      </w:r>
      <w:r>
        <w:rPr>
          <w:rFonts w:hint="default"/>
          <w:lang w:val="en-US" w:eastAsia="zh-CN"/>
        </w:rPr>
        <w:t>:</w:t>
      </w:r>
      <w:r>
        <w:rPr>
          <w:rFonts w:hint="eastAsia"/>
          <w:lang w:val="en-US" w:eastAsia="zh-CN"/>
        </w:rPr>
        <w:t>55。</w:t>
      </w:r>
    </w:p>
    <w:p w14:paraId="1AF8BBA2">
      <w:pPr>
        <w:keepNext/>
        <w:keepLines w:val="0"/>
        <w:pageBreakBefore w:val="0"/>
        <w:widowControl w:val="0"/>
        <w:kinsoku/>
        <w:wordWrap/>
        <w:overflowPunct/>
        <w:topLinePunct w:val="0"/>
        <w:autoSpaceDE/>
        <w:autoSpaceDN/>
        <w:bidi w:val="0"/>
        <w:adjustRightInd/>
        <w:snapToGrid/>
        <w:spacing w:line="518" w:lineRule="exact"/>
        <w:textAlignment w:val="auto"/>
        <w:rPr>
          <w:rFonts w:hint="default"/>
          <w:lang w:val="en-US" w:eastAsia="zh-CN"/>
        </w:rPr>
      </w:pPr>
      <w:r>
        <w:rPr>
          <w:rFonts w:hint="default"/>
          <w:b/>
          <w:bCs/>
          <w:lang w:val="en-US" w:eastAsia="zh-CN"/>
        </w:rPr>
        <w:t>城乡融合发展取得新成效。</w:t>
      </w:r>
      <w:r>
        <w:rPr>
          <w:rFonts w:hint="default"/>
          <w:lang w:val="en-US" w:eastAsia="zh-CN"/>
        </w:rPr>
        <w:t>景城融合</w:t>
      </w:r>
      <w:r>
        <w:rPr>
          <w:rFonts w:hint="eastAsia"/>
          <w:lang w:val="en-US" w:eastAsia="zh-CN"/>
        </w:rPr>
        <w:t>、产城融合</w:t>
      </w:r>
      <w:r>
        <w:rPr>
          <w:rFonts w:hint="default"/>
          <w:lang w:val="en-US" w:eastAsia="zh-CN"/>
        </w:rPr>
        <w:t>发展成效明显，城镇功能更加完善，创新、宜居、美丽、韧性、文明、智慧的现代化人民城市建设成效明显，常住人口城镇化率达60%左右</w:t>
      </w:r>
      <w:r>
        <w:rPr>
          <w:rFonts w:hint="eastAsia"/>
          <w:lang w:val="en-US" w:eastAsia="zh-CN"/>
        </w:rPr>
        <w:t>，“天然氧吧・旅居石林”</w:t>
      </w:r>
      <w:r>
        <w:rPr>
          <w:rFonts w:hint="default"/>
          <w:lang w:val="en-US" w:eastAsia="zh-CN"/>
        </w:rPr>
        <w:t>品牌影响力持续攀升。农村基础设施和公共服务实现提档升级，宜居宜业和美乡村建设成效明显，城乡收入比持续缩小。</w:t>
      </w:r>
    </w:p>
    <w:p w14:paraId="71141D32">
      <w:pPr>
        <w:keepNext/>
        <w:keepLines w:val="0"/>
        <w:pageBreakBefore w:val="0"/>
        <w:widowControl w:val="0"/>
        <w:kinsoku/>
        <w:wordWrap/>
        <w:overflowPunct/>
        <w:topLinePunct w:val="0"/>
        <w:autoSpaceDE/>
        <w:autoSpaceDN/>
        <w:bidi w:val="0"/>
        <w:adjustRightInd/>
        <w:snapToGrid/>
        <w:spacing w:line="518" w:lineRule="exact"/>
        <w:textAlignment w:val="auto"/>
        <w:rPr>
          <w:rFonts w:hint="default"/>
          <w:lang w:val="en-US" w:eastAsia="zh-CN"/>
        </w:rPr>
      </w:pPr>
      <w:r>
        <w:rPr>
          <w:rFonts w:hint="default"/>
          <w:b/>
          <w:bCs/>
          <w:lang w:val="en-US" w:eastAsia="zh-CN"/>
        </w:rPr>
        <w:t>生态文明建设取得新进展。</w:t>
      </w:r>
      <w:r>
        <w:rPr>
          <w:rFonts w:hint="default"/>
          <w:lang w:val="en-US" w:eastAsia="zh-CN"/>
        </w:rPr>
        <w:t>生态安全屏障持续筑牢，重要生态空间的保护和管控和</w:t>
      </w:r>
      <w:r>
        <w:rPr>
          <w:rFonts w:hint="eastAsia"/>
          <w:lang w:val="en-US" w:eastAsia="zh-CN"/>
        </w:rPr>
        <w:t>历史遗留废弃矿山生态修复</w:t>
      </w:r>
      <w:r>
        <w:rPr>
          <w:rFonts w:hint="default"/>
          <w:lang w:val="en-US" w:eastAsia="zh-CN"/>
        </w:rPr>
        <w:t>成效明显；</w:t>
      </w:r>
      <w:r>
        <w:rPr>
          <w:rFonts w:hint="default"/>
        </w:rPr>
        <w:t>空气质量优良率稳定在9</w:t>
      </w:r>
      <w:r>
        <w:rPr>
          <w:rFonts w:hint="eastAsia"/>
          <w:lang w:val="en-US" w:eastAsia="zh-CN"/>
        </w:rPr>
        <w:t>9</w:t>
      </w:r>
      <w:r>
        <w:rPr>
          <w:rFonts w:hint="default"/>
        </w:rPr>
        <w:t>%以上，集中式饮用水源地水质100%达标</w:t>
      </w:r>
      <w:r>
        <w:rPr>
          <w:rFonts w:hint="default"/>
          <w:lang w:val="en-US" w:eastAsia="zh-CN"/>
        </w:rPr>
        <w:t>。绿色生产生活方式全面推进，顺利实现碳达峰目标</w:t>
      </w:r>
      <w:r>
        <w:rPr>
          <w:rFonts w:hint="eastAsia"/>
          <w:lang w:val="en-US" w:eastAsia="zh-CN"/>
        </w:rPr>
        <w:t>，生态产品价值多元“变现”，</w:t>
      </w:r>
      <w:r>
        <w:rPr>
          <w:rFonts w:hint="default"/>
          <w:lang w:val="en-US" w:eastAsia="zh-CN"/>
        </w:rPr>
        <w:t>“绿水青山”和“金山银山”双向转化通道进一步畅通。</w:t>
      </w:r>
    </w:p>
    <w:p w14:paraId="71EFF886">
      <w:pPr>
        <w:keepNext/>
        <w:keepLines w:val="0"/>
        <w:pageBreakBefore w:val="0"/>
        <w:widowControl w:val="0"/>
        <w:kinsoku/>
        <w:wordWrap/>
        <w:overflowPunct/>
        <w:topLinePunct w:val="0"/>
        <w:autoSpaceDE/>
        <w:autoSpaceDN/>
        <w:bidi w:val="0"/>
        <w:adjustRightInd/>
        <w:snapToGrid/>
        <w:spacing w:line="518" w:lineRule="exact"/>
        <w:textAlignment w:val="auto"/>
        <w:rPr>
          <w:rFonts w:hint="default"/>
          <w:lang w:val="en-US" w:eastAsia="zh-CN"/>
        </w:rPr>
      </w:pPr>
      <w:r>
        <w:rPr>
          <w:rFonts w:hint="default"/>
          <w:b/>
          <w:bCs/>
          <w:lang w:val="en-US" w:eastAsia="zh-CN"/>
        </w:rPr>
        <w:t>深化改革开放取得新突破。</w:t>
      </w:r>
      <w:r>
        <w:rPr>
          <w:rFonts w:hint="default"/>
          <w:lang w:val="en-US" w:eastAsia="zh-CN"/>
        </w:rPr>
        <w:t>重点领域改革取得重大进展，政务服务效能加速提升，营商环境居于全市前列。全面融入滇中城市群、昆明都市圈，区域开放合作加快深化，对外交流平台建设取得重要进展，</w:t>
      </w:r>
      <w:r>
        <w:rPr>
          <w:rFonts w:hint="eastAsia"/>
          <w:lang w:val="en-US" w:eastAsia="zh-CN"/>
        </w:rPr>
        <w:t>进出口贸易额年均增速达10%</w:t>
      </w:r>
      <w:r>
        <w:rPr>
          <w:rFonts w:hint="default"/>
          <w:lang w:val="en-US" w:eastAsia="zh-CN"/>
        </w:rPr>
        <w:t>。</w:t>
      </w:r>
    </w:p>
    <w:p w14:paraId="6C873C3D">
      <w:pPr>
        <w:keepNext/>
        <w:keepLines w:val="0"/>
        <w:pageBreakBefore w:val="0"/>
        <w:widowControl w:val="0"/>
        <w:kinsoku/>
        <w:wordWrap/>
        <w:overflowPunct/>
        <w:topLinePunct w:val="0"/>
        <w:autoSpaceDE/>
        <w:autoSpaceDN/>
        <w:bidi w:val="0"/>
        <w:adjustRightInd/>
        <w:snapToGrid/>
        <w:spacing w:line="518" w:lineRule="exact"/>
        <w:textAlignment w:val="auto"/>
        <w:rPr>
          <w:rFonts w:hint="eastAsia"/>
          <w:lang w:val="en-US" w:eastAsia="zh-CN"/>
        </w:rPr>
      </w:pPr>
      <w:r>
        <w:rPr>
          <w:rFonts w:hint="default"/>
          <w:b/>
          <w:bCs/>
          <w:lang w:val="en-US" w:eastAsia="zh-CN"/>
        </w:rPr>
        <w:t>民生福祉增进取得新实效。</w:t>
      </w:r>
      <w:r>
        <w:rPr>
          <w:rFonts w:hint="default"/>
          <w:lang w:val="en-US" w:eastAsia="zh-CN"/>
        </w:rPr>
        <w:t>城乡居民人均可支配收入与经济增长基本同步，与人口发展相协调的基本公共服务资源供给机制基本建立，教育供给水平明显提高，文化、体育、医疗、“一老一小”等公共服务基本实现优质均衡，旅居人员本地医保参保率逐年提高，覆盖全民的多层次社会保障体系更加健全，城乡居民社会养老保险和城镇基本医疗保险参保率</w:t>
      </w:r>
      <w:r>
        <w:rPr>
          <w:rFonts w:hint="eastAsia"/>
          <w:lang w:val="en-US" w:eastAsia="zh-CN"/>
        </w:rPr>
        <w:t>均</w:t>
      </w:r>
      <w:r>
        <w:rPr>
          <w:rFonts w:hint="default"/>
          <w:lang w:val="en-US" w:eastAsia="zh-CN"/>
        </w:rPr>
        <w:t>稳定</w:t>
      </w:r>
      <w:r>
        <w:rPr>
          <w:rFonts w:hint="eastAsia"/>
          <w:lang w:val="en-US" w:eastAsia="zh-CN"/>
        </w:rPr>
        <w:t>在</w:t>
      </w:r>
      <w:r>
        <w:rPr>
          <w:rFonts w:hint="default"/>
          <w:lang w:val="en-US" w:eastAsia="zh-CN"/>
        </w:rPr>
        <w:t>97%</w:t>
      </w:r>
      <w:r>
        <w:rPr>
          <w:rFonts w:hint="eastAsia"/>
          <w:lang w:val="en-US" w:eastAsia="zh-CN"/>
        </w:rPr>
        <w:t>以上。</w:t>
      </w:r>
    </w:p>
    <w:p w14:paraId="204EB5E8">
      <w:pPr>
        <w:keepNext/>
        <w:keepLines w:val="0"/>
        <w:pageBreakBefore w:val="0"/>
        <w:widowControl w:val="0"/>
        <w:kinsoku/>
        <w:wordWrap/>
        <w:overflowPunct/>
        <w:topLinePunct w:val="0"/>
        <w:autoSpaceDE/>
        <w:autoSpaceDN/>
        <w:bidi w:val="0"/>
        <w:adjustRightInd/>
        <w:snapToGrid/>
        <w:spacing w:line="510" w:lineRule="exact"/>
        <w:textAlignment w:val="auto"/>
        <w:rPr>
          <w:rFonts w:hint="default"/>
          <w:lang w:val="en-US" w:eastAsia="zh-CN"/>
        </w:rPr>
      </w:pPr>
      <w:r>
        <w:rPr>
          <w:rFonts w:hint="default"/>
          <w:b/>
          <w:bCs/>
          <w:lang w:val="en-US" w:eastAsia="zh-CN"/>
        </w:rPr>
        <w:t>社会治理效能取得新提升。</w:t>
      </w:r>
      <w:r>
        <w:rPr>
          <w:rFonts w:hint="default"/>
          <w:lang w:val="en-US" w:eastAsia="zh-CN"/>
        </w:rPr>
        <w:t>粮食安全、产业链安全、能源安全保障能力不断提升，防范化解重大风险和应急管理能力明显增强。中华民族共同体意识不断铸牢，各民族交往交流交融更加深入，高质量建设民族团结进步示范</w:t>
      </w:r>
      <w:r>
        <w:rPr>
          <w:rFonts w:hint="eastAsia"/>
          <w:lang w:val="en-US" w:eastAsia="zh-CN"/>
        </w:rPr>
        <w:t>“</w:t>
      </w:r>
      <w:r>
        <w:rPr>
          <w:rFonts w:hint="default"/>
          <w:lang w:val="en-US" w:eastAsia="zh-CN"/>
        </w:rPr>
        <w:t>石林样本</w:t>
      </w:r>
      <w:r>
        <w:rPr>
          <w:rFonts w:hint="eastAsia"/>
          <w:lang w:val="en-US" w:eastAsia="zh-CN"/>
        </w:rPr>
        <w:t>”</w:t>
      </w:r>
      <w:r>
        <w:rPr>
          <w:rFonts w:hint="default"/>
          <w:lang w:val="en-US" w:eastAsia="zh-CN"/>
        </w:rPr>
        <w:t>。社会治理体系更加完善，平安石林、法治石林建设达到更高水平。</w:t>
      </w:r>
    </w:p>
    <w:p w14:paraId="0749DCEF">
      <w:pPr>
        <w:keepNext/>
        <w:keepLines w:val="0"/>
        <w:pageBreakBefore w:val="0"/>
        <w:widowControl w:val="0"/>
        <w:kinsoku/>
        <w:wordWrap/>
        <w:overflowPunct/>
        <w:topLinePunct w:val="0"/>
        <w:autoSpaceDE/>
        <w:autoSpaceDN/>
        <w:bidi w:val="0"/>
        <w:adjustRightInd/>
        <w:snapToGrid/>
        <w:spacing w:line="510" w:lineRule="exact"/>
        <w:textAlignment w:val="auto"/>
        <w:rPr>
          <w:rFonts w:hint="default"/>
          <w:lang w:val="en-US" w:eastAsia="zh-CN"/>
        </w:rPr>
      </w:pPr>
      <w:r>
        <w:rPr>
          <w:rFonts w:hint="eastAsia"/>
          <w:lang w:val="en-US" w:eastAsia="zh-CN"/>
        </w:rPr>
        <w:t>在此基础上再奋斗五年，到2035年，石林县县域综合</w:t>
      </w:r>
      <w:r>
        <w:rPr>
          <w:rFonts w:hint="eastAsia"/>
        </w:rPr>
        <w:t>实力实现大幅跃升，石林品牌价值不断提升</w:t>
      </w:r>
      <w:r>
        <w:rPr>
          <w:rFonts w:hint="eastAsia"/>
          <w:lang w:eastAsia="zh-CN"/>
        </w:rPr>
        <w:t>，</w:t>
      </w:r>
      <w:r>
        <w:rPr>
          <w:rFonts w:hint="eastAsia"/>
          <w:lang w:val="en-US" w:eastAsia="zh-CN"/>
        </w:rPr>
        <w:t>建成国际知名旅游目的地，产业融合发展取得显著进步，</w:t>
      </w:r>
      <w:r>
        <w:rPr>
          <w:rFonts w:hint="eastAsia"/>
        </w:rPr>
        <w:t>民族团结进步持续深入，城乡居民人均收入迈上新台阶，</w:t>
      </w:r>
      <w:r>
        <w:rPr>
          <w:rFonts w:hint="eastAsia"/>
          <w:lang w:val="en-US" w:eastAsia="zh-CN"/>
        </w:rPr>
        <w:t>人的全面发展、全体人民共同富裕取得更大发展，与全市同步基本实现社会主义现代化。</w:t>
      </w:r>
    </w:p>
    <w:tbl>
      <w:tblPr>
        <w:tblStyle w:val="17"/>
        <w:tblW w:w="9868"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462"/>
        <w:gridCol w:w="1532"/>
        <w:gridCol w:w="2414"/>
        <w:gridCol w:w="1171"/>
        <w:gridCol w:w="1337"/>
        <w:gridCol w:w="1628"/>
        <w:gridCol w:w="863"/>
      </w:tblGrid>
      <w:tr w14:paraId="2F85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blHeader/>
        </w:trPr>
        <w:tc>
          <w:tcPr>
            <w:tcW w:w="9868" w:type="dxa"/>
            <w:gridSpan w:val="8"/>
            <w:noWrap w:val="0"/>
            <w:vAlign w:val="center"/>
          </w:tcPr>
          <w:p w14:paraId="60916D98">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auto"/>
              <w:rPr>
                <w:rFonts w:hint="default" w:ascii="宋体" w:hAnsi="宋体" w:eastAsia="方正黑体_GBK" w:cs="Times New Roman Regular"/>
                <w:color w:val="auto"/>
                <w:sz w:val="28"/>
                <w:szCs w:val="28"/>
                <w:highlight w:val="none"/>
                <w:vertAlign w:val="baseline"/>
                <w:lang w:val="en-US" w:eastAsia="zh-CN"/>
              </w:rPr>
            </w:pPr>
            <w:bookmarkStart w:id="178" w:name="_Toc2109248838"/>
            <w:bookmarkStart w:id="179" w:name="_Toc425"/>
            <w:bookmarkStart w:id="180" w:name="_Toc1756686677"/>
            <w:bookmarkStart w:id="181" w:name="_Toc2064287772"/>
            <w:bookmarkStart w:id="182" w:name="_Toc24552"/>
            <w:bookmarkStart w:id="183" w:name="_Toc29240"/>
            <w:bookmarkStart w:id="184" w:name="_Toc1579569665"/>
            <w:bookmarkStart w:id="185" w:name="_Toc1953415068"/>
            <w:bookmarkStart w:id="186" w:name="_Toc174507509"/>
            <w:bookmarkStart w:id="187" w:name="_Toc3197"/>
            <w:bookmarkStart w:id="188" w:name="_Toc1829397288"/>
            <w:bookmarkStart w:id="189" w:name="_Toc1735573507"/>
            <w:bookmarkStart w:id="190" w:name="_Toc1168722927"/>
            <w:bookmarkStart w:id="191" w:name="_Toc1435824095"/>
            <w:bookmarkStart w:id="192" w:name="_Toc625833365"/>
            <w:bookmarkStart w:id="193" w:name="_Toc13595"/>
            <w:bookmarkStart w:id="194" w:name="_Toc18695"/>
            <w:bookmarkStart w:id="195" w:name="_Toc25737"/>
            <w:bookmarkStart w:id="196" w:name="_Toc845186485"/>
            <w:r>
              <w:rPr>
                <w:rFonts w:hint="default" w:ascii="黑体" w:hAnsi="黑体" w:eastAsia="黑体" w:cs="Times New Roman Regular"/>
                <w:color w:val="auto"/>
                <w:sz w:val="28"/>
                <w:szCs w:val="28"/>
                <w:highlight w:val="none"/>
                <w:vertAlign w:val="baseline"/>
                <w:lang w:val="en-US" w:eastAsia="zh-CN"/>
              </w:rPr>
              <w:t>专栏</w:t>
            </w:r>
            <w:r>
              <w:rPr>
                <w:rFonts w:hint="eastAsia" w:ascii="黑体" w:hAnsi="黑体" w:eastAsia="黑体" w:cs="Times New Roman Regular"/>
                <w:color w:val="auto"/>
                <w:sz w:val="28"/>
                <w:szCs w:val="28"/>
                <w:highlight w:val="none"/>
                <w:vertAlign w:val="baseline"/>
                <w:lang w:val="en-US" w:eastAsia="zh-CN"/>
              </w:rPr>
              <w:t>1</w:t>
            </w:r>
            <w:r>
              <w:rPr>
                <w:rFonts w:hint="default" w:ascii="黑体" w:hAnsi="黑体" w:eastAsia="黑体" w:cs="Times New Roman Regular"/>
                <w:color w:val="auto"/>
                <w:sz w:val="28"/>
                <w:szCs w:val="28"/>
                <w:highlight w:val="none"/>
                <w:vertAlign w:val="baseline"/>
                <w:lang w:val="en-US" w:eastAsia="zh-CN"/>
              </w:rPr>
              <w:t xml:space="preserve">  石林县“十五五”时期经济社会发展主要指标</w:t>
            </w:r>
          </w:p>
        </w:tc>
      </w:tr>
      <w:tr w14:paraId="2516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blHeader/>
        </w:trPr>
        <w:tc>
          <w:tcPr>
            <w:tcW w:w="461" w:type="dxa"/>
            <w:vMerge w:val="restart"/>
            <w:noWrap w:val="0"/>
            <w:vAlign w:val="center"/>
          </w:tcPr>
          <w:p w14:paraId="72FAB6A1">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序号</w:t>
            </w:r>
          </w:p>
        </w:tc>
        <w:tc>
          <w:tcPr>
            <w:tcW w:w="462" w:type="dxa"/>
            <w:vMerge w:val="restart"/>
            <w:noWrap w:val="0"/>
            <w:vAlign w:val="center"/>
          </w:tcPr>
          <w:p w14:paraId="383BB915">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类型</w:t>
            </w:r>
          </w:p>
        </w:tc>
        <w:tc>
          <w:tcPr>
            <w:tcW w:w="3946" w:type="dxa"/>
            <w:gridSpan w:val="2"/>
            <w:vMerge w:val="restart"/>
            <w:noWrap w:val="0"/>
            <w:vAlign w:val="center"/>
          </w:tcPr>
          <w:p w14:paraId="4E30DB8D">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指标</w:t>
            </w:r>
          </w:p>
        </w:tc>
        <w:tc>
          <w:tcPr>
            <w:tcW w:w="1171" w:type="dxa"/>
            <w:vMerge w:val="restart"/>
            <w:noWrap w:val="0"/>
            <w:vAlign w:val="center"/>
          </w:tcPr>
          <w:p w14:paraId="64581E2D">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2025年</w:t>
            </w:r>
          </w:p>
        </w:tc>
        <w:tc>
          <w:tcPr>
            <w:tcW w:w="2965" w:type="dxa"/>
            <w:gridSpan w:val="2"/>
            <w:noWrap w:val="0"/>
            <w:vAlign w:val="center"/>
          </w:tcPr>
          <w:p w14:paraId="449EEA10">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规划指标</w:t>
            </w:r>
          </w:p>
        </w:tc>
        <w:tc>
          <w:tcPr>
            <w:tcW w:w="863" w:type="dxa"/>
            <w:vMerge w:val="restart"/>
            <w:noWrap w:val="0"/>
            <w:vAlign w:val="center"/>
          </w:tcPr>
          <w:p w14:paraId="36109500">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指标</w:t>
            </w:r>
          </w:p>
          <w:p w14:paraId="336DFB5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属性</w:t>
            </w:r>
          </w:p>
        </w:tc>
      </w:tr>
      <w:tr w14:paraId="35DA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461" w:type="dxa"/>
            <w:vMerge w:val="continue"/>
            <w:noWrap w:val="0"/>
            <w:vAlign w:val="center"/>
          </w:tcPr>
          <w:p w14:paraId="260CA8CE">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p>
        </w:tc>
        <w:tc>
          <w:tcPr>
            <w:tcW w:w="462" w:type="dxa"/>
            <w:vMerge w:val="continue"/>
            <w:noWrap w:val="0"/>
            <w:vAlign w:val="center"/>
          </w:tcPr>
          <w:p w14:paraId="38A707D9">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p>
        </w:tc>
        <w:tc>
          <w:tcPr>
            <w:tcW w:w="3946" w:type="dxa"/>
            <w:gridSpan w:val="2"/>
            <w:vMerge w:val="continue"/>
            <w:noWrap w:val="0"/>
            <w:vAlign w:val="center"/>
          </w:tcPr>
          <w:p w14:paraId="6366FE2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p>
        </w:tc>
        <w:tc>
          <w:tcPr>
            <w:tcW w:w="1171" w:type="dxa"/>
            <w:vMerge w:val="continue"/>
            <w:noWrap w:val="0"/>
            <w:vAlign w:val="center"/>
          </w:tcPr>
          <w:p w14:paraId="431D1B5E">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p>
        </w:tc>
        <w:tc>
          <w:tcPr>
            <w:tcW w:w="1337" w:type="dxa"/>
            <w:noWrap w:val="0"/>
            <w:vAlign w:val="center"/>
          </w:tcPr>
          <w:p w14:paraId="6DFE0EB0">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2030年</w:t>
            </w:r>
          </w:p>
        </w:tc>
        <w:tc>
          <w:tcPr>
            <w:tcW w:w="1628" w:type="dxa"/>
            <w:noWrap w:val="0"/>
            <w:vAlign w:val="center"/>
          </w:tcPr>
          <w:p w14:paraId="74DEFD4D">
            <w:pPr>
              <w:keepNext/>
              <w:keepLines w:val="0"/>
              <w:pageBreakBefore w:val="0"/>
              <w:widowControl w:val="0"/>
              <w:suppressLineNumbers w:val="0"/>
              <w:kinsoku/>
              <w:wordWrap/>
              <w:overflowPunct/>
              <w:topLinePunct w:val="0"/>
              <w:autoSpaceDE/>
              <w:autoSpaceDN/>
              <w:bidi w:val="0"/>
              <w:adjustRightInd/>
              <w:snapToGrid/>
              <w:spacing w:line="28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年均增长%/累计增加[ ]</w:t>
            </w:r>
          </w:p>
        </w:tc>
        <w:tc>
          <w:tcPr>
            <w:tcW w:w="863" w:type="dxa"/>
            <w:vMerge w:val="continue"/>
            <w:noWrap w:val="0"/>
            <w:vAlign w:val="center"/>
          </w:tcPr>
          <w:p w14:paraId="577759B9">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p>
        </w:tc>
      </w:tr>
      <w:tr w14:paraId="4067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150950B2">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w:t>
            </w:r>
          </w:p>
        </w:tc>
        <w:tc>
          <w:tcPr>
            <w:tcW w:w="462" w:type="dxa"/>
            <w:vMerge w:val="restart"/>
            <w:shd w:val="clear" w:color="auto" w:fill="auto"/>
            <w:noWrap w:val="0"/>
            <w:vAlign w:val="center"/>
          </w:tcPr>
          <w:p w14:paraId="0779D089">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经济发展</w:t>
            </w:r>
          </w:p>
        </w:tc>
        <w:tc>
          <w:tcPr>
            <w:tcW w:w="3946" w:type="dxa"/>
            <w:gridSpan w:val="2"/>
            <w:noWrap w:val="0"/>
            <w:vAlign w:val="center"/>
          </w:tcPr>
          <w:p w14:paraId="2C321874">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地区生产总值增长（</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4023BC7F">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5.9</w:t>
            </w:r>
          </w:p>
        </w:tc>
        <w:tc>
          <w:tcPr>
            <w:tcW w:w="1337" w:type="dxa"/>
            <w:noWrap w:val="0"/>
            <w:vAlign w:val="center"/>
          </w:tcPr>
          <w:p w14:paraId="4CF68A9B">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1628" w:type="dxa"/>
            <w:noWrap w:val="0"/>
            <w:vAlign w:val="center"/>
          </w:tcPr>
          <w:p w14:paraId="0C26B6B1">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6</w:t>
            </w:r>
          </w:p>
        </w:tc>
        <w:tc>
          <w:tcPr>
            <w:tcW w:w="863" w:type="dxa"/>
            <w:noWrap w:val="0"/>
            <w:vAlign w:val="center"/>
          </w:tcPr>
          <w:p w14:paraId="6C1D9EE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3559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3241480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2</w:t>
            </w:r>
          </w:p>
        </w:tc>
        <w:tc>
          <w:tcPr>
            <w:tcW w:w="462" w:type="dxa"/>
            <w:vMerge w:val="continue"/>
            <w:noWrap w:val="0"/>
            <w:vAlign w:val="center"/>
          </w:tcPr>
          <w:p w14:paraId="5E8581D4">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626FF74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常住人口城镇化率（</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7F4AE579">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50.1</w:t>
            </w:r>
          </w:p>
        </w:tc>
        <w:tc>
          <w:tcPr>
            <w:tcW w:w="1337" w:type="dxa"/>
            <w:noWrap w:val="0"/>
            <w:vAlign w:val="center"/>
          </w:tcPr>
          <w:p w14:paraId="0B9E9ED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60</w:t>
            </w:r>
          </w:p>
        </w:tc>
        <w:tc>
          <w:tcPr>
            <w:tcW w:w="1628" w:type="dxa"/>
            <w:noWrap w:val="0"/>
            <w:vAlign w:val="center"/>
          </w:tcPr>
          <w:p w14:paraId="1D275624">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[9.9]</w:t>
            </w:r>
          </w:p>
        </w:tc>
        <w:tc>
          <w:tcPr>
            <w:tcW w:w="863" w:type="dxa"/>
            <w:noWrap w:val="0"/>
            <w:vAlign w:val="center"/>
          </w:tcPr>
          <w:p w14:paraId="08012CC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394F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6AF38E3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w:t>
            </w:r>
          </w:p>
        </w:tc>
        <w:tc>
          <w:tcPr>
            <w:tcW w:w="462" w:type="dxa"/>
            <w:vMerge w:val="continue"/>
            <w:noWrap w:val="0"/>
            <w:vAlign w:val="center"/>
          </w:tcPr>
          <w:p w14:paraId="18516CC8">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43C13346">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工业增加值占GDP的比重（</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754D13D8">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15.5</w:t>
            </w:r>
          </w:p>
        </w:tc>
        <w:tc>
          <w:tcPr>
            <w:tcW w:w="1337" w:type="dxa"/>
            <w:noWrap w:val="0"/>
            <w:vAlign w:val="center"/>
          </w:tcPr>
          <w:p w14:paraId="7DF5410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≥20</w:t>
            </w:r>
          </w:p>
        </w:tc>
        <w:tc>
          <w:tcPr>
            <w:tcW w:w="1628" w:type="dxa"/>
            <w:noWrap w:val="0"/>
            <w:vAlign w:val="center"/>
          </w:tcPr>
          <w:p w14:paraId="6CEE6980">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[4.5]</w:t>
            </w:r>
          </w:p>
        </w:tc>
        <w:tc>
          <w:tcPr>
            <w:tcW w:w="863" w:type="dxa"/>
            <w:noWrap w:val="0"/>
            <w:vAlign w:val="center"/>
          </w:tcPr>
          <w:p w14:paraId="452CBBF7">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18E2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461" w:type="dxa"/>
            <w:noWrap w:val="0"/>
            <w:vAlign w:val="center"/>
          </w:tcPr>
          <w:p w14:paraId="5F2A5AB1">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4</w:t>
            </w:r>
          </w:p>
        </w:tc>
        <w:tc>
          <w:tcPr>
            <w:tcW w:w="462" w:type="dxa"/>
            <w:vMerge w:val="continue"/>
            <w:noWrap w:val="0"/>
            <w:vAlign w:val="center"/>
          </w:tcPr>
          <w:p w14:paraId="65C4230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32387975">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旅游总花费（亿元）</w:t>
            </w:r>
          </w:p>
        </w:tc>
        <w:tc>
          <w:tcPr>
            <w:tcW w:w="1171" w:type="dxa"/>
            <w:noWrap w:val="0"/>
            <w:vAlign w:val="center"/>
          </w:tcPr>
          <w:p w14:paraId="7181AF3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190</w:t>
            </w:r>
          </w:p>
        </w:tc>
        <w:tc>
          <w:tcPr>
            <w:tcW w:w="1337" w:type="dxa"/>
            <w:noWrap w:val="0"/>
            <w:vAlign w:val="center"/>
          </w:tcPr>
          <w:p w14:paraId="4D8E6772">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300</w:t>
            </w:r>
          </w:p>
        </w:tc>
        <w:tc>
          <w:tcPr>
            <w:tcW w:w="1628" w:type="dxa"/>
            <w:noWrap w:val="0"/>
            <w:vAlign w:val="center"/>
          </w:tcPr>
          <w:p w14:paraId="57790BEA">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9.6</w:t>
            </w:r>
          </w:p>
        </w:tc>
        <w:tc>
          <w:tcPr>
            <w:tcW w:w="863" w:type="dxa"/>
            <w:noWrap w:val="0"/>
            <w:vAlign w:val="center"/>
          </w:tcPr>
          <w:p w14:paraId="490D9714">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5056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461" w:type="dxa"/>
            <w:noWrap w:val="0"/>
            <w:vAlign w:val="center"/>
          </w:tcPr>
          <w:p w14:paraId="5237F8A6">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5</w:t>
            </w:r>
          </w:p>
        </w:tc>
        <w:tc>
          <w:tcPr>
            <w:tcW w:w="462" w:type="dxa"/>
            <w:vMerge w:val="continue"/>
            <w:noWrap w:val="0"/>
            <w:vAlign w:val="center"/>
          </w:tcPr>
          <w:p w14:paraId="399AD9DB">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22E28AC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进出口贸易总额（万元）</w:t>
            </w:r>
          </w:p>
        </w:tc>
        <w:tc>
          <w:tcPr>
            <w:tcW w:w="1171" w:type="dxa"/>
            <w:noWrap w:val="0"/>
            <w:vAlign w:val="center"/>
          </w:tcPr>
          <w:p w14:paraId="1D0A6BA4">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4613</w:t>
            </w:r>
          </w:p>
        </w:tc>
        <w:tc>
          <w:tcPr>
            <w:tcW w:w="1337" w:type="dxa"/>
            <w:noWrap w:val="0"/>
            <w:vAlign w:val="center"/>
          </w:tcPr>
          <w:p w14:paraId="1773088E">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7400</w:t>
            </w:r>
          </w:p>
        </w:tc>
        <w:tc>
          <w:tcPr>
            <w:tcW w:w="1628" w:type="dxa"/>
            <w:noWrap w:val="0"/>
            <w:vAlign w:val="center"/>
          </w:tcPr>
          <w:p w14:paraId="398239A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10</w:t>
            </w:r>
          </w:p>
        </w:tc>
        <w:tc>
          <w:tcPr>
            <w:tcW w:w="863" w:type="dxa"/>
            <w:noWrap w:val="0"/>
            <w:vAlign w:val="center"/>
          </w:tcPr>
          <w:p w14:paraId="4E26DE80">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49FB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61" w:type="dxa"/>
            <w:noWrap w:val="0"/>
            <w:vAlign w:val="center"/>
          </w:tcPr>
          <w:p w14:paraId="142031AA">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6</w:t>
            </w:r>
          </w:p>
        </w:tc>
        <w:tc>
          <w:tcPr>
            <w:tcW w:w="462" w:type="dxa"/>
            <w:vMerge w:val="restart"/>
            <w:noWrap w:val="0"/>
            <w:vAlign w:val="center"/>
          </w:tcPr>
          <w:p w14:paraId="5A1BC1D8">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创新驱动</w:t>
            </w:r>
          </w:p>
        </w:tc>
        <w:tc>
          <w:tcPr>
            <w:tcW w:w="3946" w:type="dxa"/>
            <w:gridSpan w:val="2"/>
            <w:noWrap w:val="0"/>
            <w:vAlign w:val="center"/>
          </w:tcPr>
          <w:p w14:paraId="4389AF61">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全社会研发经费投入增长（</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2A1070C3">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35</w:t>
            </w:r>
          </w:p>
        </w:tc>
        <w:tc>
          <w:tcPr>
            <w:tcW w:w="1337" w:type="dxa"/>
            <w:noWrap w:val="0"/>
            <w:vAlign w:val="center"/>
          </w:tcPr>
          <w:p w14:paraId="24CD016E">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1628" w:type="dxa"/>
            <w:noWrap w:val="0"/>
            <w:vAlign w:val="center"/>
          </w:tcPr>
          <w:p w14:paraId="601D60AB">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≥19.1</w:t>
            </w:r>
          </w:p>
        </w:tc>
        <w:tc>
          <w:tcPr>
            <w:tcW w:w="863" w:type="dxa"/>
            <w:noWrap w:val="0"/>
            <w:vAlign w:val="center"/>
          </w:tcPr>
          <w:p w14:paraId="03080AAB">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065E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461" w:type="dxa"/>
            <w:noWrap w:val="0"/>
            <w:vAlign w:val="center"/>
          </w:tcPr>
          <w:p w14:paraId="10FA75DB">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7</w:t>
            </w:r>
          </w:p>
        </w:tc>
        <w:tc>
          <w:tcPr>
            <w:tcW w:w="462" w:type="dxa"/>
            <w:vMerge w:val="continue"/>
            <w:noWrap w:val="0"/>
            <w:vAlign w:val="center"/>
          </w:tcPr>
          <w:p w14:paraId="550EF3E4">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5AAEADB7">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高新技术企业（户）</w:t>
            </w:r>
          </w:p>
        </w:tc>
        <w:tc>
          <w:tcPr>
            <w:tcW w:w="1171" w:type="dxa"/>
            <w:noWrap w:val="0"/>
            <w:vAlign w:val="center"/>
          </w:tcPr>
          <w:p w14:paraId="5961AB9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18</w:t>
            </w:r>
          </w:p>
        </w:tc>
        <w:tc>
          <w:tcPr>
            <w:tcW w:w="1337" w:type="dxa"/>
            <w:noWrap w:val="0"/>
            <w:vAlign w:val="center"/>
          </w:tcPr>
          <w:p w14:paraId="21187622">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30</w:t>
            </w:r>
          </w:p>
        </w:tc>
        <w:tc>
          <w:tcPr>
            <w:tcW w:w="1628" w:type="dxa"/>
            <w:noWrap w:val="0"/>
            <w:vAlign w:val="center"/>
          </w:tcPr>
          <w:p w14:paraId="647D1DD1">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[12]</w:t>
            </w:r>
          </w:p>
        </w:tc>
        <w:tc>
          <w:tcPr>
            <w:tcW w:w="863" w:type="dxa"/>
            <w:noWrap w:val="0"/>
            <w:vAlign w:val="center"/>
          </w:tcPr>
          <w:p w14:paraId="500E6387">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6C69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691AFCD0">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8</w:t>
            </w:r>
          </w:p>
        </w:tc>
        <w:tc>
          <w:tcPr>
            <w:tcW w:w="462" w:type="dxa"/>
            <w:vMerge w:val="continue"/>
            <w:noWrap w:val="0"/>
            <w:vAlign w:val="center"/>
          </w:tcPr>
          <w:p w14:paraId="0E59A15D">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1CB36C12">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数字经济核心产业增加值占GDP比重（</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39AB788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0.45</w:t>
            </w:r>
          </w:p>
        </w:tc>
        <w:tc>
          <w:tcPr>
            <w:tcW w:w="1337" w:type="dxa"/>
            <w:noWrap w:val="0"/>
            <w:vAlign w:val="center"/>
          </w:tcPr>
          <w:p w14:paraId="3A7403BB">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3.5</w:t>
            </w:r>
          </w:p>
        </w:tc>
        <w:tc>
          <w:tcPr>
            <w:tcW w:w="1628" w:type="dxa"/>
            <w:noWrap w:val="0"/>
            <w:vAlign w:val="center"/>
          </w:tcPr>
          <w:p w14:paraId="09886CE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[3.05]</w:t>
            </w:r>
          </w:p>
        </w:tc>
        <w:tc>
          <w:tcPr>
            <w:tcW w:w="863" w:type="dxa"/>
            <w:noWrap w:val="0"/>
            <w:vAlign w:val="center"/>
          </w:tcPr>
          <w:p w14:paraId="03636A82">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6C29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5955BC6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9</w:t>
            </w:r>
          </w:p>
        </w:tc>
        <w:tc>
          <w:tcPr>
            <w:tcW w:w="462" w:type="dxa"/>
            <w:vMerge w:val="restart"/>
            <w:noWrap w:val="0"/>
            <w:vAlign w:val="center"/>
          </w:tcPr>
          <w:p w14:paraId="3B91EE1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民生福祉</w:t>
            </w:r>
          </w:p>
        </w:tc>
        <w:tc>
          <w:tcPr>
            <w:tcW w:w="3946" w:type="dxa"/>
            <w:gridSpan w:val="2"/>
            <w:noWrap w:val="0"/>
            <w:vAlign w:val="center"/>
          </w:tcPr>
          <w:p w14:paraId="1FC18A1A">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城镇新增就业人数（万人）</w:t>
            </w:r>
          </w:p>
        </w:tc>
        <w:tc>
          <w:tcPr>
            <w:tcW w:w="1171" w:type="dxa"/>
            <w:noWrap w:val="0"/>
            <w:vAlign w:val="center"/>
          </w:tcPr>
          <w:p w14:paraId="03CF92B9">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0.15</w:t>
            </w:r>
          </w:p>
        </w:tc>
        <w:tc>
          <w:tcPr>
            <w:tcW w:w="1337" w:type="dxa"/>
            <w:noWrap w:val="0"/>
            <w:vAlign w:val="center"/>
          </w:tcPr>
          <w:p w14:paraId="2403E13F">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1628" w:type="dxa"/>
            <w:noWrap w:val="0"/>
            <w:vAlign w:val="center"/>
          </w:tcPr>
          <w:p w14:paraId="48C0B8D3">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[1.5]</w:t>
            </w:r>
          </w:p>
        </w:tc>
        <w:tc>
          <w:tcPr>
            <w:tcW w:w="863" w:type="dxa"/>
            <w:noWrap w:val="0"/>
            <w:vAlign w:val="center"/>
          </w:tcPr>
          <w:p w14:paraId="7D72F480">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1C91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7595DC7B">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10</w:t>
            </w:r>
          </w:p>
        </w:tc>
        <w:tc>
          <w:tcPr>
            <w:tcW w:w="462" w:type="dxa"/>
            <w:vMerge w:val="continue"/>
            <w:noWrap w:val="0"/>
            <w:vAlign w:val="center"/>
          </w:tcPr>
          <w:p w14:paraId="06FD032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024B2883">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居民人均可支配收入增长（</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4482F1DF">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3.9</w:t>
            </w:r>
          </w:p>
        </w:tc>
        <w:tc>
          <w:tcPr>
            <w:tcW w:w="1337" w:type="dxa"/>
            <w:noWrap w:val="0"/>
            <w:vAlign w:val="center"/>
          </w:tcPr>
          <w:p w14:paraId="305D6BEA">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1628" w:type="dxa"/>
            <w:noWrap w:val="0"/>
            <w:vAlign w:val="center"/>
          </w:tcPr>
          <w:p w14:paraId="52D890B5">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spacing w:val="-11"/>
                <w:kern w:val="0"/>
                <w:sz w:val="21"/>
                <w:szCs w:val="21"/>
                <w:highlight w:val="none"/>
                <w:u w:val="none"/>
                <w:lang w:val="en-US" w:eastAsia="zh-CN" w:bidi="ar"/>
              </w:rPr>
              <w:t>与经济增长同步</w:t>
            </w:r>
          </w:p>
        </w:tc>
        <w:tc>
          <w:tcPr>
            <w:tcW w:w="863" w:type="dxa"/>
            <w:noWrap w:val="0"/>
            <w:vAlign w:val="center"/>
          </w:tcPr>
          <w:p w14:paraId="13CFD418">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4F6C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65F7A42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11</w:t>
            </w:r>
          </w:p>
        </w:tc>
        <w:tc>
          <w:tcPr>
            <w:tcW w:w="462" w:type="dxa"/>
            <w:vMerge w:val="continue"/>
            <w:noWrap w:val="0"/>
            <w:vAlign w:val="center"/>
          </w:tcPr>
          <w:p w14:paraId="203ACA1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6BC12D77">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劳动年龄人口平均受教育年限（年）</w:t>
            </w:r>
          </w:p>
        </w:tc>
        <w:tc>
          <w:tcPr>
            <w:tcW w:w="1171" w:type="dxa"/>
            <w:noWrap w:val="0"/>
            <w:vAlign w:val="center"/>
          </w:tcPr>
          <w:p w14:paraId="1E2E0B14">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12</w:t>
            </w:r>
          </w:p>
        </w:tc>
        <w:tc>
          <w:tcPr>
            <w:tcW w:w="1337" w:type="dxa"/>
            <w:noWrap w:val="0"/>
            <w:vAlign w:val="center"/>
          </w:tcPr>
          <w:p w14:paraId="262E458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≥12</w:t>
            </w:r>
          </w:p>
        </w:tc>
        <w:tc>
          <w:tcPr>
            <w:tcW w:w="1628" w:type="dxa"/>
            <w:noWrap w:val="0"/>
            <w:vAlign w:val="center"/>
          </w:tcPr>
          <w:p w14:paraId="5170A83F">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863" w:type="dxa"/>
            <w:noWrap w:val="0"/>
            <w:vAlign w:val="center"/>
          </w:tcPr>
          <w:p w14:paraId="489BC070">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0639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vMerge w:val="restart"/>
            <w:noWrap w:val="0"/>
            <w:vAlign w:val="center"/>
          </w:tcPr>
          <w:p w14:paraId="1783672A">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12</w:t>
            </w:r>
          </w:p>
        </w:tc>
        <w:tc>
          <w:tcPr>
            <w:tcW w:w="462" w:type="dxa"/>
            <w:vMerge w:val="continue"/>
            <w:noWrap w:val="0"/>
            <w:vAlign w:val="center"/>
          </w:tcPr>
          <w:p w14:paraId="7D04A135">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1532" w:type="dxa"/>
            <w:vMerge w:val="restart"/>
            <w:noWrap w:val="0"/>
            <w:vAlign w:val="center"/>
          </w:tcPr>
          <w:p w14:paraId="5A0795E5">
            <w:pPr>
              <w:keepNext/>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sz w:val="24"/>
                <w:szCs w:val="32"/>
                <w:highlight w:val="none"/>
                <w:lang w:val="en-US" w:eastAsia="zh-CN"/>
              </w:rPr>
            </w:pPr>
            <w:r>
              <w:rPr>
                <w:rFonts w:hint="eastAsia" w:ascii="宋体" w:hAnsi="宋体" w:eastAsia="仿宋_GB2312" w:cs="仿宋_GB2312"/>
                <w:i w:val="0"/>
                <w:iCs w:val="0"/>
                <w:color w:val="auto"/>
                <w:kern w:val="0"/>
                <w:sz w:val="21"/>
                <w:szCs w:val="21"/>
                <w:highlight w:val="none"/>
                <w:u w:val="none"/>
                <w:lang w:val="en-US" w:eastAsia="zh-CN" w:bidi="ar"/>
              </w:rPr>
              <w:t>每千人拥有医护人员数</w:t>
            </w:r>
          </w:p>
        </w:tc>
        <w:tc>
          <w:tcPr>
            <w:tcW w:w="2414" w:type="dxa"/>
            <w:noWrap w:val="0"/>
            <w:vAlign w:val="center"/>
          </w:tcPr>
          <w:p w14:paraId="0992775A">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执业医师数（人）</w:t>
            </w:r>
          </w:p>
        </w:tc>
        <w:tc>
          <w:tcPr>
            <w:tcW w:w="1171" w:type="dxa"/>
            <w:noWrap w:val="0"/>
            <w:vAlign w:val="center"/>
          </w:tcPr>
          <w:p w14:paraId="27565B76">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3.5</w:t>
            </w:r>
          </w:p>
        </w:tc>
        <w:tc>
          <w:tcPr>
            <w:tcW w:w="1337" w:type="dxa"/>
            <w:noWrap w:val="0"/>
            <w:vAlign w:val="center"/>
          </w:tcPr>
          <w:p w14:paraId="66DF413B">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3.7</w:t>
            </w:r>
          </w:p>
        </w:tc>
        <w:tc>
          <w:tcPr>
            <w:tcW w:w="1628" w:type="dxa"/>
            <w:noWrap w:val="0"/>
            <w:vAlign w:val="center"/>
          </w:tcPr>
          <w:p w14:paraId="3BDEF74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[0.2]</w:t>
            </w:r>
          </w:p>
        </w:tc>
        <w:tc>
          <w:tcPr>
            <w:tcW w:w="863" w:type="dxa"/>
            <w:noWrap w:val="0"/>
            <w:vAlign w:val="center"/>
          </w:tcPr>
          <w:p w14:paraId="095B79C7">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36AF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vMerge w:val="continue"/>
            <w:noWrap w:val="0"/>
            <w:vAlign w:val="center"/>
          </w:tcPr>
          <w:p w14:paraId="3991C509">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p>
        </w:tc>
        <w:tc>
          <w:tcPr>
            <w:tcW w:w="462" w:type="dxa"/>
            <w:vMerge w:val="continue"/>
            <w:noWrap w:val="0"/>
            <w:vAlign w:val="center"/>
          </w:tcPr>
          <w:p w14:paraId="34E1B791">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1532" w:type="dxa"/>
            <w:vMerge w:val="continue"/>
            <w:noWrap w:val="0"/>
            <w:vAlign w:val="center"/>
          </w:tcPr>
          <w:p w14:paraId="751DE165">
            <w:pPr>
              <w:keepNext/>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2414" w:type="dxa"/>
            <w:noWrap w:val="0"/>
            <w:vAlign w:val="center"/>
          </w:tcPr>
          <w:p w14:paraId="0030DAB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注册护士数（人）</w:t>
            </w:r>
          </w:p>
        </w:tc>
        <w:tc>
          <w:tcPr>
            <w:tcW w:w="1171" w:type="dxa"/>
            <w:noWrap w:val="0"/>
            <w:vAlign w:val="center"/>
          </w:tcPr>
          <w:p w14:paraId="003F54F3">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4.7</w:t>
            </w:r>
          </w:p>
        </w:tc>
        <w:tc>
          <w:tcPr>
            <w:tcW w:w="1337" w:type="dxa"/>
            <w:noWrap w:val="0"/>
            <w:vAlign w:val="center"/>
          </w:tcPr>
          <w:p w14:paraId="1F24D3A7">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5</w:t>
            </w:r>
          </w:p>
        </w:tc>
        <w:tc>
          <w:tcPr>
            <w:tcW w:w="1628" w:type="dxa"/>
            <w:noWrap w:val="0"/>
            <w:vAlign w:val="center"/>
          </w:tcPr>
          <w:p w14:paraId="2BD186B7">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[0.3]</w:t>
            </w:r>
          </w:p>
        </w:tc>
        <w:tc>
          <w:tcPr>
            <w:tcW w:w="863" w:type="dxa"/>
            <w:noWrap w:val="0"/>
            <w:vAlign w:val="center"/>
          </w:tcPr>
          <w:p w14:paraId="290AF99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33EA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461" w:type="dxa"/>
            <w:noWrap w:val="0"/>
            <w:vAlign w:val="center"/>
          </w:tcPr>
          <w:p w14:paraId="35CAD547">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13</w:t>
            </w:r>
          </w:p>
        </w:tc>
        <w:tc>
          <w:tcPr>
            <w:tcW w:w="462" w:type="dxa"/>
            <w:vMerge w:val="continue"/>
            <w:noWrap w:val="0"/>
            <w:vAlign w:val="center"/>
          </w:tcPr>
          <w:p w14:paraId="16B69DE7">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671AF59F">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养老机构护理型床位占比（</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2218AC9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80</w:t>
            </w:r>
          </w:p>
        </w:tc>
        <w:tc>
          <w:tcPr>
            <w:tcW w:w="1337" w:type="dxa"/>
            <w:noWrap w:val="0"/>
            <w:vAlign w:val="center"/>
          </w:tcPr>
          <w:p w14:paraId="33C6487D">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85</w:t>
            </w:r>
          </w:p>
        </w:tc>
        <w:tc>
          <w:tcPr>
            <w:tcW w:w="1628" w:type="dxa"/>
            <w:noWrap w:val="0"/>
            <w:vAlign w:val="center"/>
          </w:tcPr>
          <w:p w14:paraId="452A6650">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[5]</w:t>
            </w:r>
          </w:p>
        </w:tc>
        <w:tc>
          <w:tcPr>
            <w:tcW w:w="863" w:type="dxa"/>
            <w:noWrap w:val="0"/>
            <w:vAlign w:val="center"/>
          </w:tcPr>
          <w:p w14:paraId="41AD1A2A">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5A9F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1837F01A">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14</w:t>
            </w:r>
          </w:p>
        </w:tc>
        <w:tc>
          <w:tcPr>
            <w:tcW w:w="462" w:type="dxa"/>
            <w:vMerge w:val="continue"/>
            <w:noWrap w:val="0"/>
            <w:vAlign w:val="center"/>
          </w:tcPr>
          <w:p w14:paraId="47777E26">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511DBB42">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3岁以下婴幼儿入托率提高（</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33008B8E">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0.3</w:t>
            </w:r>
          </w:p>
        </w:tc>
        <w:tc>
          <w:tcPr>
            <w:tcW w:w="1337" w:type="dxa"/>
            <w:noWrap w:val="0"/>
            <w:vAlign w:val="center"/>
          </w:tcPr>
          <w:p w14:paraId="0D2A205F">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1628" w:type="dxa"/>
            <w:noWrap w:val="0"/>
            <w:vAlign w:val="center"/>
          </w:tcPr>
          <w:p w14:paraId="5EAAA7B6">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[3]</w:t>
            </w:r>
          </w:p>
        </w:tc>
        <w:tc>
          <w:tcPr>
            <w:tcW w:w="863" w:type="dxa"/>
            <w:noWrap w:val="0"/>
            <w:vAlign w:val="center"/>
          </w:tcPr>
          <w:p w14:paraId="2067C331">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652E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2CD096D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15</w:t>
            </w:r>
          </w:p>
        </w:tc>
        <w:tc>
          <w:tcPr>
            <w:tcW w:w="462" w:type="dxa"/>
            <w:vMerge w:val="continue"/>
            <w:noWrap w:val="0"/>
            <w:vAlign w:val="center"/>
          </w:tcPr>
          <w:p w14:paraId="597BF2EB">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07D87602">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人均预期寿命（岁）</w:t>
            </w:r>
          </w:p>
        </w:tc>
        <w:tc>
          <w:tcPr>
            <w:tcW w:w="1171" w:type="dxa"/>
            <w:noWrap w:val="0"/>
            <w:vAlign w:val="center"/>
          </w:tcPr>
          <w:p w14:paraId="1752DF2C">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77.5</w:t>
            </w:r>
          </w:p>
        </w:tc>
        <w:tc>
          <w:tcPr>
            <w:tcW w:w="1337" w:type="dxa"/>
            <w:noWrap w:val="0"/>
            <w:vAlign w:val="center"/>
          </w:tcPr>
          <w:p w14:paraId="4BAEB562">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79</w:t>
            </w:r>
          </w:p>
        </w:tc>
        <w:tc>
          <w:tcPr>
            <w:tcW w:w="1628" w:type="dxa"/>
            <w:noWrap w:val="0"/>
            <w:vAlign w:val="center"/>
          </w:tcPr>
          <w:p w14:paraId="43AB7201">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[1.5]</w:t>
            </w:r>
          </w:p>
        </w:tc>
        <w:tc>
          <w:tcPr>
            <w:tcW w:w="863" w:type="dxa"/>
            <w:noWrap w:val="0"/>
            <w:vAlign w:val="center"/>
          </w:tcPr>
          <w:p w14:paraId="31E196FA">
            <w:pPr>
              <w:keepNext/>
              <w:keepLines w:val="0"/>
              <w:pageBreakBefore w:val="0"/>
              <w:widowControl w:val="0"/>
              <w:suppressLineNumbers w:val="0"/>
              <w:kinsoku/>
              <w:wordWrap/>
              <w:overflowPunct/>
              <w:topLinePunct w:val="0"/>
              <w:autoSpaceDE/>
              <w:autoSpaceDN/>
              <w:bidi w:val="0"/>
              <w:adjustRightInd/>
              <w:snapToGrid/>
              <w:spacing w:line="34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预期性</w:t>
            </w:r>
          </w:p>
        </w:tc>
      </w:tr>
      <w:tr w14:paraId="27C4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461" w:type="dxa"/>
            <w:noWrap w:val="0"/>
            <w:vAlign w:val="center"/>
          </w:tcPr>
          <w:p w14:paraId="3A8D2DE9">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16</w:t>
            </w:r>
          </w:p>
        </w:tc>
        <w:tc>
          <w:tcPr>
            <w:tcW w:w="462" w:type="dxa"/>
            <w:vMerge w:val="restart"/>
            <w:noWrap w:val="0"/>
            <w:vAlign w:val="center"/>
          </w:tcPr>
          <w:p w14:paraId="07C637B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绿色低碳</w:t>
            </w:r>
          </w:p>
        </w:tc>
        <w:tc>
          <w:tcPr>
            <w:tcW w:w="3946" w:type="dxa"/>
            <w:gridSpan w:val="2"/>
            <w:noWrap w:val="0"/>
            <w:vAlign w:val="center"/>
          </w:tcPr>
          <w:p w14:paraId="18E3DD49">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单位GDP二氧化碳排放降低（</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476F90B5">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2.95</w:t>
            </w:r>
          </w:p>
        </w:tc>
        <w:tc>
          <w:tcPr>
            <w:tcW w:w="1337" w:type="dxa"/>
            <w:noWrap w:val="0"/>
            <w:vAlign w:val="center"/>
          </w:tcPr>
          <w:p w14:paraId="44522382">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完成市级审核衔接确定的目标</w:t>
            </w:r>
          </w:p>
        </w:tc>
        <w:tc>
          <w:tcPr>
            <w:tcW w:w="1628" w:type="dxa"/>
            <w:noWrap w:val="0"/>
            <w:vAlign w:val="center"/>
          </w:tcPr>
          <w:p w14:paraId="04D7529E">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863" w:type="dxa"/>
            <w:noWrap w:val="0"/>
            <w:vAlign w:val="center"/>
          </w:tcPr>
          <w:p w14:paraId="62F608F0">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约束性</w:t>
            </w:r>
          </w:p>
        </w:tc>
      </w:tr>
      <w:tr w14:paraId="222C3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61" w:type="dxa"/>
            <w:noWrap w:val="0"/>
            <w:vAlign w:val="center"/>
          </w:tcPr>
          <w:p w14:paraId="4B46E97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17</w:t>
            </w:r>
          </w:p>
        </w:tc>
        <w:tc>
          <w:tcPr>
            <w:tcW w:w="462" w:type="dxa"/>
            <w:vMerge w:val="continue"/>
            <w:noWrap w:val="0"/>
            <w:vAlign w:val="center"/>
          </w:tcPr>
          <w:p w14:paraId="7FFB361E">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68AF5C1D">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非化石能源占能源消费总量比重（</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502E24E6">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完成上级下达指标</w:t>
            </w:r>
          </w:p>
        </w:tc>
        <w:tc>
          <w:tcPr>
            <w:tcW w:w="1337" w:type="dxa"/>
            <w:noWrap w:val="0"/>
            <w:vAlign w:val="center"/>
          </w:tcPr>
          <w:p w14:paraId="4C0F291B">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完成经市级审核衔接确定的目标</w:t>
            </w:r>
          </w:p>
        </w:tc>
        <w:tc>
          <w:tcPr>
            <w:tcW w:w="1628" w:type="dxa"/>
            <w:noWrap w:val="0"/>
            <w:vAlign w:val="center"/>
          </w:tcPr>
          <w:p w14:paraId="714EE420">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863" w:type="dxa"/>
            <w:noWrap w:val="0"/>
            <w:vAlign w:val="center"/>
          </w:tcPr>
          <w:p w14:paraId="17764838">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约束性</w:t>
            </w:r>
          </w:p>
        </w:tc>
      </w:tr>
      <w:tr w14:paraId="16B6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1CD3864D">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18</w:t>
            </w:r>
          </w:p>
        </w:tc>
        <w:tc>
          <w:tcPr>
            <w:tcW w:w="462" w:type="dxa"/>
            <w:vMerge w:val="continue"/>
            <w:noWrap w:val="0"/>
            <w:vAlign w:val="center"/>
          </w:tcPr>
          <w:p w14:paraId="3ABDDC6B">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07D72476">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细颗粒物（PM2.5）浓度（</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6CD87DCA">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w:t>
            </w:r>
          </w:p>
        </w:tc>
        <w:tc>
          <w:tcPr>
            <w:tcW w:w="1337" w:type="dxa"/>
            <w:noWrap w:val="0"/>
            <w:vAlign w:val="center"/>
          </w:tcPr>
          <w:p w14:paraId="70C4B69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完成上级下达指标</w:t>
            </w:r>
          </w:p>
        </w:tc>
        <w:tc>
          <w:tcPr>
            <w:tcW w:w="1628" w:type="dxa"/>
            <w:noWrap w:val="0"/>
            <w:vAlign w:val="center"/>
          </w:tcPr>
          <w:p w14:paraId="695FE5D5">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863" w:type="dxa"/>
            <w:noWrap w:val="0"/>
            <w:vAlign w:val="center"/>
          </w:tcPr>
          <w:p w14:paraId="1ED950BB">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约束性</w:t>
            </w:r>
          </w:p>
        </w:tc>
      </w:tr>
      <w:tr w14:paraId="7CC8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461" w:type="dxa"/>
            <w:noWrap w:val="0"/>
            <w:vAlign w:val="center"/>
          </w:tcPr>
          <w:p w14:paraId="19BF093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19</w:t>
            </w:r>
          </w:p>
        </w:tc>
        <w:tc>
          <w:tcPr>
            <w:tcW w:w="462" w:type="dxa"/>
            <w:vMerge w:val="continue"/>
            <w:noWrap w:val="0"/>
            <w:vAlign w:val="center"/>
          </w:tcPr>
          <w:p w14:paraId="4564F3C2">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2C0A2406">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优良水体比例（</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4E70980F">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100</w:t>
            </w:r>
          </w:p>
        </w:tc>
        <w:tc>
          <w:tcPr>
            <w:tcW w:w="1337" w:type="dxa"/>
            <w:noWrap w:val="0"/>
            <w:vAlign w:val="center"/>
          </w:tcPr>
          <w:p w14:paraId="5456529F">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完成上级下达指标</w:t>
            </w:r>
          </w:p>
        </w:tc>
        <w:tc>
          <w:tcPr>
            <w:tcW w:w="1628" w:type="dxa"/>
            <w:noWrap w:val="0"/>
            <w:vAlign w:val="center"/>
          </w:tcPr>
          <w:p w14:paraId="2A4D01EB">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863" w:type="dxa"/>
            <w:noWrap w:val="0"/>
            <w:vAlign w:val="center"/>
          </w:tcPr>
          <w:p w14:paraId="3583761E">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约束性</w:t>
            </w:r>
          </w:p>
        </w:tc>
      </w:tr>
      <w:tr w14:paraId="3486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461" w:type="dxa"/>
            <w:noWrap w:val="0"/>
            <w:vAlign w:val="center"/>
          </w:tcPr>
          <w:p w14:paraId="1C4A8CB5">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20</w:t>
            </w:r>
          </w:p>
        </w:tc>
        <w:tc>
          <w:tcPr>
            <w:tcW w:w="462" w:type="dxa"/>
            <w:vMerge w:val="continue"/>
            <w:noWrap w:val="0"/>
            <w:vAlign w:val="center"/>
          </w:tcPr>
          <w:p w14:paraId="7EA531DA">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3EA6EC6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森林覆盖率（</w:t>
            </w:r>
            <w:r>
              <w:rPr>
                <w:rFonts w:hint="eastAsia" w:ascii="宋体" w:hAnsi="宋体" w:eastAsia="仿宋_GB2312" w:cs="宋体"/>
                <w:i w:val="0"/>
                <w:iCs w:val="0"/>
                <w:color w:val="auto"/>
                <w:kern w:val="0"/>
                <w:sz w:val="21"/>
                <w:szCs w:val="21"/>
                <w:highlight w:val="none"/>
                <w:u w:val="none"/>
                <w:lang w:val="en-US" w:eastAsia="zh-CN" w:bidi="ar"/>
              </w:rPr>
              <w:t>%</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484911D5">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34.56</w:t>
            </w:r>
          </w:p>
        </w:tc>
        <w:tc>
          <w:tcPr>
            <w:tcW w:w="1337" w:type="dxa"/>
            <w:noWrap w:val="0"/>
            <w:vAlign w:val="center"/>
          </w:tcPr>
          <w:p w14:paraId="0E66AAD8">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≥34.56</w:t>
            </w:r>
          </w:p>
        </w:tc>
        <w:tc>
          <w:tcPr>
            <w:tcW w:w="1628" w:type="dxa"/>
            <w:noWrap w:val="0"/>
            <w:vAlign w:val="center"/>
          </w:tcPr>
          <w:p w14:paraId="0379863F">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863" w:type="dxa"/>
            <w:noWrap w:val="0"/>
            <w:vAlign w:val="center"/>
          </w:tcPr>
          <w:p w14:paraId="23ACD44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约束性</w:t>
            </w:r>
          </w:p>
        </w:tc>
      </w:tr>
      <w:tr w14:paraId="38AA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461" w:type="dxa"/>
            <w:noWrap w:val="0"/>
            <w:vAlign w:val="center"/>
          </w:tcPr>
          <w:p w14:paraId="2DA8492D">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21</w:t>
            </w:r>
          </w:p>
        </w:tc>
        <w:tc>
          <w:tcPr>
            <w:tcW w:w="462" w:type="dxa"/>
            <w:vMerge w:val="restart"/>
            <w:noWrap w:val="0"/>
            <w:vAlign w:val="center"/>
          </w:tcPr>
          <w:p w14:paraId="30B2B976">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安全保障</w:t>
            </w:r>
          </w:p>
        </w:tc>
        <w:tc>
          <w:tcPr>
            <w:tcW w:w="3946" w:type="dxa"/>
            <w:gridSpan w:val="2"/>
            <w:noWrap w:val="0"/>
            <w:vAlign w:val="center"/>
          </w:tcPr>
          <w:p w14:paraId="5587C909">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粮食综合生产能力（万吨）</w:t>
            </w:r>
          </w:p>
        </w:tc>
        <w:tc>
          <w:tcPr>
            <w:tcW w:w="1171" w:type="dxa"/>
            <w:noWrap w:val="0"/>
            <w:vAlign w:val="center"/>
          </w:tcPr>
          <w:p w14:paraId="4C792376">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15.19</w:t>
            </w:r>
          </w:p>
        </w:tc>
        <w:tc>
          <w:tcPr>
            <w:tcW w:w="1337" w:type="dxa"/>
            <w:noWrap w:val="0"/>
            <w:vAlign w:val="center"/>
          </w:tcPr>
          <w:p w14:paraId="2776E908">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≥15</w:t>
            </w:r>
          </w:p>
        </w:tc>
        <w:tc>
          <w:tcPr>
            <w:tcW w:w="1628" w:type="dxa"/>
            <w:noWrap w:val="0"/>
            <w:vAlign w:val="center"/>
          </w:tcPr>
          <w:p w14:paraId="2AFF2435">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w:t>
            </w:r>
          </w:p>
        </w:tc>
        <w:tc>
          <w:tcPr>
            <w:tcW w:w="863" w:type="dxa"/>
            <w:noWrap w:val="0"/>
            <w:vAlign w:val="center"/>
          </w:tcPr>
          <w:p w14:paraId="6DC1184D">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约束性</w:t>
            </w:r>
          </w:p>
        </w:tc>
      </w:tr>
      <w:tr w14:paraId="28C6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noWrap w:val="0"/>
            <w:vAlign w:val="center"/>
          </w:tcPr>
          <w:p w14:paraId="033FD07D">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22</w:t>
            </w:r>
          </w:p>
        </w:tc>
        <w:tc>
          <w:tcPr>
            <w:tcW w:w="462" w:type="dxa"/>
            <w:vMerge w:val="continue"/>
            <w:noWrap w:val="0"/>
            <w:vAlign w:val="center"/>
          </w:tcPr>
          <w:p w14:paraId="40E8C659">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p>
        </w:tc>
        <w:tc>
          <w:tcPr>
            <w:tcW w:w="3946" w:type="dxa"/>
            <w:gridSpan w:val="2"/>
            <w:noWrap w:val="0"/>
            <w:vAlign w:val="center"/>
          </w:tcPr>
          <w:p w14:paraId="5A5C07B3">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电力总装机规模（</w:t>
            </w:r>
            <w:r>
              <w:rPr>
                <w:rFonts w:hint="eastAsia" w:ascii="宋体" w:hAnsi="宋体" w:eastAsia="仿宋_GB2312" w:cs="宋体"/>
                <w:i w:val="0"/>
                <w:iCs w:val="0"/>
                <w:color w:val="auto"/>
                <w:kern w:val="0"/>
                <w:sz w:val="21"/>
                <w:szCs w:val="21"/>
                <w:highlight w:val="none"/>
                <w:u w:val="none"/>
                <w:lang w:val="en-US" w:eastAsia="zh-CN" w:bidi="ar"/>
              </w:rPr>
              <w:t>MW</w:t>
            </w:r>
            <w:r>
              <w:rPr>
                <w:rFonts w:hint="eastAsia" w:ascii="宋体" w:hAnsi="宋体" w:eastAsia="仿宋_GB2312" w:cs="仿宋_GB2312"/>
                <w:i w:val="0"/>
                <w:iCs w:val="0"/>
                <w:color w:val="auto"/>
                <w:kern w:val="0"/>
                <w:sz w:val="21"/>
                <w:szCs w:val="21"/>
                <w:highlight w:val="none"/>
                <w:u w:val="none"/>
                <w:lang w:val="en-US" w:eastAsia="zh-CN" w:bidi="ar"/>
              </w:rPr>
              <w:t>）</w:t>
            </w:r>
          </w:p>
        </w:tc>
        <w:tc>
          <w:tcPr>
            <w:tcW w:w="1171" w:type="dxa"/>
            <w:noWrap w:val="0"/>
            <w:vAlign w:val="center"/>
          </w:tcPr>
          <w:p w14:paraId="53142E9E">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630</w:t>
            </w:r>
          </w:p>
        </w:tc>
        <w:tc>
          <w:tcPr>
            <w:tcW w:w="1337" w:type="dxa"/>
            <w:noWrap w:val="0"/>
            <w:vAlign w:val="center"/>
          </w:tcPr>
          <w:p w14:paraId="0F9EF5B1">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≥900</w:t>
            </w:r>
          </w:p>
        </w:tc>
        <w:tc>
          <w:tcPr>
            <w:tcW w:w="1628" w:type="dxa"/>
            <w:noWrap w:val="0"/>
            <w:vAlign w:val="center"/>
          </w:tcPr>
          <w:p w14:paraId="60BBD6E0">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宋体"/>
                <w:i w:val="0"/>
                <w:iCs w:val="0"/>
                <w:color w:val="auto"/>
                <w:kern w:val="0"/>
                <w:sz w:val="21"/>
                <w:szCs w:val="21"/>
                <w:highlight w:val="none"/>
                <w:u w:val="none"/>
                <w:lang w:val="en-US" w:eastAsia="zh-CN" w:bidi="ar"/>
              </w:rPr>
            </w:pPr>
            <w:r>
              <w:rPr>
                <w:rFonts w:hint="eastAsia" w:ascii="宋体" w:hAnsi="宋体" w:eastAsia="仿宋_GB2312" w:cs="宋体"/>
                <w:i w:val="0"/>
                <w:iCs w:val="0"/>
                <w:color w:val="auto"/>
                <w:kern w:val="0"/>
                <w:sz w:val="21"/>
                <w:szCs w:val="21"/>
                <w:highlight w:val="none"/>
                <w:u w:val="none"/>
                <w:lang w:val="en-US" w:eastAsia="zh-CN" w:bidi="ar"/>
              </w:rPr>
              <w:t>[270]</w:t>
            </w:r>
          </w:p>
        </w:tc>
        <w:tc>
          <w:tcPr>
            <w:tcW w:w="863" w:type="dxa"/>
            <w:noWrap w:val="0"/>
            <w:vAlign w:val="center"/>
          </w:tcPr>
          <w:p w14:paraId="5CBB115C">
            <w:pPr>
              <w:keepNext/>
              <w:keepLines w:val="0"/>
              <w:pageBreakBefore w:val="0"/>
              <w:widowControl w:val="0"/>
              <w:suppressLineNumbers w:val="0"/>
              <w:kinsoku/>
              <w:wordWrap/>
              <w:overflowPunct/>
              <w:topLinePunct w:val="0"/>
              <w:autoSpaceDE/>
              <w:autoSpaceDN/>
              <w:bidi w:val="0"/>
              <w:adjustRightInd/>
              <w:snapToGrid/>
              <w:spacing w:line="290" w:lineRule="exact"/>
              <w:ind w:firstLine="0" w:firstLineChars="0"/>
              <w:jc w:val="center"/>
              <w:textAlignment w:val="center"/>
              <w:rPr>
                <w:rFonts w:hint="eastAsia" w:ascii="宋体" w:hAnsi="宋体" w:eastAsia="仿宋_GB2312" w:cs="仿宋_GB2312"/>
                <w:i w:val="0"/>
                <w:iCs w:val="0"/>
                <w:color w:val="auto"/>
                <w:kern w:val="0"/>
                <w:sz w:val="21"/>
                <w:szCs w:val="21"/>
                <w:highlight w:val="none"/>
                <w:u w:val="none"/>
                <w:lang w:val="en-US" w:eastAsia="zh-CN" w:bidi="ar"/>
              </w:rPr>
            </w:pPr>
            <w:r>
              <w:rPr>
                <w:rFonts w:hint="eastAsia" w:ascii="宋体" w:hAnsi="宋体" w:eastAsia="仿宋_GB2312" w:cs="仿宋_GB2312"/>
                <w:i w:val="0"/>
                <w:iCs w:val="0"/>
                <w:color w:val="auto"/>
                <w:kern w:val="0"/>
                <w:sz w:val="21"/>
                <w:szCs w:val="21"/>
                <w:highlight w:val="none"/>
                <w:u w:val="none"/>
                <w:lang w:val="en-US" w:eastAsia="zh-CN" w:bidi="ar"/>
              </w:rPr>
              <w:t>约束性</w:t>
            </w:r>
          </w:p>
        </w:tc>
      </w:tr>
    </w:tbl>
    <w:p w14:paraId="4E63A31D">
      <w:pPr>
        <w:pStyle w:val="3"/>
        <w:keepNext/>
        <w:keepLines w:val="0"/>
        <w:pageBreakBefore w:val="0"/>
        <w:widowControl w:val="0"/>
        <w:numPr>
          <w:ilvl w:val="-1"/>
          <w:numId w:val="0"/>
        </w:numPr>
        <w:kinsoku/>
        <w:wordWrap/>
        <w:overflowPunct/>
        <w:topLinePunct w:val="0"/>
        <w:autoSpaceDE/>
        <w:autoSpaceDN/>
        <w:bidi w:val="0"/>
        <w:adjustRightInd/>
        <w:snapToGrid/>
        <w:spacing w:before="0" w:after="0" w:afterLines="0" w:line="530"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197" w:name="_Toc1605786247"/>
      <w:bookmarkStart w:id="198" w:name="_Toc7684"/>
      <w:r>
        <w:rPr>
          <w:rFonts w:hint="default" w:ascii="宋体" w:hAnsi="宋体" w:eastAsia="方正黑体_GBK" w:cs="Times New Roman Regular"/>
          <w:b w:val="0"/>
          <w:bCs/>
          <w:color w:val="auto"/>
          <w:sz w:val="32"/>
          <w:szCs w:val="32"/>
          <w:highlight w:val="none"/>
          <w:lang w:val="en-US" w:eastAsia="zh-CN"/>
        </w:rPr>
        <w:t xml:space="preserve">第五节 </w:t>
      </w:r>
      <w:bookmarkEnd w:id="178"/>
      <w:bookmarkEnd w:id="179"/>
      <w:bookmarkEnd w:id="180"/>
      <w:bookmarkEnd w:id="181"/>
      <w:bookmarkEnd w:id="182"/>
      <w:bookmarkEnd w:id="183"/>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发展布局</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65A711C4">
      <w:pPr>
        <w:keepNext/>
        <w:keepLines w:val="0"/>
        <w:pageBreakBefore w:val="0"/>
        <w:widowControl w:val="0"/>
        <w:kinsoku/>
        <w:wordWrap/>
        <w:overflowPunct/>
        <w:topLinePunct w:val="0"/>
        <w:autoSpaceDE/>
        <w:autoSpaceDN/>
        <w:bidi w:val="0"/>
        <w:adjustRightInd/>
        <w:snapToGrid/>
        <w:spacing w:line="530" w:lineRule="exact"/>
        <w:textAlignment w:val="auto"/>
        <w:rPr>
          <w:rFonts w:hint="default" w:ascii="宋体" w:hAnsi="宋体" w:eastAsia="方正仿宋_GBK" w:cs="Times New Roman Regular"/>
          <w:color w:val="auto"/>
          <w:szCs w:val="32"/>
          <w:highlight w:val="none"/>
          <w:lang w:val="en-US" w:eastAsia="zh-CN" w:bidi="ar"/>
        </w:rPr>
      </w:pPr>
      <w:r>
        <w:rPr>
          <w:rFonts w:hint="default"/>
          <w:lang w:val="en-US" w:eastAsia="zh-CN"/>
        </w:rPr>
        <w:t>立足石林县资源环境承载能力，落实国土空间“三区三线”管控要求，结合全县“十</w:t>
      </w:r>
      <w:r>
        <w:rPr>
          <w:rFonts w:hint="default"/>
          <w:highlight w:val="none"/>
          <w:lang w:val="en-US" w:eastAsia="zh-CN"/>
        </w:rPr>
        <w:t>四五”期间</w:t>
      </w:r>
      <w:r>
        <w:rPr>
          <w:rFonts w:hint="default"/>
          <w:b/>
          <w:bCs/>
          <w:highlight w:val="none"/>
          <w:lang w:val="en-US" w:eastAsia="zh-CN"/>
        </w:rPr>
        <w:t>“一主两辅三带四区”</w:t>
      </w:r>
      <w:r>
        <w:rPr>
          <w:rFonts w:hint="default"/>
          <w:highlight w:val="none"/>
          <w:lang w:val="en-US" w:eastAsia="zh-CN"/>
        </w:rPr>
        <w:t>发展布局及</w:t>
      </w:r>
      <w:r>
        <w:rPr>
          <w:rFonts w:hint="default"/>
          <w:b/>
          <w:bCs/>
          <w:highlight w:val="none"/>
          <w:lang w:val="en-US" w:eastAsia="zh-CN"/>
        </w:rPr>
        <w:t>“一核两翼、三区多点、三区两带”</w:t>
      </w:r>
      <w:r>
        <w:rPr>
          <w:rFonts w:hint="default"/>
          <w:highlight w:val="none"/>
          <w:lang w:val="en-US" w:eastAsia="zh-CN"/>
        </w:rPr>
        <w:t>国土空间开发保护格局，进一步优化发展布局，促进各类要素合理流动和高效集聚，</w:t>
      </w:r>
      <w:r>
        <w:rPr>
          <w:rFonts w:hint="default"/>
          <w:spacing w:val="-6"/>
          <w:sz w:val="32"/>
          <w:highlight w:val="none"/>
          <w:lang w:val="en-US" w:eastAsia="zh-CN"/>
        </w:rPr>
        <w:t>加快构建</w:t>
      </w:r>
      <w:r>
        <w:rPr>
          <w:rFonts w:hint="default"/>
          <w:b/>
          <w:bCs/>
          <w:spacing w:val="-6"/>
          <w:sz w:val="32"/>
          <w:highlight w:val="none"/>
          <w:lang w:val="en-US" w:eastAsia="zh-CN"/>
        </w:rPr>
        <w:t>“一核引领、三带联动、五区协同”</w:t>
      </w:r>
      <w:r>
        <w:rPr>
          <w:rFonts w:hint="default"/>
          <w:spacing w:val="-6"/>
          <w:sz w:val="32"/>
          <w:highlight w:val="none"/>
          <w:lang w:val="en-US" w:eastAsia="zh-CN"/>
        </w:rPr>
        <w:t>的</w:t>
      </w:r>
      <w:r>
        <w:rPr>
          <w:rFonts w:hint="default"/>
          <w:b/>
          <w:bCs/>
          <w:spacing w:val="-6"/>
          <w:sz w:val="32"/>
          <w:highlight w:val="none"/>
          <w:lang w:val="en-US" w:eastAsia="zh-CN"/>
        </w:rPr>
        <w:t>“135”发展布局。</w:t>
      </w:r>
    </w:p>
    <w:p w14:paraId="154B6AFF">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highlight w:val="none"/>
          <w:lang w:val="en-US" w:eastAsia="zh-CN"/>
        </w:rPr>
        <w:t>一核引领：</w:t>
      </w:r>
      <w:r>
        <w:rPr>
          <w:rFonts w:hint="default"/>
          <w:highlight w:val="none"/>
          <w:lang w:val="en-US" w:eastAsia="zh-CN"/>
        </w:rPr>
        <w:t>按照“寓旅于城、景城融合”发展思路，优化中心城区“北拓南进、东延西优”布局，以鹿阜街道</w:t>
      </w:r>
      <w:r>
        <w:rPr>
          <w:rFonts w:hint="default"/>
          <w:lang w:val="en-US" w:eastAsia="zh-CN"/>
        </w:rPr>
        <w:t>为核心，推动鹿阜街道、石林街道联动发展，推动石林景区南大门项目建设，强化交通集散、商贸服务、生活配套等</w:t>
      </w:r>
      <w:r>
        <w:rPr>
          <w:rFonts w:hint="eastAsia"/>
          <w:lang w:val="en-US" w:eastAsia="zh-CN"/>
        </w:rPr>
        <w:t>城市</w:t>
      </w:r>
      <w:r>
        <w:rPr>
          <w:rFonts w:hint="default"/>
          <w:lang w:val="en-US" w:eastAsia="zh-CN"/>
        </w:rPr>
        <w:t>功能建设，构建“景区游+城区住+全域享”文旅体验链条，促进“产城人”融合发展，彰显石林宜居宜游和美魅力，打造全县全域旅游枢纽与综合服务核心。</w:t>
      </w:r>
    </w:p>
    <w:p w14:paraId="3799A41B">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b/>
          <w:bCs/>
          <w:lang w:val="en-US" w:eastAsia="zh-CN"/>
        </w:rPr>
        <w:t>三带联动：</w:t>
      </w:r>
      <w:r>
        <w:rPr>
          <w:rFonts w:hint="default"/>
          <w:lang w:val="en-US" w:eastAsia="zh-CN"/>
        </w:rPr>
        <w:t>以“串点成线、拓线成带”为路径，打造景城融合带、文体旅融合发展带、民族团结示范带。</w:t>
      </w:r>
      <w:r>
        <w:rPr>
          <w:rFonts w:hint="default"/>
          <w:b/>
          <w:bCs/>
          <w:lang w:val="en-US" w:eastAsia="zh-CN"/>
        </w:rPr>
        <w:t>景城融合带</w:t>
      </w:r>
      <w:r>
        <w:rPr>
          <w:rFonts w:hint="default"/>
          <w:lang w:val="en-US" w:eastAsia="zh-CN"/>
        </w:rPr>
        <w:t>以“景城一体、文旅共生”为核心，串联石林西站、大叠水、县城核心区、冰雪海洋世界、大小石林景区与杏林大观园等沿线景点，沿巴江河打造“文化体验+滨水休闲”文旅街区，配套完善居住、商业、教育、医疗、交通、休闲等配套设施，建设集“自然奇观+科普体验+康养休闲+城市服务”为一体的景城融合带。</w:t>
      </w:r>
      <w:r>
        <w:rPr>
          <w:rFonts w:hint="default"/>
          <w:b/>
          <w:bCs/>
          <w:lang w:val="en-US" w:eastAsia="zh-CN"/>
        </w:rPr>
        <w:t>文体旅融合发展带</w:t>
      </w:r>
      <w:r>
        <w:rPr>
          <w:rFonts w:hint="default"/>
          <w:lang w:val="en-US" w:eastAsia="zh-CN"/>
        </w:rPr>
        <w:t>以石林南片区“文旅+”深度融合发展为主线，整合串联大叠水景区、长湖风景区、糯黑村、阿着底村、矣美堵村、圭山森林公园等景区景点，以“文化为魂、运动为翼、红色为韵”，推动沿线阿诗玛民族文化、户外运动资源及红色文化深度联动开发，打造文体旅融合发展带。</w:t>
      </w:r>
      <w:r>
        <w:rPr>
          <w:rFonts w:hint="default"/>
          <w:b/>
          <w:bCs/>
          <w:lang w:val="en-US" w:eastAsia="zh-CN"/>
        </w:rPr>
        <w:t>民族团结示范带</w:t>
      </w:r>
      <w:r>
        <w:rPr>
          <w:rFonts w:hint="default"/>
          <w:lang w:val="en-US" w:eastAsia="zh-CN"/>
        </w:rPr>
        <w:t>以民族文化传承、激活民族文化产业为核心，串联台创园、小箐村、五棵树村、阿着底村、维则村等民族特色村落，以“各民族嵌入式共居、文化沉浸式共融、发展一体式共建”为内涵，推动民族文化资源转化为发展优势，打造集文化传承、产业联动、民生共享、情感相依于一体的民族团结示范带。</w:t>
      </w:r>
    </w:p>
    <w:p w14:paraId="04DD88D2">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方正仿宋_GBK" w:cs="Times New Roman Regular"/>
          <w:color w:val="auto"/>
          <w:szCs w:val="32"/>
          <w:highlight w:val="none"/>
          <w:lang w:bidi="ar"/>
        </w:rPr>
      </w:pPr>
      <w:r>
        <w:rPr>
          <w:rFonts w:hint="default"/>
          <w:b/>
          <w:bCs/>
          <w:lang w:val="en-US" w:eastAsia="zh-CN"/>
        </w:rPr>
        <w:t>五区协同：</w:t>
      </w:r>
      <w:r>
        <w:rPr>
          <w:rFonts w:hint="default"/>
          <w:lang w:val="en-US" w:eastAsia="zh-CN"/>
        </w:rPr>
        <w:t>以功能协同与产业联动为核心，打破区域壁垒与碎片化发展模式，打造产城融合示范区、生态工业核心区、康养旅居示范区、高原特色农业示范区、民俗文化体验区，引领带动全县产业转型升级。</w:t>
      </w:r>
      <w:r>
        <w:rPr>
          <w:rFonts w:hint="default"/>
          <w:b/>
          <w:bCs/>
          <w:lang w:val="en-US" w:eastAsia="zh-CN"/>
        </w:rPr>
        <w:t>产城融合示范区</w:t>
      </w:r>
      <w:r>
        <w:rPr>
          <w:rFonts w:hint="default"/>
          <w:lang w:val="en-US" w:eastAsia="zh-CN"/>
        </w:rPr>
        <w:t>以</w:t>
      </w:r>
      <w:r>
        <w:rPr>
          <w:rFonts w:hint="eastAsia"/>
          <w:lang w:val="en-US" w:eastAsia="zh-CN"/>
        </w:rPr>
        <w:t>“</w:t>
      </w:r>
      <w:r>
        <w:rPr>
          <w:rFonts w:hint="default"/>
          <w:lang w:val="en-US" w:eastAsia="zh-CN"/>
        </w:rPr>
        <w:t>产城融合</w:t>
      </w:r>
      <w:r>
        <w:rPr>
          <w:rFonts w:hint="eastAsia"/>
          <w:lang w:val="en-US" w:eastAsia="zh-CN"/>
        </w:rPr>
        <w:t>”</w:t>
      </w:r>
      <w:r>
        <w:rPr>
          <w:rFonts w:hint="default"/>
          <w:lang w:val="en-US" w:eastAsia="zh-CN"/>
        </w:rPr>
        <w:t>为导向，集聚发展绿色食品加工、生物医药、现代物流、新材料等产业，以石林产业园区核心区为核心载体，推动园区产业发展与城市功能深度耦合，打造</w:t>
      </w:r>
      <w:r>
        <w:rPr>
          <w:rFonts w:hint="eastAsia"/>
          <w:lang w:val="en-US" w:eastAsia="zh-CN"/>
        </w:rPr>
        <w:t>“</w:t>
      </w:r>
      <w:r>
        <w:rPr>
          <w:rFonts w:hint="default"/>
          <w:lang w:val="en-US" w:eastAsia="zh-CN"/>
        </w:rPr>
        <w:t>产业兴、城市活</w:t>
      </w:r>
      <w:r>
        <w:rPr>
          <w:rFonts w:hint="eastAsia"/>
          <w:lang w:val="en-US" w:eastAsia="zh-CN"/>
        </w:rPr>
        <w:t>”</w:t>
      </w:r>
      <w:r>
        <w:rPr>
          <w:rFonts w:hint="default"/>
          <w:lang w:val="en-US" w:eastAsia="zh-CN"/>
        </w:rPr>
        <w:t>的产城融合示范区，实现以产促城、以城兴产的长效良性循环。</w:t>
      </w:r>
      <w:r>
        <w:rPr>
          <w:rFonts w:hint="default"/>
          <w:b/>
          <w:bCs/>
          <w:lang w:val="en-US" w:eastAsia="zh-CN"/>
        </w:rPr>
        <w:t>生态工业核心区</w:t>
      </w:r>
      <w:r>
        <w:rPr>
          <w:rFonts w:hint="default"/>
          <w:lang w:val="en-US" w:eastAsia="zh-CN"/>
        </w:rPr>
        <w:t>聚焦石材加工转型升级、产业链延伸，集聚发展钙基新材料等产业，以产业园区西街口片区为核心，加强资源重整、产业集聚、技术创新，打造成辐射全省、全国及东南亚的石材贸易物流集散地与石产业交易结算、赋能、运营中心。</w:t>
      </w:r>
      <w:r>
        <w:rPr>
          <w:rFonts w:hint="default"/>
          <w:b/>
          <w:bCs/>
          <w:lang w:val="en-US" w:eastAsia="zh-CN"/>
        </w:rPr>
        <w:t>康养旅居示范区</w:t>
      </w:r>
      <w:r>
        <w:rPr>
          <w:rFonts w:hint="default"/>
          <w:lang w:val="en-US" w:eastAsia="zh-CN"/>
        </w:rPr>
        <w:t>以康养旅居、休闲观光产业为核心支撑，整合杏林大观园、乃古石林、万家欢等资源，升级康体养生业态，开发农科研学场景，打造</w:t>
      </w:r>
      <w:r>
        <w:rPr>
          <w:rFonts w:hint="eastAsia"/>
          <w:lang w:val="en-US" w:eastAsia="zh-CN"/>
        </w:rPr>
        <w:t>“</w:t>
      </w:r>
      <w:r>
        <w:rPr>
          <w:rFonts w:hint="default"/>
          <w:lang w:val="en-US" w:eastAsia="zh-CN"/>
        </w:rPr>
        <w:t>农—医—养—旅</w:t>
      </w:r>
      <w:r>
        <w:rPr>
          <w:rFonts w:hint="eastAsia"/>
          <w:lang w:val="en-US" w:eastAsia="zh-CN"/>
        </w:rPr>
        <w:t>”</w:t>
      </w:r>
      <w:r>
        <w:rPr>
          <w:rFonts w:hint="default"/>
          <w:lang w:val="en-US" w:eastAsia="zh-CN"/>
        </w:rPr>
        <w:t>闭环，满足家庭客群、康养群体的休闲需求，打造优质康养旅居示范区。</w:t>
      </w:r>
      <w:r>
        <w:rPr>
          <w:rFonts w:hint="default"/>
          <w:b/>
          <w:bCs/>
          <w:lang w:val="en-US" w:eastAsia="zh-CN"/>
        </w:rPr>
        <w:t>高原特色农业示范区</w:t>
      </w:r>
      <w:r>
        <w:rPr>
          <w:rFonts w:hint="default"/>
          <w:lang w:val="en-US" w:eastAsia="zh-CN"/>
        </w:rPr>
        <w:t>以花果、蔬菜、枇杷、西葫芦等高原特色农业产品为支持，积极发展绿色有机农业，整合土地和交通区位等资源优势，推动农业种植、精深加工、商贸流通全环节提质，打造功能完备、链条完整、示范引领力强的高原特色农业示范区。</w:t>
      </w:r>
      <w:r>
        <w:rPr>
          <w:rFonts w:hint="default"/>
          <w:b/>
          <w:bCs/>
          <w:lang w:val="en-US" w:eastAsia="zh-CN"/>
        </w:rPr>
        <w:t>民俗文化体验区</w:t>
      </w:r>
      <w:r>
        <w:rPr>
          <w:rFonts w:hint="default"/>
          <w:lang w:val="en-US" w:eastAsia="zh-CN"/>
        </w:rPr>
        <w:t>聚焦民族文化传承、非物质文化遗产活态保护，深度挖掘阿诗玛叙事文化、“圭山打响第一枪”红色资源，整合民族歌舞、传统手工艺、节庆民俗等产业优势，发展民族文化研学、非物质文化遗产工坊体验、红色情景互动等业态，打造集农业观光、户外运动、文化体验、民俗沉浸、红色研学等为一体的沉浸式民俗文化体验区。</w:t>
      </w:r>
    </w:p>
    <w:p w14:paraId="74EB2CB3">
      <w:pPr>
        <w:pStyle w:val="2"/>
        <w:keepNext/>
        <w:keepLines/>
        <w:pageBreakBefore w:val="0"/>
        <w:widowControl w:val="0"/>
        <w:numPr>
          <w:ilvl w:val="-1"/>
          <w:numId w:val="0"/>
        </w:numPr>
        <w:kinsoku/>
        <w:wordWrap/>
        <w:overflowPunct/>
        <w:topLinePunct w:val="0"/>
        <w:autoSpaceDE/>
        <w:autoSpaceDN/>
        <w:bidi w:val="0"/>
        <w:adjustRightInd/>
        <w:snapToGrid/>
        <w:spacing w:before="360" w:after="200" w:line="560" w:lineRule="exact"/>
        <w:ind w:left="0" w:leftChars="0" w:firstLine="0" w:firstLineChars="0"/>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bookmarkStart w:id="199" w:name="_Toc20966"/>
      <w:bookmarkStart w:id="200" w:name="_Toc1632525608"/>
      <w:bookmarkStart w:id="201" w:name="_Toc317052540"/>
      <w:bookmarkStart w:id="202" w:name="_Toc6462549"/>
      <w:bookmarkStart w:id="203" w:name="_Toc712857313"/>
      <w:bookmarkStart w:id="204" w:name="_Toc621823326"/>
      <w:bookmarkStart w:id="205" w:name="_Toc1592412137"/>
      <w:bookmarkStart w:id="206" w:name="_Toc4676"/>
      <w:bookmarkStart w:id="207" w:name="_Toc12632"/>
      <w:bookmarkStart w:id="208" w:name="_Toc921950949"/>
      <w:bookmarkStart w:id="209" w:name="_Toc1022461480"/>
      <w:bookmarkStart w:id="210" w:name="_Toc634515441"/>
      <w:bookmarkStart w:id="211" w:name="_Toc27077"/>
      <w:bookmarkStart w:id="212" w:name="_Toc21483"/>
      <w:bookmarkStart w:id="213" w:name="_Toc23305"/>
      <w:bookmarkStart w:id="214" w:name="_Toc1156845317"/>
      <w:bookmarkStart w:id="215" w:name="_Toc1840798627"/>
      <w:bookmarkStart w:id="216" w:name="_Toc1941639794"/>
      <w:bookmarkStart w:id="217" w:name="_Toc3721"/>
      <w:bookmarkStart w:id="218" w:name="_Toc30613"/>
      <w:bookmarkStart w:id="219" w:name="_Toc513554948"/>
      <w:r>
        <w:rPr>
          <w:rFonts w:hint="eastAsia" w:ascii="方正小标宋简体" w:hAnsi="方正小标宋简体" w:eastAsia="方正小标宋简体" w:cs="方正小标宋简体"/>
          <w:b w:val="0"/>
          <w:bCs/>
          <w:color w:val="auto"/>
          <w:sz w:val="36"/>
          <w:szCs w:val="36"/>
          <w:highlight w:val="none"/>
          <w:lang w:val="en-US" w:eastAsia="zh-CN"/>
        </w:rPr>
        <w:t>第三章  重塑文旅发展优势，打造国际知名旅游目的地</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56305A6E">
      <w:pPr>
        <w:keepNext/>
        <w:keepLines w:val="0"/>
        <w:pageBreakBefore w:val="0"/>
        <w:widowControl w:val="0"/>
        <w:kinsoku/>
        <w:wordWrap/>
        <w:overflowPunct/>
        <w:topLinePunct w:val="0"/>
        <w:autoSpaceDE/>
        <w:autoSpaceDN/>
        <w:bidi w:val="0"/>
        <w:adjustRightInd/>
        <w:snapToGrid/>
        <w:spacing w:line="510" w:lineRule="exact"/>
        <w:textAlignment w:val="auto"/>
        <w:rPr>
          <w:rFonts w:hint="default"/>
          <w:lang w:val="en-US" w:eastAsia="zh-CN"/>
        </w:rPr>
      </w:pPr>
      <w:r>
        <w:rPr>
          <w:rFonts w:hint="eastAsia"/>
          <w:lang w:val="en-US" w:eastAsia="zh-CN"/>
        </w:rPr>
        <w:t>深化</w:t>
      </w:r>
      <w:r>
        <w:rPr>
          <w:rFonts w:hint="default"/>
          <w:lang w:val="en-US" w:eastAsia="zh-CN"/>
        </w:rPr>
        <w:t>“</w:t>
      </w:r>
      <w:r>
        <w:rPr>
          <w:rFonts w:hint="eastAsia"/>
          <w:lang w:val="en-US" w:eastAsia="zh-CN"/>
        </w:rPr>
        <w:t>有一种叫云南的生活</w:t>
      </w:r>
      <w:r>
        <w:rPr>
          <w:rFonts w:hint="default"/>
          <w:lang w:val="en-US" w:eastAsia="zh-CN"/>
        </w:rPr>
        <w:t>”</w:t>
      </w:r>
      <w:r>
        <w:rPr>
          <w:rFonts w:hint="eastAsia"/>
          <w:lang w:val="en-US" w:eastAsia="zh-CN"/>
        </w:rPr>
        <w:t>内涵，立足文旅优势县定位，实施</w:t>
      </w:r>
      <w:r>
        <w:rPr>
          <w:rFonts w:hint="default"/>
          <w:lang w:val="en-US" w:eastAsia="zh-CN"/>
        </w:rPr>
        <w:t>“</w:t>
      </w:r>
      <w:r>
        <w:rPr>
          <w:rFonts w:hint="eastAsia"/>
          <w:lang w:val="en-US" w:eastAsia="zh-CN"/>
        </w:rPr>
        <w:t>旅游立县</w:t>
      </w:r>
      <w:r>
        <w:rPr>
          <w:rFonts w:hint="default"/>
          <w:lang w:val="en-US" w:eastAsia="zh-CN"/>
        </w:rPr>
        <w:t>”</w:t>
      </w:r>
      <w:r>
        <w:rPr>
          <w:rFonts w:hint="eastAsia"/>
          <w:lang w:val="en-US" w:eastAsia="zh-CN"/>
        </w:rPr>
        <w:t>一个战略，依托石林、阿诗玛文化“两大国际级IP”，主攻“国际知名旅游目的地”“天然氧吧</w:t>
      </w:r>
      <w:r>
        <w:rPr>
          <w:rFonts w:hint="default"/>
          <w:lang w:val="en-US" w:eastAsia="zh-CN"/>
        </w:rPr>
        <w:t>・</w:t>
      </w:r>
      <w:r>
        <w:rPr>
          <w:rFonts w:hint="eastAsia"/>
          <w:lang w:val="en-US" w:eastAsia="zh-CN"/>
        </w:rPr>
        <w:t>旅居石林”两条赛道</w:t>
      </w:r>
      <w:r>
        <w:rPr>
          <w:rFonts w:hint="default"/>
          <w:lang w:val="en-US" w:eastAsia="zh-CN"/>
        </w:rPr>
        <w:t>，</w:t>
      </w:r>
      <w:r>
        <w:rPr>
          <w:rFonts w:hint="eastAsia"/>
          <w:lang w:val="en-US" w:eastAsia="zh-CN"/>
        </w:rPr>
        <w:t>以景城融合促进文旅多业态融合发展，推动旅游资源产品化、旅游产品市场化，</w:t>
      </w:r>
      <w:r>
        <w:rPr>
          <w:rFonts w:hint="default"/>
          <w:lang w:val="en-US" w:eastAsia="zh-CN"/>
        </w:rPr>
        <w:t>提升“吃住行游购娱”全链条服务品质</w:t>
      </w:r>
      <w:r>
        <w:rPr>
          <w:rFonts w:hint="eastAsia"/>
          <w:lang w:val="en-US" w:eastAsia="zh-CN"/>
        </w:rPr>
        <w:t>，加快构建全域化、国际化、现代化、特色化的文旅产业体系，推动发展格局从“景点孤岛”向“全域旅游”拓展跃升，</w:t>
      </w:r>
      <w:r>
        <w:rPr>
          <w:rFonts w:hint="default"/>
          <w:lang w:val="en-US" w:eastAsia="zh-CN"/>
        </w:rPr>
        <w:t>全力打造</w:t>
      </w:r>
      <w:r>
        <w:rPr>
          <w:rFonts w:hint="eastAsia"/>
          <w:lang w:val="en-US" w:eastAsia="zh-CN"/>
        </w:rPr>
        <w:t>一个三百亿</w:t>
      </w:r>
      <w:r>
        <w:rPr>
          <w:rFonts w:hint="default"/>
          <w:lang w:val="en-US" w:eastAsia="zh-CN"/>
        </w:rPr>
        <w:t>级文旅产业。</w:t>
      </w:r>
    </w:p>
    <w:p w14:paraId="31F96445">
      <w:pPr>
        <w:pStyle w:val="3"/>
        <w:keepNext/>
        <w:keepLines w:val="0"/>
        <w:pageBreakBefore w:val="0"/>
        <w:widowControl w:val="0"/>
        <w:numPr>
          <w:ilvl w:val="-1"/>
          <w:numId w:val="0"/>
        </w:numPr>
        <w:kinsoku/>
        <w:wordWrap/>
        <w:overflowPunct/>
        <w:topLinePunct w:val="0"/>
        <w:autoSpaceDE/>
        <w:autoSpaceDN/>
        <w:bidi w:val="0"/>
        <w:adjustRightInd/>
        <w:snapToGrid/>
        <w:spacing w:before="0" w:after="137" w:afterLines="30" w:line="510"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220" w:name="_Toc1241878693"/>
      <w:bookmarkStart w:id="221" w:name="_Toc345951066"/>
      <w:bookmarkStart w:id="222" w:name="_Toc32697"/>
      <w:bookmarkStart w:id="223" w:name="_Toc1606819584"/>
      <w:bookmarkStart w:id="224" w:name="_Toc4427"/>
      <w:bookmarkStart w:id="225" w:name="_Toc19164"/>
      <w:bookmarkStart w:id="226" w:name="_Toc2126001593"/>
      <w:bookmarkStart w:id="227" w:name="_Toc9007"/>
      <w:bookmarkStart w:id="228" w:name="_Toc23727"/>
      <w:bookmarkStart w:id="229" w:name="_Toc8739"/>
      <w:bookmarkStart w:id="230" w:name="_Toc581233743"/>
      <w:bookmarkStart w:id="231" w:name="_Toc29546"/>
      <w:bookmarkStart w:id="232" w:name="_Toc1653105307"/>
      <w:bookmarkStart w:id="233" w:name="_Toc1729577645"/>
      <w:bookmarkStart w:id="234" w:name="_Toc795111573"/>
      <w:bookmarkStart w:id="235" w:name="_Toc5707"/>
      <w:bookmarkStart w:id="236" w:name="_Toc181592978"/>
      <w:bookmarkStart w:id="237" w:name="_Toc1329213780"/>
      <w:bookmarkStart w:id="238" w:name="_Toc2044709532"/>
      <w:bookmarkStart w:id="239" w:name="_Toc1929786528"/>
      <w:bookmarkStart w:id="240" w:name="_Toc1135086738"/>
      <w:bookmarkStart w:id="241" w:name="_Toc1435486836"/>
      <w:bookmarkStart w:id="242" w:name="_Toc25819"/>
      <w:bookmarkStart w:id="243" w:name="_Toc25001"/>
      <w:bookmarkStart w:id="244" w:name="_Toc24444"/>
      <w:bookmarkStart w:id="245" w:name="_Toc283613748"/>
      <w:bookmarkStart w:id="246" w:name="_Toc1862215456"/>
      <w:bookmarkStart w:id="247" w:name="_Toc28415"/>
      <w:r>
        <w:rPr>
          <w:rFonts w:hint="default" w:ascii="宋体" w:hAnsi="宋体" w:eastAsia="方正黑体_GBK" w:cs="Times New Roman Regular"/>
          <w:b w:val="0"/>
          <w:bCs/>
          <w:color w:val="auto"/>
          <w:sz w:val="32"/>
          <w:szCs w:val="32"/>
          <w:highlight w:val="none"/>
          <w:lang w:val="en-US" w:eastAsia="zh-CN"/>
        </w:rPr>
        <w:t>第一节</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全力打造国际文旅品牌</w:t>
      </w:r>
      <w:bookmarkEnd w:id="220"/>
      <w:bookmarkEnd w:id="221"/>
      <w:bookmarkEnd w:id="222"/>
    </w:p>
    <w:p w14:paraId="6E02ACAF">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rPr>
        <w:t>围绕“国际知名旅游目的地”建设目标，以智慧化升级赋能景区提质，优化传统景区业态供给与服务品质</w:t>
      </w:r>
      <w:r>
        <w:rPr>
          <w:rFonts w:hint="eastAsia"/>
          <w:lang w:eastAsia="zh-CN"/>
        </w:rPr>
        <w:t>，</w:t>
      </w:r>
      <w:r>
        <w:rPr>
          <w:rFonts w:hint="eastAsia"/>
        </w:rPr>
        <w:t>系统摸排全域旅游资源，深度培育挖掘特色新景点，强化区域协同联动，深化国际交流合作，全方位塑造彰显石林特色的国际文旅品牌。</w:t>
      </w:r>
    </w:p>
    <w:p w14:paraId="25FC5C03">
      <w:pPr>
        <w:keepNext/>
        <w:keepLines w:val="0"/>
        <w:pageBreakBefore w:val="0"/>
        <w:widowControl w:val="0"/>
        <w:kinsoku/>
        <w:wordWrap/>
        <w:overflowPunct/>
        <w:topLinePunct w:val="0"/>
        <w:autoSpaceDE/>
        <w:autoSpaceDN/>
        <w:bidi w:val="0"/>
        <w:adjustRightInd/>
        <w:snapToGrid/>
        <w:spacing w:beforeLines="0" w:afterLines="0" w:line="51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w:t>
      </w:r>
      <w:r>
        <w:rPr>
          <w:rFonts w:hint="eastAsia" w:ascii="楷体_GB2312" w:hAnsi="楷体_GB2312" w:eastAsia="楷体_GB2312" w:cs="楷体_GB2312"/>
          <w:b w:val="0"/>
          <w:bCs w:val="0"/>
          <w:color w:val="auto"/>
          <w:sz w:val="32"/>
          <w:szCs w:val="32"/>
          <w:highlight w:val="none"/>
          <w:lang w:val="en-US" w:eastAsia="zh-CN"/>
        </w:rPr>
        <w:t>打造一批精品旅游景区</w:t>
      </w:r>
    </w:p>
    <w:p w14:paraId="64434DAA">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default"/>
          <w:lang w:val="en-US" w:eastAsia="zh-CN"/>
        </w:rPr>
        <w:t>突出</w:t>
      </w:r>
      <w:r>
        <w:rPr>
          <w:rFonts w:hint="eastAsia"/>
          <w:lang w:val="en-US" w:eastAsia="zh-CN"/>
        </w:rPr>
        <w:t>“</w:t>
      </w:r>
      <w:r>
        <w:rPr>
          <w:rFonts w:hint="default"/>
          <w:lang w:val="en-US" w:eastAsia="zh-CN"/>
        </w:rPr>
        <w:t>景区业态、内涵品质、综合功能、配套设施、管理服务</w:t>
      </w:r>
      <w:r>
        <w:rPr>
          <w:rFonts w:hint="eastAsia"/>
          <w:lang w:val="en-US" w:eastAsia="zh-CN"/>
        </w:rPr>
        <w:t>”</w:t>
      </w:r>
      <w:r>
        <w:rPr>
          <w:rFonts w:hint="default"/>
          <w:lang w:val="en-US" w:eastAsia="zh-CN"/>
        </w:rPr>
        <w:t>重点，提升景区产品品质和服务水平，打造高品质旅游景区和度假区。聚焦建设世界级旅游景区，实施</w:t>
      </w:r>
      <w:r>
        <w:rPr>
          <w:rFonts w:hint="eastAsia"/>
          <w:lang w:val="en-US" w:eastAsia="zh-CN"/>
        </w:rPr>
        <w:t>石林</w:t>
      </w:r>
      <w:r>
        <w:rPr>
          <w:rFonts w:hint="default"/>
          <w:lang w:val="en-US" w:eastAsia="zh-CN"/>
        </w:rPr>
        <w:t>景区品质提升工程，</w:t>
      </w:r>
      <w:r>
        <w:rPr>
          <w:rFonts w:hint="eastAsia"/>
        </w:rPr>
        <w:t>完善景区休息驿站、</w:t>
      </w:r>
      <w:r>
        <w:rPr>
          <w:rFonts w:hint="default"/>
          <w:lang w:val="en-US" w:eastAsia="zh-CN"/>
        </w:rPr>
        <w:t>电瓶车道及配套设施建设</w:t>
      </w:r>
      <w:r>
        <w:rPr>
          <w:rFonts w:hint="eastAsia"/>
          <w:lang w:eastAsia="zh-CN"/>
        </w:rPr>
        <w:t>，</w:t>
      </w:r>
      <w:r>
        <w:rPr>
          <w:rFonts w:hint="default"/>
          <w:lang w:val="en-US" w:eastAsia="zh-CN"/>
        </w:rPr>
        <w:t>丰富实景演艺、智慧体验、非遗文创、特色美食</w:t>
      </w:r>
      <w:r>
        <w:rPr>
          <w:rFonts w:hint="eastAsia"/>
          <w:lang w:val="en-US" w:eastAsia="zh-CN"/>
        </w:rPr>
        <w:t>、科普研学</w:t>
      </w:r>
      <w:r>
        <w:rPr>
          <w:rFonts w:hint="default"/>
          <w:lang w:val="en-US" w:eastAsia="zh-CN"/>
        </w:rPr>
        <w:t>等新场景，点亮夜游石林新场景</w:t>
      </w:r>
      <w:r>
        <w:rPr>
          <w:rFonts w:hint="eastAsia"/>
          <w:lang w:val="en-US" w:eastAsia="zh-CN"/>
        </w:rPr>
        <w:t>，促进“二次消费”；谋划建设</w:t>
      </w:r>
      <w:r>
        <w:rPr>
          <w:rFonts w:hint="default"/>
          <w:lang w:val="en-US" w:eastAsia="zh-CN"/>
        </w:rPr>
        <w:t>石林景区南大门，</w:t>
      </w:r>
      <w:r>
        <w:rPr>
          <w:rFonts w:hint="eastAsia"/>
          <w:lang w:val="en-US" w:eastAsia="zh-CN"/>
        </w:rPr>
        <w:t>打通“景城融合”物理通道。</w:t>
      </w:r>
      <w:r>
        <w:rPr>
          <w:rFonts w:hint="eastAsia"/>
        </w:rPr>
        <w:t>推动乃古石林风景区强基焕新，升级打造长湖风景区；改造提升大叠水景区，打造珠江源大叠水瀑布群度假区。</w:t>
      </w:r>
      <w:r>
        <w:rPr>
          <w:rFonts w:hint="eastAsia"/>
          <w:lang w:val="en-US" w:eastAsia="zh-CN"/>
        </w:rPr>
        <w:t>依托杏林大观园、万家欢等景区，做强</w:t>
      </w:r>
      <w:r>
        <w:rPr>
          <w:rFonts w:hint="eastAsia"/>
          <w:lang w:eastAsia="zh-CN"/>
        </w:rPr>
        <w:t>台创园</w:t>
      </w:r>
      <w:r>
        <w:rPr>
          <w:rFonts w:hint="eastAsia"/>
          <w:lang w:val="en-US" w:eastAsia="zh-CN"/>
        </w:rPr>
        <w:t>康养旅居、农旅融合、科普研学产业，积极创建国家</w:t>
      </w:r>
      <w:r>
        <w:rPr>
          <w:rFonts w:hint="eastAsia"/>
          <w:lang w:eastAsia="zh-CN"/>
        </w:rPr>
        <w:t>级旅游度假区</w:t>
      </w:r>
      <w:r>
        <w:rPr>
          <w:rFonts w:hint="eastAsia"/>
          <w:lang w:val="en-US" w:eastAsia="zh-CN"/>
        </w:rPr>
        <w:t>。</w:t>
      </w:r>
      <w:r>
        <w:rPr>
          <w:rFonts w:hint="default"/>
          <w:lang w:val="en-US" w:eastAsia="zh-CN"/>
        </w:rPr>
        <w:t>加快推进杏林大观园创建国家5A级旅游景区，持续</w:t>
      </w:r>
      <w:r>
        <w:rPr>
          <w:rFonts w:hint="eastAsia"/>
          <w:lang w:val="en-US" w:eastAsia="zh-CN"/>
        </w:rPr>
        <w:t>推动长湖景区、乃古石林景区创建4A级景区。</w:t>
      </w:r>
    </w:p>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5111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1" w:hRule="atLeast"/>
          <w:tblHeader/>
        </w:trPr>
        <w:tc>
          <w:tcPr>
            <w:tcW w:w="9061" w:type="dxa"/>
            <w:vAlign w:val="center"/>
          </w:tcPr>
          <w:p w14:paraId="24DEA7A9">
            <w:pPr>
              <w:pStyle w:val="7"/>
              <w:keepNext/>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宋体" w:hAnsi="宋体" w:eastAsia="方正仿宋_GBK" w:cs="Times New Roman Regular"/>
                <w:color w:val="auto"/>
                <w:kern w:val="2"/>
                <w:sz w:val="32"/>
                <w:szCs w:val="32"/>
                <w:highlight w:val="none"/>
                <w:u w:val="none" w:color="auto"/>
                <w:vertAlign w:val="baseline"/>
                <w:lang w:val="en-US" w:eastAsia="zh-CN" w:bidi="ar"/>
              </w:rPr>
            </w:pPr>
            <w:r>
              <w:rPr>
                <w:rFonts w:hint="eastAsia" w:ascii="黑体" w:hAnsi="黑体" w:eastAsia="黑体" w:cs="黑体"/>
                <w:color w:val="auto"/>
                <w:sz w:val="28"/>
                <w:szCs w:val="28"/>
                <w:highlight w:val="none"/>
                <w:lang w:val="en-US" w:eastAsia="zh-CN"/>
              </w:rPr>
              <w:t>专栏2   景区发展重点工程</w:t>
            </w:r>
          </w:p>
        </w:tc>
      </w:tr>
      <w:tr w14:paraId="33B6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7" w:hRule="atLeast"/>
        </w:trPr>
        <w:tc>
          <w:tcPr>
            <w:tcW w:w="9061" w:type="dxa"/>
            <w:vAlign w:val="center"/>
          </w:tcPr>
          <w:p w14:paraId="0FE4475C">
            <w:pPr>
              <w:keepNext/>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rFonts w:hint="default" w:ascii="宋体" w:hAnsi="宋体" w:eastAsia="方正楷体_GBK" w:cs="Times New Roman Regular"/>
                <w:color w:val="auto"/>
                <w:kern w:val="2"/>
                <w:sz w:val="32"/>
                <w:szCs w:val="32"/>
                <w:highlight w:val="none"/>
                <w:u w:val="none" w:color="auto"/>
                <w:vertAlign w:val="baseline"/>
                <w:lang w:val="en-US" w:eastAsia="zh-CN" w:bidi="ar"/>
              </w:rPr>
            </w:pPr>
            <w:r>
              <w:rPr>
                <w:rFonts w:hint="eastAsia" w:ascii="宋体" w:hAnsi="宋体" w:eastAsia="仿宋_GB2312" w:cs="仿宋_GB2312"/>
                <w:b/>
                <w:bCs/>
                <w:color w:val="auto"/>
                <w:sz w:val="28"/>
                <w:szCs w:val="28"/>
                <w:highlight w:val="none"/>
                <w:u w:val="none" w:color="auto"/>
              </w:rPr>
              <w:t>石林5A级景区提升改造</w:t>
            </w:r>
            <w:r>
              <w:rPr>
                <w:rFonts w:hint="eastAsia" w:ascii="宋体" w:hAnsi="宋体" w:eastAsia="仿宋_GB2312" w:cs="仿宋_GB2312"/>
                <w:b/>
                <w:bCs/>
                <w:color w:val="auto"/>
                <w:sz w:val="28"/>
                <w:szCs w:val="28"/>
                <w:highlight w:val="none"/>
                <w:u w:val="none" w:color="auto"/>
                <w:lang w:val="en-US" w:eastAsia="zh-CN"/>
              </w:rPr>
              <w:t>工程</w:t>
            </w:r>
            <w:r>
              <w:rPr>
                <w:rFonts w:hint="eastAsia" w:ascii="宋体" w:hAnsi="宋体" w:eastAsia="仿宋_GB2312" w:cs="仿宋_GB2312"/>
                <w:b/>
                <w:bCs/>
                <w:color w:val="auto"/>
                <w:sz w:val="28"/>
                <w:szCs w:val="28"/>
                <w:highlight w:val="none"/>
                <w:u w:val="none" w:color="auto"/>
                <w:lang w:eastAsia="zh-CN"/>
              </w:rPr>
              <w:t>。</w:t>
            </w:r>
            <w:r>
              <w:rPr>
                <w:rFonts w:hint="eastAsia" w:ascii="宋体" w:hAnsi="宋体" w:eastAsia="仿宋_GB2312" w:cs="仿宋_GB2312"/>
                <w:b w:val="0"/>
                <w:bCs w:val="0"/>
                <w:color w:val="auto"/>
                <w:sz w:val="28"/>
                <w:szCs w:val="28"/>
                <w:highlight w:val="none"/>
                <w:u w:val="none" w:color="auto"/>
              </w:rPr>
              <w:t>新建C线景区出口道路</w:t>
            </w:r>
            <w:r>
              <w:rPr>
                <w:rFonts w:hint="eastAsia" w:ascii="宋体" w:hAnsi="宋体" w:eastAsia="仿宋_GB2312" w:cs="仿宋_GB2312"/>
                <w:b w:val="0"/>
                <w:bCs w:val="0"/>
                <w:color w:val="auto"/>
                <w:sz w:val="28"/>
                <w:szCs w:val="28"/>
                <w:highlight w:val="none"/>
                <w:u w:val="none" w:color="auto"/>
                <w:lang w:eastAsia="zh-CN"/>
              </w:rPr>
              <w:t>、</w:t>
            </w:r>
            <w:r>
              <w:rPr>
                <w:rFonts w:hint="eastAsia" w:ascii="宋体" w:hAnsi="宋体" w:eastAsia="仿宋_GB2312" w:cs="仿宋_GB2312"/>
                <w:b w:val="0"/>
                <w:bCs w:val="0"/>
                <w:color w:val="auto"/>
                <w:sz w:val="28"/>
                <w:szCs w:val="28"/>
                <w:highlight w:val="none"/>
                <w:u w:val="none" w:color="auto"/>
              </w:rPr>
              <w:t>步哨山观景区步道</w:t>
            </w:r>
            <w:r>
              <w:rPr>
                <w:rFonts w:hint="eastAsia" w:ascii="宋体" w:hAnsi="宋体" w:eastAsia="仿宋_GB2312" w:cs="仿宋_GB2312"/>
                <w:b w:val="0"/>
                <w:bCs w:val="0"/>
                <w:color w:val="auto"/>
                <w:sz w:val="28"/>
                <w:szCs w:val="28"/>
                <w:highlight w:val="none"/>
                <w:u w:val="none" w:color="auto"/>
                <w:lang w:eastAsia="zh-CN"/>
              </w:rPr>
              <w:t>，</w:t>
            </w:r>
            <w:r>
              <w:rPr>
                <w:rFonts w:hint="eastAsia" w:ascii="宋体" w:hAnsi="宋体" w:eastAsia="仿宋_GB2312" w:cs="仿宋_GB2312"/>
                <w:b w:val="0"/>
                <w:bCs w:val="0"/>
                <w:color w:val="auto"/>
                <w:sz w:val="28"/>
                <w:szCs w:val="28"/>
                <w:highlight w:val="none"/>
                <w:u w:val="none" w:color="auto"/>
                <w:lang w:val="en-US" w:eastAsia="zh-CN"/>
              </w:rPr>
              <w:t>完善景区供排水、垃圾处理、消防安防、</w:t>
            </w:r>
            <w:r>
              <w:rPr>
                <w:rFonts w:hint="eastAsia" w:ascii="宋体" w:hAnsi="宋体" w:eastAsia="仿宋_GB2312" w:cs="仿宋_GB2312"/>
                <w:color w:val="auto"/>
                <w:sz w:val="28"/>
                <w:szCs w:val="28"/>
                <w:highlight w:val="none"/>
                <w:u w:val="none" w:color="auto"/>
              </w:rPr>
              <w:t>停车场</w:t>
            </w:r>
            <w:r>
              <w:rPr>
                <w:rFonts w:hint="eastAsia" w:ascii="宋体" w:hAnsi="宋体" w:eastAsia="仿宋_GB2312" w:cs="仿宋_GB2312"/>
                <w:b w:val="0"/>
                <w:bCs w:val="0"/>
                <w:color w:val="auto"/>
                <w:sz w:val="28"/>
                <w:szCs w:val="28"/>
                <w:highlight w:val="none"/>
                <w:u w:val="none" w:color="auto"/>
                <w:lang w:val="en-US" w:eastAsia="zh-CN"/>
              </w:rPr>
              <w:t>等设施建设，</w:t>
            </w:r>
            <w:r>
              <w:rPr>
                <w:rFonts w:hint="eastAsia" w:ascii="宋体" w:hAnsi="宋体" w:eastAsia="仿宋_GB2312" w:cs="仿宋_GB2312"/>
                <w:b w:val="0"/>
                <w:bCs w:val="0"/>
                <w:color w:val="auto"/>
                <w:sz w:val="28"/>
                <w:szCs w:val="28"/>
                <w:highlight w:val="none"/>
                <w:u w:val="none" w:color="auto"/>
              </w:rPr>
              <w:t>改造</w:t>
            </w:r>
            <w:r>
              <w:rPr>
                <w:rFonts w:hint="eastAsia" w:ascii="宋体" w:hAnsi="宋体" w:eastAsia="仿宋_GB2312" w:cs="仿宋_GB2312"/>
                <w:b w:val="0"/>
                <w:bCs w:val="0"/>
                <w:color w:val="auto"/>
                <w:sz w:val="28"/>
                <w:szCs w:val="28"/>
                <w:highlight w:val="none"/>
                <w:u w:val="none" w:color="auto"/>
                <w:lang w:val="en-US" w:eastAsia="zh-CN"/>
              </w:rPr>
              <w:t>提升</w:t>
            </w:r>
            <w:r>
              <w:rPr>
                <w:rFonts w:hint="eastAsia" w:ascii="宋体" w:hAnsi="宋体" w:eastAsia="仿宋_GB2312" w:cs="仿宋_GB2312"/>
                <w:b w:val="0"/>
                <w:bCs w:val="0"/>
                <w:color w:val="auto"/>
                <w:sz w:val="28"/>
                <w:szCs w:val="28"/>
                <w:highlight w:val="none"/>
                <w:u w:val="none" w:color="auto"/>
              </w:rPr>
              <w:t>游客服务中心</w:t>
            </w:r>
            <w:r>
              <w:rPr>
                <w:rFonts w:hint="eastAsia" w:ascii="宋体" w:hAnsi="宋体" w:eastAsia="仿宋_GB2312" w:cs="仿宋_GB2312"/>
                <w:b w:val="0"/>
                <w:bCs w:val="0"/>
                <w:color w:val="auto"/>
                <w:sz w:val="28"/>
                <w:szCs w:val="28"/>
                <w:highlight w:val="none"/>
                <w:u w:val="none" w:color="auto"/>
                <w:lang w:eastAsia="zh-CN"/>
              </w:rPr>
              <w:t>、</w:t>
            </w:r>
            <w:r>
              <w:rPr>
                <w:rFonts w:hint="eastAsia" w:ascii="宋体" w:hAnsi="宋体" w:eastAsia="仿宋_GB2312" w:cs="仿宋_GB2312"/>
                <w:b w:val="0"/>
                <w:bCs w:val="0"/>
                <w:color w:val="auto"/>
                <w:sz w:val="28"/>
                <w:szCs w:val="28"/>
                <w:highlight w:val="none"/>
                <w:u w:val="none" w:color="auto"/>
              </w:rPr>
              <w:t>阿诗玛</w:t>
            </w:r>
            <w:r>
              <w:rPr>
                <w:rFonts w:hint="eastAsia" w:ascii="宋体" w:hAnsi="宋体" w:eastAsia="仿宋_GB2312" w:cs="仿宋_GB2312"/>
                <w:b w:val="0"/>
                <w:bCs w:val="0"/>
                <w:color w:val="auto"/>
                <w:sz w:val="28"/>
                <w:szCs w:val="28"/>
                <w:highlight w:val="none"/>
                <w:u w:val="none" w:color="auto"/>
                <w:lang w:eastAsia="zh-CN"/>
              </w:rPr>
              <w:t>非物质文化遗产</w:t>
            </w:r>
            <w:r>
              <w:rPr>
                <w:rFonts w:hint="eastAsia" w:ascii="宋体" w:hAnsi="宋体" w:eastAsia="仿宋_GB2312" w:cs="仿宋_GB2312"/>
                <w:b w:val="0"/>
                <w:bCs w:val="0"/>
                <w:color w:val="auto"/>
                <w:sz w:val="28"/>
                <w:szCs w:val="28"/>
                <w:highlight w:val="none"/>
                <w:u w:val="none" w:color="auto"/>
              </w:rPr>
              <w:t>展示中心</w:t>
            </w:r>
            <w:r>
              <w:rPr>
                <w:rFonts w:hint="eastAsia" w:ascii="宋体" w:hAnsi="宋体" w:eastAsia="仿宋_GB2312" w:cs="仿宋_GB2312"/>
                <w:b w:val="0"/>
                <w:bCs w:val="0"/>
                <w:color w:val="auto"/>
                <w:sz w:val="28"/>
                <w:szCs w:val="28"/>
                <w:highlight w:val="none"/>
                <w:u w:val="none" w:color="auto"/>
                <w:lang w:val="en-US" w:eastAsia="zh-CN"/>
              </w:rPr>
              <w:t>等</w:t>
            </w:r>
            <w:r>
              <w:rPr>
                <w:rFonts w:hint="eastAsia" w:ascii="宋体" w:hAnsi="宋体" w:eastAsia="仿宋_GB2312" w:cs="仿宋_GB2312"/>
                <w:b w:val="0"/>
                <w:bCs w:val="0"/>
                <w:color w:val="auto"/>
                <w:sz w:val="28"/>
                <w:szCs w:val="28"/>
                <w:highlight w:val="none"/>
                <w:u w:val="none" w:color="auto"/>
                <w:lang w:eastAsia="zh-CN"/>
              </w:rPr>
              <w:t>，</w:t>
            </w:r>
            <w:r>
              <w:rPr>
                <w:rFonts w:hint="eastAsia" w:ascii="宋体" w:hAnsi="宋体" w:eastAsia="仿宋_GB2312" w:cs="仿宋_GB2312"/>
                <w:b w:val="0"/>
                <w:bCs w:val="0"/>
                <w:color w:val="auto"/>
                <w:sz w:val="28"/>
                <w:szCs w:val="28"/>
                <w:highlight w:val="none"/>
                <w:u w:val="none" w:color="auto"/>
                <w:lang w:val="en-US" w:eastAsia="zh-CN"/>
              </w:rPr>
              <w:t>推进景区大数据中心和数字石林阿诗玛演艺等“数字石林”项目建设</w:t>
            </w:r>
            <w:r>
              <w:rPr>
                <w:rFonts w:hint="eastAsia" w:ascii="宋体" w:hAnsi="宋体" w:eastAsia="仿宋_GB2312" w:cs="仿宋_GB2312"/>
                <w:color w:val="auto"/>
                <w:sz w:val="28"/>
                <w:szCs w:val="28"/>
                <w:highlight w:val="none"/>
                <w:u w:val="none" w:color="auto"/>
              </w:rPr>
              <w:t>。</w:t>
            </w:r>
          </w:p>
        </w:tc>
      </w:tr>
      <w:tr w14:paraId="4E4E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1" w:hRule="atLeast"/>
        </w:trPr>
        <w:tc>
          <w:tcPr>
            <w:tcW w:w="9061" w:type="dxa"/>
            <w:vAlign w:val="center"/>
          </w:tcPr>
          <w:p w14:paraId="21634E6C">
            <w:pPr>
              <w:keepNext/>
              <w:keepLines w:val="0"/>
              <w:pageBreakBefore w:val="0"/>
              <w:widowControl w:val="0"/>
              <w:kinsoku/>
              <w:wordWrap/>
              <w:overflowPunct/>
              <w:topLinePunct w:val="0"/>
              <w:autoSpaceDE/>
              <w:autoSpaceDN/>
              <w:bidi w:val="0"/>
              <w:adjustRightInd/>
              <w:snapToGrid/>
              <w:spacing w:line="390" w:lineRule="exact"/>
              <w:ind w:firstLine="562" w:firstLineChars="200"/>
              <w:jc w:val="both"/>
              <w:textAlignment w:val="auto"/>
              <w:rPr>
                <w:rFonts w:hint="eastAsia" w:ascii="宋体" w:hAnsi="宋体" w:eastAsia="仿宋_GB2312" w:cs="仿宋_GB2312"/>
                <w:color w:val="auto"/>
                <w:sz w:val="28"/>
                <w:szCs w:val="28"/>
                <w:highlight w:val="none"/>
                <w:u w:val="none" w:color="auto"/>
                <w:lang w:val="en-US" w:eastAsia="zh-CN"/>
              </w:rPr>
            </w:pPr>
            <w:bookmarkStart w:id="248" w:name="_Toc12178"/>
            <w:bookmarkStart w:id="249" w:name="_Toc1744953510"/>
            <w:bookmarkStart w:id="250" w:name="_Toc1971104366"/>
            <w:bookmarkStart w:id="251" w:name="_Toc1796955777"/>
            <w:bookmarkStart w:id="252" w:name="_Toc476655455"/>
            <w:bookmarkStart w:id="253" w:name="_Toc1209887263"/>
            <w:bookmarkStart w:id="254" w:name="_Toc672833723"/>
            <w:bookmarkStart w:id="255" w:name="_Toc13785"/>
            <w:bookmarkStart w:id="256" w:name="_Toc2039892045"/>
            <w:bookmarkStart w:id="257" w:name="_Toc4146"/>
            <w:bookmarkStart w:id="258" w:name="_Toc31616"/>
            <w:bookmarkStart w:id="259" w:name="_Toc19786"/>
            <w:bookmarkStart w:id="260" w:name="_Toc1399785030"/>
            <w:bookmarkStart w:id="261" w:name="_Toc26929"/>
            <w:r>
              <w:rPr>
                <w:rFonts w:hint="eastAsia" w:ascii="宋体" w:hAnsi="宋体" w:eastAsia="仿宋_GB2312" w:cs="仿宋_GB2312"/>
                <w:b/>
                <w:bCs/>
                <w:color w:val="auto"/>
                <w:sz w:val="28"/>
                <w:szCs w:val="28"/>
                <w:highlight w:val="none"/>
                <w:u w:val="none" w:color="auto"/>
              </w:rPr>
              <w:t>乃古石林</w:t>
            </w:r>
            <w:r>
              <w:rPr>
                <w:rFonts w:hint="eastAsia" w:ascii="宋体" w:hAnsi="宋体" w:eastAsia="仿宋_GB2312" w:cs="仿宋_GB2312"/>
                <w:b/>
                <w:bCs/>
                <w:color w:val="auto"/>
                <w:sz w:val="28"/>
                <w:szCs w:val="28"/>
                <w:highlight w:val="none"/>
                <w:u w:val="none" w:color="auto"/>
                <w:lang w:val="en-US" w:eastAsia="zh-CN"/>
              </w:rPr>
              <w:t>景区</w:t>
            </w:r>
            <w:r>
              <w:rPr>
                <w:rFonts w:hint="eastAsia" w:ascii="宋体" w:hAnsi="宋体" w:eastAsia="仿宋_GB2312" w:cs="仿宋_GB2312"/>
                <w:b/>
                <w:bCs/>
                <w:color w:val="auto"/>
                <w:sz w:val="28"/>
                <w:szCs w:val="28"/>
                <w:highlight w:val="none"/>
                <w:u w:val="none" w:color="auto"/>
              </w:rPr>
              <w:t>提升工程。</w:t>
            </w:r>
            <w:r>
              <w:rPr>
                <w:rFonts w:hint="eastAsia" w:ascii="宋体" w:hAnsi="宋体" w:eastAsia="仿宋_GB2312" w:cs="仿宋_GB2312"/>
                <w:b w:val="0"/>
                <w:bCs w:val="0"/>
                <w:color w:val="auto"/>
                <w:sz w:val="28"/>
                <w:szCs w:val="28"/>
                <w:highlight w:val="none"/>
                <w:u w:val="none" w:color="auto"/>
              </w:rPr>
              <w:t>对标</w:t>
            </w:r>
            <w:r>
              <w:rPr>
                <w:rFonts w:hint="eastAsia" w:ascii="宋体" w:hAnsi="宋体" w:eastAsia="仿宋_GB2312" w:cs="仿宋_GB2312"/>
                <w:b w:val="0"/>
                <w:bCs w:val="0"/>
                <w:color w:val="auto"/>
                <w:sz w:val="28"/>
                <w:szCs w:val="28"/>
                <w:highlight w:val="none"/>
                <w:u w:val="none" w:color="auto"/>
                <w:lang w:val="en-US" w:eastAsia="zh-CN"/>
              </w:rPr>
              <w:t>4</w:t>
            </w:r>
            <w:r>
              <w:rPr>
                <w:rFonts w:hint="eastAsia" w:ascii="宋体" w:hAnsi="宋体" w:eastAsia="仿宋_GB2312" w:cs="仿宋_GB2312"/>
                <w:b w:val="0"/>
                <w:bCs w:val="0"/>
                <w:color w:val="auto"/>
                <w:sz w:val="28"/>
                <w:szCs w:val="28"/>
                <w:highlight w:val="none"/>
                <w:u w:val="none" w:color="auto"/>
              </w:rPr>
              <w:t>A级旅游景区标准</w:t>
            </w:r>
            <w:r>
              <w:rPr>
                <w:rFonts w:hint="eastAsia" w:ascii="宋体" w:hAnsi="宋体" w:eastAsia="仿宋_GB2312" w:cs="仿宋_GB2312"/>
                <w:b w:val="0"/>
                <w:bCs w:val="0"/>
                <w:color w:val="auto"/>
                <w:sz w:val="28"/>
                <w:szCs w:val="28"/>
                <w:highlight w:val="none"/>
                <w:u w:val="none" w:color="auto"/>
                <w:lang w:eastAsia="zh-CN"/>
              </w:rPr>
              <w:t>，</w:t>
            </w:r>
            <w:r>
              <w:rPr>
                <w:rFonts w:hint="eastAsia" w:ascii="宋体" w:hAnsi="宋体" w:eastAsia="仿宋_GB2312" w:cs="仿宋_GB2312"/>
                <w:b w:val="0"/>
                <w:bCs w:val="0"/>
                <w:color w:val="auto"/>
                <w:sz w:val="28"/>
                <w:szCs w:val="28"/>
                <w:highlight w:val="none"/>
                <w:u w:val="none" w:color="auto"/>
                <w:lang w:val="en-US" w:eastAsia="zh-CN"/>
              </w:rPr>
              <w:t>聚焦“石林+花海”，打造</w:t>
            </w:r>
            <w:r>
              <w:rPr>
                <w:rFonts w:hint="eastAsia" w:ascii="宋体" w:hAnsi="宋体" w:eastAsia="仿宋_GB2312" w:cs="仿宋_GB2312"/>
                <w:color w:val="auto"/>
                <w:sz w:val="28"/>
                <w:szCs w:val="28"/>
                <w:highlight w:val="none"/>
                <w:u w:val="none" w:color="auto"/>
              </w:rPr>
              <w:t>“四季有花、步移景异”花海景观</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lang w:val="en-US" w:eastAsia="zh-CN"/>
              </w:rPr>
              <w:t>发展</w:t>
            </w:r>
            <w:r>
              <w:rPr>
                <w:rFonts w:hint="eastAsia" w:ascii="宋体" w:hAnsi="宋体" w:eastAsia="仿宋_GB2312" w:cs="仿宋_GB2312"/>
                <w:b w:val="0"/>
                <w:bCs w:val="0"/>
                <w:color w:val="auto"/>
                <w:sz w:val="28"/>
                <w:szCs w:val="28"/>
                <w:highlight w:val="none"/>
                <w:u w:val="none"/>
                <w:lang w:val="en-US" w:eastAsia="zh-CN"/>
              </w:rPr>
              <w:t>彝族（撒尼）刺绣文化体验、彝族服饰旅拍业态，丰富景区业态、提升景区服务水平。</w:t>
            </w:r>
          </w:p>
          <w:p w14:paraId="3C9256AA">
            <w:pPr>
              <w:keepNext/>
              <w:keepLines w:val="0"/>
              <w:pageBreakBefore w:val="0"/>
              <w:widowControl w:val="0"/>
              <w:kinsoku/>
              <w:wordWrap/>
              <w:overflowPunct/>
              <w:topLinePunct w:val="0"/>
              <w:autoSpaceDE/>
              <w:autoSpaceDN/>
              <w:bidi w:val="0"/>
              <w:adjustRightInd/>
              <w:snapToGrid/>
              <w:spacing w:line="390" w:lineRule="exact"/>
              <w:ind w:firstLine="562" w:firstLineChars="200"/>
              <w:jc w:val="both"/>
              <w:textAlignment w:val="auto"/>
              <w:rPr>
                <w:rFonts w:hint="eastAsia" w:ascii="宋体" w:hAnsi="宋体" w:eastAsia="仿宋_GB2312" w:cs="仿宋_GB2312"/>
                <w:color w:val="auto"/>
                <w:sz w:val="28"/>
                <w:szCs w:val="28"/>
                <w:highlight w:val="none"/>
                <w:u w:val="none" w:color="auto"/>
              </w:rPr>
            </w:pPr>
            <w:r>
              <w:rPr>
                <w:rFonts w:hint="eastAsia" w:ascii="宋体" w:hAnsi="宋体" w:eastAsia="仿宋_GB2312" w:cs="仿宋_GB2312"/>
                <w:b/>
                <w:bCs/>
                <w:color w:val="auto"/>
                <w:sz w:val="28"/>
                <w:szCs w:val="28"/>
                <w:highlight w:val="none"/>
                <w:u w:val="none" w:color="auto"/>
              </w:rPr>
              <w:t>珠江源大叠水瀑布群建设工程。</w:t>
            </w:r>
            <w:r>
              <w:rPr>
                <w:rFonts w:hint="eastAsia" w:ascii="宋体" w:hAnsi="宋体" w:eastAsia="仿宋_GB2312" w:cs="仿宋_GB2312"/>
                <w:color w:val="auto"/>
                <w:sz w:val="28"/>
                <w:szCs w:val="28"/>
                <w:highlight w:val="none"/>
                <w:u w:val="none" w:color="auto"/>
              </w:rPr>
              <w:t>利用大叠水风景区的地理优势，</w:t>
            </w:r>
            <w:r>
              <w:rPr>
                <w:rFonts w:hint="eastAsia" w:ascii="宋体" w:hAnsi="宋体" w:eastAsia="仿宋_GB2312" w:cs="仿宋_GB2312"/>
                <w:color w:val="auto"/>
                <w:sz w:val="28"/>
                <w:szCs w:val="28"/>
                <w:highlight w:val="none"/>
                <w:u w:val="none" w:color="auto"/>
                <w:lang w:val="en-US" w:eastAsia="zh-CN"/>
              </w:rPr>
              <w:t>整合</w:t>
            </w:r>
            <w:r>
              <w:rPr>
                <w:rFonts w:hint="eastAsia" w:ascii="宋体" w:hAnsi="宋体" w:eastAsia="仿宋_GB2312" w:cs="仿宋_GB2312"/>
                <w:color w:val="auto"/>
                <w:sz w:val="28"/>
                <w:szCs w:val="28"/>
                <w:highlight w:val="none"/>
                <w:u w:val="none" w:color="auto"/>
              </w:rPr>
              <w:t>周围自然资源景观整体开发，完善景区建设游览步道、游客服务中心、露营营地等相关配套设施。</w:t>
            </w:r>
          </w:p>
          <w:p w14:paraId="7BEF992D">
            <w:pPr>
              <w:keepNext/>
              <w:keepLines w:val="0"/>
              <w:pageBreakBefore w:val="0"/>
              <w:widowControl w:val="0"/>
              <w:kinsoku/>
              <w:wordWrap/>
              <w:overflowPunct/>
              <w:topLinePunct w:val="0"/>
              <w:autoSpaceDE/>
              <w:autoSpaceDN/>
              <w:bidi w:val="0"/>
              <w:adjustRightInd/>
              <w:snapToGrid/>
              <w:spacing w:line="390" w:lineRule="exact"/>
              <w:ind w:firstLine="562" w:firstLineChars="200"/>
              <w:jc w:val="both"/>
              <w:textAlignment w:val="auto"/>
              <w:rPr>
                <w:rFonts w:hint="eastAsia" w:ascii="宋体" w:hAnsi="宋体" w:eastAsia="仿宋_GB2312" w:cs="仿宋_GB2312"/>
                <w:color w:val="auto"/>
                <w:sz w:val="28"/>
                <w:szCs w:val="28"/>
                <w:highlight w:val="none"/>
                <w:u w:val="none" w:color="auto"/>
              </w:rPr>
            </w:pPr>
            <w:r>
              <w:rPr>
                <w:rFonts w:hint="eastAsia" w:ascii="宋体" w:hAnsi="宋体" w:eastAsia="仿宋_GB2312" w:cs="仿宋_GB2312"/>
                <w:b/>
                <w:bCs/>
                <w:color w:val="auto"/>
                <w:sz w:val="28"/>
                <w:szCs w:val="28"/>
                <w:highlight w:val="none"/>
                <w:u w:val="none" w:color="auto"/>
              </w:rPr>
              <w:t>长湖景区提升改造工程。</w:t>
            </w:r>
            <w:r>
              <w:rPr>
                <w:rFonts w:hint="eastAsia" w:ascii="宋体" w:hAnsi="宋体" w:eastAsia="仿宋_GB2312" w:cs="仿宋_GB2312"/>
                <w:color w:val="auto"/>
                <w:sz w:val="28"/>
                <w:szCs w:val="28"/>
                <w:highlight w:val="none"/>
                <w:u w:val="none" w:color="auto"/>
              </w:rPr>
              <w:t>建设入口停车场、游客中心，推动沿街商业建筑改造</w:t>
            </w:r>
            <w:r>
              <w:rPr>
                <w:rFonts w:hint="eastAsia" w:ascii="宋体" w:hAnsi="宋体" w:eastAsia="仿宋_GB2312" w:cs="仿宋_GB2312"/>
                <w:color w:val="auto"/>
                <w:sz w:val="28"/>
                <w:szCs w:val="28"/>
                <w:highlight w:val="none"/>
                <w:u w:val="none" w:color="auto"/>
                <w:lang w:val="en-US" w:eastAsia="zh-CN"/>
              </w:rPr>
              <w:t>和</w:t>
            </w:r>
            <w:r>
              <w:rPr>
                <w:rFonts w:hint="eastAsia" w:ascii="宋体" w:hAnsi="宋体" w:eastAsia="仿宋_GB2312" w:cs="仿宋_GB2312"/>
                <w:color w:val="auto"/>
                <w:sz w:val="28"/>
                <w:szCs w:val="28"/>
                <w:highlight w:val="none"/>
                <w:u w:val="none" w:color="auto"/>
              </w:rPr>
              <w:t>景区服务设施改造提升</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lang w:val="en-US" w:eastAsia="zh-CN"/>
              </w:rPr>
              <w:t>建设</w:t>
            </w:r>
            <w:r>
              <w:rPr>
                <w:rFonts w:hint="eastAsia" w:ascii="宋体" w:hAnsi="宋体" w:eastAsia="仿宋_GB2312" w:cs="仿宋_GB2312"/>
                <w:color w:val="auto"/>
                <w:sz w:val="28"/>
                <w:szCs w:val="28"/>
                <w:highlight w:val="none"/>
                <w:u w:val="none" w:color="auto"/>
              </w:rPr>
              <w:t>北岸珍珠湖群区域游览步道</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滨湖营地</w:t>
            </w:r>
            <w:r>
              <w:rPr>
                <w:rFonts w:hint="eastAsia" w:ascii="宋体" w:hAnsi="宋体" w:eastAsia="仿宋_GB2312" w:cs="仿宋_GB2312"/>
                <w:color w:val="auto"/>
                <w:sz w:val="28"/>
                <w:szCs w:val="28"/>
                <w:highlight w:val="none"/>
                <w:u w:val="none" w:color="auto"/>
                <w:lang w:val="en-US" w:eastAsia="zh-CN"/>
              </w:rPr>
              <w:t>及</w:t>
            </w:r>
            <w:r>
              <w:rPr>
                <w:rFonts w:hint="eastAsia" w:ascii="宋体" w:hAnsi="宋体" w:eastAsia="仿宋_GB2312" w:cs="仿宋_GB2312"/>
                <w:color w:val="auto"/>
                <w:sz w:val="28"/>
                <w:szCs w:val="28"/>
                <w:highlight w:val="none"/>
                <w:u w:val="none" w:color="auto"/>
              </w:rPr>
              <w:t>南岸沙滩、水上漂浮乐园、滨湖大草坪等。</w:t>
            </w:r>
          </w:p>
          <w:p w14:paraId="547A73F5">
            <w:pPr>
              <w:keepNext/>
              <w:keepLines w:val="0"/>
              <w:pageBreakBefore w:val="0"/>
              <w:widowControl w:val="0"/>
              <w:kinsoku/>
              <w:wordWrap/>
              <w:overflowPunct/>
              <w:topLinePunct w:val="0"/>
              <w:autoSpaceDE/>
              <w:autoSpaceDN/>
              <w:bidi w:val="0"/>
              <w:adjustRightInd/>
              <w:snapToGrid/>
              <w:spacing w:line="390" w:lineRule="exact"/>
              <w:ind w:firstLine="562" w:firstLineChars="200"/>
              <w:jc w:val="both"/>
              <w:textAlignment w:val="auto"/>
              <w:rPr>
                <w:rFonts w:hint="eastAsia" w:ascii="宋体" w:hAnsi="宋体" w:eastAsia="仿宋_GB2312" w:cs="仿宋_GB2312"/>
                <w:color w:val="auto"/>
                <w:sz w:val="28"/>
                <w:szCs w:val="28"/>
                <w:highlight w:val="none"/>
                <w:u w:val="none" w:color="auto"/>
              </w:rPr>
            </w:pPr>
            <w:r>
              <w:rPr>
                <w:rFonts w:hint="eastAsia" w:ascii="宋体" w:hAnsi="宋体" w:eastAsia="仿宋_GB2312" w:cs="仿宋_GB2312"/>
                <w:b/>
                <w:bCs/>
                <w:color w:val="auto"/>
                <w:sz w:val="28"/>
                <w:szCs w:val="28"/>
                <w:highlight w:val="none"/>
                <w:u w:val="none" w:color="auto"/>
              </w:rPr>
              <w:t>台创园</w:t>
            </w:r>
            <w:r>
              <w:rPr>
                <w:rFonts w:hint="eastAsia" w:ascii="宋体" w:hAnsi="宋体" w:eastAsia="仿宋_GB2312" w:cs="仿宋_GB2312"/>
                <w:b/>
                <w:bCs/>
                <w:color w:val="auto"/>
                <w:sz w:val="28"/>
                <w:szCs w:val="28"/>
                <w:highlight w:val="none"/>
                <w:u w:val="none" w:color="auto"/>
                <w:lang w:val="en-US" w:eastAsia="zh-CN"/>
              </w:rPr>
              <w:t>改造提升</w:t>
            </w:r>
            <w:r>
              <w:rPr>
                <w:rFonts w:hint="eastAsia" w:ascii="宋体" w:hAnsi="宋体" w:eastAsia="仿宋_GB2312" w:cs="仿宋_GB2312"/>
                <w:b/>
                <w:bCs/>
                <w:color w:val="auto"/>
                <w:sz w:val="28"/>
                <w:szCs w:val="28"/>
                <w:highlight w:val="none"/>
                <w:u w:val="none" w:color="auto"/>
              </w:rPr>
              <w:t>工程。</w:t>
            </w:r>
            <w:r>
              <w:rPr>
                <w:rFonts w:hint="eastAsia" w:ascii="宋体" w:hAnsi="宋体" w:eastAsia="仿宋_GB2312" w:cs="仿宋_GB2312"/>
                <w:color w:val="auto"/>
                <w:sz w:val="28"/>
                <w:szCs w:val="28"/>
                <w:highlight w:val="none"/>
                <w:u w:val="none" w:color="auto"/>
              </w:rPr>
              <w:t>实施健康赛道建设及现状道路提升工程</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lang w:val="en-US" w:eastAsia="zh-CN"/>
              </w:rPr>
              <w:t>加快建设</w:t>
            </w:r>
            <w:r>
              <w:rPr>
                <w:rFonts w:hint="eastAsia" w:ascii="宋体" w:hAnsi="宋体" w:eastAsia="仿宋_GB2312" w:cs="仿宋_GB2312"/>
                <w:color w:val="auto"/>
                <w:sz w:val="28"/>
                <w:szCs w:val="28"/>
                <w:highlight w:val="none"/>
                <w:u w:val="none" w:color="auto"/>
              </w:rPr>
              <w:t>石林龙晖野生动物科研中心白犀牛科普示范项目、台创园游客综合服务中心</w:t>
            </w:r>
            <w:r>
              <w:rPr>
                <w:rFonts w:hint="eastAsia" w:ascii="宋体" w:hAnsi="宋体" w:eastAsia="仿宋_GB2312" w:cs="仿宋_GB2312"/>
                <w:color w:val="auto"/>
                <w:sz w:val="28"/>
                <w:szCs w:val="28"/>
                <w:highlight w:val="none"/>
                <w:u w:val="none" w:color="auto"/>
                <w:lang w:val="en-US" w:eastAsia="zh-CN"/>
              </w:rPr>
              <w:t>和</w:t>
            </w:r>
            <w:r>
              <w:rPr>
                <w:rFonts w:hint="eastAsia" w:ascii="宋体" w:hAnsi="宋体" w:eastAsia="仿宋_GB2312" w:cs="仿宋_GB2312"/>
                <w:color w:val="auto"/>
                <w:sz w:val="28"/>
                <w:szCs w:val="28"/>
                <w:highlight w:val="none"/>
                <w:u w:val="none" w:color="auto"/>
              </w:rPr>
              <w:t>杏林大观园国际养生度假区旅居酒店，推进“五养”（养胃、养眼、养心、养肺、养脑）项目建设。</w:t>
            </w:r>
          </w:p>
          <w:p w14:paraId="6AA1BDFA">
            <w:pPr>
              <w:keepNext/>
              <w:keepLines w:val="0"/>
              <w:pageBreakBefore w:val="0"/>
              <w:widowControl w:val="0"/>
              <w:kinsoku/>
              <w:wordWrap/>
              <w:overflowPunct/>
              <w:topLinePunct w:val="0"/>
              <w:autoSpaceDE/>
              <w:autoSpaceDN/>
              <w:bidi w:val="0"/>
              <w:adjustRightInd/>
              <w:snapToGrid/>
              <w:spacing w:line="390" w:lineRule="exact"/>
              <w:ind w:firstLine="562" w:firstLineChars="200"/>
              <w:jc w:val="both"/>
              <w:textAlignment w:val="auto"/>
              <w:rPr>
                <w:rFonts w:hint="eastAsia" w:ascii="仿宋_GB2312" w:hAnsi="仿宋_GB2312" w:eastAsia="仿宋_GB2312" w:cs="仿宋_GB2312"/>
                <w:b/>
                <w:bCs/>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圭山国家森林公园建设工程</w:t>
            </w:r>
            <w:r>
              <w:rPr>
                <w:rFonts w:hint="eastAsia" w:ascii="宋体" w:hAnsi="宋体" w:eastAsia="仿宋_GB2312" w:cs="仿宋_GB2312"/>
                <w:color w:val="auto"/>
                <w:sz w:val="28"/>
                <w:szCs w:val="28"/>
                <w:highlight w:val="none"/>
                <w:u w:val="none" w:color="auto"/>
                <w:lang w:val="en-US" w:eastAsia="zh-CN"/>
              </w:rPr>
              <w:t>。完善圭山森林公园登山步道，开发攀岩、滑翔等山地户外运动项目；依托低产林改造替换绿化彩化树种，形成春赏花、夏避暑、秋摘果、冬观雾结合的四季旅游登山产品；完善提升红色文化资源，整合塑造“一支人民的军队”等文化历史，唱响红色圭山主旋律。</w:t>
            </w:r>
          </w:p>
        </w:tc>
      </w:tr>
    </w:tbl>
    <w:p w14:paraId="47528834">
      <w:pPr>
        <w:keepNext/>
        <w:keepLines w:val="0"/>
        <w:pageBreakBefore w:val="0"/>
        <w:widowControl w:val="0"/>
        <w:kinsoku/>
        <w:wordWrap/>
        <w:overflowPunct/>
        <w:topLinePunct w:val="0"/>
        <w:autoSpaceDE/>
        <w:autoSpaceDN/>
        <w:bidi w:val="0"/>
        <w:adjustRightInd/>
        <w:snapToGrid/>
        <w:spacing w:before="92" w:beforeLines="20" w:after="47" w:afterLines="10" w:line="532"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二、培育挖掘旅游新景点</w:t>
      </w:r>
    </w:p>
    <w:p w14:paraId="365916CA">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eastAsia"/>
          <w:lang w:val="en-US" w:eastAsia="zh-CN"/>
        </w:rPr>
        <w:t>深化“一核两翼”文旅发展布局，全面摸清全县旅游资源情况，充分挖掘优质文旅资源，加强景观景点开发，打造系列旅游精品线路。盘活夜游巴江项目，打造“巴江河文旅街区”。升级发展糯黑村、五棵树、矣美堵、阿着底等重点乡村旅游村，完善接待与服务设施，丰富彝族（撒尼）文化体验、特色民居客栈、农事体验等旅游业态。</w:t>
      </w:r>
      <w:r>
        <w:rPr>
          <w:rFonts w:hint="default"/>
          <w:lang w:val="en-US" w:eastAsia="zh-CN"/>
        </w:rPr>
        <w:t>加强蓑衣山季节性水上喀斯特景观打造，</w:t>
      </w:r>
      <w:r>
        <w:rPr>
          <w:rFonts w:hint="eastAsia"/>
          <w:lang w:val="en-US" w:eastAsia="zh-CN"/>
        </w:rPr>
        <w:t>积极打造洗麻塘、仙女湖等旅游打卡地，加快培育艺术街区、乡村旅游集聚区等，植入文化展览、文创市集、刺绣工坊、旅拍业态等，全力打造文旅引流新爆点。</w:t>
      </w:r>
      <w:r>
        <w:rPr>
          <w:rFonts w:hint="default"/>
          <w:lang w:val="en-US" w:eastAsia="zh-CN"/>
        </w:rPr>
        <w:t>完善</w:t>
      </w:r>
      <w:r>
        <w:rPr>
          <w:rFonts w:hint="eastAsia"/>
          <w:lang w:val="en-US" w:eastAsia="zh-CN"/>
        </w:rPr>
        <w:t>景区景点</w:t>
      </w:r>
      <w:r>
        <w:rPr>
          <w:rFonts w:hint="default"/>
          <w:lang w:val="en-US" w:eastAsia="zh-CN"/>
        </w:rPr>
        <w:t>旅游集散中心和旅游厕所建设。</w:t>
      </w:r>
    </w:p>
    <w:p w14:paraId="752FE292">
      <w:pPr>
        <w:keepNext/>
        <w:keepLines w:val="0"/>
        <w:pageBreakBefore w:val="0"/>
        <w:widowControl w:val="0"/>
        <w:kinsoku/>
        <w:wordWrap/>
        <w:overflowPunct/>
        <w:topLinePunct w:val="0"/>
        <w:autoSpaceDE/>
        <w:autoSpaceDN/>
        <w:bidi w:val="0"/>
        <w:adjustRightInd/>
        <w:snapToGrid/>
        <w:spacing w:beforeLines="0" w:afterLines="0" w:line="518"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三、加强</w:t>
      </w:r>
      <w:r>
        <w:rPr>
          <w:rFonts w:hint="default" w:ascii="楷体_GB2312" w:hAnsi="楷体_GB2312" w:eastAsia="楷体_GB2312" w:cs="楷体_GB2312"/>
          <w:b w:val="0"/>
          <w:bCs w:val="0"/>
          <w:color w:val="auto"/>
          <w:sz w:val="32"/>
          <w:szCs w:val="32"/>
          <w:highlight w:val="none"/>
          <w:lang w:val="en-US" w:eastAsia="zh-CN"/>
        </w:rPr>
        <w:t>区域联动</w:t>
      </w:r>
      <w:r>
        <w:rPr>
          <w:rFonts w:hint="eastAsia" w:ascii="楷体_GB2312" w:hAnsi="楷体_GB2312" w:eastAsia="楷体_GB2312" w:cs="楷体_GB2312"/>
          <w:b w:val="0"/>
          <w:bCs w:val="0"/>
          <w:color w:val="auto"/>
          <w:sz w:val="32"/>
          <w:szCs w:val="32"/>
          <w:highlight w:val="none"/>
          <w:lang w:val="en-US" w:eastAsia="zh-CN"/>
        </w:rPr>
        <w:t>和国际交流合作</w:t>
      </w:r>
    </w:p>
    <w:p w14:paraId="11CEAFAE">
      <w:pPr>
        <w:keepNext/>
        <w:keepLines w:val="0"/>
        <w:pageBreakBefore w:val="0"/>
        <w:widowControl w:val="0"/>
        <w:kinsoku/>
        <w:wordWrap/>
        <w:overflowPunct/>
        <w:topLinePunct w:val="0"/>
        <w:autoSpaceDE/>
        <w:autoSpaceDN/>
        <w:bidi w:val="0"/>
        <w:adjustRightInd/>
        <w:snapToGrid/>
        <w:spacing w:line="518" w:lineRule="exact"/>
        <w:textAlignment w:val="auto"/>
        <w:rPr>
          <w:rFonts w:hint="eastAsia"/>
          <w:lang w:val="en-US" w:eastAsia="zh-CN"/>
        </w:rPr>
      </w:pPr>
      <w:r>
        <w:rPr>
          <w:rFonts w:hint="eastAsia"/>
          <w:lang w:val="en-US" w:eastAsia="zh-CN"/>
        </w:rPr>
        <w:t>主动融入滇东南旅游环线和昆明六条黄金旅游线路，深化“石林—九乡地质奇观旅游线路”建设，探索开展“票根制”联盟，加强与昆明、曲靖、红河等周边州市旅游合作。积极推动与黄山、张家界等知名景区缔结姊妹公园或友好景区，扩大石林景区宣传渠道。主动对接成渝地区双城经济圈、粤港澳大湾区等重点客源市场，开展精准营销，吸引更多游客来石林观光度假。积极参与国内外旅游展会，加强与知名旅游企业合作，提升多语种宣传能力，拓展高端旅游市场和入境市场。整合县域融媒体资源，构建“线上+线下”“传统媒体+新媒体”传播矩阵，探索以“景城企一体”模式开展营销推广行动，提升石林文旅影响力。</w:t>
      </w:r>
    </w:p>
    <w:p w14:paraId="3D280342">
      <w:pPr>
        <w:keepNext/>
        <w:keepLines w:val="0"/>
        <w:pageBreakBefore w:val="0"/>
        <w:widowControl w:val="0"/>
        <w:kinsoku/>
        <w:wordWrap/>
        <w:overflowPunct/>
        <w:topLinePunct w:val="0"/>
        <w:autoSpaceDE/>
        <w:autoSpaceDN/>
        <w:bidi w:val="0"/>
        <w:adjustRightInd/>
        <w:snapToGrid/>
        <w:spacing w:beforeLines="0" w:afterLines="0" w:line="518"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四、积极发展</w:t>
      </w:r>
      <w:r>
        <w:rPr>
          <w:rFonts w:hint="default" w:ascii="楷体_GB2312" w:hAnsi="楷体_GB2312" w:eastAsia="楷体_GB2312" w:cs="楷体_GB2312"/>
          <w:b w:val="0"/>
          <w:bCs w:val="0"/>
          <w:color w:val="auto"/>
          <w:sz w:val="32"/>
          <w:szCs w:val="32"/>
          <w:highlight w:val="none"/>
          <w:lang w:val="en-US" w:eastAsia="zh-CN"/>
        </w:rPr>
        <w:t>智慧旅游</w:t>
      </w:r>
    </w:p>
    <w:p w14:paraId="310F54CA">
      <w:pPr>
        <w:keepNext/>
        <w:keepLines w:val="0"/>
        <w:pageBreakBefore w:val="0"/>
        <w:widowControl w:val="0"/>
        <w:kinsoku/>
        <w:wordWrap/>
        <w:overflowPunct/>
        <w:topLinePunct w:val="0"/>
        <w:autoSpaceDE/>
        <w:autoSpaceDN/>
        <w:bidi w:val="0"/>
        <w:adjustRightInd/>
        <w:snapToGrid/>
        <w:spacing w:line="518" w:lineRule="exact"/>
        <w:textAlignment w:val="auto"/>
        <w:rPr>
          <w:rFonts w:hint="eastAsia"/>
          <w:lang w:eastAsia="zh-CN"/>
        </w:rPr>
      </w:pPr>
      <w:r>
        <w:rPr>
          <w:rFonts w:hint="eastAsia"/>
          <w:lang w:val="en-US" w:eastAsia="zh-CN"/>
        </w:rPr>
        <w:t>完善景区景点信息化基础设施，</w:t>
      </w:r>
      <w:r>
        <w:rPr>
          <w:rFonts w:hint="default"/>
          <w:lang w:val="en-US" w:eastAsia="zh-CN"/>
        </w:rPr>
        <w:t>推进物联网感知设施建设，</w:t>
      </w:r>
      <w:r>
        <w:rPr>
          <w:rFonts w:hint="eastAsia"/>
          <w:lang w:val="en-US" w:eastAsia="zh-CN"/>
        </w:rPr>
        <w:t>促进通信信号、</w:t>
      </w:r>
      <w:r>
        <w:rPr>
          <w:rFonts w:hint="default"/>
          <w:lang w:val="en-US" w:eastAsia="zh-CN"/>
        </w:rPr>
        <w:t>5G网络</w:t>
      </w:r>
      <w:r>
        <w:rPr>
          <w:rFonts w:hint="eastAsia"/>
          <w:lang w:val="en-US" w:eastAsia="zh-CN"/>
        </w:rPr>
        <w:t>、视频监控全覆盖</w:t>
      </w:r>
      <w:r>
        <w:rPr>
          <w:rFonts w:hint="default"/>
          <w:lang w:val="en-US" w:eastAsia="zh-CN"/>
        </w:rPr>
        <w:t>，推动景区内部引导标识系统、旅游厕所等数字化与智能化改造升级，</w:t>
      </w:r>
      <w:r>
        <w:rPr>
          <w:rFonts w:hint="eastAsia"/>
          <w:lang w:val="en-US" w:eastAsia="zh-CN"/>
        </w:rPr>
        <w:t>普及推广</w:t>
      </w:r>
      <w:r>
        <w:rPr>
          <w:rFonts w:hint="default"/>
          <w:lang w:val="en-US" w:eastAsia="zh-CN"/>
        </w:rPr>
        <w:t>无人化、非接触式基础设施。</w:t>
      </w:r>
      <w:r>
        <w:rPr>
          <w:rFonts w:hint="eastAsia"/>
        </w:rPr>
        <w:t>持续升级</w:t>
      </w:r>
      <w:r>
        <w:rPr>
          <w:rFonts w:hint="default"/>
          <w:lang w:val="en-US" w:eastAsia="zh-CN"/>
        </w:rPr>
        <w:t>石林景区</w:t>
      </w:r>
      <w:r>
        <w:rPr>
          <w:rFonts w:hint="eastAsia"/>
          <w:lang w:eastAsia="zh-CN"/>
        </w:rPr>
        <w:t>“</w:t>
      </w:r>
      <w:r>
        <w:rPr>
          <w:rFonts w:hint="eastAsia"/>
        </w:rPr>
        <w:t>数字石林</w:t>
      </w:r>
      <w:r>
        <w:rPr>
          <w:rFonts w:hint="eastAsia"/>
          <w:lang w:eastAsia="zh-CN"/>
        </w:rPr>
        <w:t>”</w:t>
      </w:r>
      <w:r>
        <w:rPr>
          <w:rFonts w:hint="eastAsia"/>
        </w:rPr>
        <w:t>平台，完善智慧票务、智能导览、客流监测、应急调度等系统，实现</w:t>
      </w:r>
      <w:r>
        <w:rPr>
          <w:rFonts w:hint="eastAsia"/>
          <w:lang w:eastAsia="zh-CN"/>
        </w:rPr>
        <w:t>“</w:t>
      </w:r>
      <w:r>
        <w:rPr>
          <w:rFonts w:hint="default"/>
          <w:lang w:val="en-US" w:eastAsia="zh-CN"/>
        </w:rPr>
        <w:t>数字游玩</w:t>
      </w:r>
      <w:r>
        <w:rPr>
          <w:rFonts w:hint="eastAsia"/>
          <w:lang w:eastAsia="zh-CN"/>
        </w:rPr>
        <w:t>”</w:t>
      </w:r>
      <w:r>
        <w:rPr>
          <w:rFonts w:hint="eastAsia"/>
        </w:rPr>
        <w:t>全覆盖</w:t>
      </w:r>
      <w:r>
        <w:rPr>
          <w:rFonts w:hint="eastAsia"/>
          <w:lang w:eastAsia="zh-CN"/>
        </w:rPr>
        <w:t>。</w:t>
      </w:r>
      <w:r>
        <w:rPr>
          <w:rFonts w:hint="eastAsia"/>
        </w:rPr>
        <w:t>综合运用5G、虚拟现实（VR）/增强现实（AR）、人工智能（AI）等技术开发全息欣赏、虚拟展示、智慧导览、沉浸式体验等服务，拓展虚拟现实、互动体验等应用场景，全面提升喀斯特地貌旅游产品的科技赋能水平与互动体验感</w:t>
      </w:r>
      <w:r>
        <w:rPr>
          <w:rFonts w:hint="eastAsia"/>
          <w:lang w:eastAsia="zh-CN"/>
        </w:rPr>
        <w:t>。</w:t>
      </w:r>
    </w:p>
    <w:p w14:paraId="4D5C586A">
      <w:pPr>
        <w:pStyle w:val="3"/>
        <w:keepNext/>
        <w:keepLines w:val="0"/>
        <w:pageBreakBefore w:val="0"/>
        <w:widowControl w:val="0"/>
        <w:numPr>
          <w:ilvl w:val="-1"/>
          <w:numId w:val="0"/>
        </w:numPr>
        <w:kinsoku/>
        <w:wordWrap/>
        <w:overflowPunct/>
        <w:topLinePunct w:val="0"/>
        <w:autoSpaceDE/>
        <w:autoSpaceDN/>
        <w:bidi w:val="0"/>
        <w:adjustRightInd/>
        <w:snapToGrid/>
        <w:spacing w:before="47" w:beforeLines="10" w:after="92" w:afterLines="20" w:line="518"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262" w:name="_Toc22185"/>
      <w:bookmarkStart w:id="263" w:name="_Toc861628058"/>
      <w:bookmarkStart w:id="264" w:name="_Toc1161333833"/>
      <w:r>
        <w:rPr>
          <w:rFonts w:hint="default" w:ascii="宋体" w:hAnsi="宋体" w:eastAsia="方正黑体_GBK" w:cs="Times New Roman Regular"/>
          <w:b w:val="0"/>
          <w:bCs/>
          <w:color w:val="auto"/>
          <w:sz w:val="32"/>
          <w:szCs w:val="32"/>
          <w:highlight w:val="none"/>
          <w:lang w:val="en-US" w:eastAsia="zh-CN"/>
        </w:rPr>
        <w:t>第</w:t>
      </w:r>
      <w:r>
        <w:rPr>
          <w:rFonts w:hint="eastAsia" w:ascii="宋体" w:hAnsi="宋体" w:eastAsia="方正黑体_GBK" w:cs="Times New Roman Regular"/>
          <w:b w:val="0"/>
          <w:bCs/>
          <w:color w:val="auto"/>
          <w:sz w:val="32"/>
          <w:szCs w:val="32"/>
          <w:highlight w:val="none"/>
          <w:lang w:val="en-US" w:eastAsia="zh-CN"/>
        </w:rPr>
        <w:t>二</w:t>
      </w:r>
      <w:r>
        <w:rPr>
          <w:rFonts w:hint="default" w:ascii="宋体" w:hAnsi="宋体" w:eastAsia="方正黑体_GBK" w:cs="Times New Roman Regular"/>
          <w:b w:val="0"/>
          <w:bCs/>
          <w:color w:val="auto"/>
          <w:sz w:val="32"/>
          <w:szCs w:val="32"/>
          <w:highlight w:val="none"/>
          <w:lang w:val="en-US" w:eastAsia="zh-CN"/>
        </w:rPr>
        <w:t xml:space="preserve">节 </w:t>
      </w:r>
      <w:r>
        <w:rPr>
          <w:rFonts w:hint="eastAsia" w:ascii="宋体" w:hAnsi="宋体" w:eastAsia="方正黑体_GBK" w:cs="Times New Roman Regular"/>
          <w:b w:val="0"/>
          <w:bCs/>
          <w:color w:val="auto"/>
          <w:sz w:val="32"/>
          <w:szCs w:val="32"/>
          <w:highlight w:val="none"/>
          <w:lang w:val="en-US" w:eastAsia="zh-CN"/>
        </w:rPr>
        <w:t xml:space="preserve"> 打响阿诗玛文化</w:t>
      </w:r>
      <w:r>
        <w:rPr>
          <w:rFonts w:hint="default" w:ascii="宋体" w:hAnsi="宋体" w:eastAsia="方正黑体_GBK" w:cs="Times New Roman Regular"/>
          <w:b w:val="0"/>
          <w:bCs/>
          <w:color w:val="auto"/>
          <w:sz w:val="32"/>
          <w:szCs w:val="32"/>
          <w:highlight w:val="none"/>
          <w:lang w:val="en-US" w:eastAsia="zh-CN"/>
        </w:rPr>
        <w:t>品牌</w:t>
      </w:r>
      <w:bookmarkEnd w:id="262"/>
      <w:bookmarkEnd w:id="263"/>
      <w:bookmarkEnd w:id="264"/>
    </w:p>
    <w:p w14:paraId="7E0FBAD5">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lang w:val="en-US" w:eastAsia="zh-CN"/>
        </w:rPr>
        <w:t>坚持</w:t>
      </w:r>
      <w:r>
        <w:rPr>
          <w:rFonts w:hint="eastAsia"/>
        </w:rPr>
        <w:t>文化赋能</w:t>
      </w:r>
      <w:r>
        <w:rPr>
          <w:rFonts w:hint="default"/>
          <w:lang w:eastAsia="zh-CN"/>
        </w:rPr>
        <w:t>，</w:t>
      </w:r>
      <w:r>
        <w:rPr>
          <w:rFonts w:hint="default"/>
          <w:lang w:val="en-US" w:eastAsia="zh-CN"/>
        </w:rPr>
        <w:t>统筹做好</w:t>
      </w:r>
      <w:r>
        <w:rPr>
          <w:rFonts w:hint="eastAsia"/>
          <w:lang w:val="en-US" w:eastAsia="zh-CN"/>
        </w:rPr>
        <w:t>阿诗玛</w:t>
      </w:r>
      <w:r>
        <w:rPr>
          <w:rFonts w:hint="default"/>
          <w:lang w:val="en-US" w:eastAsia="zh-CN"/>
        </w:rPr>
        <w:t>文化挖掘转化、融合重组、放大增值文章</w:t>
      </w:r>
      <w:r>
        <w:rPr>
          <w:rFonts w:hint="eastAsia"/>
          <w:lang w:val="en-US" w:eastAsia="zh-CN"/>
        </w:rPr>
        <w:t>，讲好“阿诗玛”故事，推动文化资源从“静态展示”向“动态消费”转化，打响“</w:t>
      </w:r>
      <w:r>
        <w:rPr>
          <w:rFonts w:hint="default"/>
          <w:lang w:val="en-US" w:eastAsia="zh-CN"/>
        </w:rPr>
        <w:t>石林</w:t>
      </w:r>
      <w:r>
        <w:rPr>
          <w:rFonts w:hint="eastAsia"/>
          <w:lang w:val="en-US" w:eastAsia="zh-CN"/>
        </w:rPr>
        <w:t>·</w:t>
      </w:r>
      <w:r>
        <w:rPr>
          <w:rFonts w:hint="default"/>
          <w:lang w:val="en-US" w:eastAsia="zh-CN"/>
        </w:rPr>
        <w:t>阿诗玛</w:t>
      </w:r>
      <w:r>
        <w:rPr>
          <w:rFonts w:hint="eastAsia"/>
          <w:lang w:val="en-US" w:eastAsia="zh-CN"/>
        </w:rPr>
        <w:t>”</w:t>
      </w:r>
      <w:r>
        <w:rPr>
          <w:rFonts w:hint="default"/>
          <w:lang w:val="en-US" w:eastAsia="zh-CN"/>
        </w:rPr>
        <w:t>文化金字招牌</w:t>
      </w:r>
      <w:r>
        <w:rPr>
          <w:rFonts w:hint="eastAsia"/>
          <w:lang w:val="en-US" w:eastAsia="zh-CN"/>
        </w:rPr>
        <w:t>。</w:t>
      </w:r>
    </w:p>
    <w:p w14:paraId="74E626D5">
      <w:pPr>
        <w:keepNext/>
        <w:keepLines w:val="0"/>
        <w:pageBreakBefore w:val="0"/>
        <w:widowControl w:val="0"/>
        <w:kinsoku/>
        <w:wordWrap/>
        <w:overflowPunct/>
        <w:topLinePunct w:val="0"/>
        <w:autoSpaceDE/>
        <w:autoSpaceDN/>
        <w:bidi w:val="0"/>
        <w:adjustRightInd/>
        <w:snapToGrid/>
        <w:spacing w:line="522"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一、深挖阿诗玛文化内涵</w:t>
      </w:r>
    </w:p>
    <w:p w14:paraId="49061A79">
      <w:pPr>
        <w:keepNext/>
        <w:keepLines w:val="0"/>
        <w:pageBreakBefore w:val="0"/>
        <w:widowControl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lang w:eastAsia="zh-CN"/>
        </w:rPr>
        <w:t>围绕讲好阿诗玛故事、展示石林形象，联合高校、科研院所、文化学者，系统梳理阿诗玛传说、彝族撒尼刺绣、大三弦舞、密枝节等非物质文化遗产的历史渊源和精神内核，构建阿诗玛文化资源数据库，持续开展学术研讨、联展巡展等共建活动，弘扬阿诗玛文化时代价值。推进阿诗玛实景演艺项目升级改造，集中资源打造“室内演艺剧场+沉浸式互动空间”于一体的“阿诗玛”沉浸式史诗剧场，做好“一诗、一舞、一绣、一跤、一影、一歌、一节、一餐”文化名片。推动阿诗玛文化展馆、非遗传承体验中心，开发刺绣、雕刻、扎染教学体验业态，实现“文化体验”向“文化消费”转化。</w:t>
      </w:r>
    </w:p>
    <w:p w14:paraId="47100B82">
      <w:pPr>
        <w:keepNext/>
        <w:keepLines w:val="0"/>
        <w:pageBreakBefore w:val="0"/>
        <w:widowControl w:val="0"/>
        <w:kinsoku/>
        <w:wordWrap/>
        <w:overflowPunct/>
        <w:topLinePunct w:val="0"/>
        <w:autoSpaceDE/>
        <w:autoSpaceDN/>
        <w:bidi w:val="0"/>
        <w:adjustRightInd/>
        <w:snapToGrid/>
        <w:spacing w:line="522"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二、创新拓展阿诗玛文化新场景</w:t>
      </w:r>
    </w:p>
    <w:p w14:paraId="25CDECA4">
      <w:pPr>
        <w:keepNext/>
        <w:keepLines w:val="0"/>
        <w:pageBreakBefore w:val="0"/>
        <w:widowControl w:val="0"/>
        <w:kinsoku/>
        <w:wordWrap/>
        <w:overflowPunct/>
        <w:topLinePunct w:val="0"/>
        <w:autoSpaceDE/>
        <w:autoSpaceDN/>
        <w:bidi w:val="0"/>
        <w:adjustRightInd/>
        <w:snapToGrid/>
        <w:spacing w:line="522" w:lineRule="exact"/>
        <w:textAlignment w:val="auto"/>
        <w:rPr>
          <w:rFonts w:hint="eastAsia"/>
          <w:lang w:val="en-US" w:eastAsia="zh-CN"/>
        </w:rPr>
      </w:pPr>
      <w:r>
        <w:rPr>
          <w:rFonts w:hint="default"/>
          <w:lang w:val="en-US" w:eastAsia="zh-CN"/>
        </w:rPr>
        <w:t>深入挖掘阿诗玛特色文化IP内涵和价值，</w:t>
      </w:r>
      <w:r>
        <w:rPr>
          <w:rFonts w:hint="eastAsia"/>
          <w:lang w:val="en-US" w:eastAsia="zh-CN"/>
        </w:rPr>
        <w:t>培育发展刺绣产业、影视拍摄产业等石林阿诗玛文化产业新业态、新场景，</w:t>
      </w:r>
      <w:r>
        <w:rPr>
          <w:rFonts w:hint="default"/>
          <w:lang w:val="en-US" w:eastAsia="zh-CN"/>
        </w:rPr>
        <w:t>做优刺绣产业，推动石林刺绣技艺创造性转化、创新性发展，开发系列化、时尚化、实用化的文创产品。</w:t>
      </w:r>
      <w:r>
        <w:rPr>
          <w:rFonts w:hint="eastAsia"/>
          <w:lang w:val="en-US" w:eastAsia="zh-CN"/>
        </w:rPr>
        <w:t>积极</w:t>
      </w:r>
      <w:r>
        <w:rPr>
          <w:rFonts w:hint="default"/>
          <w:lang w:val="en-US" w:eastAsia="zh-CN"/>
        </w:rPr>
        <w:t>发展影视拍摄产业，完善配套服务，吸引更多影视剧组来石林取景创作，讲好阿诗玛故事。</w:t>
      </w:r>
      <w:r>
        <w:rPr>
          <w:rFonts w:hint="eastAsia"/>
          <w:lang w:val="en-US" w:eastAsia="zh-CN"/>
        </w:rPr>
        <w:t>积极发展创意经济，常态化</w:t>
      </w:r>
      <w:r>
        <w:rPr>
          <w:rFonts w:hint="default"/>
          <w:lang w:val="en-US" w:eastAsia="zh-CN"/>
        </w:rPr>
        <w:t>办好“阿诗玛”文创产品设计大赛，创新</w:t>
      </w:r>
      <w:r>
        <w:rPr>
          <w:rFonts w:hint="eastAsia"/>
        </w:rPr>
        <w:t>开发阿诗玛主题文创产品</w:t>
      </w:r>
      <w:r>
        <w:rPr>
          <w:rFonts w:hint="default"/>
          <w:lang w:val="en-US" w:eastAsia="zh-CN"/>
        </w:rPr>
        <w:t>，</w:t>
      </w:r>
      <w:r>
        <w:rPr>
          <w:rFonts w:hint="eastAsia"/>
          <w:lang w:val="en-US" w:eastAsia="zh-CN"/>
        </w:rPr>
        <w:t>彰显石林阿诗玛形象，推出撒尼刺绣制品、冰箱贴、公仔手办、石画文创等</w:t>
      </w:r>
      <w:r>
        <w:rPr>
          <w:rFonts w:hint="eastAsia"/>
        </w:rPr>
        <w:t>石林特色伴手礼，让游客把</w:t>
      </w:r>
      <w:r>
        <w:rPr>
          <w:rFonts w:hint="eastAsia"/>
          <w:lang w:eastAsia="zh-CN"/>
        </w:rPr>
        <w:t>“</w:t>
      </w:r>
      <w:r>
        <w:rPr>
          <w:rFonts w:hint="eastAsia"/>
        </w:rPr>
        <w:t>石林故事</w:t>
      </w:r>
      <w:r>
        <w:rPr>
          <w:rFonts w:hint="eastAsia"/>
          <w:lang w:eastAsia="zh-CN"/>
        </w:rPr>
        <w:t>”</w:t>
      </w:r>
      <w:r>
        <w:rPr>
          <w:rFonts w:hint="eastAsia"/>
        </w:rPr>
        <w:t>带回家</w:t>
      </w:r>
      <w:r>
        <w:rPr>
          <w:rFonts w:hint="eastAsia"/>
          <w:lang w:eastAsia="zh-CN"/>
        </w:rPr>
        <w:t>。</w:t>
      </w:r>
    </w:p>
    <w:p w14:paraId="1976ED8B">
      <w:pPr>
        <w:keepNext/>
        <w:keepLines w:val="0"/>
        <w:pageBreakBefore w:val="0"/>
        <w:widowControl w:val="0"/>
        <w:kinsoku/>
        <w:wordWrap/>
        <w:overflowPunct/>
        <w:topLinePunct w:val="0"/>
        <w:autoSpaceDE/>
        <w:autoSpaceDN/>
        <w:bidi w:val="0"/>
        <w:adjustRightInd/>
        <w:snapToGrid/>
        <w:spacing w:beforeLines="0" w:afterLines="0" w:line="516"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三、深耕阿诗玛文化品牌建设</w:t>
      </w:r>
    </w:p>
    <w:p w14:paraId="3E4F5161">
      <w:pPr>
        <w:keepNext/>
        <w:keepLines w:val="0"/>
        <w:pageBreakBefore w:val="0"/>
        <w:widowControl w:val="0"/>
        <w:kinsoku/>
        <w:wordWrap/>
        <w:overflowPunct/>
        <w:topLinePunct w:val="0"/>
        <w:autoSpaceDE/>
        <w:autoSpaceDN/>
        <w:bidi w:val="0"/>
        <w:adjustRightInd/>
        <w:snapToGrid/>
        <w:spacing w:line="516" w:lineRule="exact"/>
        <w:textAlignment w:val="auto"/>
        <w:rPr>
          <w:rFonts w:hint="default"/>
          <w:lang w:val="en-US" w:eastAsia="zh-CN"/>
        </w:rPr>
      </w:pPr>
      <w:r>
        <w:rPr>
          <w:rFonts w:hint="default"/>
          <w:lang w:val="en-US" w:eastAsia="zh-CN"/>
        </w:rPr>
        <w:t>坚持</w:t>
      </w:r>
      <w:r>
        <w:rPr>
          <w:rFonts w:hint="eastAsia"/>
          <w:lang w:val="en-US" w:eastAsia="zh-CN"/>
        </w:rPr>
        <w:t>“</w:t>
      </w:r>
      <w:r>
        <w:rPr>
          <w:rFonts w:hint="default"/>
          <w:lang w:val="en-US" w:eastAsia="zh-CN"/>
        </w:rPr>
        <w:t>以活动塑品牌、以赛事带流量、以文化促消费</w:t>
      </w:r>
      <w:r>
        <w:rPr>
          <w:rFonts w:hint="eastAsia"/>
          <w:lang w:val="en-US" w:eastAsia="zh-CN"/>
        </w:rPr>
        <w:t>”</w:t>
      </w:r>
      <w:r>
        <w:rPr>
          <w:rFonts w:hint="default"/>
          <w:lang w:val="en-US" w:eastAsia="zh-CN"/>
        </w:rPr>
        <w:t>，挖掘提炼阿诗玛文化元素，集中力量</w:t>
      </w:r>
      <w:r>
        <w:rPr>
          <w:rFonts w:hint="eastAsia"/>
          <w:lang w:val="en-US" w:eastAsia="zh-CN"/>
        </w:rPr>
        <w:t>打造“</w:t>
      </w:r>
      <w:r>
        <w:rPr>
          <w:rFonts w:hint="default"/>
          <w:lang w:val="en-US" w:eastAsia="zh-CN"/>
        </w:rPr>
        <w:t>阿诗玛</w:t>
      </w:r>
      <w:r>
        <w:rPr>
          <w:rFonts w:hint="eastAsia"/>
          <w:lang w:val="en-US" w:eastAsia="zh-CN"/>
        </w:rPr>
        <w:t>”文化</w:t>
      </w:r>
      <w:r>
        <w:rPr>
          <w:rFonts w:hint="default"/>
          <w:lang w:val="en-US" w:eastAsia="zh-CN"/>
        </w:rPr>
        <w:t>品牌</w:t>
      </w:r>
      <w:r>
        <w:rPr>
          <w:rFonts w:hint="eastAsia"/>
          <w:lang w:val="en-US" w:eastAsia="zh-CN"/>
        </w:rPr>
        <w:t>。</w:t>
      </w:r>
      <w:r>
        <w:rPr>
          <w:rFonts w:hint="default"/>
          <w:lang w:val="en-US" w:eastAsia="zh-CN"/>
        </w:rPr>
        <w:t>加强</w:t>
      </w:r>
      <w:r>
        <w:rPr>
          <w:rFonts w:hint="eastAsia"/>
          <w:lang w:val="en-US" w:eastAsia="zh-CN"/>
        </w:rPr>
        <w:t>阿诗玛</w:t>
      </w:r>
      <w:r>
        <w:rPr>
          <w:rFonts w:hint="default"/>
          <w:lang w:val="en-US" w:eastAsia="zh-CN"/>
        </w:rPr>
        <w:t>文化旅游市场推广，办好阿诗玛文化旅游季、石林火把节等传统节庆活动</w:t>
      </w:r>
      <w:r>
        <w:rPr>
          <w:rFonts w:hint="eastAsia"/>
          <w:lang w:val="en-US" w:eastAsia="zh-CN"/>
        </w:rPr>
        <w:t>，</w:t>
      </w:r>
      <w:r>
        <w:rPr>
          <w:rFonts w:hint="default"/>
          <w:lang w:val="en-US" w:eastAsia="zh-CN"/>
        </w:rPr>
        <w:t>加大品牌活动策划与多元场景创新力度。立足斗牛博览区做大赛事经济，积极承办</w:t>
      </w:r>
      <w:r>
        <w:rPr>
          <w:rFonts w:hint="eastAsia"/>
          <w:lang w:val="en-US" w:eastAsia="zh-CN"/>
        </w:rPr>
        <w:t>斗牛、摔跤等各类</w:t>
      </w:r>
      <w:r>
        <w:rPr>
          <w:rFonts w:hint="default"/>
          <w:lang w:val="en-US" w:eastAsia="zh-CN"/>
        </w:rPr>
        <w:t>体育赛事、潮流文化等活动，打造更多品牌爆点热点</w:t>
      </w:r>
      <w:r>
        <w:rPr>
          <w:rFonts w:hint="eastAsia"/>
          <w:lang w:val="en-US" w:eastAsia="zh-CN"/>
        </w:rPr>
        <w:t>。结合夜间经济发展，积极培育广场经济、剧院经济，常态开展阿诗玛电影、戏剧展演，</w:t>
      </w:r>
      <w:r>
        <w:rPr>
          <w:rFonts w:hint="default"/>
          <w:lang w:val="en-US" w:eastAsia="zh-CN"/>
        </w:rPr>
        <w:t>持续讲述动人的石林故事</w:t>
      </w:r>
      <w:r>
        <w:rPr>
          <w:rFonts w:hint="eastAsia"/>
          <w:lang w:val="en-US" w:eastAsia="zh-CN"/>
        </w:rPr>
        <w:t>。</w:t>
      </w:r>
      <w:r>
        <w:rPr>
          <w:rFonts w:hint="default"/>
          <w:lang w:val="en-US" w:eastAsia="zh-CN"/>
        </w:rPr>
        <w:t>主动融入信息化和大数据时代，</w:t>
      </w:r>
      <w:r>
        <w:rPr>
          <w:rFonts w:hint="eastAsia"/>
          <w:lang w:val="en-US" w:eastAsia="zh-CN"/>
        </w:rPr>
        <w:t>加大“</w:t>
      </w:r>
      <w:r>
        <w:rPr>
          <w:rFonts w:hint="default"/>
          <w:lang w:val="en-US" w:eastAsia="zh-CN"/>
        </w:rPr>
        <w:t>互联网</w:t>
      </w:r>
      <w:r>
        <w:rPr>
          <w:rFonts w:hint="eastAsia"/>
          <w:lang w:val="en-US" w:eastAsia="zh-CN"/>
        </w:rPr>
        <w:t>+阿诗玛文化”</w:t>
      </w:r>
      <w:r>
        <w:rPr>
          <w:rFonts w:hint="default"/>
          <w:lang w:val="en-US" w:eastAsia="zh-CN"/>
        </w:rPr>
        <w:t>宣传和营销</w:t>
      </w:r>
      <w:r>
        <w:rPr>
          <w:rFonts w:hint="eastAsia"/>
          <w:lang w:val="en-US" w:eastAsia="zh-CN"/>
        </w:rPr>
        <w:t>力度</w:t>
      </w:r>
      <w:r>
        <w:rPr>
          <w:rFonts w:hint="default"/>
          <w:lang w:val="en-US" w:eastAsia="zh-CN"/>
        </w:rPr>
        <w:t>，</w:t>
      </w:r>
      <w:r>
        <w:rPr>
          <w:rFonts w:hint="eastAsia"/>
          <w:lang w:val="en-US" w:eastAsia="zh-CN"/>
        </w:rPr>
        <w:t>推动“</w:t>
      </w:r>
      <w:r>
        <w:rPr>
          <w:rFonts w:hint="default"/>
          <w:lang w:val="en-US" w:eastAsia="zh-CN"/>
        </w:rPr>
        <w:t>阿诗玛</w:t>
      </w:r>
      <w:r>
        <w:rPr>
          <w:rFonts w:hint="eastAsia"/>
          <w:lang w:val="en-US" w:eastAsia="zh-CN"/>
        </w:rPr>
        <w:t>”</w:t>
      </w:r>
      <w:r>
        <w:rPr>
          <w:rFonts w:hint="default"/>
          <w:lang w:val="en-US" w:eastAsia="zh-CN"/>
        </w:rPr>
        <w:t>从一个文化符号真正成为吸引人、打动人的市场品牌。</w:t>
      </w:r>
    </w:p>
    <w:p w14:paraId="26B0C6A9">
      <w:pPr>
        <w:pStyle w:val="3"/>
        <w:keepNext/>
        <w:keepLines w:val="0"/>
        <w:pageBreakBefore w:val="0"/>
        <w:widowControl w:val="0"/>
        <w:kinsoku/>
        <w:wordWrap/>
        <w:overflowPunct/>
        <w:topLinePunct w:val="0"/>
        <w:autoSpaceDE/>
        <w:autoSpaceDN/>
        <w:bidi w:val="0"/>
        <w:adjustRightInd/>
        <w:snapToGrid/>
        <w:spacing w:before="92" w:beforeLines="20" w:after="92" w:afterLines="20" w:line="516"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265" w:name="_Toc14881"/>
      <w:bookmarkStart w:id="266" w:name="_Toc900539085"/>
      <w:bookmarkStart w:id="267" w:name="_Toc58863648"/>
      <w:r>
        <w:rPr>
          <w:rFonts w:hint="default" w:ascii="宋体" w:hAnsi="宋体" w:eastAsia="方正黑体_GBK" w:cs="Times New Roman Regular"/>
          <w:b w:val="0"/>
          <w:bCs/>
          <w:color w:val="auto"/>
          <w:sz w:val="32"/>
          <w:szCs w:val="32"/>
          <w:highlight w:val="none"/>
          <w:lang w:val="en-US" w:eastAsia="zh-CN"/>
        </w:rPr>
        <w:t>第</w:t>
      </w:r>
      <w:r>
        <w:rPr>
          <w:rFonts w:hint="eastAsia" w:ascii="宋体" w:hAnsi="宋体" w:eastAsia="方正黑体_GBK" w:cs="Times New Roman Regular"/>
          <w:b w:val="0"/>
          <w:bCs/>
          <w:color w:val="auto"/>
          <w:sz w:val="32"/>
          <w:szCs w:val="32"/>
          <w:highlight w:val="none"/>
          <w:lang w:val="en-US" w:eastAsia="zh-CN"/>
        </w:rPr>
        <w:t>三</w:t>
      </w:r>
      <w:r>
        <w:rPr>
          <w:rFonts w:hint="default" w:ascii="宋体" w:hAnsi="宋体" w:eastAsia="方正黑体_GBK" w:cs="Times New Roman Regular"/>
          <w:b w:val="0"/>
          <w:bCs/>
          <w:color w:val="auto"/>
          <w:sz w:val="32"/>
          <w:szCs w:val="32"/>
          <w:highlight w:val="none"/>
          <w:lang w:val="en-US" w:eastAsia="zh-CN"/>
        </w:rPr>
        <w:t xml:space="preserve">节 </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培育发展多元化</w:t>
      </w:r>
      <w:r>
        <w:rPr>
          <w:rFonts w:hint="eastAsia" w:ascii="宋体" w:hAnsi="宋体" w:eastAsia="方正黑体_GBK" w:cs="Times New Roman Regular"/>
          <w:b w:val="0"/>
          <w:bCs/>
          <w:color w:val="auto"/>
          <w:sz w:val="32"/>
          <w:szCs w:val="32"/>
          <w:highlight w:val="none"/>
          <w:lang w:val="en-US" w:eastAsia="zh-CN"/>
        </w:rPr>
        <w:t>文旅融合新</w:t>
      </w:r>
      <w:r>
        <w:rPr>
          <w:rFonts w:hint="default" w:ascii="宋体" w:hAnsi="宋体" w:eastAsia="方正黑体_GBK" w:cs="Times New Roman Regular"/>
          <w:b w:val="0"/>
          <w:bCs/>
          <w:color w:val="auto"/>
          <w:sz w:val="32"/>
          <w:szCs w:val="32"/>
          <w:highlight w:val="none"/>
          <w:lang w:val="en-US" w:eastAsia="zh-CN"/>
        </w:rPr>
        <w:t>业态</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5"/>
      <w:bookmarkEnd w:id="266"/>
      <w:bookmarkEnd w:id="267"/>
    </w:p>
    <w:p w14:paraId="482667CA">
      <w:pPr>
        <w:keepNext/>
        <w:keepLines w:val="0"/>
        <w:pageBreakBefore w:val="0"/>
        <w:widowControl w:val="0"/>
        <w:kinsoku/>
        <w:wordWrap/>
        <w:overflowPunct/>
        <w:topLinePunct w:val="0"/>
        <w:autoSpaceDE/>
        <w:autoSpaceDN/>
        <w:bidi w:val="0"/>
        <w:adjustRightInd/>
        <w:snapToGrid/>
        <w:spacing w:line="516" w:lineRule="exact"/>
        <w:textAlignment w:val="auto"/>
        <w:rPr>
          <w:rFonts w:hint="default"/>
          <w:lang w:val="en-US" w:eastAsia="zh-CN"/>
        </w:rPr>
      </w:pPr>
      <w:r>
        <w:rPr>
          <w:rFonts w:hint="default"/>
          <w:lang w:val="en-US" w:eastAsia="zh-CN"/>
        </w:rPr>
        <w:t>深化</w:t>
      </w:r>
      <w:r>
        <w:rPr>
          <w:rFonts w:hint="eastAsia"/>
          <w:lang w:val="en-US" w:eastAsia="zh-CN"/>
        </w:rPr>
        <w:t>“文旅</w:t>
      </w:r>
      <w:r>
        <w:rPr>
          <w:rFonts w:hint="default"/>
          <w:lang w:val="en-US" w:eastAsia="zh-CN"/>
        </w:rPr>
        <w:t>+</w:t>
      </w:r>
      <w:r>
        <w:rPr>
          <w:rFonts w:hint="eastAsia"/>
          <w:lang w:val="en-US" w:eastAsia="zh-CN"/>
        </w:rPr>
        <w:t>”“</w:t>
      </w:r>
      <w:r>
        <w:rPr>
          <w:rFonts w:hint="default"/>
          <w:lang w:val="en-US" w:eastAsia="zh-CN"/>
        </w:rPr>
        <w:t>+</w:t>
      </w:r>
      <w:r>
        <w:rPr>
          <w:rFonts w:hint="eastAsia"/>
          <w:lang w:val="en-US" w:eastAsia="zh-CN"/>
        </w:rPr>
        <w:t>文旅”</w:t>
      </w:r>
      <w:r>
        <w:rPr>
          <w:rFonts w:hint="default"/>
          <w:lang w:val="en-US" w:eastAsia="zh-CN"/>
        </w:rPr>
        <w:t>产业融合发展</w:t>
      </w:r>
      <w:r>
        <w:rPr>
          <w:rFonts w:hint="eastAsia"/>
          <w:lang w:val="en-US" w:eastAsia="zh-CN"/>
        </w:rPr>
        <w:t>，</w:t>
      </w:r>
      <w:r>
        <w:rPr>
          <w:rFonts w:hint="default"/>
          <w:lang w:val="en-US" w:eastAsia="zh-CN"/>
        </w:rPr>
        <w:t>推动资源优化整合，</w:t>
      </w:r>
      <w:r>
        <w:rPr>
          <w:rFonts w:hint="eastAsia"/>
          <w:lang w:val="en-US" w:eastAsia="zh-CN"/>
        </w:rPr>
        <w:t>创新发展运动休闲旅游、研学旅游、农业旅游、工业旅游等文旅业态，丰富产品供给，拓展文旅消费新场景</w:t>
      </w:r>
      <w:r>
        <w:rPr>
          <w:rFonts w:hint="default"/>
          <w:lang w:val="en-US" w:eastAsia="zh-CN"/>
        </w:rPr>
        <w:t>。</w:t>
      </w:r>
    </w:p>
    <w:p w14:paraId="704EC7DA">
      <w:pPr>
        <w:keepNext/>
        <w:keepLines w:val="0"/>
        <w:pageBreakBefore w:val="0"/>
        <w:widowControl w:val="0"/>
        <w:kinsoku/>
        <w:wordWrap/>
        <w:overflowPunct/>
        <w:topLinePunct w:val="0"/>
        <w:autoSpaceDE/>
        <w:autoSpaceDN/>
        <w:bidi w:val="0"/>
        <w:adjustRightInd/>
        <w:snapToGrid/>
        <w:spacing w:beforeLines="0" w:afterLines="0" w:line="516"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w:t>
      </w:r>
      <w:r>
        <w:rPr>
          <w:rFonts w:hint="default" w:ascii="楷体_GB2312" w:hAnsi="楷体_GB2312" w:eastAsia="楷体_GB2312" w:cs="楷体_GB2312"/>
          <w:b w:val="0"/>
          <w:bCs w:val="0"/>
          <w:color w:val="auto"/>
          <w:sz w:val="32"/>
          <w:szCs w:val="32"/>
          <w:highlight w:val="none"/>
          <w:lang w:val="en-US" w:eastAsia="zh-CN"/>
        </w:rPr>
        <w:t>、</w:t>
      </w:r>
      <w:r>
        <w:rPr>
          <w:rFonts w:hint="eastAsia" w:ascii="楷体_GB2312" w:hAnsi="楷体_GB2312" w:eastAsia="楷体_GB2312" w:cs="楷体_GB2312"/>
          <w:b w:val="0"/>
          <w:bCs w:val="0"/>
          <w:color w:val="auto"/>
          <w:sz w:val="32"/>
          <w:szCs w:val="32"/>
          <w:highlight w:val="none"/>
          <w:lang w:val="en-US" w:eastAsia="zh-CN"/>
        </w:rPr>
        <w:t>做优</w:t>
      </w:r>
      <w:r>
        <w:rPr>
          <w:rFonts w:hint="default" w:ascii="楷体_GB2312" w:hAnsi="楷体_GB2312" w:eastAsia="楷体_GB2312" w:cs="楷体_GB2312"/>
          <w:b w:val="0"/>
          <w:bCs w:val="0"/>
          <w:color w:val="auto"/>
          <w:sz w:val="32"/>
          <w:szCs w:val="32"/>
          <w:highlight w:val="none"/>
          <w:lang w:val="en-US" w:eastAsia="zh-CN"/>
        </w:rPr>
        <w:t>“文旅+体育”融合</w:t>
      </w:r>
      <w:r>
        <w:rPr>
          <w:rFonts w:hint="eastAsia" w:ascii="楷体_GB2312" w:hAnsi="楷体_GB2312" w:eastAsia="楷体_GB2312" w:cs="楷体_GB2312"/>
          <w:b w:val="0"/>
          <w:bCs w:val="0"/>
          <w:color w:val="auto"/>
          <w:sz w:val="32"/>
          <w:szCs w:val="32"/>
          <w:highlight w:val="none"/>
          <w:lang w:val="en-US" w:eastAsia="zh-CN"/>
        </w:rPr>
        <w:t>发展业态</w:t>
      </w:r>
    </w:p>
    <w:p w14:paraId="5C965DAC">
      <w:pPr>
        <w:keepNext/>
        <w:keepLines w:val="0"/>
        <w:pageBreakBefore w:val="0"/>
        <w:widowControl w:val="0"/>
        <w:kinsoku/>
        <w:wordWrap/>
        <w:overflowPunct/>
        <w:topLinePunct w:val="0"/>
        <w:autoSpaceDE/>
        <w:autoSpaceDN/>
        <w:bidi w:val="0"/>
        <w:adjustRightInd/>
        <w:snapToGrid/>
        <w:spacing w:line="516" w:lineRule="exact"/>
        <w:textAlignment w:val="auto"/>
        <w:rPr>
          <w:rFonts w:hint="eastAsia"/>
          <w:lang w:eastAsia="zh-CN"/>
        </w:rPr>
      </w:pPr>
      <w:r>
        <w:rPr>
          <w:rFonts w:hint="eastAsia"/>
          <w:lang w:val="en-US" w:eastAsia="zh-CN"/>
        </w:rPr>
        <w:t>依托石林高山、水景等环境资源，顺应市场需求，</w:t>
      </w:r>
      <w:r>
        <w:rPr>
          <w:rFonts w:hint="eastAsia"/>
        </w:rPr>
        <w:t>推进健身休闲、竞赛表演与旅游融合发展。引导景区引入体育项目，配套建设户外运动场地、露营基地等设施，推进长湖生态露营地、山地户外营地及大叠水徒步露营基地</w:t>
      </w:r>
      <w:r>
        <w:rPr>
          <w:rFonts w:hint="eastAsia"/>
          <w:lang w:val="en-US" w:eastAsia="zh-CN"/>
        </w:rPr>
        <w:t>等</w:t>
      </w:r>
      <w:r>
        <w:rPr>
          <w:rFonts w:hint="eastAsia"/>
        </w:rPr>
        <w:t>建设。规划</w:t>
      </w:r>
      <w:r>
        <w:rPr>
          <w:rFonts w:hint="eastAsia"/>
          <w:lang w:val="en-US" w:eastAsia="zh-CN"/>
        </w:rPr>
        <w:t>建设</w:t>
      </w:r>
      <w:r>
        <w:rPr>
          <w:rFonts w:hint="eastAsia"/>
        </w:rPr>
        <w:t>大叠水水上乐园与温泉康养综合体，打造“亲水体验+康养休闲”特色场景。依托九石阿旅游专线、</w:t>
      </w:r>
      <w:r>
        <w:rPr>
          <w:rFonts w:hint="eastAsia"/>
          <w:lang w:val="en-US" w:eastAsia="zh-CN"/>
        </w:rPr>
        <w:t>长湖风景区自驾线路等，</w:t>
      </w:r>
      <w:r>
        <w:rPr>
          <w:rFonts w:hint="eastAsia"/>
        </w:rPr>
        <w:t>开发环湖徒步、露营踏青等轻量化产品</w:t>
      </w:r>
      <w:r>
        <w:rPr>
          <w:rFonts w:hint="eastAsia"/>
          <w:lang w:val="en-US" w:eastAsia="zh-CN"/>
        </w:rPr>
        <w:t>，</w:t>
      </w:r>
      <w:r>
        <w:rPr>
          <w:rFonts w:hint="eastAsia"/>
        </w:rPr>
        <w:t>升级</w:t>
      </w:r>
      <w:r>
        <w:rPr>
          <w:rFonts w:hint="eastAsia"/>
          <w:lang w:eastAsia="zh-CN"/>
        </w:rPr>
        <w:t>“</w:t>
      </w:r>
      <w:r>
        <w:rPr>
          <w:rFonts w:hint="eastAsia"/>
        </w:rPr>
        <w:t>大叠水—长湖</w:t>
      </w:r>
      <w:r>
        <w:rPr>
          <w:rFonts w:hint="eastAsia"/>
          <w:lang w:eastAsia="zh-CN"/>
        </w:rPr>
        <w:t>景区</w:t>
      </w:r>
      <w:r>
        <w:rPr>
          <w:rFonts w:hint="eastAsia"/>
        </w:rPr>
        <w:t>—</w:t>
      </w:r>
      <w:r>
        <w:rPr>
          <w:rFonts w:hint="eastAsia"/>
          <w:lang w:eastAsia="zh-CN"/>
        </w:rPr>
        <w:t>圭山森林公园”</w:t>
      </w:r>
      <w:r>
        <w:rPr>
          <w:rFonts w:hint="eastAsia"/>
          <w:lang w:val="en-US" w:eastAsia="zh-CN"/>
        </w:rPr>
        <w:t>户外运动</w:t>
      </w:r>
      <w:r>
        <w:rPr>
          <w:rFonts w:hint="eastAsia"/>
        </w:rPr>
        <w:t>线路，常态化举办“阿诗玛杯”自行车赛</w:t>
      </w:r>
      <w:r>
        <w:rPr>
          <w:rFonts w:hint="eastAsia"/>
          <w:lang w:eastAsia="zh-CN"/>
        </w:rPr>
        <w:t>、</w:t>
      </w:r>
      <w:r>
        <w:rPr>
          <w:rFonts w:hint="eastAsia"/>
        </w:rPr>
        <w:t>马拉松</w:t>
      </w:r>
      <w:r>
        <w:rPr>
          <w:rFonts w:hint="eastAsia"/>
          <w:lang w:val="en-US" w:eastAsia="zh-CN"/>
        </w:rPr>
        <w:t>赛事活动</w:t>
      </w:r>
      <w:r>
        <w:rPr>
          <w:rFonts w:hint="eastAsia"/>
        </w:rPr>
        <w:t>。</w:t>
      </w:r>
      <w:r>
        <w:rPr>
          <w:rFonts w:hint="eastAsia"/>
          <w:lang w:val="en-US" w:eastAsia="zh-CN"/>
        </w:rPr>
        <w:t>依托</w:t>
      </w:r>
      <w:r>
        <w:rPr>
          <w:rFonts w:hint="eastAsia"/>
        </w:rPr>
        <w:t>航空飞行小镇建设，</w:t>
      </w:r>
      <w:r>
        <w:rPr>
          <w:rFonts w:hint="eastAsia"/>
          <w:lang w:val="en-US" w:eastAsia="zh-CN"/>
        </w:rPr>
        <w:t>积极发展“低空+旅游”</w:t>
      </w:r>
      <w:r>
        <w:rPr>
          <w:rFonts w:hint="eastAsia"/>
        </w:rPr>
        <w:t>。</w:t>
      </w:r>
    </w:p>
    <w:p w14:paraId="1686FC26">
      <w:pPr>
        <w:keepNext/>
        <w:keepLines w:val="0"/>
        <w:pageBreakBefore w:val="0"/>
        <w:widowControl w:val="0"/>
        <w:kinsoku/>
        <w:wordWrap/>
        <w:overflowPunct/>
        <w:topLinePunct w:val="0"/>
        <w:autoSpaceDE/>
        <w:autoSpaceDN/>
        <w:bidi w:val="0"/>
        <w:adjustRightInd/>
        <w:snapToGrid/>
        <w:spacing w:beforeLines="0" w:afterLines="0"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w:t>
      </w:r>
      <w:r>
        <w:rPr>
          <w:rFonts w:hint="default" w:ascii="楷体_GB2312" w:hAnsi="楷体_GB2312" w:eastAsia="楷体_GB2312" w:cs="楷体_GB2312"/>
          <w:b w:val="0"/>
          <w:bCs w:val="0"/>
          <w:color w:val="auto"/>
          <w:sz w:val="32"/>
          <w:szCs w:val="32"/>
          <w:highlight w:val="none"/>
          <w:lang w:val="en-US" w:eastAsia="zh-CN"/>
        </w:rPr>
        <w:t>、</w:t>
      </w:r>
      <w:r>
        <w:rPr>
          <w:rFonts w:hint="eastAsia" w:ascii="楷体_GB2312" w:hAnsi="楷体_GB2312" w:eastAsia="楷体_GB2312" w:cs="楷体_GB2312"/>
          <w:b w:val="0"/>
          <w:bCs w:val="0"/>
          <w:color w:val="auto"/>
          <w:sz w:val="32"/>
          <w:szCs w:val="32"/>
          <w:highlight w:val="none"/>
          <w:lang w:val="en-US" w:eastAsia="zh-CN"/>
        </w:rPr>
        <w:t>做特“文旅+研学”融合发展业态</w:t>
      </w:r>
    </w:p>
    <w:p w14:paraId="760E9828">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深入挖掘石林景观、非遗、红色等资源，</w:t>
      </w:r>
      <w:r>
        <w:rPr>
          <w:rFonts w:hint="eastAsia"/>
        </w:rPr>
        <w:t>激活研学旅游，发展</w:t>
      </w:r>
      <w:r>
        <w:rPr>
          <w:rFonts w:hint="eastAsia"/>
          <w:lang w:val="en-US" w:eastAsia="zh-CN"/>
        </w:rPr>
        <w:t>地质</w:t>
      </w:r>
      <w:r>
        <w:rPr>
          <w:rFonts w:hint="eastAsia"/>
        </w:rPr>
        <w:t>研学、科普研学、红色研学等产品，</w:t>
      </w:r>
      <w:r>
        <w:rPr>
          <w:rFonts w:hint="eastAsia"/>
          <w:lang w:eastAsia="zh-CN"/>
        </w:rPr>
        <w:t>争创</w:t>
      </w:r>
      <w:r>
        <w:rPr>
          <w:rFonts w:hint="default"/>
          <w:lang w:val="en-US" w:eastAsia="zh-CN"/>
        </w:rPr>
        <w:t>国家级</w:t>
      </w:r>
      <w:r>
        <w:rPr>
          <w:rFonts w:hint="eastAsia"/>
          <w:lang w:eastAsia="zh-CN"/>
        </w:rPr>
        <w:t>研学旅游基地。</w:t>
      </w:r>
      <w:r>
        <w:rPr>
          <w:rFonts w:hint="eastAsia"/>
          <w:lang w:val="en-US" w:eastAsia="zh-CN"/>
        </w:rPr>
        <w:t>依托“</w:t>
      </w:r>
      <w:r>
        <w:rPr>
          <w:rFonts w:hint="default"/>
          <w:lang w:val="en-US" w:eastAsia="zh-CN"/>
        </w:rPr>
        <w:t>石林—九乡</w:t>
      </w:r>
      <w:r>
        <w:rPr>
          <w:rFonts w:hint="eastAsia"/>
          <w:lang w:val="en-US" w:eastAsia="zh-CN"/>
        </w:rPr>
        <w:t>”</w:t>
      </w:r>
      <w:r>
        <w:rPr>
          <w:rFonts w:hint="default"/>
          <w:lang w:val="en-US" w:eastAsia="zh-CN"/>
        </w:rPr>
        <w:t>地质奇观旅游线路</w:t>
      </w:r>
      <w:r>
        <w:rPr>
          <w:rFonts w:hint="eastAsia"/>
          <w:lang w:val="en-US" w:eastAsia="zh-CN"/>
        </w:rPr>
        <w:t>打造，</w:t>
      </w:r>
      <w:r>
        <w:rPr>
          <w:rFonts w:hint="eastAsia"/>
        </w:rPr>
        <w:t>推出</w:t>
      </w:r>
      <w:r>
        <w:rPr>
          <w:rFonts w:hint="eastAsia"/>
          <w:lang w:val="en-US" w:eastAsia="zh-CN"/>
        </w:rPr>
        <w:t>地质</w:t>
      </w:r>
      <w:r>
        <w:rPr>
          <w:rFonts w:hint="eastAsia"/>
        </w:rPr>
        <w:t>研学</w:t>
      </w:r>
      <w:r>
        <w:rPr>
          <w:rFonts w:hint="eastAsia"/>
          <w:lang w:eastAsia="zh-CN"/>
        </w:rPr>
        <w:t>、</w:t>
      </w:r>
      <w:r>
        <w:rPr>
          <w:rFonts w:hint="eastAsia"/>
          <w:lang w:val="en-US" w:eastAsia="zh-CN"/>
        </w:rPr>
        <w:t>科普研学</w:t>
      </w:r>
      <w:r>
        <w:rPr>
          <w:rFonts w:hint="eastAsia"/>
        </w:rPr>
        <w:t>旅游营地基地和课程</w:t>
      </w:r>
      <w:r>
        <w:rPr>
          <w:rFonts w:hint="eastAsia"/>
          <w:lang w:eastAsia="zh-CN"/>
        </w:rPr>
        <w:t>，</w:t>
      </w:r>
      <w:r>
        <w:rPr>
          <w:rFonts w:hint="default"/>
          <w:lang w:val="en-US" w:eastAsia="zh-CN"/>
        </w:rPr>
        <w:t>持续讲好</w:t>
      </w:r>
      <w:r>
        <w:rPr>
          <w:rFonts w:hint="eastAsia"/>
          <w:lang w:val="en-US" w:eastAsia="zh-CN"/>
        </w:rPr>
        <w:t>“</w:t>
      </w:r>
      <w:r>
        <w:rPr>
          <w:rFonts w:hint="default"/>
          <w:lang w:val="en-US" w:eastAsia="zh-CN"/>
        </w:rPr>
        <w:t>地球两亿年</w:t>
      </w:r>
      <w:r>
        <w:rPr>
          <w:rFonts w:hint="eastAsia"/>
          <w:lang w:val="en-US" w:eastAsia="zh-CN"/>
        </w:rPr>
        <w:t>”</w:t>
      </w:r>
      <w:r>
        <w:rPr>
          <w:rFonts w:hint="default"/>
          <w:lang w:val="en-US" w:eastAsia="zh-CN"/>
        </w:rPr>
        <w:t>主题故事</w:t>
      </w:r>
      <w:r>
        <w:rPr>
          <w:rFonts w:hint="eastAsia"/>
          <w:lang w:val="en-US" w:eastAsia="zh-CN"/>
        </w:rPr>
        <w:t>。</w:t>
      </w:r>
      <w:r>
        <w:rPr>
          <w:rFonts w:hint="eastAsia"/>
          <w:lang w:eastAsia="zh-CN"/>
        </w:rPr>
        <w:t>依托</w:t>
      </w:r>
      <w:r>
        <w:rPr>
          <w:rFonts w:hint="default"/>
          <w:lang w:val="en-US" w:eastAsia="zh-CN"/>
        </w:rPr>
        <w:t>圭山红色教育基地、路南</w:t>
      </w:r>
      <w:r>
        <w:rPr>
          <w:rFonts w:hint="eastAsia"/>
          <w:lang w:val="en-US" w:eastAsia="zh-CN"/>
        </w:rPr>
        <w:t>“</w:t>
      </w:r>
      <w:r>
        <w:rPr>
          <w:rFonts w:hint="default"/>
          <w:lang w:val="en-US" w:eastAsia="zh-CN"/>
        </w:rPr>
        <w:t>两碑</w:t>
      </w:r>
      <w:r>
        <w:rPr>
          <w:rFonts w:hint="eastAsia"/>
          <w:lang w:val="en-US" w:eastAsia="zh-CN"/>
        </w:rPr>
        <w:t>”</w:t>
      </w:r>
      <w:r>
        <w:rPr>
          <w:rFonts w:hint="default"/>
          <w:lang w:val="en-US" w:eastAsia="zh-CN"/>
        </w:rPr>
        <w:t>、堡子革命烈士纪念馆、大哨烈士陵园</w:t>
      </w:r>
      <w:r>
        <w:rPr>
          <w:rFonts w:hint="eastAsia"/>
          <w:lang w:eastAsia="zh-CN"/>
        </w:rPr>
        <w:t>等红色</w:t>
      </w:r>
      <w:r>
        <w:rPr>
          <w:rFonts w:hint="eastAsia"/>
          <w:lang w:val="en-US" w:eastAsia="zh-CN"/>
        </w:rPr>
        <w:t>文化资源</w:t>
      </w:r>
      <w:r>
        <w:rPr>
          <w:rFonts w:hint="eastAsia"/>
          <w:lang w:eastAsia="zh-CN"/>
        </w:rPr>
        <w:t>，大力拓展红色研学旅行和培训教育市场。依托</w:t>
      </w:r>
      <w:r>
        <w:rPr>
          <w:rFonts w:hint="eastAsia"/>
          <w:lang w:val="en-US" w:eastAsia="zh-CN"/>
        </w:rPr>
        <w:t>阿诗玛</w:t>
      </w:r>
      <w:r>
        <w:rPr>
          <w:rFonts w:hint="eastAsia"/>
          <w:lang w:eastAsia="zh-CN"/>
        </w:rPr>
        <w:t>文化</w:t>
      </w:r>
      <w:r>
        <w:rPr>
          <w:rFonts w:hint="eastAsia"/>
          <w:lang w:val="en-US" w:eastAsia="zh-CN"/>
        </w:rPr>
        <w:t>资源和石林产业园区载体</w:t>
      </w:r>
      <w:r>
        <w:rPr>
          <w:rFonts w:hint="eastAsia"/>
          <w:lang w:eastAsia="zh-CN"/>
        </w:rPr>
        <w:t>，创新打造“非遗传承”“工业探秘”等主题研学线路，开发刺绣、</w:t>
      </w:r>
      <w:r>
        <w:rPr>
          <w:rFonts w:hint="default"/>
          <w:lang w:val="en-US" w:eastAsia="zh-CN"/>
        </w:rPr>
        <w:t>食品制作</w:t>
      </w:r>
      <w:r>
        <w:rPr>
          <w:rFonts w:hint="eastAsia"/>
          <w:lang w:eastAsia="zh-CN"/>
        </w:rPr>
        <w:t>等特色</w:t>
      </w:r>
      <w:r>
        <w:rPr>
          <w:rFonts w:hint="eastAsia"/>
          <w:lang w:val="en-US" w:eastAsia="zh-CN"/>
        </w:rPr>
        <w:t>研学体验产品。</w:t>
      </w:r>
    </w:p>
    <w:p w14:paraId="4F3F231E">
      <w:pPr>
        <w:keepNext/>
        <w:keepLines w:val="0"/>
        <w:pageBreakBefore w:val="0"/>
        <w:widowControl w:val="0"/>
        <w:kinsoku/>
        <w:wordWrap/>
        <w:overflowPunct/>
        <w:topLinePunct w:val="0"/>
        <w:autoSpaceDE/>
        <w:autoSpaceDN/>
        <w:bidi w:val="0"/>
        <w:adjustRightInd/>
        <w:snapToGrid/>
        <w:spacing w:line="522"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w:t>
      </w:r>
      <w:r>
        <w:rPr>
          <w:rFonts w:hint="default" w:ascii="楷体_GB2312" w:hAnsi="楷体_GB2312" w:eastAsia="楷体_GB2312" w:cs="楷体_GB2312"/>
          <w:b w:val="0"/>
          <w:bCs w:val="0"/>
          <w:color w:val="auto"/>
          <w:sz w:val="32"/>
          <w:szCs w:val="32"/>
          <w:highlight w:val="none"/>
          <w:lang w:val="en-US" w:eastAsia="zh-CN"/>
        </w:rPr>
        <w:t>、</w:t>
      </w:r>
      <w:r>
        <w:rPr>
          <w:rFonts w:hint="eastAsia" w:ascii="楷体_GB2312" w:hAnsi="楷体_GB2312" w:eastAsia="楷体_GB2312" w:cs="楷体_GB2312"/>
          <w:b w:val="0"/>
          <w:bCs w:val="0"/>
          <w:color w:val="auto"/>
          <w:sz w:val="32"/>
          <w:szCs w:val="32"/>
          <w:highlight w:val="none"/>
          <w:lang w:val="en-US" w:eastAsia="zh-CN"/>
        </w:rPr>
        <w:t>创新“文旅+农工”融合发展业态</w:t>
      </w:r>
    </w:p>
    <w:p w14:paraId="2FD933A0">
      <w:pPr>
        <w:keepNext/>
        <w:keepLines w:val="0"/>
        <w:pageBreakBefore w:val="0"/>
        <w:widowControl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lang w:val="en-US" w:eastAsia="zh-CN"/>
        </w:rPr>
        <w:t>围绕“畅游石林”，依托乡村自然生态、民俗文化等特色资源，推动石林乡村旅游提档升级，推进农旅融合发展；推进长湖风景区—阿着底村—糯黑石头寨—圭山国家森林公园、邓家山—龙井沟片区等乡村旅游廊道建设，促进推动“景—镇、景—村”融合发展，打造昆明都市圈“微度假”“微旅游”；实施乡村旅游“后备箱”升级工程，加工包装石林乳饼、路南腐乳、撒尼刺绣等石林特产，不断丰富乡村旅游商品。鼓励双汇、羊小贝、七彩美伊、锦秀艺佳等企业开展适旅化规划建设，围绕石林肉制品、咖啡、彩玉等特色产业，在生产制造、产品展示等环节开拓“参观+体验+选购”一站式服务，推动园区变景区、企业变景点、产品变旅游商品，深化工业旅游新模式、新场景、新业态。</w:t>
      </w:r>
    </w:p>
    <w:p w14:paraId="0CC97A19">
      <w:pPr>
        <w:keepNext/>
        <w:keepLines w:val="0"/>
        <w:pageBreakBefore w:val="0"/>
        <w:widowControl w:val="0"/>
        <w:kinsoku/>
        <w:wordWrap/>
        <w:overflowPunct/>
        <w:topLinePunct w:val="0"/>
        <w:autoSpaceDE/>
        <w:autoSpaceDN/>
        <w:bidi w:val="0"/>
        <w:adjustRightInd/>
        <w:snapToGrid/>
        <w:spacing w:line="522"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四</w:t>
      </w:r>
      <w:r>
        <w:rPr>
          <w:rFonts w:hint="default" w:ascii="楷体_GB2312" w:hAnsi="楷体_GB2312" w:eastAsia="楷体_GB2312" w:cs="楷体_GB2312"/>
          <w:b w:val="0"/>
          <w:bCs w:val="0"/>
          <w:color w:val="auto"/>
          <w:sz w:val="32"/>
          <w:szCs w:val="32"/>
          <w:highlight w:val="none"/>
          <w:lang w:val="en-US" w:eastAsia="zh-CN"/>
        </w:rPr>
        <w:t>、</w:t>
      </w:r>
      <w:r>
        <w:rPr>
          <w:rFonts w:hint="eastAsia" w:ascii="楷体_GB2312" w:hAnsi="楷体_GB2312" w:eastAsia="楷体_GB2312" w:cs="楷体_GB2312"/>
          <w:b w:val="0"/>
          <w:bCs w:val="0"/>
          <w:color w:val="auto"/>
          <w:sz w:val="32"/>
          <w:szCs w:val="32"/>
          <w:highlight w:val="none"/>
          <w:lang w:val="en-US" w:eastAsia="zh-CN"/>
        </w:rPr>
        <w:t>做强“文旅+康养”融合业态</w:t>
      </w:r>
    </w:p>
    <w:p w14:paraId="5B0A5E4E">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eastAsia"/>
          <w:lang w:val="en-US" w:eastAsia="zh-CN"/>
        </w:rPr>
        <w:t>发挥石林生态资源优势，积极探索“康文旅”发展路径，推出“石林康养之旅”主题产品，加快打造康养石林品牌。做强台创园康养产业，整合杏林大观园、中医药文化展览馆、国药博览园，打造集“中医药膳、医疗康复、中医养生、健康旅游、康体休闲”为一体的康养旅游综合体。积极推进高石哨颐养康养文旅项目建设，拓展发展森林康养、温泉康养等产品。聚焦老年病康复和慢性病调理，丰富针灸、推拿、熏蒸等专病专康服务，提升健康管理和医疗急救服务水平，促进“医养结合”深度落地。</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5711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1" w:type="dxa"/>
          </w:tcPr>
          <w:p w14:paraId="58658B96">
            <w:pPr>
              <w:pStyle w:val="5"/>
              <w:keepNext/>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宋体" w:hAnsi="宋体" w:eastAsia="方正仿宋_GBK" w:cs="Times New Roman Regular"/>
                <w:color w:val="auto"/>
                <w:sz w:val="28"/>
                <w:szCs w:val="28"/>
                <w:highlight w:val="none"/>
                <w:vertAlign w:val="baseline"/>
                <w:lang w:val="en-US" w:eastAsia="zh-CN"/>
              </w:rPr>
            </w:pPr>
            <w:r>
              <w:rPr>
                <w:rFonts w:hint="eastAsia" w:ascii="黑体" w:hAnsi="黑体" w:eastAsia="黑体" w:cs="黑体"/>
                <w:color w:val="auto"/>
                <w:sz w:val="28"/>
                <w:szCs w:val="28"/>
                <w:highlight w:val="none"/>
                <w:lang w:val="en-US" w:eastAsia="zh-CN"/>
              </w:rPr>
              <w:t>专栏3  多元化文化旅游业态发展重点工程</w:t>
            </w:r>
          </w:p>
        </w:tc>
      </w:tr>
      <w:tr w14:paraId="68A1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B24D454">
            <w:pPr>
              <w:keepNext/>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滇桂黔边区（石林县）红色旅游区建设工程。</w:t>
            </w:r>
            <w:r>
              <w:rPr>
                <w:rFonts w:hint="eastAsia" w:ascii="宋体" w:hAnsi="宋体" w:eastAsia="仿宋_GB2312" w:cs="仿宋_GB2312"/>
                <w:color w:val="auto"/>
                <w:sz w:val="28"/>
                <w:szCs w:val="28"/>
                <w:highlight w:val="none"/>
                <w:u w:val="none" w:color="auto"/>
              </w:rPr>
              <w:t>以朱家璧记事碑、“一支人民的军队”纪念广场为核心爆点，联动周边陆良龙海山、弥勒西山、罗平钟山，串联环圭山的矣维哨、矣美堵、糯斗、糯黑等村寨，盘活利用全镇13处红色遗迹，打造滇桂黔边区红色旅游区</w:t>
            </w:r>
            <w:r>
              <w:rPr>
                <w:rFonts w:hint="eastAsia" w:ascii="宋体" w:hAnsi="宋体" w:eastAsia="仿宋_GB2312" w:cs="仿宋_GB2312"/>
                <w:b w:val="0"/>
                <w:bCs w:val="0"/>
                <w:color w:val="auto"/>
                <w:sz w:val="28"/>
                <w:szCs w:val="28"/>
                <w:highlight w:val="none"/>
                <w:u w:val="none" w:color="auto"/>
                <w:lang w:val="en-US" w:eastAsia="zh-CN"/>
              </w:rPr>
              <w:t>。</w:t>
            </w:r>
          </w:p>
          <w:p w14:paraId="1714BFDA">
            <w:pPr>
              <w:keepNext/>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rFonts w:hint="default" w:ascii="宋体" w:hAnsi="宋体" w:eastAsia="方正仿宋_GBK" w:cs="Times New Roman Regular"/>
                <w:color w:val="auto"/>
                <w:sz w:val="28"/>
                <w:szCs w:val="28"/>
                <w:highlight w:val="none"/>
                <w:vertAlign w:val="baseline"/>
                <w:lang w:val="en-US" w:eastAsia="zh-CN"/>
              </w:rPr>
            </w:pPr>
            <w:r>
              <w:rPr>
                <w:rFonts w:hint="eastAsia" w:ascii="宋体" w:hAnsi="宋体" w:eastAsia="仿宋_GB2312" w:cs="仿宋_GB2312"/>
                <w:b/>
                <w:bCs/>
                <w:color w:val="auto"/>
                <w:sz w:val="28"/>
                <w:szCs w:val="28"/>
                <w:highlight w:val="none"/>
                <w:u w:val="none" w:color="auto"/>
                <w:lang w:val="en-US" w:eastAsia="zh-CN"/>
              </w:rPr>
              <w:t>红色文化旅游线路打造工程。</w:t>
            </w:r>
            <w:r>
              <w:rPr>
                <w:rFonts w:hint="eastAsia" w:ascii="宋体" w:hAnsi="宋体" w:eastAsia="仿宋_GB2312" w:cs="仿宋_GB2312"/>
                <w:b w:val="0"/>
                <w:bCs w:val="0"/>
                <w:color w:val="auto"/>
                <w:sz w:val="28"/>
                <w:szCs w:val="28"/>
                <w:highlight w:val="none"/>
                <w:u w:val="none" w:color="auto"/>
                <w:lang w:val="en-US" w:eastAsia="zh-CN"/>
              </w:rPr>
              <w:t>红色圭山东线，石林县城（中共石林历史展览馆、革命烈士纪念塔、云大附中在路南纪念馆、路南“两碑”廉洁文化园）—上蒲草村革命烈士纪念园—维则村（毕恒光革命烈士遗址、中央民族访问团记忆馆、中共路南县工委成立地旧址）—大糯黑一支人民的军队纪念馆—圭山国家森林公园（一支人民的军队纪念广场、朱家璧事迹碑、圭山革命纪念塔、游击小道）；红色圭山北线，石林县城（中共石林历史展览馆、革命烈士纪念塔、云大附中在路南纪念馆、路南“两碑”廉洁文化园）—堡子（张炽故居、堡子革命烈士纪念馆）—石林岔口天生关阻击战纪念碑—石林景区张炽题诗—大哨烈士陵园。</w:t>
            </w:r>
          </w:p>
        </w:tc>
      </w:tr>
    </w:tbl>
    <w:p w14:paraId="1DE68321">
      <w:pPr>
        <w:keepNext/>
        <w:keepLines w:val="0"/>
        <w:pageBreakBefore w:val="0"/>
        <w:widowControl w:val="0"/>
        <w:numPr>
          <w:ilvl w:val="0"/>
          <w:numId w:val="0"/>
        </w:numPr>
        <w:kinsoku/>
        <w:wordWrap/>
        <w:overflowPunct/>
        <w:topLinePunct w:val="0"/>
        <w:autoSpaceDE/>
        <w:autoSpaceDN/>
        <w:bidi w:val="0"/>
        <w:adjustRightInd/>
        <w:snapToGrid/>
        <w:spacing w:before="0" w:beforeLines="0" w:after="137" w:afterLines="30" w:line="516" w:lineRule="exact"/>
        <w:ind w:leftChars="0"/>
        <w:jc w:val="center"/>
        <w:textAlignment w:val="auto"/>
        <w:outlineLvl w:val="1"/>
        <w:rPr>
          <w:rFonts w:hint="default" w:ascii="宋体" w:hAnsi="宋体" w:eastAsia="方正黑体_GBK" w:cs="Times New Roman Regular"/>
          <w:b w:val="0"/>
          <w:bCs/>
          <w:color w:val="auto"/>
          <w:sz w:val="32"/>
          <w:szCs w:val="32"/>
          <w:highlight w:val="none"/>
          <w:lang w:val="en-US" w:eastAsia="zh-CN"/>
        </w:rPr>
      </w:pPr>
      <w:bookmarkStart w:id="268" w:name="_Toc32463"/>
      <w:bookmarkStart w:id="269" w:name="_Toc52575798"/>
      <w:bookmarkStart w:id="270" w:name="_Toc1478854316"/>
      <w:bookmarkStart w:id="271" w:name="_Toc1268340740"/>
      <w:bookmarkStart w:id="272" w:name="_Toc2043141186"/>
      <w:bookmarkStart w:id="273" w:name="_Toc13938"/>
      <w:bookmarkStart w:id="274" w:name="_Toc1396959138"/>
      <w:r>
        <w:rPr>
          <w:rFonts w:hint="eastAsia" w:ascii="宋体" w:hAnsi="宋体" w:eastAsia="方正黑体_GBK" w:cs="Times New Roman Regular"/>
          <w:b w:val="0"/>
          <w:bCs/>
          <w:color w:val="auto"/>
          <w:sz w:val="32"/>
          <w:szCs w:val="32"/>
          <w:highlight w:val="none"/>
          <w:lang w:val="en-US" w:eastAsia="zh-CN"/>
        </w:rPr>
        <w:t>第四节</w:t>
      </w:r>
      <w:r>
        <w:rPr>
          <w:rFonts w:hint="default" w:ascii="宋体" w:hAnsi="宋体" w:eastAsia="方正黑体_GBK" w:cs="Times New Roman Regular"/>
          <w:b w:val="0"/>
          <w:bCs/>
          <w:color w:val="auto"/>
          <w:sz w:val="32"/>
          <w:szCs w:val="32"/>
          <w:highlight w:val="none"/>
          <w:lang w:val="en-US" w:eastAsia="zh-CN"/>
        </w:rPr>
        <w:t xml:space="preserve"> </w:t>
      </w:r>
      <w:bookmarkStart w:id="275" w:name="_Toc27547"/>
      <w:bookmarkStart w:id="276" w:name="_Toc1373216278"/>
      <w:bookmarkStart w:id="277" w:name="_Toc22960"/>
      <w:bookmarkStart w:id="278" w:name="_Toc2036659607"/>
      <w:bookmarkStart w:id="279" w:name="_Toc29280"/>
      <w:bookmarkStart w:id="280" w:name="_Toc12206"/>
      <w:bookmarkStart w:id="281" w:name="_Toc12730"/>
      <w:bookmarkStart w:id="282" w:name="_Toc1034228875"/>
      <w:bookmarkStart w:id="283" w:name="_Toc1814981006"/>
      <w:bookmarkStart w:id="284" w:name="_Toc503646325"/>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高质量发展旅居产业</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7F61FF2B">
      <w:pPr>
        <w:keepNext/>
        <w:keepLines w:val="0"/>
        <w:pageBreakBefore w:val="0"/>
        <w:widowControl w:val="0"/>
        <w:kinsoku/>
        <w:wordWrap/>
        <w:overflowPunct/>
        <w:topLinePunct w:val="0"/>
        <w:autoSpaceDE/>
        <w:autoSpaceDN/>
        <w:bidi w:val="0"/>
        <w:adjustRightInd/>
        <w:snapToGrid/>
        <w:spacing w:line="516" w:lineRule="exact"/>
        <w:textAlignment w:val="auto"/>
        <w:rPr>
          <w:rFonts w:hint="default"/>
          <w:lang w:val="en-US" w:eastAsia="zh-CN"/>
        </w:rPr>
      </w:pPr>
      <w:r>
        <w:rPr>
          <w:rFonts w:hint="default"/>
          <w:lang w:val="en-US" w:eastAsia="zh-CN"/>
        </w:rPr>
        <w:t>围绕打造</w:t>
      </w:r>
      <w:r>
        <w:rPr>
          <w:rFonts w:hint="eastAsia"/>
          <w:lang w:val="en-US" w:eastAsia="zh-CN"/>
        </w:rPr>
        <w:t>“</w:t>
      </w:r>
      <w:r>
        <w:rPr>
          <w:rFonts w:hint="default"/>
          <w:lang w:val="en-US" w:eastAsia="zh-CN"/>
        </w:rPr>
        <w:t>有一种叫云南的生活</w:t>
      </w:r>
      <w:r>
        <w:rPr>
          <w:rFonts w:hint="eastAsia"/>
          <w:lang w:val="en-US" w:eastAsia="zh-CN"/>
        </w:rPr>
        <w:t>”</w:t>
      </w:r>
      <w:r>
        <w:rPr>
          <w:rFonts w:hint="default"/>
          <w:lang w:val="en-US" w:eastAsia="zh-CN"/>
        </w:rPr>
        <w:t>石林样板的目标，持续完善旅居空间布局，深化</w:t>
      </w:r>
      <w:r>
        <w:rPr>
          <w:rFonts w:hint="eastAsia"/>
          <w:lang w:val="en-US" w:eastAsia="zh-CN"/>
        </w:rPr>
        <w:t>“</w:t>
      </w:r>
      <w:r>
        <w:rPr>
          <w:rFonts w:hint="default"/>
          <w:lang w:val="en-US" w:eastAsia="zh-CN"/>
        </w:rPr>
        <w:t>旅居+</w:t>
      </w:r>
      <w:r>
        <w:rPr>
          <w:rFonts w:hint="eastAsia"/>
          <w:lang w:val="en-US" w:eastAsia="zh-CN"/>
        </w:rPr>
        <w:t>”</w:t>
      </w:r>
      <w:r>
        <w:rPr>
          <w:rFonts w:hint="default"/>
          <w:lang w:val="en-US" w:eastAsia="zh-CN"/>
        </w:rPr>
        <w:t>融合，发展</w:t>
      </w:r>
      <w:r>
        <w:rPr>
          <w:rFonts w:hint="eastAsia"/>
          <w:lang w:val="en-US" w:eastAsia="zh-CN"/>
        </w:rPr>
        <w:t>“</w:t>
      </w:r>
      <w:r>
        <w:rPr>
          <w:rFonts w:hint="default"/>
          <w:lang w:val="en-US" w:eastAsia="zh-CN"/>
        </w:rPr>
        <w:t>近悦远来、主客共享</w:t>
      </w:r>
      <w:r>
        <w:rPr>
          <w:rFonts w:hint="eastAsia"/>
          <w:lang w:val="en-US" w:eastAsia="zh-CN"/>
        </w:rPr>
        <w:t>”</w:t>
      </w:r>
      <w:r>
        <w:rPr>
          <w:rFonts w:hint="default"/>
          <w:lang w:val="en-US" w:eastAsia="zh-CN"/>
        </w:rPr>
        <w:t>的旅居产品，</w:t>
      </w:r>
      <w:r>
        <w:rPr>
          <w:rFonts w:hint="eastAsia"/>
          <w:lang w:val="en-US" w:eastAsia="zh-CN"/>
        </w:rPr>
        <w:t>推</w:t>
      </w:r>
      <w:r>
        <w:rPr>
          <w:rFonts w:hint="default"/>
          <w:lang w:val="en-US" w:eastAsia="zh-CN"/>
        </w:rPr>
        <w:t>动旅游与旅居双向赋能，推动游客向</w:t>
      </w:r>
      <w:r>
        <w:rPr>
          <w:rFonts w:hint="eastAsia"/>
          <w:lang w:val="en-US" w:eastAsia="zh-CN"/>
        </w:rPr>
        <w:t>“</w:t>
      </w:r>
      <w:r>
        <w:rPr>
          <w:rFonts w:hint="default"/>
          <w:lang w:val="en-US" w:eastAsia="zh-CN"/>
        </w:rPr>
        <w:t>旅居客</w:t>
      </w:r>
      <w:r>
        <w:rPr>
          <w:rFonts w:hint="eastAsia"/>
          <w:lang w:val="en-US" w:eastAsia="zh-CN"/>
        </w:rPr>
        <w:t>”</w:t>
      </w:r>
      <w:r>
        <w:rPr>
          <w:rFonts w:hint="default"/>
          <w:lang w:val="en-US" w:eastAsia="zh-CN"/>
        </w:rPr>
        <w:t>双向转化</w:t>
      </w:r>
      <w:r>
        <w:rPr>
          <w:rFonts w:hint="eastAsia"/>
          <w:lang w:val="en-US" w:eastAsia="zh-CN"/>
        </w:rPr>
        <w:t>，</w:t>
      </w:r>
      <w:r>
        <w:rPr>
          <w:rFonts w:hint="default"/>
          <w:lang w:val="en-US" w:eastAsia="zh-CN"/>
        </w:rPr>
        <w:t>全力打造</w:t>
      </w:r>
      <w:r>
        <w:rPr>
          <w:rFonts w:hint="eastAsia"/>
          <w:lang w:val="en-US" w:eastAsia="zh-CN"/>
        </w:rPr>
        <w:t>“</w:t>
      </w:r>
      <w:r>
        <w:rPr>
          <w:rFonts w:hint="default"/>
          <w:lang w:val="en-US" w:eastAsia="zh-CN"/>
        </w:rPr>
        <w:t>天然氧吧·旅居石林</w:t>
      </w:r>
      <w:r>
        <w:rPr>
          <w:rFonts w:hint="eastAsia"/>
          <w:lang w:val="en-US" w:eastAsia="zh-CN"/>
        </w:rPr>
        <w:t>”</w:t>
      </w:r>
      <w:r>
        <w:rPr>
          <w:rFonts w:hint="default"/>
          <w:lang w:val="en-US" w:eastAsia="zh-CN"/>
        </w:rPr>
        <w:t>品牌</w:t>
      </w:r>
      <w:r>
        <w:rPr>
          <w:rFonts w:hint="eastAsia"/>
          <w:lang w:val="en-US" w:eastAsia="zh-CN"/>
        </w:rPr>
        <w:t>。“十五五”期间，年均旅居人次达20万人次</w:t>
      </w:r>
      <w:r>
        <w:rPr>
          <w:rFonts w:hint="default"/>
          <w:lang w:val="en-US" w:eastAsia="zh-CN"/>
        </w:rPr>
        <w:t>。</w:t>
      </w:r>
    </w:p>
    <w:p w14:paraId="667334E0">
      <w:pPr>
        <w:keepNext/>
        <w:keepLines w:val="0"/>
        <w:pageBreakBefore w:val="0"/>
        <w:widowControl w:val="0"/>
        <w:kinsoku/>
        <w:wordWrap/>
        <w:overflowPunct/>
        <w:topLinePunct w:val="0"/>
        <w:autoSpaceDE/>
        <w:autoSpaceDN/>
        <w:bidi w:val="0"/>
        <w:adjustRightInd/>
        <w:snapToGrid/>
        <w:spacing w:beforeLines="0" w:afterLines="0" w:line="516"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w:t>
      </w:r>
      <w:r>
        <w:rPr>
          <w:rFonts w:hint="default" w:ascii="楷体_GB2312" w:hAnsi="楷体_GB2312" w:eastAsia="楷体_GB2312" w:cs="楷体_GB2312"/>
          <w:b w:val="0"/>
          <w:bCs w:val="0"/>
          <w:color w:val="auto"/>
          <w:sz w:val="32"/>
          <w:szCs w:val="32"/>
          <w:highlight w:val="none"/>
          <w:lang w:val="en-US" w:eastAsia="zh-CN"/>
        </w:rPr>
        <w:t>拓展城乡旅居空间</w:t>
      </w:r>
    </w:p>
    <w:p w14:paraId="46171C90">
      <w:pPr>
        <w:keepNext/>
        <w:keepLines w:val="0"/>
        <w:pageBreakBefore w:val="0"/>
        <w:widowControl w:val="0"/>
        <w:kinsoku/>
        <w:wordWrap/>
        <w:overflowPunct/>
        <w:topLinePunct w:val="0"/>
        <w:autoSpaceDE/>
        <w:autoSpaceDN/>
        <w:bidi w:val="0"/>
        <w:adjustRightInd/>
        <w:snapToGrid/>
        <w:spacing w:line="516" w:lineRule="exact"/>
        <w:textAlignment w:val="auto"/>
        <w:rPr>
          <w:rFonts w:hint="default"/>
          <w:lang w:val="en-US" w:eastAsia="zh-CN"/>
        </w:rPr>
      </w:pPr>
      <w:r>
        <w:rPr>
          <w:rFonts w:hint="default"/>
          <w:lang w:val="en-US" w:eastAsia="zh-CN"/>
        </w:rPr>
        <w:t>突出规划引领、标杆树立、模式创新，积极发展城市旅居、乡村旅居。坚持政府引导、市场主导，抢抓城市更新契机，加快闲置土地活化利用，科学布局旅居地产，</w:t>
      </w:r>
      <w:r>
        <w:rPr>
          <w:rFonts w:hint="eastAsia"/>
          <w:lang w:val="en-US" w:eastAsia="zh-CN"/>
        </w:rPr>
        <w:t>推动存量房产二次开发</w:t>
      </w:r>
      <w:r>
        <w:rPr>
          <w:rFonts w:hint="default"/>
          <w:lang w:val="en-US" w:eastAsia="zh-CN"/>
        </w:rPr>
        <w:t>，支持将存量商品房改造为旅居用房；鼓励开发企业针对旅居客群需求，设计开发中小户型、全装修、服务式公寓等产品。</w:t>
      </w:r>
      <w:r>
        <w:rPr>
          <w:rFonts w:hint="eastAsia"/>
          <w:lang w:val="en-US" w:eastAsia="zh-CN"/>
        </w:rPr>
        <w:t>推动“房地产+旅游”深度融合，探索“先旅后居”“短试长住”“产权度假”“社群营销”等创新销售与运营模式。全面开展乡村旅居资源摸底，支持农村闲置房改造升级为旅居房，通过“轻介入、微改造、精提升”方式，</w:t>
      </w:r>
      <w:r>
        <w:rPr>
          <w:rFonts w:hint="default"/>
          <w:lang w:val="en-US" w:eastAsia="zh-CN"/>
        </w:rPr>
        <w:t>做优小箐村、五棵树村、高石哨村等特色村落旅居，推进维则村、阿着底村、糯黑村、堡子村、矣美堵村等乡村旅居建设。到2030年，打造15个乡村旅居重点村。</w:t>
      </w:r>
    </w:p>
    <w:p w14:paraId="6EC9370E">
      <w:pPr>
        <w:keepNext/>
        <w:keepLines w:val="0"/>
        <w:pageBreakBefore w:val="0"/>
        <w:widowControl w:val="0"/>
        <w:kinsoku/>
        <w:wordWrap/>
        <w:overflowPunct/>
        <w:topLinePunct w:val="0"/>
        <w:autoSpaceDE/>
        <w:autoSpaceDN/>
        <w:bidi w:val="0"/>
        <w:adjustRightInd/>
        <w:snapToGrid/>
        <w:spacing w:beforeLines="0" w:afterLines="0" w:line="524"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二、丰富发展旅居业态</w:t>
      </w:r>
    </w:p>
    <w:p w14:paraId="76A3D704">
      <w:pPr>
        <w:keepNext/>
        <w:keepLines w:val="0"/>
        <w:pageBreakBefore w:val="0"/>
        <w:widowControl w:val="0"/>
        <w:kinsoku/>
        <w:wordWrap/>
        <w:overflowPunct/>
        <w:topLinePunct w:val="0"/>
        <w:autoSpaceDE/>
        <w:autoSpaceDN/>
        <w:bidi w:val="0"/>
        <w:adjustRightInd/>
        <w:snapToGrid/>
        <w:spacing w:line="526" w:lineRule="exact"/>
        <w:textAlignment w:val="auto"/>
        <w:rPr>
          <w:rFonts w:hint="default"/>
          <w:lang w:val="en-US" w:eastAsia="zh-CN"/>
        </w:rPr>
      </w:pPr>
      <w:r>
        <w:rPr>
          <w:rFonts w:hint="default"/>
          <w:lang w:val="en-US" w:eastAsia="zh-CN"/>
        </w:rPr>
        <w:t>聚焦旅居生态链，加强多业态融合，积极培育</w:t>
      </w:r>
      <w:r>
        <w:rPr>
          <w:rFonts w:hint="eastAsia"/>
          <w:lang w:val="en-US" w:eastAsia="zh-CN"/>
        </w:rPr>
        <w:t>养生旅居、候鸟旅居、生态旅居、文化旅居、体育旅居等</w:t>
      </w:r>
      <w:r>
        <w:rPr>
          <w:rFonts w:hint="default"/>
          <w:lang w:val="en-US" w:eastAsia="zh-CN"/>
        </w:rPr>
        <w:t>旅居业态。依托云南省、昆明市职工疗</w:t>
      </w:r>
      <w:r>
        <w:rPr>
          <w:rFonts w:hint="eastAsia"/>
          <w:lang w:val="en-US" w:eastAsia="zh-CN"/>
        </w:rPr>
        <w:t>休养</w:t>
      </w:r>
      <w:r>
        <w:rPr>
          <w:rFonts w:hint="default"/>
          <w:lang w:val="en-US" w:eastAsia="zh-CN"/>
        </w:rPr>
        <w:t>基地品牌优势，推进杏林大观园中医养生养老度假基地建设，打造</w:t>
      </w:r>
      <w:r>
        <w:rPr>
          <w:rFonts w:hint="eastAsia"/>
          <w:lang w:val="en-US" w:eastAsia="zh-CN"/>
        </w:rPr>
        <w:t>“</w:t>
      </w:r>
      <w:r>
        <w:rPr>
          <w:rFonts w:hint="default"/>
          <w:lang w:val="en-US" w:eastAsia="zh-CN"/>
        </w:rPr>
        <w:t>食住娱</w:t>
      </w:r>
      <w:r>
        <w:rPr>
          <w:rFonts w:hint="eastAsia"/>
          <w:lang w:val="en-US" w:eastAsia="zh-CN"/>
        </w:rPr>
        <w:t>康养</w:t>
      </w:r>
      <w:r>
        <w:rPr>
          <w:rFonts w:hint="default"/>
          <w:lang w:val="en-US" w:eastAsia="zh-CN"/>
        </w:rPr>
        <w:t>医</w:t>
      </w:r>
      <w:r>
        <w:rPr>
          <w:rFonts w:hint="eastAsia"/>
          <w:lang w:val="en-US" w:eastAsia="zh-CN"/>
        </w:rPr>
        <w:t>”</w:t>
      </w:r>
      <w:r>
        <w:rPr>
          <w:rFonts w:hint="default"/>
          <w:lang w:val="en-US" w:eastAsia="zh-CN"/>
        </w:rPr>
        <w:t>融合</w:t>
      </w:r>
      <w:r>
        <w:rPr>
          <w:rFonts w:hint="eastAsia"/>
          <w:lang w:val="en-US" w:eastAsia="zh-CN"/>
        </w:rPr>
        <w:t>发展的康养旅居新标杆</w:t>
      </w:r>
      <w:r>
        <w:rPr>
          <w:rFonts w:hint="default"/>
          <w:lang w:val="en-US" w:eastAsia="zh-CN"/>
        </w:rPr>
        <w:t>。深化</w:t>
      </w:r>
      <w:r>
        <w:rPr>
          <w:rFonts w:hint="eastAsia"/>
          <w:lang w:val="en-US" w:eastAsia="zh-CN"/>
        </w:rPr>
        <w:t>“避暑避寒</w:t>
      </w:r>
      <w:r>
        <w:rPr>
          <w:rFonts w:hint="default"/>
          <w:lang w:val="en-US" w:eastAsia="zh-CN"/>
        </w:rPr>
        <w:t>需求牵引</w:t>
      </w:r>
      <w:r>
        <w:rPr>
          <w:rFonts w:hint="eastAsia"/>
          <w:lang w:val="en-US" w:eastAsia="zh-CN"/>
        </w:rPr>
        <w:t>”</w:t>
      </w:r>
      <w:r>
        <w:rPr>
          <w:rFonts w:hint="default"/>
          <w:lang w:val="en-US" w:eastAsia="zh-CN"/>
        </w:rPr>
        <w:t>认识，推进避寒、避暑和慢性病治疗相结合，提供健康体检、康复理疗、养生餐饮等服务，丰富“避寒避暑+候鸟养老+康体养生+文化旅游”候鸟旅居产品。</w:t>
      </w:r>
      <w:r>
        <w:rPr>
          <w:rFonts w:hint="eastAsia"/>
          <w:lang w:val="en-US" w:eastAsia="zh-CN"/>
        </w:rPr>
        <w:t>依托石林气候资源和农业资源，推出森林康养旅居、乡村田园旅居等生态旅居产品</w:t>
      </w:r>
      <w:r>
        <w:rPr>
          <w:rFonts w:hint="default"/>
          <w:lang w:val="en-US" w:eastAsia="zh-CN"/>
        </w:rPr>
        <w:t>。积极开发</w:t>
      </w:r>
      <w:r>
        <w:rPr>
          <w:rFonts w:hint="eastAsia"/>
        </w:rPr>
        <w:t>文化旅居产品，</w:t>
      </w:r>
      <w:r>
        <w:rPr>
          <w:rFonts w:hint="eastAsia"/>
          <w:lang w:val="en-US" w:eastAsia="zh-CN"/>
        </w:rPr>
        <w:t>以旅居为标杆建设路南州古城地块，</w:t>
      </w:r>
      <w:r>
        <w:rPr>
          <w:rFonts w:hint="eastAsia"/>
        </w:rPr>
        <w:t>推进旧改片区文庙、武庙、李埏故居等历史文化遗产活化利用</w:t>
      </w:r>
      <w:r>
        <w:rPr>
          <w:rFonts w:hint="eastAsia"/>
          <w:lang w:val="en-US" w:eastAsia="zh-CN"/>
        </w:rPr>
        <w:t>。依托文体旅融合发展，开发覆盖全品类户外运动项目、全人群户外运动服务的旅居产品</w:t>
      </w:r>
      <w:r>
        <w:rPr>
          <w:rFonts w:hint="default"/>
          <w:lang w:val="en-US" w:eastAsia="zh-CN"/>
        </w:rPr>
        <w:t>。策划“春赏花、夏避暑、秋怡情、冬康养”四季旅居主题，支持旅居客选择不同旅居地分时旅居。</w:t>
      </w:r>
    </w:p>
    <w:p w14:paraId="589DE553">
      <w:pPr>
        <w:keepNext/>
        <w:keepLines w:val="0"/>
        <w:pageBreakBefore w:val="0"/>
        <w:widowControl w:val="0"/>
        <w:kinsoku/>
        <w:wordWrap/>
        <w:overflowPunct/>
        <w:topLinePunct w:val="0"/>
        <w:autoSpaceDE/>
        <w:autoSpaceDN/>
        <w:bidi w:val="0"/>
        <w:adjustRightInd/>
        <w:snapToGrid/>
        <w:spacing w:line="51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三、</w:t>
      </w:r>
      <w:r>
        <w:rPr>
          <w:rFonts w:hint="eastAsia" w:ascii="楷体_GB2312" w:hAnsi="楷体_GB2312" w:eastAsia="楷体_GB2312" w:cs="楷体_GB2312"/>
          <w:b w:val="0"/>
          <w:bCs w:val="0"/>
          <w:color w:val="auto"/>
          <w:sz w:val="32"/>
          <w:szCs w:val="32"/>
          <w:highlight w:val="none"/>
          <w:lang w:val="en-US" w:eastAsia="zh-CN"/>
        </w:rPr>
        <w:t>提升</w:t>
      </w:r>
      <w:r>
        <w:rPr>
          <w:rFonts w:hint="default" w:ascii="楷体_GB2312" w:hAnsi="楷体_GB2312" w:eastAsia="楷体_GB2312" w:cs="楷体_GB2312"/>
          <w:b w:val="0"/>
          <w:bCs w:val="0"/>
          <w:color w:val="auto"/>
          <w:sz w:val="32"/>
          <w:szCs w:val="32"/>
          <w:highlight w:val="none"/>
          <w:lang w:val="en-US" w:eastAsia="zh-CN"/>
        </w:rPr>
        <w:t>旅居服务</w:t>
      </w:r>
      <w:r>
        <w:rPr>
          <w:rFonts w:hint="eastAsia" w:ascii="楷体_GB2312" w:hAnsi="楷体_GB2312" w:eastAsia="楷体_GB2312" w:cs="楷体_GB2312"/>
          <w:b w:val="0"/>
          <w:bCs w:val="0"/>
          <w:color w:val="auto"/>
          <w:sz w:val="32"/>
          <w:szCs w:val="32"/>
          <w:highlight w:val="none"/>
          <w:lang w:val="en-US" w:eastAsia="zh-CN"/>
        </w:rPr>
        <w:t>水平</w:t>
      </w:r>
    </w:p>
    <w:p w14:paraId="75E293F0">
      <w:pPr>
        <w:keepNext/>
        <w:keepLines w:val="0"/>
        <w:pageBreakBefore w:val="0"/>
        <w:widowControl w:val="0"/>
        <w:kinsoku/>
        <w:wordWrap/>
        <w:overflowPunct/>
        <w:topLinePunct w:val="0"/>
        <w:autoSpaceDE/>
        <w:autoSpaceDN/>
        <w:bidi w:val="0"/>
        <w:adjustRightInd/>
        <w:snapToGrid/>
        <w:spacing w:line="508" w:lineRule="exact"/>
        <w:textAlignment w:val="auto"/>
        <w:rPr>
          <w:rFonts w:hint="eastAsia"/>
          <w:lang w:val="en-US" w:eastAsia="zh-CN"/>
        </w:rPr>
      </w:pPr>
      <w:r>
        <w:rPr>
          <w:rFonts w:hint="eastAsia"/>
          <w:lang w:val="en-US" w:eastAsia="zh-CN"/>
        </w:rPr>
        <w:t>聚焦旅居客群多样化、高品质需求，</w:t>
      </w:r>
      <w:r>
        <w:rPr>
          <w:rFonts w:hint="eastAsia"/>
        </w:rPr>
        <w:t>研究制定石林县吸引外地旅居人群的便利性政策措施，</w:t>
      </w:r>
      <w:r>
        <w:rPr>
          <w:rFonts w:hint="eastAsia"/>
          <w:lang w:val="en-US" w:eastAsia="zh-CN"/>
        </w:rPr>
        <w:t>加快</w:t>
      </w:r>
      <w:r>
        <w:rPr>
          <w:rFonts w:hint="default"/>
          <w:lang w:val="en-US" w:eastAsia="zh-CN"/>
        </w:rPr>
        <w:t>构建“住、游、养、娱”一体化服务体系</w:t>
      </w:r>
      <w:r>
        <w:rPr>
          <w:rFonts w:hint="eastAsia"/>
        </w:rPr>
        <w:t>，让旅居者“愿意来、留得下、住得好”</w:t>
      </w:r>
      <w:r>
        <w:rPr>
          <w:rFonts w:hint="eastAsia"/>
          <w:lang w:eastAsia="zh-CN"/>
        </w:rPr>
        <w:t>。</w:t>
      </w:r>
      <w:r>
        <w:rPr>
          <w:rFonts w:hint="eastAsia"/>
          <w:lang w:val="en-US" w:eastAsia="zh-CN"/>
        </w:rPr>
        <w:t>强化双龙市场、万城市场等集贸市场和巴江河带状公园、桃园湖公园等休闲娱乐区域管理，提升主客共享的东门坊夜市文化美食街、家世界购物中心、阿诗玛集市等商业设施</w:t>
      </w:r>
      <w:r>
        <w:rPr>
          <w:rFonts w:hint="default"/>
          <w:lang w:val="en-US" w:eastAsia="zh-CN"/>
        </w:rPr>
        <w:t>，</w:t>
      </w:r>
      <w:r>
        <w:rPr>
          <w:rFonts w:hint="eastAsia"/>
          <w:lang w:val="en-US" w:eastAsia="zh-CN"/>
        </w:rPr>
        <w:t>完善菜市场、购物超市、快递驿站、自驾车营地等设施配套，积极发展乡愁集市、后备厢集市等业态，打造“15分钟旅居服务圈”。整合杏林大观园养老公寓、天奇医院医养中心等资源，为旅居老人提供助餐、文化娱乐、康复护理等服务。优化医疗资源配置，做实家庭医生签约服务，在相对集中的旅居社区（村）市场化推进建设综合医养服务中心；鼓励旅居人员参加本地医保，实行旅居人员与本地居民享受同等医保待遇。发挥好石林县旅居行业协会服务平台作用，规范旅居市场管理，提升服务水平。</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BCB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7905651">
            <w:pPr>
              <w:pStyle w:val="5"/>
              <w:keepNext/>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方正仿宋_GBK" w:cs="Times New Roman Regular"/>
                <w:color w:val="auto"/>
                <w:sz w:val="32"/>
                <w:szCs w:val="32"/>
                <w:highlight w:val="none"/>
                <w:u w:val="none" w:color="auto"/>
                <w:vertAlign w:val="baseline"/>
                <w:lang w:val="en-US" w:eastAsia="zh-CN" w:bidi="ar"/>
              </w:rPr>
            </w:pPr>
            <w:r>
              <w:rPr>
                <w:rFonts w:hint="eastAsia" w:ascii="黑体" w:hAnsi="黑体" w:eastAsia="黑体" w:cs="黑体"/>
                <w:color w:val="auto"/>
                <w:sz w:val="28"/>
                <w:szCs w:val="28"/>
                <w:highlight w:val="none"/>
                <w:lang w:val="en-US" w:eastAsia="zh-CN"/>
              </w:rPr>
              <w:t xml:space="preserve">专栏4   </w:t>
            </w:r>
            <w:r>
              <w:rPr>
                <w:rFonts w:hint="eastAsia" w:ascii="黑体" w:hAnsi="黑体" w:eastAsia="黑体" w:cs="黑体"/>
                <w:color w:val="auto"/>
                <w:sz w:val="28"/>
                <w:szCs w:val="28"/>
                <w:highlight w:val="none"/>
              </w:rPr>
              <w:t>“天然氧吧·旅居石林”建设重点工程</w:t>
            </w:r>
          </w:p>
        </w:tc>
      </w:tr>
      <w:tr w14:paraId="7CC2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9061" w:type="dxa"/>
            <w:vAlign w:val="center"/>
          </w:tcPr>
          <w:p w14:paraId="754D0FD7">
            <w:pPr>
              <w:keepNext/>
              <w:keepLines w:val="0"/>
              <w:pageBreakBefore w:val="0"/>
              <w:widowControl w:val="0"/>
              <w:suppressLineNumbers w:val="0"/>
              <w:kinsoku/>
              <w:wordWrap/>
              <w:overflowPunct/>
              <w:topLinePunct w:val="0"/>
              <w:autoSpaceDE/>
              <w:autoSpaceDN/>
              <w:bidi w:val="0"/>
              <w:adjustRightInd/>
              <w:snapToGrid/>
              <w:spacing w:line="400" w:lineRule="exact"/>
              <w:ind w:firstLine="562" w:firstLineChars="200"/>
              <w:jc w:val="both"/>
              <w:textAlignment w:val="auto"/>
              <w:rPr>
                <w:rFonts w:hint="eastAsia" w:ascii="宋体" w:hAnsi="宋体" w:eastAsia="仿宋_GB2312" w:cs="仿宋_GB2312"/>
                <w:b w:val="0"/>
                <w:bCs w:val="0"/>
                <w:color w:val="auto"/>
                <w:sz w:val="28"/>
                <w:szCs w:val="28"/>
                <w:highlight w:val="none"/>
                <w:u w:val="none"/>
              </w:rPr>
            </w:pPr>
            <w:r>
              <w:rPr>
                <w:rFonts w:hint="eastAsia" w:ascii="宋体" w:hAnsi="宋体" w:eastAsia="仿宋_GB2312" w:cs="仿宋_GB2312"/>
                <w:b/>
                <w:bCs/>
                <w:color w:val="auto"/>
                <w:sz w:val="28"/>
                <w:szCs w:val="28"/>
                <w:highlight w:val="none"/>
                <w:u w:val="none"/>
              </w:rPr>
              <w:t>旅居服务机构</w:t>
            </w:r>
            <w:r>
              <w:rPr>
                <w:rFonts w:hint="eastAsia" w:ascii="宋体" w:hAnsi="宋体" w:eastAsia="仿宋_GB2312" w:cs="仿宋_GB2312"/>
                <w:b/>
                <w:bCs/>
                <w:color w:val="auto"/>
                <w:sz w:val="28"/>
                <w:szCs w:val="28"/>
                <w:highlight w:val="none"/>
                <w:u w:val="none"/>
                <w:lang w:val="en-US" w:eastAsia="zh-CN"/>
              </w:rPr>
              <w:t>培育工程。</w:t>
            </w:r>
            <w:r>
              <w:rPr>
                <w:rFonts w:hint="eastAsia" w:ascii="宋体" w:hAnsi="宋体" w:eastAsia="仿宋_GB2312" w:cs="仿宋_GB2312"/>
                <w:b w:val="0"/>
                <w:bCs w:val="0"/>
                <w:color w:val="auto"/>
                <w:sz w:val="28"/>
                <w:szCs w:val="28"/>
                <w:highlight w:val="none"/>
                <w:u w:val="none"/>
                <w:lang w:val="en-US" w:eastAsia="zh-CN"/>
              </w:rPr>
              <w:t>聚焦康养旅居、避寒旅居等旅居主体，</w:t>
            </w:r>
            <w:r>
              <w:rPr>
                <w:rFonts w:hint="eastAsia" w:ascii="宋体" w:hAnsi="宋体" w:eastAsia="仿宋_GB2312" w:cs="仿宋_GB2312"/>
                <w:b w:val="0"/>
                <w:bCs w:val="0"/>
                <w:color w:val="auto"/>
                <w:sz w:val="28"/>
                <w:szCs w:val="28"/>
                <w:highlight w:val="none"/>
                <w:u w:val="none"/>
              </w:rPr>
              <w:t>发展“康（医）养+”产业，完善发展一批医养结合的旅居服务机构，发展膳食调理、康复疗养、中医养生等关联业态。</w:t>
            </w:r>
          </w:p>
          <w:p w14:paraId="062CB7EB">
            <w:pPr>
              <w:keepNext/>
              <w:keepLines w:val="0"/>
              <w:pageBreakBefore w:val="0"/>
              <w:widowControl w:val="0"/>
              <w:suppressLineNumbers w:val="0"/>
              <w:kinsoku/>
              <w:wordWrap/>
              <w:overflowPunct/>
              <w:topLinePunct w:val="0"/>
              <w:autoSpaceDE/>
              <w:autoSpaceDN/>
              <w:bidi w:val="0"/>
              <w:adjustRightInd/>
              <w:snapToGrid/>
              <w:spacing w:line="400" w:lineRule="exact"/>
              <w:ind w:firstLine="562" w:firstLineChars="200"/>
              <w:jc w:val="both"/>
              <w:textAlignment w:val="auto"/>
              <w:rPr>
                <w:rFonts w:hint="default" w:ascii="宋体" w:hAnsi="宋体" w:eastAsia="方正楷体_GBK" w:cs="Times New Roman Regular"/>
                <w:color w:val="auto"/>
                <w:sz w:val="28"/>
                <w:szCs w:val="28"/>
                <w:highlight w:val="none"/>
                <w:u w:val="none"/>
                <w:lang w:val="en-US" w:eastAsia="zh-CN"/>
              </w:rPr>
            </w:pPr>
            <w:r>
              <w:rPr>
                <w:rFonts w:hint="eastAsia" w:ascii="宋体" w:hAnsi="宋体" w:eastAsia="仿宋_GB2312" w:cs="仿宋_GB2312"/>
                <w:b/>
                <w:bCs/>
                <w:color w:val="auto"/>
                <w:sz w:val="28"/>
                <w:szCs w:val="28"/>
                <w:highlight w:val="none"/>
                <w:u w:val="none"/>
              </w:rPr>
              <w:t>旅居集群</w:t>
            </w:r>
            <w:r>
              <w:rPr>
                <w:rFonts w:hint="eastAsia" w:ascii="宋体" w:hAnsi="宋体" w:eastAsia="仿宋_GB2312" w:cs="仿宋_GB2312"/>
                <w:b/>
                <w:bCs/>
                <w:color w:val="auto"/>
                <w:sz w:val="28"/>
                <w:szCs w:val="28"/>
                <w:highlight w:val="none"/>
                <w:u w:val="none"/>
                <w:lang w:val="en-US" w:eastAsia="zh-CN"/>
              </w:rPr>
              <w:t>打造工程</w:t>
            </w:r>
            <w:r>
              <w:rPr>
                <w:rFonts w:hint="eastAsia" w:ascii="宋体" w:hAnsi="宋体" w:eastAsia="仿宋_GB2312" w:cs="仿宋_GB2312"/>
                <w:b/>
                <w:bCs/>
                <w:color w:val="auto"/>
                <w:sz w:val="28"/>
                <w:szCs w:val="28"/>
                <w:highlight w:val="none"/>
                <w:u w:val="none"/>
              </w:rPr>
              <w:t>。</w:t>
            </w:r>
            <w:r>
              <w:rPr>
                <w:rFonts w:hint="eastAsia" w:ascii="宋体" w:hAnsi="宋体" w:eastAsia="仿宋_GB2312" w:cs="仿宋_GB2312"/>
                <w:color w:val="auto"/>
                <w:sz w:val="28"/>
                <w:szCs w:val="28"/>
                <w:highlight w:val="none"/>
                <w:u w:val="none"/>
              </w:rPr>
              <w:t>以</w:t>
            </w:r>
            <w:r>
              <w:rPr>
                <w:rFonts w:hint="eastAsia" w:ascii="宋体" w:hAnsi="宋体" w:eastAsia="仿宋_GB2312" w:cs="仿宋_GB2312"/>
                <w:color w:val="auto"/>
                <w:sz w:val="28"/>
                <w:szCs w:val="28"/>
                <w:highlight w:val="none"/>
                <w:u w:val="none"/>
                <w:lang w:val="en-US" w:eastAsia="zh-CN"/>
              </w:rPr>
              <w:t>石林景区、杏林大观园、长湖景区等</w:t>
            </w:r>
            <w:r>
              <w:rPr>
                <w:rFonts w:hint="eastAsia" w:ascii="宋体" w:hAnsi="宋体" w:eastAsia="仿宋_GB2312" w:cs="仿宋_GB2312"/>
                <w:color w:val="auto"/>
                <w:sz w:val="28"/>
                <w:szCs w:val="28"/>
                <w:highlight w:val="none"/>
                <w:u w:val="none"/>
              </w:rPr>
              <w:t>为重点，规范发展一批城市社区和乡村旅游村寨为主的嵌入式旅居产品，</w:t>
            </w:r>
            <w:r>
              <w:rPr>
                <w:rFonts w:hint="eastAsia" w:ascii="宋体" w:hAnsi="宋体" w:eastAsia="仿宋_GB2312" w:cs="仿宋_GB2312"/>
                <w:color w:val="auto"/>
                <w:sz w:val="28"/>
                <w:szCs w:val="28"/>
                <w:highlight w:val="none"/>
                <w:u w:val="none"/>
                <w:lang w:val="en-US" w:eastAsia="zh-CN"/>
              </w:rPr>
              <w:t>合理布局房车营地和自驾车旅居车营地，</w:t>
            </w:r>
            <w:r>
              <w:rPr>
                <w:rFonts w:hint="eastAsia" w:ascii="宋体" w:hAnsi="宋体" w:eastAsia="仿宋_GB2312" w:cs="仿宋_GB2312"/>
                <w:color w:val="auto"/>
                <w:sz w:val="28"/>
                <w:szCs w:val="28"/>
                <w:highlight w:val="none"/>
                <w:u w:val="none"/>
              </w:rPr>
              <w:t>培育打造旅居集群</w:t>
            </w:r>
            <w:r>
              <w:rPr>
                <w:rFonts w:hint="eastAsia" w:ascii="宋体" w:hAnsi="宋体" w:eastAsia="仿宋_GB2312" w:cs="仿宋_GB2312"/>
                <w:color w:val="auto"/>
                <w:sz w:val="28"/>
                <w:szCs w:val="28"/>
                <w:highlight w:val="none"/>
                <w:u w:val="none"/>
                <w:lang w:eastAsia="zh-CN"/>
              </w:rPr>
              <w:t>。</w:t>
            </w:r>
          </w:p>
        </w:tc>
      </w:tr>
    </w:tbl>
    <w:p w14:paraId="3FED997A">
      <w:pPr>
        <w:keepNext/>
        <w:keepLines w:val="0"/>
        <w:pageBreakBefore w:val="0"/>
        <w:widowControl w:val="0"/>
        <w:numPr>
          <w:ilvl w:val="0"/>
          <w:numId w:val="0"/>
        </w:numPr>
        <w:kinsoku/>
        <w:wordWrap/>
        <w:overflowPunct/>
        <w:topLinePunct w:val="0"/>
        <w:autoSpaceDE/>
        <w:autoSpaceDN/>
        <w:bidi w:val="0"/>
        <w:adjustRightInd/>
        <w:snapToGrid/>
        <w:spacing w:line="512" w:lineRule="exact"/>
        <w:ind w:left="0" w:leftChars="0" w:firstLineChars="0"/>
        <w:jc w:val="center"/>
        <w:textAlignment w:val="auto"/>
        <w:outlineLvl w:val="1"/>
        <w:rPr>
          <w:rFonts w:hint="default" w:ascii="宋体" w:hAnsi="宋体" w:eastAsia="方正黑体_GBK" w:cs="Times New Roman Regular"/>
          <w:b w:val="0"/>
          <w:bCs/>
          <w:color w:val="auto"/>
          <w:sz w:val="32"/>
          <w:szCs w:val="32"/>
          <w:highlight w:val="none"/>
          <w:lang w:val="en-US" w:eastAsia="zh-CN"/>
        </w:rPr>
      </w:pPr>
      <w:bookmarkStart w:id="285" w:name="_Toc20098"/>
      <w:bookmarkStart w:id="286" w:name="_Toc749"/>
      <w:bookmarkStart w:id="287" w:name="_Toc1528045854"/>
      <w:bookmarkStart w:id="288" w:name="_Toc810397572"/>
      <w:bookmarkStart w:id="289" w:name="_Toc128758634"/>
      <w:bookmarkStart w:id="290" w:name="_Toc1025658069"/>
      <w:bookmarkStart w:id="291" w:name="_Toc1550731448"/>
      <w:bookmarkStart w:id="292" w:name="_Toc1080137058"/>
      <w:bookmarkStart w:id="293" w:name="_Toc253519715"/>
      <w:bookmarkStart w:id="294" w:name="_Toc4602"/>
      <w:bookmarkStart w:id="295" w:name="_Toc552063307"/>
      <w:bookmarkStart w:id="296" w:name="_Toc1396165316"/>
      <w:bookmarkStart w:id="297" w:name="_Toc11191"/>
      <w:bookmarkStart w:id="298" w:name="_Toc20692"/>
      <w:bookmarkStart w:id="299" w:name="_Toc19008"/>
      <w:bookmarkStart w:id="300" w:name="_Toc11562"/>
      <w:bookmarkStart w:id="301" w:name="_Toc639230037"/>
      <w:r>
        <w:rPr>
          <w:rFonts w:hint="default" w:ascii="宋体" w:hAnsi="宋体" w:eastAsia="方正黑体_GBK" w:cs="Times New Roman Regular"/>
          <w:b w:val="0"/>
          <w:bCs/>
          <w:color w:val="auto"/>
          <w:sz w:val="32"/>
          <w:szCs w:val="32"/>
          <w:highlight w:val="none"/>
          <w:lang w:val="en-US" w:eastAsia="zh-CN"/>
        </w:rPr>
        <w:t>第</w:t>
      </w:r>
      <w:r>
        <w:rPr>
          <w:rFonts w:hint="eastAsia" w:ascii="宋体" w:hAnsi="宋体" w:eastAsia="方正黑体_GBK" w:cs="Times New Roman Regular"/>
          <w:b w:val="0"/>
          <w:bCs/>
          <w:color w:val="auto"/>
          <w:sz w:val="32"/>
          <w:szCs w:val="32"/>
          <w:highlight w:val="none"/>
          <w:lang w:val="en-US" w:eastAsia="zh-CN"/>
        </w:rPr>
        <w:t>五</w:t>
      </w:r>
      <w:r>
        <w:rPr>
          <w:rFonts w:hint="default" w:ascii="宋体" w:hAnsi="宋体" w:eastAsia="方正黑体_GBK" w:cs="Times New Roman Regular"/>
          <w:b w:val="0"/>
          <w:bCs/>
          <w:color w:val="auto"/>
          <w:sz w:val="32"/>
          <w:szCs w:val="32"/>
          <w:highlight w:val="none"/>
          <w:lang w:val="en-US" w:eastAsia="zh-CN"/>
        </w:rPr>
        <w:t>节</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 xml:space="preserve"> </w:t>
      </w:r>
      <w:r>
        <w:rPr>
          <w:rFonts w:hint="eastAsia" w:ascii="宋体" w:hAnsi="宋体" w:eastAsia="方正黑体_GBK" w:cs="Times New Roman Regular"/>
          <w:bCs/>
          <w:color w:val="auto"/>
          <w:sz w:val="32"/>
          <w:szCs w:val="32"/>
          <w:highlight w:val="none"/>
        </w:rPr>
        <w:t>加快构建国际一流的</w:t>
      </w:r>
      <w:r>
        <w:rPr>
          <w:rFonts w:hint="eastAsia" w:ascii="宋体" w:hAnsi="宋体" w:eastAsia="方正黑体_GBK" w:cs="Times New Roman Regular"/>
          <w:bCs/>
          <w:color w:val="auto"/>
          <w:sz w:val="32"/>
          <w:szCs w:val="32"/>
          <w:highlight w:val="none"/>
          <w:lang w:val="en-US" w:eastAsia="zh-CN"/>
        </w:rPr>
        <w:t>文旅</w:t>
      </w:r>
      <w:r>
        <w:rPr>
          <w:rFonts w:hint="eastAsia" w:ascii="宋体" w:hAnsi="宋体" w:eastAsia="方正黑体_GBK" w:cs="Times New Roman Regular"/>
          <w:bCs/>
          <w:color w:val="auto"/>
          <w:sz w:val="32"/>
          <w:szCs w:val="32"/>
          <w:highlight w:val="none"/>
        </w:rPr>
        <w:t>服务体系</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369B2E6F">
      <w:pPr>
        <w:keepNext/>
        <w:keepLines w:val="0"/>
        <w:pageBreakBefore w:val="0"/>
        <w:widowControl w:val="0"/>
        <w:kinsoku/>
        <w:wordWrap/>
        <w:overflowPunct/>
        <w:topLinePunct w:val="0"/>
        <w:autoSpaceDE/>
        <w:autoSpaceDN/>
        <w:bidi w:val="0"/>
        <w:adjustRightInd/>
        <w:snapToGrid/>
        <w:spacing w:line="510" w:lineRule="exact"/>
        <w:textAlignment w:val="auto"/>
        <w:rPr>
          <w:rFonts w:hint="default"/>
          <w:lang w:val="en-US" w:eastAsia="zh-CN"/>
        </w:rPr>
      </w:pPr>
      <w:r>
        <w:rPr>
          <w:rFonts w:hint="default"/>
          <w:lang w:val="en-US" w:eastAsia="zh-CN"/>
        </w:rPr>
        <w:t>对标国际通行旅游服务标准，围绕</w:t>
      </w:r>
      <w:r>
        <w:rPr>
          <w:rFonts w:hint="eastAsia"/>
          <w:lang w:val="en-US" w:eastAsia="zh-CN"/>
        </w:rPr>
        <w:t>“</w:t>
      </w:r>
      <w:r>
        <w:rPr>
          <w:rFonts w:hint="default"/>
          <w:lang w:val="en-US" w:eastAsia="zh-CN"/>
        </w:rPr>
        <w:t>吃住行游购娱</w:t>
      </w:r>
      <w:r>
        <w:rPr>
          <w:rFonts w:hint="eastAsia"/>
          <w:lang w:val="en-US" w:eastAsia="zh-CN"/>
        </w:rPr>
        <w:t>”</w:t>
      </w:r>
      <w:r>
        <w:rPr>
          <w:rFonts w:hint="default"/>
          <w:lang w:val="en-US" w:eastAsia="zh-CN"/>
        </w:rPr>
        <w:t>策划包装常态化产品、日间夜间两个场景的动态化产品，健全多元消费市场，</w:t>
      </w:r>
      <w:r>
        <w:rPr>
          <w:rFonts w:hint="eastAsia"/>
          <w:lang w:val="en-US" w:eastAsia="zh-CN"/>
        </w:rPr>
        <w:t>加强服务创新，完善多元游客接待服务体系，全面提升石林文旅服务质量和形象</w:t>
      </w:r>
      <w:r>
        <w:rPr>
          <w:rFonts w:hint="default"/>
          <w:lang w:val="en-US" w:eastAsia="zh-CN"/>
        </w:rPr>
        <w:t>。</w:t>
      </w:r>
    </w:p>
    <w:p w14:paraId="3015FC38">
      <w:pPr>
        <w:keepNext/>
        <w:keepLines w:val="0"/>
        <w:pageBreakBefore w:val="0"/>
        <w:widowControl w:val="0"/>
        <w:kinsoku/>
        <w:wordWrap/>
        <w:overflowPunct/>
        <w:topLinePunct w:val="0"/>
        <w:autoSpaceDE/>
        <w:autoSpaceDN/>
        <w:bidi w:val="0"/>
        <w:adjustRightInd/>
        <w:snapToGrid/>
        <w:spacing w:line="51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w:t>
      </w:r>
      <w:r>
        <w:rPr>
          <w:rFonts w:hint="eastAsia" w:ascii="楷体_GB2312" w:hAnsi="楷体_GB2312" w:eastAsia="楷体_GB2312" w:cs="楷体_GB2312"/>
          <w:b w:val="0"/>
          <w:bCs w:val="0"/>
          <w:color w:val="auto"/>
          <w:sz w:val="32"/>
          <w:szCs w:val="32"/>
          <w:highlight w:val="none"/>
          <w:lang w:val="en-US" w:eastAsia="zh-CN"/>
        </w:rPr>
        <w:t>优化文旅服务产品供给</w:t>
      </w:r>
    </w:p>
    <w:p w14:paraId="1F494699">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lang w:val="en-US" w:eastAsia="zh-CN"/>
        </w:rPr>
        <w:t>聚焦石林美食餐饮、特色酒店等，优化升级食、住、行、游、购、娱等要素体系。积极培育餐饮消费体验新场景，</w:t>
      </w:r>
      <w:r>
        <w:rPr>
          <w:rFonts w:hint="default"/>
          <w:lang w:val="en-US" w:eastAsia="zh-CN"/>
        </w:rPr>
        <w:t>创新石林马肉、板桥凉卷粉、石林</w:t>
      </w:r>
      <w:r>
        <w:rPr>
          <w:rFonts w:hint="eastAsia"/>
          <w:lang w:val="en-US" w:eastAsia="zh-CN"/>
        </w:rPr>
        <w:t>汤锅宴、</w:t>
      </w:r>
      <w:r>
        <w:rPr>
          <w:rFonts w:hint="default"/>
          <w:lang w:val="en-US" w:eastAsia="zh-CN"/>
        </w:rPr>
        <w:t>撒尼八大碗等特色美食</w:t>
      </w:r>
      <w:r>
        <w:rPr>
          <w:rFonts w:hint="eastAsia"/>
          <w:lang w:val="en-US" w:eastAsia="zh-CN"/>
        </w:rPr>
        <w:t>，加快特色美食街区建设，丰富石林美食地图，积极</w:t>
      </w:r>
      <w:r>
        <w:rPr>
          <w:rFonts w:hint="default"/>
          <w:lang w:val="en-US" w:eastAsia="zh-CN"/>
        </w:rPr>
        <w:t>举办“石林美食文化节”，</w:t>
      </w:r>
      <w:r>
        <w:rPr>
          <w:rFonts w:hint="eastAsia"/>
          <w:lang w:val="en-US" w:eastAsia="zh-CN"/>
        </w:rPr>
        <w:t>打造“彝乡宴席”特色IP。积极推进维也纳酒店、全季酒店等酒店建设，补齐品牌酒店短板，打造田园民宿、星空民宿、花田民宿、非遗民宿等精品宿集，推动旅游住宿提档升级。健全“快达漫游”交通网络，加快交通干线与景区连接线建设，推动</w:t>
      </w:r>
      <w:r>
        <w:rPr>
          <w:rFonts w:hint="default"/>
          <w:lang w:val="en-US" w:eastAsia="zh-CN"/>
        </w:rPr>
        <w:t>九石阿旅游公路</w:t>
      </w:r>
      <w:r>
        <w:rPr>
          <w:rFonts w:hint="eastAsia"/>
          <w:lang w:val="en-US" w:eastAsia="zh-CN"/>
        </w:rPr>
        <w:t>改造提升和美丽乡村路建设，完善景区接驳换乘、落地自驾服务体系，推出一批旅游观光专线，畅通区域微循环。创新开发演艺、夜经济等游购娱核心业态，策划“阿诗玛之夜”实景演艺、彝族火把狂欢夜、星空音乐会等活动，构建“白天看石林、夜间观演艺”的消费场景。</w:t>
      </w:r>
    </w:p>
    <w:p w14:paraId="375FF473">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w:t>
      </w:r>
      <w:r>
        <w:rPr>
          <w:rFonts w:hint="default" w:ascii="楷体_GB2312" w:hAnsi="楷体_GB2312" w:eastAsia="楷体_GB2312" w:cs="楷体_GB2312"/>
          <w:b w:val="0"/>
          <w:bCs w:val="0"/>
          <w:color w:val="auto"/>
          <w:sz w:val="32"/>
          <w:szCs w:val="32"/>
          <w:highlight w:val="none"/>
          <w:lang w:val="en-US" w:eastAsia="zh-CN"/>
        </w:rPr>
        <w:t>建立多元游客接待服务体系</w:t>
      </w:r>
    </w:p>
    <w:p w14:paraId="3A23784A">
      <w:pPr>
        <w:keepNext/>
        <w:keepLines w:val="0"/>
        <w:pageBreakBefore w:val="0"/>
        <w:widowControl w:val="0"/>
        <w:kinsoku/>
        <w:wordWrap/>
        <w:overflowPunct/>
        <w:topLinePunct w:val="0"/>
        <w:autoSpaceDE/>
        <w:autoSpaceDN/>
        <w:bidi w:val="0"/>
        <w:adjustRightInd/>
        <w:snapToGrid/>
        <w:spacing w:line="530" w:lineRule="exact"/>
        <w:textAlignment w:val="auto"/>
        <w:rPr>
          <w:rFonts w:hint="eastAsia"/>
          <w:lang w:val="en-US" w:eastAsia="zh-CN"/>
        </w:rPr>
      </w:pPr>
      <w:r>
        <w:rPr>
          <w:rFonts w:hint="eastAsia"/>
        </w:rPr>
        <w:t>围绕多层次旅游业态需求，针对不同类型、不同诉求的游客实施分层分类接待与引流服务，精准化服务提升游客体验，助力“旅居石林”品牌建设。针对旅行团体游客，强化大小石林风景区、乃古石林服务保障</w:t>
      </w:r>
      <w:r>
        <w:rPr>
          <w:rFonts w:hint="eastAsia"/>
          <w:lang w:eastAsia="zh-CN"/>
        </w:rPr>
        <w:t>，</w:t>
      </w:r>
      <w:r>
        <w:rPr>
          <w:rFonts w:hint="eastAsia"/>
        </w:rPr>
        <w:t>优化团队游客观光动线，升级大型游客服务中心功能，集成导游休息、团队餐饮预订、行李寄存等服务，为旅游团提供“停车</w:t>
      </w:r>
      <w:r>
        <w:rPr>
          <w:rFonts w:hint="eastAsia"/>
          <w:lang w:eastAsia="zh-CN"/>
        </w:rPr>
        <w:t>—</w:t>
      </w:r>
      <w:r>
        <w:rPr>
          <w:rFonts w:hint="eastAsia"/>
        </w:rPr>
        <w:t>咨询</w:t>
      </w:r>
      <w:r>
        <w:rPr>
          <w:rFonts w:hint="eastAsia"/>
          <w:lang w:eastAsia="zh-CN"/>
        </w:rPr>
        <w:t>—</w:t>
      </w:r>
      <w:r>
        <w:rPr>
          <w:rFonts w:hint="eastAsia"/>
        </w:rPr>
        <w:t>入园”一站式便捷服务。针对以高铁为主要出行方式的公共交通游客，</w:t>
      </w:r>
      <w:r>
        <w:rPr>
          <w:rFonts w:hint="eastAsia"/>
          <w:lang w:val="en-US" w:eastAsia="zh-CN"/>
        </w:rPr>
        <w:t>完善石林西站</w:t>
      </w:r>
      <w:r>
        <w:rPr>
          <w:rFonts w:hint="eastAsia"/>
        </w:rPr>
        <w:t>旅游集散中心</w:t>
      </w:r>
      <w:r>
        <w:rPr>
          <w:rFonts w:hint="eastAsia"/>
          <w:lang w:val="en-US" w:eastAsia="zh-CN"/>
        </w:rPr>
        <w:t>功能</w:t>
      </w:r>
      <w:r>
        <w:rPr>
          <w:rFonts w:hint="eastAsia"/>
        </w:rPr>
        <w:t>，设立“石林全域旅游”导览服务站，提供旅游咨询、景区门票优惠办理、直通车票务预订等服务。针对以休闲康养为目的的自驾游客户，聚焦其便捷性与舒适性需求</w:t>
      </w:r>
      <w:r>
        <w:rPr>
          <w:rFonts w:hint="eastAsia"/>
          <w:lang w:eastAsia="zh-CN"/>
        </w:rPr>
        <w:t>，</w:t>
      </w:r>
      <w:r>
        <w:rPr>
          <w:rFonts w:hint="eastAsia"/>
        </w:rPr>
        <w:t>完善景区</w:t>
      </w:r>
      <w:r>
        <w:rPr>
          <w:rFonts w:hint="default"/>
          <w:lang w:val="en-US" w:eastAsia="zh-CN"/>
        </w:rPr>
        <w:t>景点</w:t>
      </w:r>
      <w:r>
        <w:rPr>
          <w:rFonts w:hint="eastAsia"/>
        </w:rPr>
        <w:t>生态停车场，配备充电桩、房车补给站等设施</w:t>
      </w:r>
      <w:r>
        <w:rPr>
          <w:rFonts w:hint="eastAsia"/>
          <w:lang w:eastAsia="zh-CN"/>
        </w:rPr>
        <w:t>，</w:t>
      </w:r>
      <w:r>
        <w:rPr>
          <w:rFonts w:hint="default"/>
          <w:lang w:val="en-US" w:eastAsia="zh-CN"/>
        </w:rPr>
        <w:t>完善道路</w:t>
      </w:r>
      <w:r>
        <w:rPr>
          <w:rFonts w:hint="eastAsia"/>
        </w:rPr>
        <w:t>导览</w:t>
      </w:r>
      <w:r>
        <w:rPr>
          <w:rFonts w:hint="default"/>
          <w:lang w:val="en-US" w:eastAsia="zh-CN"/>
        </w:rPr>
        <w:t>标识</w:t>
      </w:r>
      <w:r>
        <w:rPr>
          <w:rFonts w:hint="eastAsia"/>
        </w:rPr>
        <w:t>，助力自驾游客深度体验</w:t>
      </w:r>
      <w:r>
        <w:rPr>
          <w:rFonts w:hint="default"/>
          <w:lang w:val="en-US" w:eastAsia="zh-CN"/>
        </w:rPr>
        <w:t>石林文旅</w:t>
      </w:r>
      <w:r>
        <w:rPr>
          <w:rFonts w:hint="eastAsia"/>
        </w:rPr>
        <w:t>。</w:t>
      </w:r>
    </w:p>
    <w:p w14:paraId="37C7A460">
      <w:pPr>
        <w:pStyle w:val="3"/>
        <w:keepNext/>
        <w:keepLines w:val="0"/>
        <w:pageBreakBefore w:val="0"/>
        <w:widowControl w:val="0"/>
        <w:numPr>
          <w:ilvl w:val="1"/>
          <w:numId w:val="0"/>
        </w:numPr>
        <w:kinsoku/>
        <w:wordWrap/>
        <w:overflowPunct/>
        <w:topLinePunct w:val="0"/>
        <w:autoSpaceDE/>
        <w:autoSpaceDN/>
        <w:bidi w:val="0"/>
        <w:adjustRightInd/>
        <w:snapToGrid/>
        <w:spacing w:before="0" w:beforeLines="0" w:after="0" w:afterLines="0" w:line="520" w:lineRule="exact"/>
        <w:ind w:left="0" w:leftChars="0" w:firstLine="0" w:firstLineChars="0"/>
        <w:jc w:val="center"/>
        <w:textAlignment w:val="auto"/>
        <w:rPr>
          <w:rFonts w:hint="default" w:ascii="宋体" w:hAnsi="宋体" w:eastAsia="方正黑体_GBK" w:cs="Times New Roman Regular"/>
          <w:b w:val="0"/>
          <w:bCs/>
          <w:color w:val="auto"/>
          <w:sz w:val="32"/>
          <w:szCs w:val="32"/>
          <w:highlight w:val="none"/>
          <w:lang w:val="en-US" w:eastAsia="zh-CN"/>
        </w:rPr>
      </w:pPr>
      <w:bookmarkStart w:id="302" w:name="_Toc298294357"/>
      <w:bookmarkStart w:id="303" w:name="_Toc1826029565"/>
      <w:bookmarkStart w:id="304" w:name="_Toc1530329109"/>
      <w:bookmarkStart w:id="305" w:name="_Toc10684"/>
      <w:bookmarkStart w:id="306" w:name="_Toc109733705"/>
      <w:bookmarkStart w:id="307" w:name="_Toc7063"/>
      <w:bookmarkStart w:id="308" w:name="_Toc1944138890"/>
      <w:bookmarkStart w:id="309" w:name="_Toc1281906544"/>
      <w:bookmarkStart w:id="310" w:name="_Toc1184265715"/>
      <w:bookmarkStart w:id="311" w:name="_Toc1398645709"/>
      <w:bookmarkStart w:id="312" w:name="_Toc1010703330"/>
      <w:bookmarkStart w:id="313" w:name="_Toc29649"/>
      <w:bookmarkStart w:id="314" w:name="_Toc383931214"/>
      <w:bookmarkStart w:id="315" w:name="_Toc16173"/>
      <w:r>
        <w:rPr>
          <w:rFonts w:hint="default" w:ascii="宋体" w:hAnsi="宋体" w:eastAsia="方正黑体_GBK" w:cs="Times New Roman Regular"/>
          <w:b w:val="0"/>
          <w:bCs/>
          <w:color w:val="auto"/>
          <w:sz w:val="32"/>
          <w:szCs w:val="32"/>
          <w:highlight w:val="none"/>
          <w:lang w:val="en-US" w:eastAsia="zh-CN"/>
        </w:rPr>
        <w:t>第</w:t>
      </w:r>
      <w:r>
        <w:rPr>
          <w:rFonts w:hint="eastAsia" w:ascii="宋体" w:hAnsi="宋体" w:eastAsia="方正黑体_GBK" w:cs="Times New Roman Regular"/>
          <w:b w:val="0"/>
          <w:bCs/>
          <w:color w:val="auto"/>
          <w:sz w:val="32"/>
          <w:szCs w:val="32"/>
          <w:highlight w:val="none"/>
          <w:lang w:val="en-US" w:eastAsia="zh-CN"/>
        </w:rPr>
        <w:t>六</w:t>
      </w:r>
      <w:r>
        <w:rPr>
          <w:rFonts w:hint="default" w:ascii="宋体" w:hAnsi="宋体" w:eastAsia="方正黑体_GBK" w:cs="Times New Roman Regular"/>
          <w:b w:val="0"/>
          <w:bCs/>
          <w:color w:val="auto"/>
          <w:sz w:val="32"/>
          <w:szCs w:val="32"/>
          <w:highlight w:val="none"/>
          <w:lang w:val="en-US" w:eastAsia="zh-CN"/>
        </w:rPr>
        <w:t xml:space="preserve">节 </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 w:val="0"/>
          <w:bCs/>
          <w:color w:val="auto"/>
          <w:sz w:val="32"/>
          <w:szCs w:val="32"/>
          <w:highlight w:val="none"/>
          <w:lang w:val="en-US" w:eastAsia="zh-CN"/>
        </w:rPr>
        <w:t>完善</w:t>
      </w:r>
      <w:r>
        <w:rPr>
          <w:rFonts w:hint="eastAsia" w:ascii="宋体" w:hAnsi="宋体" w:eastAsia="方正黑体_GBK" w:cs="Times New Roman Regular"/>
          <w:b w:val="0"/>
          <w:bCs/>
          <w:color w:val="auto"/>
          <w:sz w:val="32"/>
          <w:szCs w:val="32"/>
          <w:highlight w:val="none"/>
          <w:lang w:val="en-US" w:eastAsia="zh-CN"/>
        </w:rPr>
        <w:t>文旅市场监督</w:t>
      </w:r>
      <w:r>
        <w:rPr>
          <w:rFonts w:hint="default" w:ascii="宋体" w:hAnsi="宋体" w:eastAsia="方正黑体_GBK" w:cs="Times New Roman Regular"/>
          <w:b w:val="0"/>
          <w:bCs/>
          <w:color w:val="auto"/>
          <w:sz w:val="32"/>
          <w:szCs w:val="32"/>
          <w:highlight w:val="none"/>
          <w:lang w:val="en-US" w:eastAsia="zh-CN"/>
        </w:rPr>
        <w:t>管理机制</w:t>
      </w:r>
      <w:bookmarkEnd w:id="241"/>
      <w:bookmarkEnd w:id="242"/>
      <w:bookmarkEnd w:id="243"/>
      <w:bookmarkEnd w:id="244"/>
      <w:bookmarkEnd w:id="245"/>
      <w:bookmarkEnd w:id="246"/>
      <w:bookmarkEnd w:id="247"/>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26309088">
      <w:pPr>
        <w:keepNext/>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方正仿宋_GBK" w:cs="Times New Roman Regular"/>
          <w:color w:val="auto"/>
          <w:sz w:val="32"/>
          <w:szCs w:val="32"/>
          <w:highlight w:val="none"/>
          <w:u w:val="none" w:color="auto"/>
          <w:lang w:val="en-US" w:eastAsia="zh-CN"/>
        </w:rPr>
      </w:pPr>
      <w:r>
        <w:rPr>
          <w:rFonts w:hint="default"/>
          <w:lang w:val="en-US" w:eastAsia="zh-CN"/>
        </w:rPr>
        <w:t>持续推进旅游市场秩序整治，健全跨部门、跨区域综合监管机制，规范旅行社经营和导游执业行为，全面执行诚信经营、文明经营</w:t>
      </w:r>
      <w:r>
        <w:rPr>
          <w:rFonts w:hint="eastAsia"/>
          <w:lang w:val="en-US" w:eastAsia="zh-CN"/>
        </w:rPr>
        <w:t>“</w:t>
      </w:r>
      <w:r>
        <w:rPr>
          <w:rFonts w:hint="default"/>
          <w:lang w:val="en-US" w:eastAsia="zh-CN"/>
        </w:rPr>
        <w:t>红黑榜</w:t>
      </w:r>
      <w:r>
        <w:rPr>
          <w:rFonts w:hint="eastAsia"/>
          <w:lang w:val="en-US" w:eastAsia="zh-CN"/>
        </w:rPr>
        <w:t>”</w:t>
      </w:r>
      <w:r>
        <w:rPr>
          <w:rFonts w:hint="default"/>
          <w:lang w:val="en-US" w:eastAsia="zh-CN"/>
        </w:rPr>
        <w:t>制度。优化旅游投诉处置体系，建立涉旅投诉办理制度，强化处置过程管理，落实办结回访制度。</w:t>
      </w:r>
      <w:r>
        <w:rPr>
          <w:rFonts w:hint="eastAsia"/>
        </w:rPr>
        <w:t>加强淡旺季旅游市场价格监管</w:t>
      </w:r>
      <w:r>
        <w:rPr>
          <w:rFonts w:hint="default"/>
          <w:lang w:val="en-US" w:eastAsia="zh-CN"/>
        </w:rPr>
        <w:t>常态化实施为游客服务</w:t>
      </w:r>
      <w:r>
        <w:rPr>
          <w:rFonts w:hint="eastAsia"/>
          <w:lang w:val="en-US" w:eastAsia="zh-CN"/>
        </w:rPr>
        <w:t>“</w:t>
      </w:r>
      <w:r>
        <w:rPr>
          <w:rFonts w:hint="default"/>
          <w:lang w:val="en-US" w:eastAsia="zh-CN"/>
        </w:rPr>
        <w:t>10件实事</w:t>
      </w:r>
      <w:r>
        <w:rPr>
          <w:rFonts w:hint="eastAsia"/>
          <w:lang w:val="en-US" w:eastAsia="zh-CN"/>
        </w:rPr>
        <w:t>”</w:t>
      </w:r>
      <w:r>
        <w:rPr>
          <w:rFonts w:hint="default"/>
          <w:lang w:val="en-US" w:eastAsia="zh-CN"/>
        </w:rPr>
        <w:t>，开展文明旅游志愿服务。</w:t>
      </w:r>
      <w:r>
        <w:rPr>
          <w:rFonts w:hint="eastAsia"/>
          <w:lang w:val="en-US" w:eastAsia="zh-CN"/>
        </w:rPr>
        <w:t>实施旅游安全管理提升行动，</w:t>
      </w:r>
      <w:r>
        <w:rPr>
          <w:rFonts w:hint="default"/>
          <w:lang w:val="en-US" w:eastAsia="zh-CN"/>
        </w:rPr>
        <w:t>加强安全隐患排查整治，抓好道路交通、食品卫生、消防安全、设施设备等安全工作，完善监督检查、应急处置、消防救援等工作机制，防止重特大事故发生。指导文化和旅游经营单位、公共文化单位、文物保护单位落实安全生产主体责任。</w:t>
      </w:r>
    </w:p>
    <w:p w14:paraId="4B511F16">
      <w:pPr>
        <w:pStyle w:val="2"/>
        <w:keepNext/>
        <w:keepLines w:val="0"/>
        <w:pageBreakBefore w:val="0"/>
        <w:widowControl w:val="0"/>
        <w:numPr>
          <w:ilvl w:val="-1"/>
          <w:numId w:val="0"/>
        </w:numPr>
        <w:kinsoku/>
        <w:wordWrap/>
        <w:overflowPunct/>
        <w:topLinePunct w:val="0"/>
        <w:autoSpaceDE/>
        <w:autoSpaceDN/>
        <w:bidi w:val="0"/>
        <w:adjustRightInd/>
        <w:snapToGrid/>
        <w:spacing w:before="400" w:after="200" w:line="560" w:lineRule="exact"/>
        <w:ind w:left="0" w:leftChars="0" w:firstLine="0" w:firstLineChars="0"/>
        <w:jc w:val="center"/>
        <w:textAlignment w:val="auto"/>
        <w:rPr>
          <w:rFonts w:hint="eastAsia" w:ascii="方正小标宋简体" w:hAnsi="方正小标宋简体" w:eastAsia="方正小标宋简体" w:cs="方正小标宋简体"/>
          <w:b w:val="0"/>
          <w:bCs/>
          <w:color w:val="auto"/>
          <w:sz w:val="36"/>
          <w:szCs w:val="36"/>
          <w:highlight w:val="none"/>
          <w:lang w:val="en-US" w:eastAsia="zh-CN"/>
        </w:rPr>
      </w:pPr>
      <w:bookmarkStart w:id="316" w:name="_Toc29154"/>
      <w:bookmarkStart w:id="317" w:name="_Toc1977178491"/>
      <w:bookmarkStart w:id="318" w:name="_Toc1395962254"/>
      <w:bookmarkStart w:id="319" w:name="_Toc1691038110"/>
      <w:bookmarkStart w:id="320" w:name="_Toc19226"/>
      <w:bookmarkStart w:id="321" w:name="_Toc1447338304"/>
      <w:bookmarkStart w:id="322" w:name="_Toc21438"/>
      <w:bookmarkStart w:id="323" w:name="_Toc828497614"/>
      <w:bookmarkStart w:id="324" w:name="_Toc1178635125"/>
      <w:bookmarkStart w:id="325" w:name="_Toc8109"/>
      <w:bookmarkStart w:id="326" w:name="_Toc390099678"/>
      <w:bookmarkStart w:id="327" w:name="_Toc1206426001"/>
      <w:bookmarkStart w:id="328" w:name="_Toc9693"/>
      <w:bookmarkStart w:id="329" w:name="_Toc15687"/>
      <w:bookmarkStart w:id="330" w:name="_Toc1010257830"/>
      <w:bookmarkStart w:id="331" w:name="_Toc1753410809"/>
      <w:bookmarkStart w:id="332" w:name="_Toc682431101"/>
      <w:bookmarkStart w:id="333" w:name="_Toc14401"/>
      <w:bookmarkStart w:id="334" w:name="_Toc1075431609"/>
      <w:bookmarkStart w:id="335" w:name="_Toc290"/>
      <w:bookmarkStart w:id="336" w:name="_Toc1430049943"/>
      <w:bookmarkStart w:id="337" w:name="_Toc295219540"/>
      <w:bookmarkStart w:id="338" w:name="_Toc891"/>
      <w:bookmarkStart w:id="339" w:name="_Toc11397"/>
      <w:bookmarkStart w:id="340" w:name="_Toc29041"/>
      <w:r>
        <w:rPr>
          <w:rFonts w:hint="eastAsia" w:ascii="方正小标宋简体" w:hAnsi="方正小标宋简体" w:eastAsia="方正小标宋简体" w:cs="方正小标宋简体"/>
          <w:b w:val="0"/>
          <w:bCs/>
          <w:color w:val="auto"/>
          <w:sz w:val="36"/>
          <w:szCs w:val="36"/>
          <w:highlight w:val="none"/>
          <w:lang w:val="en-US" w:eastAsia="zh-CN"/>
        </w:rPr>
        <w:t>第四章  聚力工业强县，构建现代化工业产业体系</w:t>
      </w:r>
      <w:bookmarkEnd w:id="316"/>
      <w:bookmarkEnd w:id="317"/>
    </w:p>
    <w:p w14:paraId="3C5CF5A0">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lang w:val="en-US" w:eastAsia="zh-CN"/>
        </w:rPr>
        <w:t>坚定不移实施“工业强县”战略，按照产业链式发展路径，以资源换产业、以园区聚产业，打造绿色肉制品、钙基新材料（石材）两个百亿级产业，发展生物医药、现代物流两个重点产业，积极培育壮大新兴产业和未来产业，推动三产深度融合发展，夯实石林产业园区作为经济发展主战场、产业培育集聚区作用，打造产业聚集高地，推动工业规模扩张与能级提升。到2030年，工业总产值突破200亿元。</w:t>
      </w:r>
    </w:p>
    <w:p w14:paraId="363DCCF2">
      <w:pPr>
        <w:keepNext/>
        <w:keepLines w:val="0"/>
        <w:pageBreakBefore w:val="0"/>
        <w:widowControl w:val="0"/>
        <w:numPr>
          <w:ilvl w:val="-1"/>
          <w:numId w:val="0"/>
        </w:numPr>
        <w:kinsoku/>
        <w:wordWrap/>
        <w:overflowPunct/>
        <w:topLinePunct w:val="0"/>
        <w:autoSpaceDE/>
        <w:autoSpaceDN/>
        <w:bidi w:val="0"/>
        <w:adjustRightInd/>
        <w:snapToGrid/>
        <w:spacing w:before="0" w:line="510" w:lineRule="exact"/>
        <w:ind w:left="0" w:leftChars="0" w:firstLineChars="0"/>
        <w:jc w:val="center"/>
        <w:textAlignment w:val="auto"/>
        <w:outlineLvl w:val="1"/>
        <w:rPr>
          <w:rFonts w:hint="default" w:ascii="宋体" w:hAnsi="宋体" w:eastAsia="方正黑体_GBK" w:cs="Times New Roman Regular"/>
          <w:b w:val="0"/>
          <w:bCs/>
          <w:color w:val="auto"/>
          <w:sz w:val="32"/>
          <w:szCs w:val="32"/>
          <w:highlight w:val="none"/>
          <w:lang w:val="en-US" w:eastAsia="zh-CN"/>
        </w:rPr>
      </w:pPr>
      <w:bookmarkStart w:id="341" w:name="_Toc276944559"/>
      <w:bookmarkStart w:id="342" w:name="_Toc8236"/>
      <w:r>
        <w:rPr>
          <w:rFonts w:hint="default" w:ascii="宋体" w:hAnsi="宋体" w:eastAsia="方正黑体_GBK" w:cs="Times New Roman Regular"/>
          <w:b w:val="0"/>
          <w:bCs/>
          <w:color w:val="auto"/>
          <w:sz w:val="32"/>
          <w:szCs w:val="32"/>
          <w:highlight w:val="none"/>
          <w:lang w:val="en-US" w:eastAsia="zh-CN"/>
        </w:rPr>
        <w:t>第</w:t>
      </w:r>
      <w:r>
        <w:rPr>
          <w:rFonts w:hint="eastAsia" w:ascii="宋体" w:hAnsi="宋体" w:eastAsia="方正黑体_GBK" w:cs="Times New Roman Regular"/>
          <w:b w:val="0"/>
          <w:bCs/>
          <w:color w:val="auto"/>
          <w:sz w:val="32"/>
          <w:szCs w:val="32"/>
          <w:highlight w:val="none"/>
          <w:lang w:val="en-US" w:eastAsia="zh-CN"/>
        </w:rPr>
        <w:t>一</w:t>
      </w:r>
      <w:r>
        <w:rPr>
          <w:rFonts w:hint="default" w:ascii="宋体" w:hAnsi="宋体" w:eastAsia="方正黑体_GBK" w:cs="Times New Roman Regular"/>
          <w:b w:val="0"/>
          <w:bCs/>
          <w:color w:val="auto"/>
          <w:sz w:val="32"/>
          <w:szCs w:val="32"/>
          <w:highlight w:val="none"/>
          <w:lang w:val="en-US" w:eastAsia="zh-CN"/>
        </w:rPr>
        <w:t>节</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Cs/>
          <w:color w:val="auto"/>
          <w:sz w:val="32"/>
          <w:szCs w:val="32"/>
          <w:highlight w:val="none"/>
        </w:rPr>
        <w:t>打造百亿级高原绿色肉制品产业</w:t>
      </w:r>
      <w:bookmarkEnd w:id="341"/>
      <w:bookmarkEnd w:id="342"/>
    </w:p>
    <w:p w14:paraId="31ADCC43">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围绕打造一个百亿级绿色肉制品产业园，推动全产业延链补链强链，打造上中下游联动发展、融合共进、提质增效的产业链，建成云南省最大的、面向南亚东南亚的肉制品加工基地，真正实现从“传统养殖大县”向“绿色食品强县”转型。到2030年，</w:t>
      </w:r>
      <w:r>
        <w:rPr>
          <w:rFonts w:hint="eastAsia"/>
        </w:rPr>
        <w:t>肉制品</w:t>
      </w:r>
      <w:r>
        <w:rPr>
          <w:rFonts w:hint="eastAsia"/>
          <w:lang w:val="en-US" w:eastAsia="zh-CN"/>
        </w:rPr>
        <w:t>产业规模力争突破100亿元。</w:t>
      </w:r>
    </w:p>
    <w:p w14:paraId="0E4EF0A6">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一、壮大绿色肉制品产业集群</w:t>
      </w:r>
    </w:p>
    <w:p w14:paraId="70B11E0E">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聚焦“上游养殖端转型提升、中游加工端大抓招商、下游流通端强化配套”，强化龙头企业引领带动，持续推动全产业延链补链强链，构建“养殖—屠宰—加工—运输—销售”闭环体系。坚持生态化、规范化、规模化、品牌化发展方向，推进规模化生猪养殖场、禽类养殖基地建设，提升科学养殖、良种繁育、疫病防控等水平，推动单产提升、品质提优、效益提高，为绿色肉制品产业发展提供稳定优质的原料保障。围绕链主企业，着力吸引具备核心技术与成熟渠道的优质企业落地扎根，大力发展低温肉制品、营养餐、旅游休闲食品等精深加工产品，持续扩大产业规模、延伸产业链条。完善屠宰厂、肉制品、食品包装、鲜冻品及冷链物流运输的配套服务，开设“石林肉品”旗舰店，搭建“石林肉品”溯源平台，推动产运销一体化运作，不断扩大“石林肉制品”知名度和影响力。</w:t>
      </w:r>
    </w:p>
    <w:p w14:paraId="56FD13E6">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二、做强特色农产品加工产业</w:t>
      </w:r>
    </w:p>
    <w:p w14:paraId="7E5DEA0C">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立足石林高原特色农业优势，以“精深加工、特色发展、品牌赋能”为导向，升级农产品加工体系。依托水果、蔬菜、花卉等种植基地，引进果汁、果干、鲜菜、酱菜等技术先进的精深加工企业，夯实果蔬产业链，构建“从田间到餐桌”全链条生态，发展优质米、净菜、浓缩果汁等产品，加速酱菜、鲜榨果蔬汁等即食休闲食品特色化发展。推动饮品、休闲食品、调味食品、旅游食品、包装等配套产业向特色化、一体化发展，打造高原特色农产品品牌，补齐产业链上下游配套。锚定人参果、腐乳、乳饼等地标产品，建标准、塑品牌，通过展销会、电商等推广。以“旅游+食品”融合，布局景区特色食品店，推动地标产品转型旅游休闲食品，打造滇中知名生产加工基地。实施企业培育计划，靶向引进国内食品百强企业，支持本土中小微企业升级设备、创新技术，培育发展一批规模以上绿色食品企业。</w:t>
      </w:r>
    </w:p>
    <w:p w14:paraId="40302F87">
      <w:pPr>
        <w:keepNext/>
        <w:keepLines w:val="0"/>
        <w:pageBreakBefore w:val="0"/>
        <w:widowControl w:val="0"/>
        <w:numPr>
          <w:ilvl w:val="-1"/>
          <w:numId w:val="0"/>
        </w:numPr>
        <w:kinsoku/>
        <w:wordWrap/>
        <w:overflowPunct/>
        <w:topLinePunct w:val="0"/>
        <w:autoSpaceDE/>
        <w:autoSpaceDN/>
        <w:bidi w:val="0"/>
        <w:adjustRightInd/>
        <w:snapToGrid/>
        <w:spacing w:line="520" w:lineRule="exact"/>
        <w:ind w:left="0" w:leftChars="0" w:firstLineChars="0"/>
        <w:jc w:val="center"/>
        <w:textAlignment w:val="auto"/>
        <w:outlineLvl w:val="1"/>
        <w:rPr>
          <w:rFonts w:hint="default" w:ascii="宋体" w:hAnsi="宋体" w:eastAsia="方正黑体_GBK" w:cs="Times New Roman Regular"/>
          <w:b w:val="0"/>
          <w:bCs/>
          <w:color w:val="auto"/>
          <w:sz w:val="32"/>
          <w:szCs w:val="32"/>
          <w:highlight w:val="none"/>
          <w:lang w:val="en-US" w:eastAsia="zh-CN"/>
        </w:rPr>
      </w:pPr>
      <w:bookmarkStart w:id="343" w:name="_Toc22778"/>
      <w:bookmarkStart w:id="344" w:name="_Toc1010140064"/>
      <w:r>
        <w:rPr>
          <w:rFonts w:hint="default" w:ascii="宋体" w:hAnsi="宋体" w:eastAsia="方正黑体_GBK" w:cs="Times New Roman Regular"/>
          <w:b w:val="0"/>
          <w:bCs/>
          <w:color w:val="auto"/>
          <w:sz w:val="32"/>
          <w:szCs w:val="32"/>
          <w:highlight w:val="none"/>
          <w:lang w:val="en-US" w:eastAsia="zh-CN"/>
        </w:rPr>
        <w:t>第</w:t>
      </w:r>
      <w:r>
        <w:rPr>
          <w:rFonts w:hint="eastAsia" w:ascii="宋体" w:hAnsi="宋体" w:eastAsia="方正黑体_GBK" w:cs="Times New Roman Regular"/>
          <w:b w:val="0"/>
          <w:bCs/>
          <w:color w:val="auto"/>
          <w:sz w:val="32"/>
          <w:szCs w:val="32"/>
          <w:highlight w:val="none"/>
          <w:lang w:val="en-US" w:eastAsia="zh-CN"/>
        </w:rPr>
        <w:t>二</w:t>
      </w:r>
      <w:r>
        <w:rPr>
          <w:rFonts w:hint="default" w:ascii="宋体" w:hAnsi="宋体" w:eastAsia="方正黑体_GBK" w:cs="Times New Roman Regular"/>
          <w:b w:val="0"/>
          <w:bCs/>
          <w:color w:val="auto"/>
          <w:sz w:val="32"/>
          <w:szCs w:val="32"/>
          <w:highlight w:val="none"/>
          <w:lang w:val="en-US" w:eastAsia="zh-CN"/>
        </w:rPr>
        <w:t>节</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Cs/>
          <w:color w:val="auto"/>
          <w:sz w:val="32"/>
          <w:szCs w:val="32"/>
          <w:highlight w:val="none"/>
        </w:rPr>
        <w:t>打造百亿级钙基新材料（石材）产业</w:t>
      </w:r>
      <w:bookmarkEnd w:id="343"/>
      <w:bookmarkEnd w:id="344"/>
    </w:p>
    <w:p w14:paraId="085D36EB">
      <w:pPr>
        <w:keepNext/>
        <w:keepLines w:val="0"/>
        <w:pageBreakBefore w:val="0"/>
        <w:widowControl w:val="0"/>
        <w:kinsoku/>
        <w:wordWrap/>
        <w:overflowPunct/>
        <w:topLinePunct w:val="0"/>
        <w:autoSpaceDE/>
        <w:autoSpaceDN/>
        <w:bidi w:val="0"/>
        <w:adjustRightInd/>
        <w:snapToGrid/>
        <w:spacing w:line="524" w:lineRule="exact"/>
        <w:textAlignment w:val="auto"/>
        <w:rPr>
          <w:rFonts w:hint="eastAsia"/>
          <w:lang w:val="en-US" w:eastAsia="zh-CN"/>
        </w:rPr>
      </w:pPr>
      <w:r>
        <w:rPr>
          <w:rFonts w:hint="eastAsia"/>
          <w:lang w:val="en-US" w:eastAsia="zh-CN"/>
        </w:rPr>
        <w:t>充分挖掘石材特色资源禀赋，积极开辟重钙、轻钙“两条赛道”，构建“矿山开采—天然石材及工艺品—碳酸钙固废综合利用—碳酸钙粉体—人造岗石—复合新材料”产业链，推动石材产业由建材向工业原料、“工业粮食”转变。到2030年，培育规上企业20家以上，其中年产值超5亿元龙头企业3-5家，基本形成钙基新材料配套产业集群，钙基新材料（石材）产业总产值力争突破100亿元。</w:t>
      </w:r>
    </w:p>
    <w:p w14:paraId="3E43F509">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一、推动传统石材产业转型升级</w:t>
      </w:r>
    </w:p>
    <w:p w14:paraId="61088463">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以精深加工为突破、转型升级为路径，全面提升石材产业核心竞争力，打响“石林石材”品牌。按照“关闭一批、保留一批、提升一批、适当新建一批”要求，推动矿山全面整合、转型升级。探索矿山所有权新型模式，提升矿山运营效益，实现资源高效利用。创新开采模式与加工工艺，推行“开采与加工剥离”管理，实现矿山统一有序开采、生产加工集中入园，推动石材产业由“小散弱乱”向“专精特优”发展。推进云南石林石材特色产业园、新型建材智慧产业园提质增效，积极发展新型建材。聚焦高附加值产品研发，推动金刚石、玄武岩、彩玉等资源开发升级，丰富新型建材产品矩阵。创新产业发展模式，激活品牌价值，探索设立“石文化创意中心”，推动石材产品从建材向艺术品、收藏品升级，推动石材与旅游消费有机融合，打造“石林造”区域品牌。</w:t>
      </w:r>
    </w:p>
    <w:p w14:paraId="5525F209">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二、积极发展钙基新材料（石材）产业</w:t>
      </w:r>
    </w:p>
    <w:p w14:paraId="78F6D86B">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按照“精准识矿、以矿定链、以链招商、创新强链”发展思路，坚持重钙与轻钙并举，以“强龙头、补链条、聚集群”为抓手，加快石材和钙基新材料产业新旧动能转换，打造石林县石材和钙基新材料产业园区，形成“一矿两园”钙基新材料产业区域布局，推动产业从“原料供给型”向“高附加值产业集群型”转型。加快推动现有企业转型升级引导本地石材加工企业从单一石材加工向钙粉、钙制品等高端产品生产延伸，提升产品附加值。紧盯产业链上中下游，招引龙头企业，针对轻质钙产品技术门槛高、附加值高的特点，重点对接国内行业龙头企业开展招商；针对重质钙产品应用广泛、市场需求大的特点，适度吸纳技术先进、环保达标的中小企业，做精做强重钙产业。积极承接产业转移，大力引进密封胶、塑料、涂料、橡胶、油墨、食品医药、新型建筑材料等下游产业链项目，创新发展食品、药品、日化添加剂等碳酸钙关联产品，推动碳酸钙精细化、功能化、系列化利用开发。建立协同创新机制，探索“研究院+产业园+企业”联动发展模式，加强与广西科学院开展科研合作，为产业发展提供技术赋能。</w:t>
      </w:r>
    </w:p>
    <w:p w14:paraId="7F2AB51D">
      <w:pPr>
        <w:keepNext/>
        <w:keepLines w:val="0"/>
        <w:pageBreakBefore w:val="0"/>
        <w:widowControl w:val="0"/>
        <w:numPr>
          <w:ilvl w:val="-1"/>
          <w:numId w:val="0"/>
        </w:numPr>
        <w:kinsoku/>
        <w:wordWrap/>
        <w:overflowPunct/>
        <w:topLinePunct w:val="0"/>
        <w:autoSpaceDE/>
        <w:autoSpaceDN/>
        <w:bidi w:val="0"/>
        <w:adjustRightInd/>
        <w:snapToGrid/>
        <w:spacing w:line="520" w:lineRule="exact"/>
        <w:ind w:left="0" w:leftChars="0" w:firstLineChars="0"/>
        <w:jc w:val="center"/>
        <w:textAlignment w:val="auto"/>
        <w:outlineLvl w:val="1"/>
        <w:rPr>
          <w:rFonts w:hint="default" w:ascii="宋体" w:hAnsi="宋体" w:eastAsia="方正黑体_GBK" w:cs="Times New Roman Regular"/>
          <w:b w:val="0"/>
          <w:bCs/>
          <w:color w:val="auto"/>
          <w:sz w:val="32"/>
          <w:szCs w:val="32"/>
          <w:highlight w:val="none"/>
          <w:lang w:val="en-US" w:eastAsia="zh-CN"/>
        </w:rPr>
      </w:pPr>
      <w:bookmarkStart w:id="345" w:name="_Toc7676"/>
      <w:bookmarkStart w:id="346" w:name="_Toc1565826113"/>
      <w:r>
        <w:rPr>
          <w:rFonts w:hint="default" w:ascii="宋体" w:hAnsi="宋体" w:eastAsia="方正黑体_GBK" w:cs="Times New Roman Regular"/>
          <w:b w:val="0"/>
          <w:bCs/>
          <w:color w:val="auto"/>
          <w:sz w:val="32"/>
          <w:szCs w:val="32"/>
          <w:highlight w:val="none"/>
          <w:lang w:val="en-US" w:eastAsia="zh-CN"/>
        </w:rPr>
        <w:t>第</w:t>
      </w:r>
      <w:r>
        <w:rPr>
          <w:rFonts w:hint="eastAsia" w:ascii="宋体" w:hAnsi="宋体" w:eastAsia="方正黑体_GBK" w:cs="Times New Roman Regular"/>
          <w:b w:val="0"/>
          <w:bCs/>
          <w:color w:val="auto"/>
          <w:sz w:val="32"/>
          <w:szCs w:val="32"/>
          <w:highlight w:val="none"/>
          <w:lang w:val="en-US" w:eastAsia="zh-CN"/>
        </w:rPr>
        <w:t>三</w:t>
      </w:r>
      <w:r>
        <w:rPr>
          <w:rFonts w:hint="default" w:ascii="宋体" w:hAnsi="宋体" w:eastAsia="方正黑体_GBK" w:cs="Times New Roman Regular"/>
          <w:b w:val="0"/>
          <w:bCs/>
          <w:color w:val="auto"/>
          <w:sz w:val="32"/>
          <w:szCs w:val="32"/>
          <w:highlight w:val="none"/>
          <w:lang w:val="en-US" w:eastAsia="zh-CN"/>
        </w:rPr>
        <w:t>节</w:t>
      </w:r>
      <w:r>
        <w:rPr>
          <w:rFonts w:hint="eastAsia" w:ascii="宋体" w:hAnsi="宋体" w:eastAsia="方正黑体_GBK" w:cs="Times New Roman Regular"/>
          <w:b w:val="0"/>
          <w:bCs/>
          <w:color w:val="auto"/>
          <w:sz w:val="32"/>
          <w:szCs w:val="32"/>
          <w:highlight w:val="none"/>
          <w:lang w:val="en-US" w:eastAsia="zh-CN"/>
        </w:rPr>
        <w:t xml:space="preserve">  </w:t>
      </w:r>
      <w:r>
        <w:rPr>
          <w:rFonts w:hint="default" w:ascii="宋体" w:hAnsi="宋体" w:eastAsia="方正黑体_GBK" w:cs="Times New Roman Regular"/>
          <w:bCs/>
          <w:color w:val="auto"/>
          <w:sz w:val="32"/>
          <w:szCs w:val="32"/>
          <w:highlight w:val="none"/>
        </w:rPr>
        <w:t>发展壮大生物医药与现代物流两大重点优势产业</w:t>
      </w:r>
      <w:bookmarkEnd w:id="345"/>
      <w:bookmarkEnd w:id="346"/>
    </w:p>
    <w:p w14:paraId="0E23E62B">
      <w:pPr>
        <w:keepNext/>
        <w:keepLines w:val="0"/>
        <w:pageBreakBefore w:val="0"/>
        <w:widowControl w:val="0"/>
        <w:kinsoku/>
        <w:wordWrap/>
        <w:overflowPunct/>
        <w:topLinePunct w:val="0"/>
        <w:autoSpaceDE/>
        <w:autoSpaceDN/>
        <w:bidi w:val="0"/>
        <w:adjustRightInd/>
        <w:snapToGrid/>
        <w:spacing w:line="526" w:lineRule="exact"/>
        <w:textAlignment w:val="auto"/>
        <w:rPr>
          <w:rFonts w:hint="eastAsia"/>
          <w:lang w:val="en-US" w:eastAsia="zh-CN"/>
        </w:rPr>
      </w:pPr>
      <w:r>
        <w:rPr>
          <w:rFonts w:hint="eastAsia"/>
          <w:lang w:val="en-US" w:eastAsia="zh-CN"/>
        </w:rPr>
        <w:t>立足林生物医药产业基础和区位交通优势，发展壮大以微藻产业为代表的生物医药产业集群，培育发展现代物流业，加速推动两大优势产业发展能级跃升。到2030年，形成覆盖上游养殖、中游提取与精深加工、下游高附加值产品研发、生产、销售于一体的微藻产业完整产业链，力争生物医药产业规模达20亿元以上，全县现代物流产业规模突破10亿元。</w:t>
      </w:r>
    </w:p>
    <w:p w14:paraId="6C5F1500">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一、壮大发展生物医药产业</w:t>
      </w:r>
    </w:p>
    <w:p w14:paraId="47A223B9">
      <w:pPr>
        <w:keepNext/>
        <w:keepLines w:val="0"/>
        <w:pageBreakBefore w:val="0"/>
        <w:widowControl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lang w:val="en-US" w:eastAsia="zh-CN"/>
        </w:rPr>
        <w:t>瞄准生物技术药、现代中药及民族药、天然健康产品三大方向，坚持研发、转化与制造并重，培育医药企业，推动生物医药产业集群发展。大力发展微藻产业，推动云微藻产业园建设，加强藻类养殖与加工技术创新，推动雨生红球藻干燥加工、虾青素油乙醇提取、二氧化碳超临界萃取等项目落地，延伸虾青素产业链至下游抗衰、抗老保健品、化妆品，加大虾青素、蓝莓、药食同源产品的研究及开发应用力度，提高产业链附加值，打造“西南藻类产业高地”。积极对接昆明市及周边地区制药企业需求，建设石斛、三七、云党参等药材标准化种植基地，创新发展中药饮片、配方颗粒、中药提取物。推进石林生物医药产业园、生物医药研发及康养中心建设，深入开发民间特色民族药方与民族药院内制剂，助力全县旅居产业发展。探索发展医疗器械产业，积极引进家用医疗检测器械、医疗康复器械、养老养护及慢性病服务器械等生产企业。</w:t>
      </w:r>
    </w:p>
    <w:p w14:paraId="58FA401C">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二、培育发展现代物流业</w:t>
      </w:r>
    </w:p>
    <w:p w14:paraId="45714BD2">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抢抓昆明市入选全国第二批现代商贸流通体系试点城市机遇，依托“五高两铁一专”现代交通体系，促进“公转铁”联运，积极发展冷链物流、大宗物流，促进物流和产业融合发展，发展壮大现代物流业。加快构建石林县“3133N”流通体系，推进石林南站物流园、石林宜耐站物流园、石林七角塘物流园区建设，服务本地绿色食品、钙基新材料（石材）、生物医药等产业需求。积极承接昆明主城区物流功能外溢，与王家营、阳宗海、师宗货运枢纽形成互补，主动承接泸西电解铝物料等大宗货运物流，推动物流与产业协同发展。推动农产品冷链物流与城乡协同配送体系建设，推进冷库、粮食仓储加工项目建设，发展“生鲜电商+冷链宅配”“中央厨房+食材冷链配送”等冷链物流新模式。完善县—乡—村物流体系，积极推进智慧、绿色技术应用。培育发展本土物流龙头企业，支持骨干物流企业做大做强，积极开展多式联运示范工程建设，加强应急物流保障能力建设，鼓励发展第三方物流、专业化物流和网络货运等新业态，助推“云品出滇”。</w:t>
      </w:r>
    </w:p>
    <w:p w14:paraId="2CB114FD">
      <w:pPr>
        <w:pStyle w:val="3"/>
        <w:keepNext/>
        <w:keepLines w:val="0"/>
        <w:pageBreakBefore w:val="0"/>
        <w:widowControl w:val="0"/>
        <w:kinsoku/>
        <w:wordWrap/>
        <w:overflowPunct/>
        <w:topLinePunct w:val="0"/>
        <w:autoSpaceDE/>
        <w:autoSpaceDN/>
        <w:bidi w:val="0"/>
        <w:adjustRightInd/>
        <w:snapToGrid/>
        <w:spacing w:before="0" w:beforeLines="0" w:after="0" w:afterLines="0" w:line="520" w:lineRule="exact"/>
        <w:jc w:val="center"/>
        <w:textAlignment w:val="auto"/>
        <w:rPr>
          <w:rFonts w:hint="eastAsia" w:ascii="宋体" w:hAnsi="宋体" w:eastAsia="黑体" w:cs="黑体"/>
          <w:b w:val="0"/>
          <w:bCs/>
          <w:color w:val="auto"/>
          <w:sz w:val="32"/>
          <w:szCs w:val="24"/>
          <w:highlight w:val="yellow"/>
          <w:u w:val="none"/>
          <w:lang w:val="en-US" w:eastAsia="zh-CN"/>
        </w:rPr>
      </w:pPr>
      <w:bookmarkStart w:id="347" w:name="_Toc4450"/>
      <w:bookmarkStart w:id="348" w:name="_Toc1574870853"/>
      <w:r>
        <w:rPr>
          <w:rFonts w:hint="eastAsia" w:ascii="宋体" w:hAnsi="宋体" w:eastAsia="黑体" w:cs="黑体"/>
          <w:b w:val="0"/>
          <w:bCs/>
          <w:color w:val="auto"/>
          <w:sz w:val="32"/>
          <w:szCs w:val="24"/>
          <w:highlight w:val="none"/>
          <w:u w:val="none"/>
          <w:lang w:val="en-US" w:eastAsia="zh-CN"/>
        </w:rPr>
        <w:t>第</w:t>
      </w:r>
      <w:r>
        <w:rPr>
          <w:rFonts w:hint="eastAsia" w:ascii="宋体" w:hAnsi="宋体" w:cs="黑体"/>
          <w:b w:val="0"/>
          <w:bCs/>
          <w:color w:val="auto"/>
          <w:sz w:val="32"/>
          <w:szCs w:val="24"/>
          <w:highlight w:val="none"/>
          <w:u w:val="none"/>
          <w:lang w:val="en-US" w:eastAsia="zh-CN"/>
        </w:rPr>
        <w:t>四</w:t>
      </w:r>
      <w:r>
        <w:rPr>
          <w:rFonts w:hint="eastAsia" w:ascii="宋体" w:hAnsi="宋体" w:eastAsia="黑体" w:cs="黑体"/>
          <w:b w:val="0"/>
          <w:bCs/>
          <w:color w:val="auto"/>
          <w:sz w:val="32"/>
          <w:szCs w:val="24"/>
          <w:highlight w:val="none"/>
          <w:u w:val="none"/>
          <w:lang w:val="en-US" w:eastAsia="zh-CN"/>
        </w:rPr>
        <w:t>节</w:t>
      </w:r>
      <w:r>
        <w:rPr>
          <w:rFonts w:hint="eastAsia" w:ascii="宋体" w:hAnsi="宋体" w:cs="黑体"/>
          <w:b w:val="0"/>
          <w:bCs/>
          <w:color w:val="auto"/>
          <w:sz w:val="32"/>
          <w:szCs w:val="24"/>
          <w:highlight w:val="none"/>
          <w:u w:val="none"/>
          <w:lang w:val="en-US" w:eastAsia="zh-CN"/>
        </w:rPr>
        <w:t xml:space="preserve">  培育壮大新兴产业和未来产业</w:t>
      </w:r>
      <w:bookmarkEnd w:id="347"/>
      <w:bookmarkEnd w:id="348"/>
    </w:p>
    <w:p w14:paraId="2FADDD30">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依托东西部联动、对口支援等平台，立足石林喀斯特地貌资源、绿电能源禀赋、特色产业基础，以新质生产力培育为核心，聚焦低空经济、数字经济、新兴制造方向，强化前瞻谋划、场景赋能、要素保障，打造县域经济增长新引擎。</w:t>
      </w:r>
    </w:p>
    <w:p w14:paraId="167C4C05">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一、积极发展低空经济</w:t>
      </w:r>
    </w:p>
    <w:p w14:paraId="1A12E4BB">
      <w:pPr>
        <w:keepNext/>
        <w:keepLines w:val="0"/>
        <w:pageBreakBefore w:val="0"/>
        <w:widowControl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rPr>
        <w:t>深耕低空经济</w:t>
      </w:r>
      <w:r>
        <w:rPr>
          <w:rFonts w:hint="eastAsia"/>
          <w:lang w:val="en-US" w:eastAsia="zh-CN"/>
        </w:rPr>
        <w:t>领域</w:t>
      </w:r>
      <w:r>
        <w:rPr>
          <w:rFonts w:hint="eastAsia"/>
        </w:rPr>
        <w:t>，</w:t>
      </w:r>
      <w:r>
        <w:rPr>
          <w:rFonts w:hint="eastAsia"/>
          <w:lang w:val="en-US" w:eastAsia="zh-CN"/>
        </w:rPr>
        <w:t>加强招商引资，</w:t>
      </w:r>
      <w:r>
        <w:rPr>
          <w:rFonts w:hint="eastAsia"/>
        </w:rPr>
        <w:t>构建“旅游+物流+政务”多元应用生态</w:t>
      </w:r>
      <w:r>
        <w:rPr>
          <w:rFonts w:hint="eastAsia"/>
          <w:lang w:eastAsia="zh-CN"/>
        </w:rPr>
        <w:t>。</w:t>
      </w:r>
      <w:r>
        <w:rPr>
          <w:rFonts w:hint="eastAsia"/>
          <w:lang w:val="en-US" w:eastAsia="zh-CN"/>
        </w:rPr>
        <w:t>发挥好国家级航模飞行营地资源优势，积极推动A1类通用机场建设，打造云南省首家集低空旅游、航空应急救援为一体的低空文旅小镇。做强低空旅游品牌，规划“石林景区—大叠水瀑布—圭山森林公园”低空观光精品航线，开发空中游览、直升机俯瞰喀斯特峰林等特色产品；联合宜良、弥勒等周边县（市、区），打造“跨区域低空旅游环线”，培育“低空研学+户外探险”复合业态。拓展“低空+物流”应用场景，推出“山货出山”等低空物流服务。推进“低空+政务服务”，在市政管理、应急救援、农业发展等领域推出无人机应用。</w:t>
      </w:r>
    </w:p>
    <w:p w14:paraId="6B6C7EE5">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二、培育发展数字经济产业</w:t>
      </w:r>
    </w:p>
    <w:p w14:paraId="740C9B23">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以“数字赋能产业、智能提升服务”为主线，加快数字技术与一二三产深度融合，构建具有石林特色的数字经济生态。推进产业数字化转型，农业领域重点建设人参果、蔬菜等智慧种植示范基地，部署物联网传感器、无人机巡田系统，实现墒情、病虫害等数据实时监测，搭建“从田间到餐桌”全链条溯源平台；工业领域积极推动钙基新材料（石材）、绿色肉制品产业数字化改造，引入智能生产线、无人车间，建立生产过程数字化管控体系，提升产品质量稳定性；文旅领域依托“数字石林”建设升级“智慧景区”系统，推广无感支付、人脸识别入园，开发阿诗玛文化数字藏品、喀斯特地貌AR互动导览，打造“线上云游+线下沉浸”双重体验。推动数字服务提质升级，推动生活性服务业数字化，培育本地生活服务平台，整合餐饮住宿、旅居预订、农产品直销等资源，促进线上线下融合发展；搭建“数字旅居”服务体系，为旅居人群提供智慧医疗预约、社区数字化管理、远程办公配套等服务。</w:t>
      </w:r>
    </w:p>
    <w:p w14:paraId="2A95A358">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三、积极招引新兴制造产业</w:t>
      </w:r>
    </w:p>
    <w:p w14:paraId="38169AEB">
      <w:pPr>
        <w:keepNext/>
        <w:keepLines w:val="0"/>
        <w:pageBreakBefore w:val="0"/>
        <w:widowControl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lang w:val="en-US" w:eastAsia="zh-CN"/>
        </w:rPr>
        <w:t>紧抓东中部产业转移机遇，以“绿电+先进制造”为方向，积极招引龙头企业，培育发展新兴制造产业集群。依托石林绿色能源（光伏、风电）产能，主动承接高低压输配电成套设备、低空飞行器零部件、新能源装备配件等“绿电适配型”制造业项目；围绕钙基新材料、绿色肉制品产业，引进数字化包装设备、智能加工装备等配套制造企业，完善产业链上下游协同。布局新型储能产业，利用石漠化闲置土地，推进“光伏+储能”一体化项目建设，培育储能电池组装、储能系统集成等产业；探索“绿电储能+工业用能”模式，为钙基新材料、生物医药等产业提供稳定绿电供应，降低企业用能成本。</w:t>
      </w:r>
    </w:p>
    <w:p w14:paraId="7BC5C464">
      <w:pPr>
        <w:pStyle w:val="3"/>
        <w:keepNext/>
        <w:keepLines w:val="0"/>
        <w:pageBreakBefore w:val="0"/>
        <w:widowControl w:val="0"/>
        <w:numPr>
          <w:ilvl w:val="-1"/>
          <w:numId w:val="0"/>
        </w:numPr>
        <w:kinsoku/>
        <w:wordWrap/>
        <w:overflowPunct/>
        <w:topLinePunct w:val="0"/>
        <w:autoSpaceDE/>
        <w:autoSpaceDN/>
        <w:bidi w:val="0"/>
        <w:adjustRightInd/>
        <w:snapToGrid/>
        <w:spacing w:before="0" w:beforeLines="0" w:after="0" w:afterLines="0" w:line="520" w:lineRule="exact"/>
        <w:ind w:left="0" w:leftChars="0" w:firstLine="0" w:firstLineChars="0"/>
        <w:jc w:val="center"/>
        <w:textAlignment w:val="auto"/>
        <w:rPr>
          <w:rFonts w:hint="eastAsia" w:ascii="宋体" w:hAnsi="宋体" w:eastAsia="黑体" w:cs="黑体"/>
          <w:b w:val="0"/>
          <w:bCs/>
          <w:color w:val="auto"/>
          <w:sz w:val="32"/>
          <w:szCs w:val="24"/>
          <w:highlight w:val="none"/>
          <w:u w:val="none"/>
          <w:lang w:val="en-US" w:eastAsia="zh-CN"/>
        </w:rPr>
      </w:pPr>
      <w:bookmarkStart w:id="349" w:name="_Toc1118477096"/>
      <w:bookmarkStart w:id="350" w:name="_Toc32225"/>
      <w:r>
        <w:rPr>
          <w:rFonts w:hint="eastAsia" w:ascii="宋体" w:hAnsi="宋体" w:eastAsia="黑体" w:cs="黑体"/>
          <w:b w:val="0"/>
          <w:bCs/>
          <w:color w:val="auto"/>
          <w:sz w:val="32"/>
          <w:szCs w:val="24"/>
          <w:highlight w:val="none"/>
          <w:u w:val="none"/>
          <w:lang w:val="en-US" w:eastAsia="zh-CN"/>
        </w:rPr>
        <w:t>第</w:t>
      </w:r>
      <w:r>
        <w:rPr>
          <w:rFonts w:hint="eastAsia" w:ascii="宋体" w:hAnsi="宋体" w:cs="黑体"/>
          <w:b w:val="0"/>
          <w:bCs/>
          <w:color w:val="auto"/>
          <w:sz w:val="32"/>
          <w:szCs w:val="24"/>
          <w:highlight w:val="none"/>
          <w:u w:val="none"/>
          <w:lang w:val="en-US" w:eastAsia="zh-CN"/>
        </w:rPr>
        <w:t>五</w:t>
      </w:r>
      <w:r>
        <w:rPr>
          <w:rFonts w:hint="eastAsia" w:ascii="宋体" w:hAnsi="宋体" w:eastAsia="黑体" w:cs="黑体"/>
          <w:b w:val="0"/>
          <w:bCs/>
          <w:color w:val="auto"/>
          <w:sz w:val="32"/>
          <w:szCs w:val="24"/>
          <w:highlight w:val="none"/>
          <w:u w:val="none"/>
          <w:lang w:val="en-US" w:eastAsia="zh-CN"/>
        </w:rPr>
        <w:t>节</w:t>
      </w:r>
      <w:r>
        <w:rPr>
          <w:rFonts w:hint="eastAsia" w:ascii="宋体" w:hAnsi="宋体" w:cs="黑体"/>
          <w:b w:val="0"/>
          <w:bCs/>
          <w:color w:val="auto"/>
          <w:sz w:val="32"/>
          <w:szCs w:val="24"/>
          <w:highlight w:val="none"/>
          <w:u w:val="none"/>
          <w:lang w:val="en-US" w:eastAsia="zh-CN"/>
        </w:rPr>
        <w:t xml:space="preserve">  </w:t>
      </w:r>
      <w:bookmarkEnd w:id="349"/>
      <w:r>
        <w:rPr>
          <w:rFonts w:hint="eastAsia" w:ascii="宋体" w:hAnsi="宋体" w:cs="黑体"/>
          <w:b w:val="0"/>
          <w:bCs/>
          <w:color w:val="auto"/>
          <w:sz w:val="32"/>
          <w:szCs w:val="24"/>
          <w:highlight w:val="none"/>
          <w:u w:val="none"/>
          <w:lang w:val="en-US" w:eastAsia="zh-CN"/>
        </w:rPr>
        <w:t>着力打造全省特色产业发展高地</w:t>
      </w:r>
      <w:bookmarkEnd w:id="350"/>
    </w:p>
    <w:p w14:paraId="682BD463">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贯彻落实省委、省政府“四抓五聚”要求，按照“2371”发展思路，锚定绿色肉制品及钙基新材料（石材）2个百亿级产业发展目标，搭好招商引资、项目建设、综合服务3个工作平台，深入实施打基础、做规划、谋产业、强招商、推项目、优服务、擅改革7项举措，努力将园区打造成为石林经济增长的“主引擎”。到2030年，石林产业园区工业总产值力争突破200亿元。</w:t>
      </w:r>
    </w:p>
    <w:p w14:paraId="67E8A825">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一、培育壮大园区产业集群</w:t>
      </w:r>
    </w:p>
    <w:p w14:paraId="3C031865">
      <w:pPr>
        <w:keepNext/>
        <w:keepLines w:val="0"/>
        <w:pageBreakBefore w:val="0"/>
        <w:widowControl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lang w:eastAsia="zh-CN"/>
        </w:rPr>
        <w:t>持续</w:t>
      </w:r>
      <w:r>
        <w:rPr>
          <w:rFonts w:hint="eastAsia"/>
          <w:lang w:val="en-US" w:eastAsia="zh-CN"/>
        </w:rPr>
        <w:t>优化园区</w:t>
      </w:r>
      <w:r>
        <w:rPr>
          <w:rFonts w:hint="eastAsia"/>
          <w:lang w:eastAsia="zh-CN"/>
        </w:rPr>
        <w:t>空间布局，推动</w:t>
      </w:r>
      <w:r>
        <w:rPr>
          <w:rFonts w:hint="eastAsia"/>
          <w:lang w:val="en-US" w:eastAsia="zh-CN"/>
        </w:rPr>
        <w:t>片区间、园区与县城</w:t>
      </w:r>
      <w:r>
        <w:rPr>
          <w:rFonts w:hint="eastAsia"/>
          <w:lang w:eastAsia="zh-CN"/>
        </w:rPr>
        <w:t>协调联动发展，</w:t>
      </w:r>
      <w:r>
        <w:rPr>
          <w:rFonts w:hint="eastAsia"/>
          <w:lang w:val="en-US" w:eastAsia="zh-CN"/>
        </w:rPr>
        <w:t>推动产城融合发展</w:t>
      </w:r>
      <w:r>
        <w:rPr>
          <w:rFonts w:hint="eastAsia"/>
          <w:lang w:eastAsia="zh-CN"/>
        </w:rPr>
        <w:t>。全面优化产业布局，按照“龙头牵引、全产业链延伸、优势集聚”的思路，</w:t>
      </w:r>
      <w:r>
        <w:rPr>
          <w:rFonts w:hint="eastAsia"/>
          <w:lang w:val="en-US" w:eastAsia="zh-CN"/>
        </w:rPr>
        <w:t>做活做大现有企业，全产业链发展壮大绿色肉制品、钙基新材料（石材）、生物医药及现代物流产业等产业集群。依托全县花卉资源及“永生花研发中心”，集聚发展永生花加工贸易。强化招商引资，绘好产业链“全景图”和招商“前景图”，建好石林产业园区重点“项目库”和关联“客商库”，全力推进以商建园、以园招商、以商招商。重点招引肉制品多元化、特色化、差异化精深加工和高品质、高附加值特色产品研发生产企业，轻钙加工及下游企业。积极承接中东部产业转移，培育和引进生物医药低空经济、先进装备制造等产业发展。</w:t>
      </w:r>
    </w:p>
    <w:p w14:paraId="0B02FF0B">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二、完善园区基础设施建设</w:t>
      </w:r>
    </w:p>
    <w:p w14:paraId="17AF76E4">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eastAsia="zh-CN"/>
        </w:rPr>
        <w:t>按照“七通一平”建设标准，进一步补齐园区基础设施短板，</w:t>
      </w:r>
      <w:r>
        <w:rPr>
          <w:rFonts w:hint="eastAsia"/>
          <w:lang w:val="en-US" w:eastAsia="zh-CN"/>
        </w:rPr>
        <w:t>加快推进云香路北延线及支线、石林县第三污水处理厂、石林产业园区冷链物流中心建设，积极争取建设园区铁路专用线，完善园区水、电、路、燃气及充电桩等基础设施，不断提升园区承载能力。有序推进节能降碳改造，加快培育一批绿色工厂，积极推动零碳园区建设。创新园区合作共建机制，加强与昆明主城区园区开展科技合作，推动与磨憨共建“园中园”，加快建设肉制品产业园、钙基新材料（石材）、云微藻产业园、现代物流产业园4个精品“园中园”，探索“共建协作”“飞地经济”多种发展模式，持续拓宽沪滇协作、台商合作新空间。</w:t>
      </w:r>
    </w:p>
    <w:p w14:paraId="2E033B81">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三、完善管理运营体制机制</w:t>
      </w:r>
    </w:p>
    <w:p w14:paraId="5B7B27B4">
      <w:pPr>
        <w:keepNext/>
        <w:keepLines w:val="0"/>
        <w:pageBreakBefore w:val="0"/>
        <w:widowControl w:val="0"/>
        <w:kinsoku/>
        <w:wordWrap/>
        <w:overflowPunct/>
        <w:topLinePunct w:val="0"/>
        <w:autoSpaceDE/>
        <w:autoSpaceDN/>
        <w:bidi w:val="0"/>
        <w:adjustRightInd/>
        <w:snapToGrid/>
        <w:spacing w:line="524" w:lineRule="exact"/>
        <w:textAlignment w:val="auto"/>
        <w:rPr>
          <w:rFonts w:hint="eastAsia"/>
          <w:lang w:val="en-US" w:eastAsia="zh-CN"/>
        </w:rPr>
      </w:pPr>
      <w:r>
        <w:rPr>
          <w:rFonts w:hint="eastAsia"/>
          <w:lang w:val="en-US" w:eastAsia="zh-CN"/>
        </w:rPr>
        <w:t>聚焦园区产业发展、政策落地、招商引资和企业服务等主业主责，全面完成社会事务剥离，稳步移交属地乡镇（街道）。持续深化园区管理体制改革，有序推进园区政企分离、管运分开，提升精准服务企业效能。探索推行“小管委会+大公司”管理运营模式，加快推进市场化运营。稳步推进开发边界内剩余土地的成片开发，着力破解园区历史遗留问题，加强园区闲置用地管理，加快盘活园区闲置厂房和土地，有序推进“腾笼换鸟”。树牢“亩产论英雄”理念，提高亩均效益，建立健全综合评价机制，引导低效企业转型升级。</w:t>
      </w:r>
    </w:p>
    <w:p w14:paraId="02E7A0D5">
      <w:pPr>
        <w:pStyle w:val="3"/>
        <w:keepNext/>
        <w:keepLines w:val="0"/>
        <w:pageBreakBefore w:val="0"/>
        <w:widowControl w:val="0"/>
        <w:numPr>
          <w:ilvl w:val="-1"/>
          <w:numId w:val="0"/>
        </w:numPr>
        <w:kinsoku/>
        <w:wordWrap/>
        <w:overflowPunct/>
        <w:topLinePunct w:val="0"/>
        <w:autoSpaceDE/>
        <w:autoSpaceDN/>
        <w:bidi w:val="0"/>
        <w:adjustRightInd/>
        <w:snapToGrid/>
        <w:spacing w:before="0" w:beforeLines="0" w:after="0" w:afterLines="0" w:line="520" w:lineRule="exact"/>
        <w:jc w:val="center"/>
        <w:textAlignment w:val="auto"/>
        <w:rPr>
          <w:rFonts w:hint="eastAsia" w:ascii="宋体" w:hAnsi="宋体" w:eastAsia="黑体" w:cs="黑体"/>
          <w:b w:val="0"/>
          <w:bCs/>
          <w:color w:val="auto"/>
          <w:sz w:val="32"/>
          <w:szCs w:val="24"/>
          <w:highlight w:val="none"/>
          <w:u w:val="none"/>
          <w:lang w:val="en-US" w:eastAsia="zh-CN"/>
        </w:rPr>
      </w:pPr>
      <w:bookmarkStart w:id="351" w:name="_Toc1320190281"/>
      <w:bookmarkStart w:id="352" w:name="_Toc31363"/>
      <w:r>
        <w:rPr>
          <w:rFonts w:hint="eastAsia" w:ascii="宋体" w:hAnsi="宋体" w:eastAsia="黑体" w:cs="黑体"/>
          <w:b w:val="0"/>
          <w:bCs/>
          <w:color w:val="auto"/>
          <w:sz w:val="32"/>
          <w:szCs w:val="24"/>
          <w:highlight w:val="none"/>
          <w:u w:val="none"/>
          <w:lang w:val="en-US" w:eastAsia="zh-CN"/>
        </w:rPr>
        <w:t>第</w:t>
      </w:r>
      <w:r>
        <w:rPr>
          <w:rFonts w:hint="eastAsia" w:ascii="宋体" w:hAnsi="宋体" w:cs="黑体"/>
          <w:b w:val="0"/>
          <w:bCs/>
          <w:color w:val="auto"/>
          <w:sz w:val="32"/>
          <w:szCs w:val="24"/>
          <w:highlight w:val="none"/>
          <w:u w:val="none"/>
          <w:lang w:val="en-US" w:eastAsia="zh-CN"/>
        </w:rPr>
        <w:t>六</w:t>
      </w:r>
      <w:r>
        <w:rPr>
          <w:rFonts w:hint="eastAsia" w:ascii="宋体" w:hAnsi="宋体" w:eastAsia="黑体" w:cs="黑体"/>
          <w:b w:val="0"/>
          <w:bCs/>
          <w:color w:val="auto"/>
          <w:sz w:val="32"/>
          <w:szCs w:val="24"/>
          <w:highlight w:val="none"/>
          <w:u w:val="none"/>
          <w:lang w:val="en-US" w:eastAsia="zh-CN"/>
        </w:rPr>
        <w:t>节</w:t>
      </w:r>
      <w:r>
        <w:rPr>
          <w:rFonts w:hint="eastAsia" w:ascii="宋体" w:hAnsi="宋体" w:cs="黑体"/>
          <w:b w:val="0"/>
          <w:bCs/>
          <w:color w:val="auto"/>
          <w:sz w:val="32"/>
          <w:szCs w:val="24"/>
          <w:highlight w:val="none"/>
          <w:u w:val="none"/>
          <w:lang w:val="en-US" w:eastAsia="zh-CN"/>
        </w:rPr>
        <w:t xml:space="preserve">  </w:t>
      </w:r>
      <w:r>
        <w:rPr>
          <w:rFonts w:hint="eastAsia" w:ascii="宋体" w:hAnsi="宋体" w:eastAsia="黑体" w:cs="黑体"/>
          <w:b w:val="0"/>
          <w:bCs/>
          <w:color w:val="auto"/>
          <w:sz w:val="32"/>
          <w:szCs w:val="24"/>
          <w:highlight w:val="none"/>
          <w:u w:val="none"/>
          <w:lang w:val="en-US" w:eastAsia="zh-CN"/>
        </w:rPr>
        <w:t>深化</w:t>
      </w:r>
      <w:r>
        <w:rPr>
          <w:rFonts w:hint="eastAsia" w:ascii="宋体" w:hAnsi="宋体" w:cs="黑体"/>
          <w:b w:val="0"/>
          <w:bCs/>
          <w:color w:val="auto"/>
          <w:sz w:val="32"/>
          <w:szCs w:val="24"/>
          <w:highlight w:val="none"/>
          <w:u w:val="none"/>
          <w:lang w:val="en-US" w:eastAsia="zh-CN"/>
        </w:rPr>
        <w:t>三产</w:t>
      </w:r>
      <w:r>
        <w:rPr>
          <w:rFonts w:hint="eastAsia" w:ascii="宋体" w:hAnsi="宋体" w:eastAsia="黑体" w:cs="黑体"/>
          <w:b w:val="0"/>
          <w:bCs/>
          <w:color w:val="auto"/>
          <w:sz w:val="32"/>
          <w:szCs w:val="24"/>
          <w:highlight w:val="none"/>
          <w:u w:val="none"/>
          <w:lang w:val="en-US" w:eastAsia="zh-CN"/>
        </w:rPr>
        <w:t>融合发展</w:t>
      </w:r>
      <w:bookmarkEnd w:id="351"/>
      <w:bookmarkEnd w:id="352"/>
    </w:p>
    <w:p w14:paraId="2C33F400">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坚持以资源定产业、以市场为导向，以产业链延伸、价值链提升为目标，打破产业壁垒，深化产业跨界融合与优势互补，全面提升产业协同增效水平，形成“一产夯实基础、二产提质增效、三产引领带动”的协同发展格局。</w:t>
      </w:r>
    </w:p>
    <w:p w14:paraId="4DAB9953">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一、推动产业纵向延伸拓展价值空间</w:t>
      </w:r>
    </w:p>
    <w:p w14:paraId="0DAA5FE9">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立足石林特色农业基底与工业发展基础，推动产业从“生产端”向“消费端”全链条延伸升级。依托人参果、蓝莓、花卉等特色农产品资源，健全“种植—加工—销售—体验”全产业链体系，重点推进农产品精深加工，开发高附加值衍生产品，提升农产品溢价能力。加快低温肉制品加工项目投产达效，丰富绿色食品产品矩阵，延伸观赏石材“开采—加工—文创—展销”产业链条，培育特色工业产品集群。以石林世界自然遗产为核心引擎，联动乡村民俗、非遗文化等资源，打造“观光—体验—康养”一体化业态。精准对接市场需求，立足资源禀赋短板主动补位，重点培育数字文旅、药食同源康养、绿色冷链物流等新兴业态，弥补传统产业局限，构建多元支撑的产业发展格局。</w:t>
      </w:r>
    </w:p>
    <w:p w14:paraId="6C889FD4">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二、推动产业横向融合构建协同生态</w:t>
      </w:r>
    </w:p>
    <w:p w14:paraId="3B2381CB">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聚焦“三产联动、业态融合”核心方向，打造一批集种植采摘、农事体验、工业观光、科普教育于一体的复合型产业体验项目。鼓励生物医药龙头企业开放生产车间，打造工业旅游体验基地，直观展示微藻养殖、虾青素等健康产品生产全过程，推动“工业产品”向“文旅商品”转化升级。依托绿色食品加工企业，建设特色食品体验工坊，设置游客参与式制作、品鉴互动环节，让消费者深度参与产业链下游环节，延伸产业价值链条。创新跨界营销模式，打破产业营销壁垒，构建“多产业联动、多渠道协同”的整合营销体系，深度整合文旅IP、农业品牌、工业产品等资源，开发“石林文旅+特色农产品”“工业文创+阿诗玛非遗”等联名产品，借助节庆活动、展会平台、线上渠道开展联合推广，提升石林产业整体影响力。</w:t>
      </w:r>
    </w:p>
    <w:p w14:paraId="424DDE41">
      <w:pPr>
        <w:keepNext/>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2"/>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三、深化现代服务业支撑</w:t>
      </w:r>
    </w:p>
    <w:p w14:paraId="7B8AFA5A">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推动生产性服务业向专业化和价值链高端延伸，为三产融合发展提供坚实支撑。重点培育发展研发设计、法律服务、金融服务、科技服务、咨询中介等生产性服务业态，围绕石材加工、生物医药、人参果等特色产业，引入省内外知名咨询机构，搭建覆盖企业商务对接、资本运作、人力资源优化的专业化服务平台。发挥石林县电商公共服务中心引领作用，深化网端、网点、网商、网络、网货“五网”联动机制，健全组织保障、公共服务、主体培育、物流配送、品牌营销“五体系”建设，积极培育内容电商、直播电商等，拓宽特色农产品、文旅文创产品销售渠道。优化金融服务供给，探索鼓励社会力量参与设立产业发展基金；深化“银企对接”常态化机制，创新“供应链金融+特色产业”服务模式，精准对接中小企业融资需求，有效缓解融资难题。</w:t>
      </w:r>
      <w:bookmarkStart w:id="353" w:name="_Toc1367742249"/>
      <w:bookmarkStart w:id="354" w:name="_Toc807471594"/>
      <w:bookmarkStart w:id="355" w:name="_Toc1288367446"/>
      <w:bookmarkStart w:id="356" w:name="_Toc397"/>
      <w:bookmarkStart w:id="357" w:name="_Toc1735"/>
      <w:bookmarkStart w:id="358" w:name="_Toc666433547"/>
      <w:bookmarkStart w:id="359" w:name="_Toc1909155854"/>
      <w:bookmarkStart w:id="360" w:name="_Toc2057970377"/>
      <w:bookmarkStart w:id="361" w:name="_Toc1270114763"/>
      <w:bookmarkStart w:id="362" w:name="_Toc15275"/>
      <w:bookmarkStart w:id="363" w:name="_Toc637011963"/>
      <w:bookmarkStart w:id="364" w:name="_Toc1121372428"/>
      <w:bookmarkStart w:id="365" w:name="_Toc14079"/>
      <w:bookmarkStart w:id="366" w:name="_Toc19971"/>
      <w:bookmarkStart w:id="367" w:name="_Toc436028383"/>
    </w:p>
    <w:p w14:paraId="34FECEAF">
      <w:pPr>
        <w:keepNext/>
        <w:keepLines w:val="0"/>
        <w:pageBreakBefore w:val="0"/>
        <w:widowControl w:val="0"/>
        <w:kinsoku/>
        <w:wordWrap/>
        <w:overflowPunct/>
        <w:topLinePunct w:val="0"/>
        <w:autoSpaceDE/>
        <w:autoSpaceDN/>
        <w:bidi w:val="0"/>
        <w:adjustRightInd/>
        <w:snapToGrid/>
        <w:spacing w:before="400" w:after="200" w:line="560" w:lineRule="exact"/>
        <w:ind w:left="0" w:leftChars="0" w:firstLine="0" w:firstLineChars="0"/>
        <w:jc w:val="center"/>
        <w:textAlignment w:val="auto"/>
        <w:rPr>
          <w:rFonts w:hint="eastAsia" w:ascii="方正小标宋简体" w:hAnsi="方正小标宋简体" w:eastAsia="方正小标宋简体" w:cs="方正小标宋简体"/>
          <w:b w:val="0"/>
          <w:bCs/>
          <w:color w:val="auto"/>
          <w:kern w:val="44"/>
          <w:sz w:val="36"/>
          <w:szCs w:val="36"/>
          <w:highlight w:val="none"/>
          <w:lang w:val="en-US" w:eastAsia="zh-CN" w:bidi="ar-SA"/>
        </w:rPr>
      </w:pPr>
      <w:r>
        <w:rPr>
          <w:rFonts w:hint="eastAsia" w:ascii="方正小标宋简体" w:hAnsi="方正小标宋简体" w:eastAsia="方正小标宋简体" w:cs="方正小标宋简体"/>
          <w:b w:val="0"/>
          <w:bCs/>
          <w:color w:val="auto"/>
          <w:kern w:val="44"/>
          <w:sz w:val="36"/>
          <w:szCs w:val="36"/>
          <w:highlight w:val="none"/>
          <w:lang w:val="en-US" w:eastAsia="zh-CN" w:bidi="ar-SA"/>
        </w:rPr>
        <w:t>第五章  全面推进乡村振兴，加快农业农村现代化步伐</w:t>
      </w:r>
      <w:bookmarkEnd w:id="353"/>
      <w:bookmarkEnd w:id="354"/>
      <w:bookmarkEnd w:id="355"/>
      <w:bookmarkEnd w:id="356"/>
      <w:bookmarkEnd w:id="357"/>
      <w:bookmarkEnd w:id="358"/>
      <w:bookmarkEnd w:id="359"/>
      <w:bookmarkEnd w:id="360"/>
      <w:bookmarkEnd w:id="361"/>
      <w:bookmarkEnd w:id="362"/>
      <w:bookmarkEnd w:id="363"/>
    </w:p>
    <w:p w14:paraId="24309ED8">
      <w:pPr>
        <w:keepNext/>
        <w:keepLines w:val="0"/>
        <w:pageBreakBefore w:val="0"/>
        <w:widowControl w:val="0"/>
        <w:numPr>
          <w:ilvl w:val="-1"/>
          <w:numId w:val="0"/>
        </w:numPr>
        <w:kinsoku/>
        <w:wordWrap/>
        <w:overflowPunct/>
        <w:topLinePunct w:val="0"/>
        <w:autoSpaceDE/>
        <w:autoSpaceDN/>
        <w:bidi w:val="0"/>
        <w:adjustRightInd/>
        <w:snapToGrid w:val="0"/>
        <w:spacing w:line="512" w:lineRule="exact"/>
        <w:ind w:left="0" w:leftChars="0" w:firstLine="640" w:firstLineChars="200"/>
        <w:jc w:val="left"/>
        <w:textAlignment w:val="auto"/>
        <w:outlineLvl w:val="9"/>
        <w:rPr>
          <w:rFonts w:hint="default" w:ascii="宋体" w:hAnsi="宋体"/>
          <w:lang w:val="en-US" w:eastAsia="zh-CN"/>
        </w:rPr>
      </w:pPr>
      <w:r>
        <w:rPr>
          <w:rFonts w:hint="default" w:ascii="宋体" w:hAnsi="宋体"/>
          <w:lang w:val="en-US" w:eastAsia="zh-CN"/>
        </w:rPr>
        <w:t>以习近平总书记关于“三农”工作的重要论述为指导，实施“农业稳县”战略，坚持“一产往后延、二产两头连、三产走高端”思路，补短板、强弱项、扬优势，</w:t>
      </w:r>
      <w:r>
        <w:rPr>
          <w:rFonts w:hint="eastAsia" w:ascii="宋体" w:hAnsi="宋体"/>
        </w:rPr>
        <w:t>统筹推进乡村产业发展</w:t>
      </w:r>
      <w:r>
        <w:rPr>
          <w:rFonts w:hint="default" w:ascii="宋体" w:hAnsi="宋体"/>
          <w:lang w:eastAsia="zh-CN"/>
        </w:rPr>
        <w:t>、</w:t>
      </w:r>
      <w:r>
        <w:rPr>
          <w:rFonts w:hint="default" w:ascii="宋体" w:hAnsi="宋体"/>
          <w:lang w:val="en-US" w:eastAsia="zh-CN"/>
        </w:rPr>
        <w:t>拓宽农民增收途径，筑牢防返贫防线、</w:t>
      </w:r>
      <w:r>
        <w:rPr>
          <w:rFonts w:hint="eastAsia" w:ascii="宋体" w:hAnsi="宋体"/>
        </w:rPr>
        <w:t>稳固农业农村发展根基</w:t>
      </w:r>
      <w:r>
        <w:rPr>
          <w:rFonts w:hint="default" w:ascii="宋体" w:hAnsi="宋体"/>
          <w:lang w:eastAsia="zh-CN"/>
        </w:rPr>
        <w:t>，</w:t>
      </w:r>
      <w:r>
        <w:rPr>
          <w:rFonts w:hint="default" w:ascii="宋体" w:hAnsi="宋体"/>
          <w:lang w:val="en-US" w:eastAsia="zh-CN"/>
        </w:rPr>
        <w:t>提升农村人居环境、</w:t>
      </w:r>
      <w:r>
        <w:rPr>
          <w:rFonts w:hint="eastAsia" w:ascii="宋体" w:hAnsi="宋体"/>
        </w:rPr>
        <w:t>完善乡村基础</w:t>
      </w:r>
      <w:r>
        <w:rPr>
          <w:rFonts w:hint="default" w:ascii="宋体" w:hAnsi="宋体"/>
          <w:lang w:val="en-US" w:eastAsia="zh-CN"/>
        </w:rPr>
        <w:t>设施</w:t>
      </w:r>
      <w:r>
        <w:rPr>
          <w:rFonts w:hint="eastAsia" w:ascii="宋体" w:hAnsi="宋体"/>
        </w:rPr>
        <w:t>与公共服务</w:t>
      </w:r>
      <w:r>
        <w:rPr>
          <w:rFonts w:hint="default" w:ascii="宋体" w:hAnsi="宋体"/>
          <w:lang w:eastAsia="zh-CN"/>
        </w:rPr>
        <w:t>，</w:t>
      </w:r>
      <w:r>
        <w:rPr>
          <w:rFonts w:hint="default" w:ascii="宋体" w:hAnsi="宋体"/>
          <w:lang w:val="en-US" w:eastAsia="zh-CN"/>
        </w:rPr>
        <w:t>提升</w:t>
      </w:r>
      <w:r>
        <w:rPr>
          <w:rFonts w:hint="eastAsia" w:ascii="宋体" w:hAnsi="宋体"/>
        </w:rPr>
        <w:t>乡村</w:t>
      </w:r>
      <w:r>
        <w:rPr>
          <w:rFonts w:hint="default" w:ascii="宋体" w:hAnsi="宋体"/>
          <w:lang w:eastAsia="zh-CN"/>
        </w:rPr>
        <w:t>治理效能</w:t>
      </w:r>
      <w:r>
        <w:rPr>
          <w:rFonts w:hint="eastAsia" w:ascii="宋体" w:hAnsi="宋体"/>
        </w:rPr>
        <w:t>，加快农业农村现代化步伐，</w:t>
      </w:r>
      <w:r>
        <w:rPr>
          <w:rFonts w:hint="default" w:ascii="宋体" w:hAnsi="宋体"/>
          <w:lang w:val="en-US" w:eastAsia="zh-CN"/>
        </w:rPr>
        <w:t>推动乡村全面振兴</w:t>
      </w:r>
      <w:r>
        <w:rPr>
          <w:rFonts w:hint="eastAsia" w:ascii="宋体" w:hAnsi="宋体"/>
        </w:rPr>
        <w:t>。</w:t>
      </w:r>
      <w:r>
        <w:rPr>
          <w:rFonts w:hint="default" w:ascii="宋体" w:hAnsi="宋体"/>
          <w:lang w:val="en-US" w:eastAsia="zh-CN"/>
        </w:rPr>
        <w:t>到2030年，农业总产值力争突破120亿元。</w:t>
      </w:r>
    </w:p>
    <w:p w14:paraId="60F38641">
      <w:pPr>
        <w:keepNext/>
        <w:keepLines w:val="0"/>
        <w:pageBreakBefore w:val="0"/>
        <w:widowControl w:val="0"/>
        <w:numPr>
          <w:ilvl w:val="-1"/>
          <w:numId w:val="0"/>
        </w:numPr>
        <w:kinsoku/>
        <w:wordWrap/>
        <w:overflowPunct/>
        <w:topLinePunct w:val="0"/>
        <w:autoSpaceDE/>
        <w:autoSpaceDN/>
        <w:bidi w:val="0"/>
        <w:adjustRightInd/>
        <w:snapToGrid w:val="0"/>
        <w:spacing w:beforeAutospacing="0" w:afterAutospacing="0" w:line="512"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368" w:name="_Toc831370561"/>
      <w:bookmarkStart w:id="369" w:name="_Toc1621405324"/>
      <w:bookmarkStart w:id="370" w:name="_Toc7095"/>
      <w:bookmarkStart w:id="371" w:name="_Toc1225914965"/>
      <w:bookmarkStart w:id="372" w:name="_Toc22231"/>
      <w:bookmarkStart w:id="373" w:name="_Toc936507657"/>
      <w:bookmarkStart w:id="374" w:name="_Toc979021455"/>
      <w:bookmarkStart w:id="375" w:name="_Toc1054081846"/>
      <w:bookmarkStart w:id="376" w:name="_Toc514052221"/>
      <w:bookmarkStart w:id="377" w:name="_Toc1629268351"/>
      <w:bookmarkStart w:id="378" w:name="_Toc6842"/>
      <w:r>
        <w:rPr>
          <w:rFonts w:hint="eastAsia" w:ascii="宋体" w:hAnsi="宋体" w:eastAsia="黑体" w:cs="黑体"/>
          <w:b w:val="0"/>
          <w:bCs/>
          <w:color w:val="auto"/>
          <w:kern w:val="2"/>
          <w:sz w:val="32"/>
          <w:szCs w:val="24"/>
          <w:highlight w:val="none"/>
          <w:u w:val="none"/>
          <w:lang w:val="en-US" w:eastAsia="zh-CN" w:bidi="ar-SA"/>
        </w:rPr>
        <w:t>第一节  稳定发展高原特色农业</w:t>
      </w:r>
      <w:bookmarkEnd w:id="368"/>
      <w:bookmarkEnd w:id="369"/>
      <w:bookmarkEnd w:id="370"/>
      <w:bookmarkEnd w:id="371"/>
      <w:bookmarkEnd w:id="372"/>
      <w:bookmarkEnd w:id="373"/>
      <w:bookmarkEnd w:id="374"/>
      <w:bookmarkEnd w:id="375"/>
      <w:bookmarkEnd w:id="376"/>
      <w:bookmarkEnd w:id="377"/>
      <w:bookmarkEnd w:id="378"/>
    </w:p>
    <w:p w14:paraId="31E31513">
      <w:pPr>
        <w:keepNext/>
        <w:keepLines w:val="0"/>
        <w:pageBreakBefore w:val="0"/>
        <w:widowControl w:val="0"/>
        <w:numPr>
          <w:ilvl w:val="-1"/>
          <w:numId w:val="0"/>
        </w:numPr>
        <w:kinsoku/>
        <w:wordWrap/>
        <w:overflowPunct/>
        <w:topLinePunct w:val="0"/>
        <w:autoSpaceDE/>
        <w:autoSpaceDN/>
        <w:bidi w:val="0"/>
        <w:adjustRightInd/>
        <w:snapToGrid w:val="0"/>
        <w:spacing w:line="512" w:lineRule="exact"/>
        <w:ind w:left="0" w:leftChars="0" w:firstLine="640" w:firstLineChars="200"/>
        <w:jc w:val="left"/>
        <w:textAlignment w:val="auto"/>
        <w:outlineLvl w:val="9"/>
        <w:rPr>
          <w:rFonts w:hint="default" w:ascii="宋体" w:hAnsi="宋体" w:eastAsia="仿宋_GB2312" w:cs="Times New Roman Regular"/>
          <w:b w:val="0"/>
          <w:bCs w:val="0"/>
          <w:color w:val="auto"/>
          <w:szCs w:val="32"/>
          <w:highlight w:val="none"/>
          <w:u w:val="none" w:color="auto"/>
          <w:lang w:val="en-US" w:eastAsia="zh-CN"/>
        </w:rPr>
      </w:pPr>
      <w:r>
        <w:rPr>
          <w:rFonts w:hint="default" w:ascii="宋体" w:hAnsi="宋体"/>
          <w:lang w:val="en-US" w:eastAsia="zh-CN"/>
        </w:rPr>
        <w:t>聚焦</w:t>
      </w:r>
      <w:r>
        <w:rPr>
          <w:rFonts w:hint="eastAsia" w:ascii="宋体" w:hAnsi="宋体"/>
        </w:rPr>
        <w:t>“为工业提供原料、为旅游提供场景”，以百亿</w:t>
      </w:r>
      <w:r>
        <w:rPr>
          <w:rFonts w:hint="default" w:ascii="宋体" w:hAnsi="宋体"/>
          <w:lang w:val="en-US" w:eastAsia="zh-CN"/>
        </w:rPr>
        <w:t>级</w:t>
      </w:r>
      <w:r>
        <w:rPr>
          <w:rFonts w:hint="eastAsia" w:ascii="宋体" w:hAnsi="宋体"/>
        </w:rPr>
        <w:t>人参果产业为主导，积极发展蔬菜、花卉、家禽等特色产业</w:t>
      </w:r>
      <w:r>
        <w:rPr>
          <w:rFonts w:hint="eastAsia" w:ascii="宋体" w:hAnsi="宋体"/>
          <w:lang w:val="en-US" w:eastAsia="zh-CN"/>
        </w:rPr>
        <w:t>，</w:t>
      </w:r>
      <w:r>
        <w:rPr>
          <w:rFonts w:hint="eastAsia" w:ascii="宋体" w:hAnsi="宋体"/>
        </w:rPr>
        <w:t>推动种养殖、深加工上下游贯通，拓展农工文旅融合，持续</w:t>
      </w:r>
      <w:r>
        <w:rPr>
          <w:rFonts w:hint="default" w:ascii="宋体" w:hAnsi="宋体"/>
          <w:lang w:val="en-US" w:eastAsia="zh-CN"/>
        </w:rPr>
        <w:t>稳定</w:t>
      </w:r>
      <w:r>
        <w:rPr>
          <w:rFonts w:hint="eastAsia" w:ascii="宋体" w:hAnsi="宋体"/>
        </w:rPr>
        <w:t>高原特色农业发展</w:t>
      </w:r>
      <w:r>
        <w:rPr>
          <w:rFonts w:hint="eastAsia" w:ascii="宋体" w:hAnsi="宋体"/>
          <w:lang w:val="en-US" w:eastAsia="zh-CN"/>
        </w:rPr>
        <w:t>优势</w:t>
      </w:r>
      <w:r>
        <w:rPr>
          <w:rFonts w:hint="eastAsia" w:ascii="宋体" w:hAnsi="宋体"/>
        </w:rPr>
        <w:t>，</w:t>
      </w:r>
      <w:r>
        <w:rPr>
          <w:rFonts w:hint="eastAsia" w:ascii="宋体" w:hAnsi="宋体"/>
          <w:lang w:val="en-US" w:eastAsia="zh-CN"/>
        </w:rPr>
        <w:t>打造环城高效现代农业区</w:t>
      </w:r>
      <w:r>
        <w:rPr>
          <w:rFonts w:hint="default" w:ascii="宋体" w:hAnsi="宋体"/>
          <w:lang w:val="en-US" w:eastAsia="zh-CN"/>
        </w:rPr>
        <w:t>。</w:t>
      </w:r>
    </w:p>
    <w:p w14:paraId="2EAABFC8">
      <w:pPr>
        <w:keepNext/>
        <w:keepLines w:val="0"/>
        <w:pageBreakBefore w:val="0"/>
        <w:widowControl w:val="0"/>
        <w:numPr>
          <w:ilvl w:val="0"/>
          <w:numId w:val="2"/>
        </w:numPr>
        <w:kinsoku/>
        <w:wordWrap/>
        <w:overflowPunct/>
        <w:topLinePunct w:val="0"/>
        <w:autoSpaceDE/>
        <w:autoSpaceDN/>
        <w:bidi w:val="0"/>
        <w:adjustRightInd/>
        <w:snapToGrid w:val="0"/>
        <w:spacing w:line="512" w:lineRule="exact"/>
        <w:ind w:left="0" w:leftChars="0" w:firstLine="640" w:firstLineChars="200"/>
        <w:jc w:val="left"/>
        <w:textAlignment w:val="auto"/>
        <w:outlineLvl w:val="2"/>
        <w:rPr>
          <w:rFonts w:hint="eastAsia" w:ascii="宋体" w:hAnsi="宋体" w:eastAsia="楷体_GB2312" w:cs="楷体_GB2312"/>
          <w:b w:val="0"/>
          <w:bCs w:val="0"/>
          <w:color w:val="auto"/>
          <w:sz w:val="32"/>
          <w:szCs w:val="32"/>
          <w:highlight w:val="none"/>
          <w:u w:val="none" w:color="auto"/>
          <w:lang w:val="en-US" w:eastAsia="zh-CN"/>
        </w:rPr>
      </w:pPr>
      <w:r>
        <w:rPr>
          <w:rFonts w:hint="eastAsia" w:ascii="宋体" w:hAnsi="宋体" w:eastAsia="楷体_GB2312" w:cs="楷体_GB2312"/>
          <w:b w:val="0"/>
          <w:bCs w:val="0"/>
          <w:color w:val="auto"/>
          <w:sz w:val="32"/>
          <w:szCs w:val="32"/>
          <w:highlight w:val="none"/>
          <w:u w:val="none" w:color="auto"/>
          <w:lang w:val="en-US" w:eastAsia="zh-CN"/>
        </w:rPr>
        <w:t>夯实粮烟发展根基</w:t>
      </w:r>
    </w:p>
    <w:p w14:paraId="403647C0">
      <w:pPr>
        <w:keepNext/>
        <w:keepLines w:val="0"/>
        <w:pageBreakBefore w:val="0"/>
        <w:widowControl w:val="0"/>
        <w:numPr>
          <w:ilvl w:val="-1"/>
          <w:numId w:val="0"/>
        </w:numPr>
        <w:kinsoku/>
        <w:wordWrap/>
        <w:overflowPunct/>
        <w:topLinePunct w:val="0"/>
        <w:autoSpaceDE/>
        <w:autoSpaceDN/>
        <w:bidi w:val="0"/>
        <w:adjustRightInd/>
        <w:snapToGrid w:val="0"/>
        <w:spacing w:line="512" w:lineRule="exact"/>
        <w:ind w:left="0" w:leftChars="0" w:firstLine="640" w:firstLineChars="200"/>
        <w:jc w:val="both"/>
        <w:textAlignment w:val="auto"/>
        <w:outlineLvl w:val="9"/>
        <w:rPr>
          <w:rFonts w:hint="default" w:ascii="宋体" w:hAnsi="宋体"/>
          <w:lang w:val="en-US" w:eastAsia="zh-CN"/>
        </w:rPr>
      </w:pPr>
      <w:r>
        <w:rPr>
          <w:rFonts w:hint="eastAsia" w:ascii="宋体" w:hAnsi="宋体"/>
        </w:rPr>
        <w:t>严格落实粮食安全</w:t>
      </w:r>
      <w:r>
        <w:rPr>
          <w:rFonts w:hint="eastAsia" w:ascii="宋体" w:hAnsi="宋体"/>
          <w:lang w:eastAsia="zh-CN"/>
        </w:rPr>
        <w:t>“党政同责”</w:t>
      </w:r>
      <w:r>
        <w:rPr>
          <w:rFonts w:hint="eastAsia" w:ascii="宋体" w:hAnsi="宋体"/>
        </w:rPr>
        <w:t>，</w:t>
      </w:r>
      <w:r>
        <w:rPr>
          <w:rFonts w:hint="default" w:ascii="宋体" w:hAnsi="宋体"/>
          <w:lang w:val="en-US" w:eastAsia="zh-CN"/>
        </w:rPr>
        <w:t>坚决遏制</w:t>
      </w:r>
      <w:r>
        <w:rPr>
          <w:rFonts w:hint="eastAsia" w:ascii="宋体" w:hAnsi="宋体"/>
          <w:lang w:val="en-US" w:eastAsia="zh-CN"/>
        </w:rPr>
        <w:t>“</w:t>
      </w:r>
      <w:r>
        <w:rPr>
          <w:rFonts w:hint="default" w:ascii="宋体" w:hAnsi="宋体"/>
          <w:lang w:val="en-US" w:eastAsia="zh-CN"/>
        </w:rPr>
        <w:t>非农化</w:t>
      </w:r>
      <w:r>
        <w:rPr>
          <w:rFonts w:hint="eastAsia" w:ascii="宋体" w:hAnsi="宋体"/>
          <w:lang w:val="en-US" w:eastAsia="zh-CN"/>
        </w:rPr>
        <w:t>”</w:t>
      </w:r>
      <w:r>
        <w:rPr>
          <w:rFonts w:hint="default" w:ascii="宋体" w:hAnsi="宋体"/>
          <w:lang w:val="en-US" w:eastAsia="zh-CN"/>
        </w:rPr>
        <w:t>、有效防止</w:t>
      </w:r>
      <w:r>
        <w:rPr>
          <w:rFonts w:hint="eastAsia" w:ascii="宋体" w:hAnsi="宋体"/>
          <w:lang w:val="en-US" w:eastAsia="zh-CN"/>
        </w:rPr>
        <w:t>“</w:t>
      </w:r>
      <w:r>
        <w:rPr>
          <w:rFonts w:hint="default" w:ascii="宋体" w:hAnsi="宋体"/>
          <w:lang w:val="en-US" w:eastAsia="zh-CN"/>
        </w:rPr>
        <w:t>非粮化</w:t>
      </w:r>
      <w:r>
        <w:rPr>
          <w:rFonts w:hint="eastAsia" w:ascii="宋体" w:hAnsi="宋体"/>
          <w:lang w:val="en-US" w:eastAsia="zh-CN"/>
        </w:rPr>
        <w:t>”</w:t>
      </w:r>
      <w:r>
        <w:rPr>
          <w:rFonts w:hint="default" w:ascii="宋体" w:hAnsi="宋体"/>
          <w:lang w:val="en-US" w:eastAsia="zh-CN"/>
        </w:rPr>
        <w:t>，守牢耕地和永久基本农田保护红线。</w:t>
      </w:r>
      <w:r>
        <w:rPr>
          <w:rFonts w:hint="eastAsia" w:ascii="宋体" w:hAnsi="宋体"/>
          <w:lang w:val="en-US" w:eastAsia="zh-CN"/>
        </w:rPr>
        <w:t>落实藏粮于地、藏粮于技战略，树立大食物观，实施新一轮千亿斤粮食产能提升行动，稳定提升水稻、玉米、小麦等主粮生产，积极发展冬早玉米、冬马铃薯、小杂粮等特色作物，确保年粮食总产量稳定在15万吨以上。推广粮经套种、轮作和果粮间作等粮经协同模式。加大良种培育和推广，提高农业机械化作业水平，着力提高粮食单产。</w:t>
      </w:r>
      <w:r>
        <w:rPr>
          <w:rFonts w:hint="default" w:ascii="宋体" w:hAnsi="宋体"/>
          <w:lang w:val="en-US" w:eastAsia="zh-CN"/>
        </w:rPr>
        <w:t>巩固提升现代烟草农业，深化</w:t>
      </w:r>
      <w:r>
        <w:rPr>
          <w:rFonts w:hint="eastAsia" w:ascii="宋体" w:hAnsi="宋体"/>
          <w:lang w:val="en-US" w:eastAsia="zh-CN"/>
        </w:rPr>
        <w:t>“</w:t>
      </w:r>
      <w:r>
        <w:rPr>
          <w:rFonts w:hint="default" w:ascii="宋体" w:hAnsi="宋体"/>
          <w:lang w:val="en-US" w:eastAsia="zh-CN"/>
        </w:rPr>
        <w:t>政、工、商</w:t>
      </w:r>
      <w:r>
        <w:rPr>
          <w:rFonts w:hint="eastAsia" w:ascii="宋体" w:hAnsi="宋体"/>
          <w:lang w:val="en-US" w:eastAsia="zh-CN"/>
        </w:rPr>
        <w:t>”</w:t>
      </w:r>
      <w:r>
        <w:rPr>
          <w:rFonts w:hint="default" w:ascii="宋体" w:hAnsi="宋体"/>
          <w:lang w:val="en-US" w:eastAsia="zh-CN"/>
        </w:rPr>
        <w:t>合作，稳定核心烟区并优化烟叶种植布局，创新生产组织方式，强化烟草科技应用平台建设和引领作用，突出智能化、智慧化拓展应用，凸显先进管理和服务水平，彰显石林烟叶质量风格特色，形成工业需求旺盛局面；提升云产卷烟高端特色烟叶开发项目建设水平，探索与烟草工商企业在科研、培训和卷烟销售特色旅游终端等方面的开发应用，大力拓展产业链辐射联动功能。</w:t>
      </w:r>
      <w:r>
        <w:rPr>
          <w:rFonts w:hint="eastAsia" w:ascii="宋体" w:hAnsi="宋体"/>
          <w:lang w:val="en-US" w:eastAsia="zh-CN"/>
        </w:rPr>
        <w:t>力争烤烟种植面积稳定在12万亩以上，产值稳定在6亿元以上。</w:t>
      </w:r>
    </w:p>
    <w:p w14:paraId="60ECEC88">
      <w:pPr>
        <w:keepNext/>
        <w:keepLines w:val="0"/>
        <w:pageBreakBefore w:val="0"/>
        <w:widowControl w:val="0"/>
        <w:numPr>
          <w:ilvl w:val="0"/>
          <w:numId w:val="2"/>
        </w:numPr>
        <w:kinsoku/>
        <w:wordWrap/>
        <w:overflowPunct/>
        <w:topLinePunct w:val="0"/>
        <w:autoSpaceDE/>
        <w:autoSpaceDN/>
        <w:bidi w:val="0"/>
        <w:adjustRightInd/>
        <w:snapToGrid w:val="0"/>
        <w:spacing w:line="530" w:lineRule="exact"/>
        <w:ind w:left="0" w:leftChars="0" w:firstLine="640" w:firstLineChars="200"/>
        <w:jc w:val="left"/>
        <w:textAlignment w:val="auto"/>
        <w:outlineLvl w:val="2"/>
        <w:rPr>
          <w:rFonts w:hint="eastAsia" w:ascii="宋体" w:hAnsi="宋体" w:eastAsia="楷体_GB2312" w:cs="楷体_GB2312"/>
          <w:b w:val="0"/>
          <w:bCs w:val="0"/>
          <w:color w:val="auto"/>
          <w:sz w:val="32"/>
          <w:szCs w:val="32"/>
          <w:highlight w:val="none"/>
          <w:u w:val="none" w:color="auto"/>
          <w:lang w:val="en-US" w:eastAsia="zh-CN"/>
        </w:rPr>
      </w:pPr>
      <w:r>
        <w:rPr>
          <w:rFonts w:hint="eastAsia" w:ascii="宋体" w:hAnsi="宋体" w:eastAsia="楷体_GB2312" w:cs="楷体_GB2312"/>
          <w:b w:val="0"/>
          <w:bCs w:val="0"/>
          <w:color w:val="auto"/>
          <w:sz w:val="32"/>
          <w:szCs w:val="32"/>
          <w:highlight w:val="none"/>
          <w:u w:val="none" w:color="auto"/>
          <w:lang w:val="en-US" w:eastAsia="zh-CN"/>
        </w:rPr>
        <w:t>培育壮大百亿级人参果产业</w:t>
      </w:r>
    </w:p>
    <w:p w14:paraId="264E933C">
      <w:pPr>
        <w:keepNext/>
        <w:keepLines w:val="0"/>
        <w:pageBreakBefore w:val="0"/>
        <w:widowControl w:val="0"/>
        <w:numPr>
          <w:ilvl w:val="-1"/>
          <w:numId w:val="0"/>
        </w:numPr>
        <w:kinsoku/>
        <w:wordWrap/>
        <w:overflowPunct/>
        <w:topLinePunct w:val="0"/>
        <w:autoSpaceDE/>
        <w:autoSpaceDN/>
        <w:bidi w:val="0"/>
        <w:adjustRightInd w:val="0"/>
        <w:snapToGrid w:val="0"/>
        <w:spacing w:line="526" w:lineRule="exact"/>
        <w:ind w:left="0" w:leftChars="0" w:firstLine="640" w:firstLineChars="200"/>
        <w:jc w:val="left"/>
        <w:textAlignment w:val="auto"/>
        <w:outlineLvl w:val="9"/>
        <w:rPr>
          <w:rFonts w:hint="default" w:ascii="宋体" w:hAnsi="宋体" w:eastAsia="仿宋_GB2312" w:cs="Times New Roman Regular"/>
          <w:color w:val="auto"/>
          <w:sz w:val="32"/>
          <w:szCs w:val="32"/>
          <w:highlight w:val="none"/>
          <w:u w:val="none" w:color="auto"/>
          <w:lang w:val="en-US" w:eastAsia="zh-CN"/>
        </w:rPr>
      </w:pPr>
      <w:r>
        <w:rPr>
          <w:rFonts w:hint="eastAsia" w:ascii="宋体" w:hAnsi="宋体" w:eastAsia="仿宋_GB2312" w:cs="Times New Roman Regular"/>
          <w:color w:val="auto"/>
          <w:sz w:val="32"/>
          <w:szCs w:val="32"/>
          <w:highlight w:val="none"/>
          <w:u w:val="none" w:color="auto"/>
          <w:lang w:val="en-US" w:eastAsia="zh-CN"/>
        </w:rPr>
        <w:t>聚焦人参果“种、苗、管、销、链、统”环节和品牌价值维护，加快建设两基地、四中心、一平台、一协会，做到“种苗培育在县内，果品交易在县内，种植推广在县外，科技服务、市场在县外”，不断提升石林人参果品牌价值。以省级人参果种质基地建设为基础，争取创建国家级人参果种业基地、国家级人参果种植基地，形成以台创园为核心，西街口镇、圭山镇、长湖镇等为基地的“一园三片区”优质种苗供应格局。完善石林国际</w:t>
      </w:r>
      <w:r>
        <w:rPr>
          <w:rFonts w:hint="default" w:ascii="宋体" w:hAnsi="宋体" w:eastAsia="仿宋_GB2312" w:cs="Times New Roman Regular"/>
          <w:color w:val="auto"/>
          <w:sz w:val="32"/>
          <w:szCs w:val="32"/>
          <w:highlight w:val="none"/>
          <w:u w:val="none" w:color="auto"/>
          <w:lang w:val="en-US" w:eastAsia="zh-CN"/>
        </w:rPr>
        <w:t>人参果智慧交易中心</w:t>
      </w:r>
      <w:r>
        <w:rPr>
          <w:rFonts w:hint="eastAsia" w:ascii="宋体" w:hAnsi="宋体" w:eastAsia="仿宋_GB2312" w:cs="Times New Roman Regular"/>
          <w:color w:val="auto"/>
          <w:sz w:val="32"/>
          <w:szCs w:val="32"/>
          <w:highlight w:val="none"/>
          <w:u w:val="none" w:color="auto"/>
          <w:lang w:val="en-US" w:eastAsia="zh-CN"/>
        </w:rPr>
        <w:t>，引入远程交易系统，实现交易智能化、信息化管理；建立石林人参果</w:t>
      </w:r>
      <w:r>
        <w:rPr>
          <w:rFonts w:hint="default" w:ascii="宋体" w:hAnsi="宋体" w:eastAsia="仿宋_GB2312" w:cs="Times New Roman Regular"/>
          <w:color w:val="auto"/>
          <w:sz w:val="32"/>
          <w:szCs w:val="32"/>
          <w:highlight w:val="none"/>
          <w:u w:val="none" w:color="auto"/>
          <w:lang w:val="en-US" w:eastAsia="zh-CN"/>
        </w:rPr>
        <w:t>电商中心</w:t>
      </w:r>
      <w:r>
        <w:rPr>
          <w:rFonts w:hint="eastAsia" w:ascii="宋体" w:hAnsi="宋体" w:eastAsia="仿宋_GB2312" w:cs="Times New Roman Regular"/>
          <w:color w:val="auto"/>
          <w:sz w:val="32"/>
          <w:szCs w:val="32"/>
          <w:highlight w:val="none"/>
          <w:u w:val="none" w:color="auto"/>
          <w:lang w:val="en-US" w:eastAsia="zh-CN"/>
        </w:rPr>
        <w:t>，强化电商销售市场主体培育并依规入库纳统；建立石林人参果</w:t>
      </w:r>
      <w:r>
        <w:rPr>
          <w:rFonts w:hint="default" w:ascii="宋体" w:hAnsi="宋体" w:eastAsia="仿宋_GB2312" w:cs="Times New Roman Regular"/>
          <w:color w:val="auto"/>
          <w:sz w:val="32"/>
          <w:szCs w:val="32"/>
          <w:highlight w:val="none"/>
          <w:u w:val="none" w:color="auto"/>
          <w:lang w:val="en-US" w:eastAsia="zh-CN"/>
        </w:rPr>
        <w:t>生产资料服务中心</w:t>
      </w:r>
      <w:r>
        <w:rPr>
          <w:rFonts w:hint="eastAsia" w:ascii="宋体" w:hAnsi="宋体" w:eastAsia="仿宋_GB2312" w:cs="Times New Roman Regular"/>
          <w:color w:val="auto"/>
          <w:sz w:val="32"/>
          <w:szCs w:val="32"/>
          <w:highlight w:val="none"/>
          <w:u w:val="none" w:color="auto"/>
          <w:lang w:val="en-US" w:eastAsia="zh-CN"/>
        </w:rPr>
        <w:t>，统筹化肥、农药、农膜、农机具等资源，构建新型农技服务体系、农资监管服务体系和新农资研发服务体系；建立研发中心，加强与科研院所、高校合作，加大对人参果产品的研发，引进和培育人参果精深加工企业，推动人参果从初级农产品向高附加值商品转型。加快建设人参果服务平台，聚焦产业服务平台搭建、用工服务保障、科技队伍建设、宣传推介等，促进信息资源合理、高效配置，助推产业协同发展。依托人参果产业发展协会，深度整合资源，强化合作机制，传达政策信息，规范市场管理，反馈行业诉求，强化行业自律，创建人参果品牌，提升知名度、增强市场竞争力和占有率。到2030年，人参果种植面积达18万亩以上，带动全省种植面积超60万亩，总产值力争突破100亿元。</w:t>
      </w:r>
    </w:p>
    <w:p w14:paraId="6242BC3A">
      <w:pPr>
        <w:keepNext/>
        <w:keepLines w:val="0"/>
        <w:pageBreakBefore w:val="0"/>
        <w:widowControl w:val="0"/>
        <w:numPr>
          <w:ilvl w:val="0"/>
          <w:numId w:val="2"/>
        </w:numPr>
        <w:kinsoku/>
        <w:wordWrap/>
        <w:overflowPunct/>
        <w:topLinePunct w:val="0"/>
        <w:autoSpaceDE/>
        <w:autoSpaceDN/>
        <w:bidi w:val="0"/>
        <w:adjustRightInd/>
        <w:snapToGrid w:val="0"/>
        <w:spacing w:line="512" w:lineRule="exact"/>
        <w:ind w:left="0" w:leftChars="0" w:firstLine="640" w:firstLineChars="200"/>
        <w:jc w:val="left"/>
        <w:textAlignment w:val="auto"/>
        <w:outlineLvl w:val="2"/>
        <w:rPr>
          <w:rFonts w:hint="eastAsia" w:ascii="宋体" w:hAnsi="宋体" w:eastAsia="楷体_GB2312" w:cs="楷体_GB2312"/>
          <w:b w:val="0"/>
          <w:bCs w:val="0"/>
          <w:color w:val="auto"/>
          <w:sz w:val="32"/>
          <w:szCs w:val="32"/>
          <w:highlight w:val="none"/>
          <w:u w:val="none" w:color="auto"/>
          <w:lang w:val="en-US" w:eastAsia="zh-CN"/>
        </w:rPr>
      </w:pPr>
      <w:r>
        <w:rPr>
          <w:rFonts w:hint="eastAsia" w:ascii="宋体" w:hAnsi="宋体" w:eastAsia="楷体_GB2312" w:cs="楷体_GB2312"/>
          <w:b w:val="0"/>
          <w:bCs w:val="0"/>
          <w:color w:val="auto"/>
          <w:sz w:val="32"/>
          <w:szCs w:val="32"/>
          <w:highlight w:val="none"/>
          <w:u w:val="none" w:color="auto"/>
          <w:lang w:val="en-US" w:eastAsia="zh-CN"/>
        </w:rPr>
        <w:t>推进畜牧业提质升级</w:t>
      </w:r>
    </w:p>
    <w:p w14:paraId="4260E8CC">
      <w:pPr>
        <w:keepNext/>
        <w:keepLines w:val="0"/>
        <w:pageBreakBefore w:val="0"/>
        <w:widowControl w:val="0"/>
        <w:numPr>
          <w:ilvl w:val="-1"/>
          <w:numId w:val="0"/>
        </w:numPr>
        <w:kinsoku/>
        <w:wordWrap/>
        <w:overflowPunct/>
        <w:topLinePunct w:val="0"/>
        <w:autoSpaceDE/>
        <w:autoSpaceDN/>
        <w:bidi w:val="0"/>
        <w:adjustRightInd w:val="0"/>
        <w:snapToGrid w:val="0"/>
        <w:spacing w:line="520" w:lineRule="exact"/>
        <w:ind w:left="0" w:leftChars="0" w:firstLine="640" w:firstLineChars="200"/>
        <w:jc w:val="both"/>
        <w:textAlignment w:val="auto"/>
        <w:outlineLvl w:val="9"/>
        <w:rPr>
          <w:rFonts w:hint="default" w:ascii="宋体" w:hAnsi="宋体" w:eastAsia="仿宋_GB2312" w:cs="Times New Roman Regular"/>
          <w:color w:val="auto"/>
          <w:sz w:val="32"/>
          <w:szCs w:val="32"/>
          <w:highlight w:val="none"/>
          <w:u w:val="none" w:color="auto"/>
          <w:lang w:val="en-US" w:eastAsia="zh-CN"/>
        </w:rPr>
      </w:pPr>
      <w:r>
        <w:rPr>
          <w:rFonts w:hint="eastAsia" w:ascii="宋体" w:hAnsi="宋体" w:eastAsia="仿宋_GB2312" w:cs="Times New Roman Regular"/>
          <w:color w:val="auto"/>
          <w:sz w:val="32"/>
          <w:szCs w:val="32"/>
          <w:highlight w:val="none"/>
          <w:u w:val="none" w:color="auto"/>
          <w:lang w:val="en-US" w:eastAsia="zh-CN"/>
        </w:rPr>
        <w:t>坚持生态化、规范化、规模化、品牌化发展方向，加快推动传统畜牧业转型升级。扩大生猪、肉鸭、肉鸡生产规模，</w:t>
      </w:r>
      <w:r>
        <w:rPr>
          <w:rFonts w:hint="default" w:ascii="宋体" w:hAnsi="宋体" w:eastAsia="仿宋_GB2312" w:cs="Times New Roman Regular"/>
          <w:color w:val="auto"/>
          <w:sz w:val="32"/>
          <w:szCs w:val="32"/>
          <w:highlight w:val="none"/>
          <w:u w:val="none" w:color="auto"/>
          <w:lang w:val="en-US" w:eastAsia="zh-CN"/>
        </w:rPr>
        <w:t>优化规模化养殖规划布局，强化百亿级绿色肉制品加工原料保障。加快建设圭山山羊等特色</w:t>
      </w:r>
      <w:r>
        <w:rPr>
          <w:rFonts w:hint="eastAsia" w:ascii="宋体" w:hAnsi="宋体" w:eastAsia="仿宋_GB2312" w:cs="Times New Roman Regular"/>
          <w:color w:val="auto"/>
          <w:sz w:val="32"/>
          <w:szCs w:val="32"/>
          <w:highlight w:val="none"/>
          <w:u w:val="none" w:color="auto"/>
          <w:lang w:val="en-US" w:eastAsia="zh-CN"/>
        </w:rPr>
        <w:t>畜禽</w:t>
      </w:r>
      <w:r>
        <w:rPr>
          <w:rFonts w:hint="default" w:ascii="宋体" w:hAnsi="宋体" w:eastAsia="仿宋_GB2312" w:cs="Times New Roman Regular"/>
          <w:color w:val="auto"/>
          <w:sz w:val="32"/>
          <w:szCs w:val="32"/>
          <w:highlight w:val="none"/>
          <w:u w:val="none" w:color="auto"/>
          <w:lang w:val="en-US" w:eastAsia="zh-CN"/>
        </w:rPr>
        <w:t>繁育基地，打造</w:t>
      </w:r>
      <w:r>
        <w:rPr>
          <w:rFonts w:hint="eastAsia" w:ascii="宋体" w:hAnsi="宋体" w:eastAsia="仿宋_GB2312" w:cs="Times New Roman Regular"/>
          <w:color w:val="auto"/>
          <w:sz w:val="32"/>
          <w:szCs w:val="32"/>
          <w:highlight w:val="none"/>
          <w:u w:val="none" w:color="auto"/>
          <w:lang w:val="en-US" w:eastAsia="zh-CN"/>
        </w:rPr>
        <w:t>石林</w:t>
      </w:r>
      <w:r>
        <w:rPr>
          <w:rFonts w:hint="default" w:ascii="宋体" w:hAnsi="宋体" w:eastAsia="仿宋_GB2312" w:cs="Times New Roman Regular"/>
          <w:color w:val="auto"/>
          <w:sz w:val="32"/>
          <w:szCs w:val="32"/>
          <w:highlight w:val="none"/>
          <w:u w:val="none" w:color="auto"/>
          <w:lang w:val="en-US" w:eastAsia="zh-CN"/>
        </w:rPr>
        <w:t>奶山羊特色产业集群</w:t>
      </w:r>
      <w:r>
        <w:rPr>
          <w:rFonts w:hint="eastAsia" w:ascii="宋体" w:hAnsi="宋体" w:eastAsia="仿宋_GB2312" w:cs="Times New Roman Regular"/>
          <w:color w:val="auto"/>
          <w:sz w:val="32"/>
          <w:szCs w:val="32"/>
          <w:highlight w:val="none"/>
          <w:u w:val="none" w:color="auto"/>
          <w:lang w:val="en-US" w:eastAsia="zh-CN"/>
        </w:rPr>
        <w:t>。积极推进标准化生猪、肉牛</w:t>
      </w:r>
      <w:r>
        <w:rPr>
          <w:rFonts w:hint="default" w:ascii="宋体" w:hAnsi="宋体" w:eastAsia="仿宋_GB2312" w:cs="Times New Roman Regular"/>
          <w:color w:val="auto"/>
          <w:sz w:val="32"/>
          <w:szCs w:val="32"/>
          <w:highlight w:val="none"/>
          <w:u w:val="none" w:color="auto"/>
          <w:lang w:val="en-US" w:eastAsia="zh-CN"/>
        </w:rPr>
        <w:t>养殖基地建设，完善企业—农户合作养殖机制，推动畜牧养殖单产提升、品质提优、效益提高。加强重大动物疫病防控，确保畜产品质量安全。健全畜禽冷链物流体系，加快实现从“运活畜禽”向“运冷鲜肉”转变。至2030年禽类出栏量达</w:t>
      </w:r>
      <w:r>
        <w:rPr>
          <w:rFonts w:hint="eastAsia" w:ascii="宋体" w:hAnsi="宋体" w:eastAsia="仿宋_GB2312" w:cs="Times New Roman Regular"/>
          <w:color w:val="auto"/>
          <w:sz w:val="32"/>
          <w:szCs w:val="32"/>
          <w:highlight w:val="none"/>
          <w:u w:val="none" w:color="auto"/>
          <w:lang w:val="en-US" w:eastAsia="zh-CN"/>
        </w:rPr>
        <w:t>5000</w:t>
      </w:r>
      <w:r>
        <w:rPr>
          <w:rFonts w:hint="default" w:ascii="宋体" w:hAnsi="宋体" w:eastAsia="仿宋_GB2312" w:cs="Times New Roman Regular"/>
          <w:color w:val="auto"/>
          <w:sz w:val="32"/>
          <w:szCs w:val="32"/>
          <w:highlight w:val="none"/>
          <w:u w:val="none" w:color="auto"/>
          <w:lang w:val="en-US" w:eastAsia="zh-CN"/>
        </w:rPr>
        <w:t>万羽、生猪出栏量</w:t>
      </w:r>
      <w:r>
        <w:rPr>
          <w:rFonts w:hint="eastAsia" w:ascii="宋体" w:hAnsi="宋体" w:eastAsia="仿宋_GB2312" w:cs="Times New Roman Regular"/>
          <w:color w:val="auto"/>
          <w:sz w:val="32"/>
          <w:szCs w:val="32"/>
          <w:highlight w:val="none"/>
          <w:u w:val="none" w:color="auto"/>
          <w:lang w:val="en-US" w:eastAsia="zh-CN"/>
        </w:rPr>
        <w:t>达50</w:t>
      </w:r>
      <w:r>
        <w:rPr>
          <w:rFonts w:hint="default" w:ascii="宋体" w:hAnsi="宋体" w:eastAsia="仿宋_GB2312" w:cs="Times New Roman Regular"/>
          <w:color w:val="auto"/>
          <w:sz w:val="32"/>
          <w:szCs w:val="32"/>
          <w:highlight w:val="none"/>
          <w:u w:val="none" w:color="auto"/>
          <w:lang w:val="en-US" w:eastAsia="zh-CN"/>
        </w:rPr>
        <w:t>万头、山羊出栏量达</w:t>
      </w:r>
      <w:r>
        <w:rPr>
          <w:rFonts w:hint="eastAsia" w:ascii="宋体" w:hAnsi="宋体" w:eastAsia="仿宋_GB2312" w:cs="Times New Roman Regular"/>
          <w:color w:val="auto"/>
          <w:sz w:val="32"/>
          <w:szCs w:val="32"/>
          <w:highlight w:val="none"/>
          <w:u w:val="none" w:color="auto"/>
          <w:lang w:val="en-US" w:eastAsia="zh-CN"/>
        </w:rPr>
        <w:t>20</w:t>
      </w:r>
      <w:r>
        <w:rPr>
          <w:rFonts w:hint="default" w:ascii="宋体" w:hAnsi="宋体" w:eastAsia="仿宋_GB2312" w:cs="Times New Roman Regular"/>
          <w:color w:val="auto"/>
          <w:sz w:val="32"/>
          <w:szCs w:val="32"/>
          <w:highlight w:val="none"/>
          <w:u w:val="none" w:color="auto"/>
          <w:lang w:val="en-US" w:eastAsia="zh-CN"/>
        </w:rPr>
        <w:t>万只、牛出栏量达2.5万头。</w:t>
      </w:r>
    </w:p>
    <w:p w14:paraId="54C58607">
      <w:pPr>
        <w:keepNext/>
        <w:keepLines w:val="0"/>
        <w:pageBreakBefore w:val="0"/>
        <w:widowControl w:val="0"/>
        <w:numPr>
          <w:ilvl w:val="0"/>
          <w:numId w:val="2"/>
        </w:numPr>
        <w:kinsoku/>
        <w:wordWrap/>
        <w:overflowPunct/>
        <w:topLinePunct w:val="0"/>
        <w:autoSpaceDE/>
        <w:autoSpaceDN/>
        <w:bidi w:val="0"/>
        <w:adjustRightInd/>
        <w:snapToGrid w:val="0"/>
        <w:spacing w:line="512" w:lineRule="exact"/>
        <w:ind w:left="0" w:leftChars="0" w:firstLine="640" w:firstLineChars="200"/>
        <w:jc w:val="left"/>
        <w:textAlignment w:val="auto"/>
        <w:outlineLvl w:val="2"/>
        <w:rPr>
          <w:rFonts w:hint="eastAsia" w:ascii="宋体" w:hAnsi="宋体" w:eastAsia="楷体_GB2312" w:cs="楷体_GB2312"/>
          <w:b w:val="0"/>
          <w:bCs w:val="0"/>
          <w:color w:val="auto"/>
          <w:sz w:val="32"/>
          <w:szCs w:val="32"/>
          <w:highlight w:val="none"/>
          <w:u w:val="none" w:color="auto"/>
          <w:lang w:val="en-US" w:eastAsia="zh-CN"/>
        </w:rPr>
      </w:pPr>
      <w:r>
        <w:rPr>
          <w:rFonts w:hint="eastAsia" w:ascii="宋体" w:hAnsi="宋体" w:eastAsia="楷体_GB2312" w:cs="楷体_GB2312"/>
          <w:color w:val="auto"/>
          <w:sz w:val="32"/>
          <w:szCs w:val="32"/>
          <w:highlight w:val="none"/>
          <w:u w:val="none" w:color="auto"/>
        </w:rPr>
        <w:t>精细化发展果菜花产业</w:t>
      </w:r>
    </w:p>
    <w:p w14:paraId="40A686DB">
      <w:pPr>
        <w:keepNext/>
        <w:keepLines w:val="0"/>
        <w:pageBreakBefore w:val="0"/>
        <w:widowControl w:val="0"/>
        <w:numPr>
          <w:ilvl w:val="-1"/>
          <w:numId w:val="0"/>
        </w:numPr>
        <w:kinsoku/>
        <w:wordWrap/>
        <w:overflowPunct/>
        <w:topLinePunct w:val="0"/>
        <w:autoSpaceDE/>
        <w:autoSpaceDN/>
        <w:bidi w:val="0"/>
        <w:adjustRightInd w:val="0"/>
        <w:snapToGrid w:val="0"/>
        <w:spacing w:line="512" w:lineRule="exact"/>
        <w:ind w:left="0" w:leftChars="0" w:firstLine="640" w:firstLineChars="200"/>
        <w:jc w:val="left"/>
        <w:textAlignment w:val="auto"/>
        <w:outlineLvl w:val="9"/>
        <w:rPr>
          <w:rFonts w:hint="default" w:ascii="宋体" w:hAnsi="宋体" w:eastAsia="仿宋_GB2312" w:cs="Times New Roman Regular"/>
          <w:b w:val="0"/>
          <w:bCs w:val="0"/>
          <w:color w:val="auto"/>
          <w:sz w:val="32"/>
          <w:szCs w:val="32"/>
          <w:highlight w:val="none"/>
          <w:u w:val="none" w:color="auto"/>
          <w:lang w:val="en-US" w:eastAsia="zh-CN"/>
        </w:rPr>
      </w:pPr>
      <w:r>
        <w:rPr>
          <w:rFonts w:hint="eastAsia" w:ascii="宋体" w:hAnsi="宋体" w:eastAsia="仿宋_GB2312" w:cs="Times New Roman Regular"/>
          <w:color w:val="auto"/>
          <w:sz w:val="32"/>
          <w:szCs w:val="32"/>
          <w:highlight w:val="none"/>
          <w:u w:val="none" w:color="auto"/>
        </w:rPr>
        <w:t>做精特色果品</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以苹果、油桃、蓝莓、枇杷为主，强化企业、合作社联动带动作用，鼓励现有规模化生产企业、油桃合作社、蓝莓个体户和企业、枇杷合作社和农户，突出“在地化”特色，稳定产能，提升标准化、绿色化生产能力。做优特色花卉</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以满天星、玫瑰为主，</w:t>
      </w:r>
      <w:r>
        <w:rPr>
          <w:rFonts w:hint="eastAsia" w:ascii="宋体" w:hAnsi="宋体" w:eastAsia="仿宋_GB2312" w:cs="Times New Roman Regular"/>
          <w:color w:val="auto"/>
          <w:sz w:val="32"/>
          <w:szCs w:val="32"/>
          <w:highlight w:val="none"/>
          <w:u w:val="none" w:color="auto"/>
          <w:lang w:val="en-US" w:eastAsia="zh-CN"/>
        </w:rPr>
        <w:t>逐步</w:t>
      </w:r>
      <w:r>
        <w:rPr>
          <w:rFonts w:hint="eastAsia" w:ascii="宋体" w:hAnsi="宋体" w:eastAsia="仿宋_GB2312" w:cs="Times New Roman Regular"/>
          <w:color w:val="auto"/>
          <w:sz w:val="32"/>
          <w:szCs w:val="32"/>
          <w:highlight w:val="none"/>
          <w:u w:val="none" w:color="auto"/>
        </w:rPr>
        <w:t>提高无土、立体化栽培</w:t>
      </w:r>
      <w:r>
        <w:rPr>
          <w:rFonts w:hint="eastAsia" w:ascii="宋体" w:hAnsi="宋体" w:eastAsia="仿宋_GB2312" w:cs="Times New Roman Regular"/>
          <w:color w:val="auto"/>
          <w:sz w:val="32"/>
          <w:szCs w:val="32"/>
          <w:highlight w:val="none"/>
          <w:u w:val="none" w:color="auto"/>
          <w:lang w:val="en-US" w:eastAsia="zh-CN"/>
        </w:rPr>
        <w:t>占比</w:t>
      </w:r>
      <w:r>
        <w:rPr>
          <w:rFonts w:hint="eastAsia" w:ascii="宋体" w:hAnsi="宋体" w:eastAsia="仿宋_GB2312" w:cs="Times New Roman Regular"/>
          <w:color w:val="auto"/>
          <w:sz w:val="32"/>
          <w:szCs w:val="32"/>
          <w:highlight w:val="none"/>
          <w:u w:val="none" w:color="auto"/>
        </w:rPr>
        <w:t>，支持初选、分拣、包装、冷储设施配套建设</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发挥好石林国际花卉农特产品展示交易中心平台作用，整合</w:t>
      </w:r>
      <w:r>
        <w:rPr>
          <w:rFonts w:hint="eastAsia" w:ascii="宋体" w:hAnsi="宋体" w:eastAsia="仿宋_GB2312" w:cs="Times New Roman Regular"/>
          <w:color w:val="auto"/>
          <w:sz w:val="32"/>
          <w:szCs w:val="32"/>
          <w:highlight w:val="none"/>
          <w:u w:val="none" w:color="auto"/>
          <w:lang w:val="en-US" w:eastAsia="zh-CN"/>
        </w:rPr>
        <w:t>资源、</w:t>
      </w:r>
      <w:r>
        <w:rPr>
          <w:rFonts w:hint="eastAsia" w:ascii="宋体" w:hAnsi="宋体" w:eastAsia="仿宋_GB2312" w:cs="Times New Roman Regular"/>
          <w:color w:val="auto"/>
          <w:sz w:val="32"/>
          <w:szCs w:val="32"/>
          <w:highlight w:val="none"/>
          <w:u w:val="none" w:color="auto"/>
        </w:rPr>
        <w:t>联动销售</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引导</w:t>
      </w:r>
      <w:r>
        <w:rPr>
          <w:rFonts w:hint="eastAsia" w:ascii="宋体" w:hAnsi="宋体" w:eastAsia="仿宋_GB2312" w:cs="Times New Roman Regular"/>
          <w:color w:val="auto"/>
          <w:sz w:val="32"/>
          <w:szCs w:val="32"/>
          <w:highlight w:val="none"/>
          <w:u w:val="none" w:color="auto"/>
          <w:lang w:val="en-US" w:eastAsia="zh-CN"/>
        </w:rPr>
        <w:t>农民</w:t>
      </w:r>
      <w:r>
        <w:rPr>
          <w:rFonts w:hint="eastAsia" w:ascii="宋体" w:hAnsi="宋体" w:eastAsia="仿宋_GB2312" w:cs="Times New Roman Regular"/>
          <w:color w:val="auto"/>
          <w:sz w:val="32"/>
          <w:szCs w:val="32"/>
          <w:highlight w:val="none"/>
          <w:u w:val="none" w:color="auto"/>
        </w:rPr>
        <w:t>规模化种植油菜花等特色作物，打造连片生态景观带，吸引游客观光打卡，</w:t>
      </w:r>
      <w:r>
        <w:rPr>
          <w:rFonts w:hint="eastAsia" w:ascii="宋体" w:hAnsi="宋体" w:eastAsia="仿宋_GB2312" w:cs="Times New Roman Regular"/>
          <w:color w:val="auto"/>
          <w:sz w:val="32"/>
          <w:szCs w:val="32"/>
          <w:highlight w:val="none"/>
          <w:u w:val="none" w:color="auto"/>
          <w:lang w:val="en-US" w:eastAsia="zh-CN"/>
        </w:rPr>
        <w:t>推动</w:t>
      </w:r>
      <w:r>
        <w:rPr>
          <w:rFonts w:hint="eastAsia" w:ascii="宋体" w:hAnsi="宋体" w:eastAsia="仿宋_GB2312" w:cs="Times New Roman Regular"/>
          <w:color w:val="auto"/>
          <w:sz w:val="32"/>
          <w:szCs w:val="32"/>
          <w:highlight w:val="none"/>
          <w:u w:val="none" w:color="auto"/>
        </w:rPr>
        <w:t>以农造景。做细优质蔬菜</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突出夏秋生产优势，</w:t>
      </w:r>
      <w:r>
        <w:rPr>
          <w:rFonts w:hint="eastAsia" w:ascii="宋体" w:hAnsi="宋体" w:eastAsia="仿宋_GB2312" w:cs="Times New Roman Regular"/>
          <w:color w:val="auto"/>
          <w:sz w:val="32"/>
          <w:szCs w:val="32"/>
          <w:highlight w:val="none"/>
          <w:u w:val="none" w:color="auto"/>
          <w:lang w:val="en-US" w:eastAsia="zh-CN"/>
        </w:rPr>
        <w:t>坚持</w:t>
      </w:r>
      <w:r>
        <w:rPr>
          <w:rFonts w:hint="eastAsia" w:ascii="宋体" w:hAnsi="宋体" w:eastAsia="仿宋_GB2312" w:cs="Times New Roman Regular"/>
          <w:color w:val="auto"/>
          <w:sz w:val="32"/>
          <w:szCs w:val="32"/>
          <w:highlight w:val="none"/>
          <w:u w:val="none" w:color="auto"/>
        </w:rPr>
        <w:t>“小而精、小而优”优质、绿色生产路线，巩固常年生产区技术、设施、产地市场优势，拓展新生区、高海拔夏秋季生产区补淡功能，不断提升优质绿色蔬菜生产供应能力</w:t>
      </w:r>
      <w:r>
        <w:rPr>
          <w:rFonts w:hint="eastAsia" w:ascii="宋体" w:hAnsi="宋体" w:eastAsia="仿宋_GB2312" w:cs="Times New Roman Regular"/>
          <w:color w:val="auto"/>
          <w:sz w:val="32"/>
          <w:szCs w:val="32"/>
          <w:highlight w:val="none"/>
          <w:u w:val="none" w:color="auto"/>
          <w:lang w:eastAsia="zh-CN"/>
        </w:rPr>
        <w:t>。</w:t>
      </w:r>
    </w:p>
    <w:p w14:paraId="522F8B28">
      <w:pPr>
        <w:keepNext/>
        <w:keepLines w:val="0"/>
        <w:pageBreakBefore w:val="0"/>
        <w:widowControl w:val="0"/>
        <w:numPr>
          <w:ilvl w:val="0"/>
          <w:numId w:val="2"/>
        </w:numPr>
        <w:kinsoku/>
        <w:wordWrap/>
        <w:overflowPunct/>
        <w:topLinePunct w:val="0"/>
        <w:autoSpaceDE/>
        <w:autoSpaceDN/>
        <w:bidi w:val="0"/>
        <w:adjustRightInd/>
        <w:snapToGrid w:val="0"/>
        <w:spacing w:line="526" w:lineRule="exact"/>
        <w:ind w:left="0" w:leftChars="0" w:firstLine="640" w:firstLineChars="200"/>
        <w:jc w:val="left"/>
        <w:textAlignment w:val="auto"/>
        <w:outlineLvl w:val="2"/>
        <w:rPr>
          <w:rFonts w:hint="eastAsia" w:ascii="宋体" w:hAnsi="宋体" w:eastAsia="楷体_GB2312" w:cs="楷体_GB2312"/>
          <w:b w:val="0"/>
          <w:bCs w:val="0"/>
          <w:color w:val="auto"/>
          <w:sz w:val="32"/>
          <w:szCs w:val="32"/>
          <w:highlight w:val="none"/>
          <w:u w:val="none" w:color="auto"/>
          <w:lang w:val="en-US" w:eastAsia="zh-CN"/>
        </w:rPr>
      </w:pPr>
      <w:r>
        <w:rPr>
          <w:rFonts w:hint="eastAsia" w:ascii="宋体" w:hAnsi="宋体" w:eastAsia="楷体_GB2312" w:cs="楷体_GB2312"/>
          <w:b w:val="0"/>
          <w:bCs w:val="0"/>
          <w:color w:val="auto"/>
          <w:sz w:val="32"/>
          <w:szCs w:val="32"/>
          <w:highlight w:val="none"/>
          <w:u w:val="none" w:color="auto"/>
          <w:lang w:val="en-US" w:eastAsia="zh-CN"/>
        </w:rPr>
        <w:t>培育发展林下经济</w:t>
      </w:r>
    </w:p>
    <w:p w14:paraId="3F553871">
      <w:pPr>
        <w:keepNext/>
        <w:keepLines w:val="0"/>
        <w:pageBreakBefore w:val="0"/>
        <w:widowControl w:val="0"/>
        <w:numPr>
          <w:ilvl w:val="-1"/>
          <w:numId w:val="0"/>
        </w:numPr>
        <w:kinsoku/>
        <w:wordWrap/>
        <w:overflowPunct/>
        <w:topLinePunct w:val="0"/>
        <w:autoSpaceDE/>
        <w:autoSpaceDN/>
        <w:bidi w:val="0"/>
        <w:adjustRightInd w:val="0"/>
        <w:snapToGrid w:val="0"/>
        <w:spacing w:line="522" w:lineRule="exact"/>
        <w:ind w:left="0" w:leftChars="0" w:firstLine="640" w:firstLineChars="200"/>
        <w:jc w:val="both"/>
        <w:textAlignment w:val="auto"/>
        <w:outlineLvl w:val="9"/>
        <w:rPr>
          <w:rFonts w:hint="default" w:ascii="宋体" w:hAnsi="宋体" w:eastAsia="仿宋_GB2312" w:cs="Times New Roman Regular"/>
          <w:color w:val="auto"/>
          <w:sz w:val="32"/>
          <w:szCs w:val="32"/>
          <w:highlight w:val="none"/>
          <w:u w:val="none" w:color="auto"/>
          <w:lang w:val="en-US" w:eastAsia="zh-CN"/>
        </w:rPr>
      </w:pPr>
      <w:r>
        <w:rPr>
          <w:rFonts w:hint="default" w:ascii="宋体" w:hAnsi="宋体" w:eastAsia="仿宋_GB2312" w:cs="Times New Roman Regular"/>
          <w:color w:val="auto"/>
          <w:sz w:val="32"/>
          <w:szCs w:val="32"/>
          <w:highlight w:val="none"/>
          <w:u w:val="none" w:color="auto"/>
          <w:lang w:val="en-US" w:eastAsia="zh-CN"/>
        </w:rPr>
        <w:t>加强森林资源保护管理，抢抓集体林权制度改革契机，进一步放活集体林地经营权，依托省级试点政策，开展</w:t>
      </w:r>
      <w:r>
        <w:rPr>
          <w:rFonts w:hint="eastAsia" w:ascii="宋体" w:hAnsi="宋体" w:eastAsia="仿宋_GB2312" w:cs="Times New Roman Regular"/>
          <w:color w:val="auto"/>
          <w:sz w:val="32"/>
          <w:szCs w:val="32"/>
          <w:highlight w:val="none"/>
          <w:u w:val="none" w:color="auto"/>
          <w:lang w:val="en-US" w:eastAsia="zh-CN"/>
        </w:rPr>
        <w:t>“</w:t>
      </w:r>
      <w:r>
        <w:rPr>
          <w:rFonts w:hint="default" w:ascii="宋体" w:hAnsi="宋体" w:eastAsia="仿宋_GB2312" w:cs="Times New Roman Regular"/>
          <w:color w:val="auto"/>
          <w:sz w:val="32"/>
          <w:szCs w:val="32"/>
          <w:highlight w:val="none"/>
          <w:u w:val="none" w:color="auto"/>
          <w:lang w:val="en-US" w:eastAsia="zh-CN"/>
        </w:rPr>
        <w:t>国有+集体</w:t>
      </w:r>
      <w:r>
        <w:rPr>
          <w:rFonts w:hint="eastAsia" w:ascii="宋体" w:hAnsi="宋体" w:eastAsia="仿宋_GB2312" w:cs="Times New Roman Regular"/>
          <w:color w:val="auto"/>
          <w:sz w:val="32"/>
          <w:szCs w:val="32"/>
          <w:highlight w:val="none"/>
          <w:u w:val="none" w:color="auto"/>
          <w:lang w:val="en-US" w:eastAsia="zh-CN"/>
        </w:rPr>
        <w:t>”</w:t>
      </w:r>
      <w:r>
        <w:rPr>
          <w:rFonts w:hint="default" w:ascii="宋体" w:hAnsi="宋体" w:eastAsia="仿宋_GB2312" w:cs="Times New Roman Regular"/>
          <w:color w:val="auto"/>
          <w:sz w:val="32"/>
          <w:szCs w:val="32"/>
          <w:highlight w:val="none"/>
          <w:u w:val="none" w:color="auto"/>
          <w:lang w:val="en-US" w:eastAsia="zh-CN"/>
        </w:rPr>
        <w:t>合作</w:t>
      </w:r>
      <w:r>
        <w:rPr>
          <w:rFonts w:hint="eastAsia" w:ascii="宋体" w:hAnsi="宋体" w:eastAsia="仿宋_GB2312" w:cs="Times New Roman Regular"/>
          <w:color w:val="auto"/>
          <w:sz w:val="32"/>
          <w:szCs w:val="32"/>
          <w:highlight w:val="none"/>
          <w:u w:val="none" w:color="auto"/>
          <w:lang w:val="en-US" w:eastAsia="zh-CN"/>
        </w:rPr>
        <w:t>，</w:t>
      </w:r>
      <w:r>
        <w:rPr>
          <w:rFonts w:hint="default" w:ascii="宋体" w:hAnsi="宋体" w:eastAsia="仿宋_GB2312" w:cs="Times New Roman Regular"/>
          <w:color w:val="auto"/>
          <w:sz w:val="32"/>
          <w:szCs w:val="32"/>
          <w:highlight w:val="none"/>
          <w:u w:val="none" w:color="auto"/>
          <w:lang w:val="en-US" w:eastAsia="zh-CN"/>
        </w:rPr>
        <w:t>科学有序发展林下经济产业</w:t>
      </w:r>
      <w:r>
        <w:rPr>
          <w:rFonts w:hint="eastAsia" w:ascii="宋体" w:hAnsi="宋体" w:eastAsia="仿宋_GB2312" w:cs="Times New Roman Regular"/>
          <w:color w:val="auto"/>
          <w:sz w:val="32"/>
          <w:szCs w:val="32"/>
          <w:highlight w:val="none"/>
          <w:u w:val="none" w:color="auto"/>
          <w:lang w:val="en-US" w:eastAsia="zh-CN"/>
        </w:rPr>
        <w:t>，</w:t>
      </w:r>
      <w:r>
        <w:rPr>
          <w:rFonts w:hint="eastAsia" w:ascii="宋体" w:hAnsi="宋体" w:eastAsia="仿宋_GB2312" w:cs="Times New Roman Regular"/>
          <w:color w:val="auto"/>
          <w:sz w:val="32"/>
          <w:szCs w:val="32"/>
          <w:highlight w:val="none"/>
          <w:u w:val="none" w:color="auto"/>
        </w:rPr>
        <w:t>构建“林下采、林中养、林下种、林间游”复合经营格局。</w:t>
      </w:r>
      <w:r>
        <w:rPr>
          <w:rFonts w:hint="default" w:ascii="宋体" w:hAnsi="宋体" w:eastAsia="仿宋_GB2312" w:cs="Times New Roman Regular"/>
          <w:color w:val="auto"/>
          <w:sz w:val="32"/>
          <w:szCs w:val="32"/>
          <w:highlight w:val="none"/>
          <w:u w:val="none" w:color="auto"/>
          <w:lang w:val="en-US" w:eastAsia="zh-CN"/>
        </w:rPr>
        <w:t>重点培育一批林下经济龙头企业，发展专业合作社、家庭林场等新型经营主体，深化“企业+合作社+农户”等利益联结模式，探索林下多元经营模式，推进林药、林菜、林游、林禽、林畜、林蜂等绿色、有机产品认证，支撑全县香料产业发展</w:t>
      </w:r>
      <w:r>
        <w:rPr>
          <w:rFonts w:hint="eastAsia" w:ascii="宋体" w:hAnsi="宋体" w:eastAsia="仿宋_GB2312" w:cs="Times New Roman Regular"/>
          <w:color w:val="auto"/>
          <w:sz w:val="32"/>
          <w:szCs w:val="32"/>
          <w:highlight w:val="none"/>
          <w:u w:val="none" w:color="auto"/>
          <w:lang w:val="en-US" w:eastAsia="zh-CN"/>
        </w:rPr>
        <w:t>，鼓励林下白犀牛养殖等特色产业发展壮大</w:t>
      </w:r>
      <w:r>
        <w:rPr>
          <w:rFonts w:hint="default" w:ascii="宋体" w:hAnsi="宋体" w:eastAsia="仿宋_GB2312" w:cs="Times New Roman Regular"/>
          <w:color w:val="auto"/>
          <w:sz w:val="32"/>
          <w:szCs w:val="32"/>
          <w:highlight w:val="none"/>
          <w:u w:val="none" w:color="auto"/>
          <w:lang w:val="en-US" w:eastAsia="zh-CN"/>
        </w:rPr>
        <w:t>。</w:t>
      </w:r>
      <w:r>
        <w:rPr>
          <w:rFonts w:hint="eastAsia" w:ascii="宋体" w:hAnsi="宋体" w:eastAsia="仿宋_GB2312" w:cs="Times New Roman Regular"/>
          <w:color w:val="auto"/>
          <w:sz w:val="32"/>
          <w:szCs w:val="32"/>
          <w:highlight w:val="none"/>
          <w:u w:val="none" w:color="auto"/>
          <w:lang w:val="en-US" w:eastAsia="zh-CN"/>
        </w:rPr>
        <w:t>积极</w:t>
      </w:r>
      <w:r>
        <w:rPr>
          <w:rFonts w:hint="default" w:ascii="宋体" w:hAnsi="宋体" w:eastAsia="仿宋_GB2312" w:cs="Times New Roman Regular"/>
          <w:color w:val="auto"/>
          <w:sz w:val="32"/>
          <w:szCs w:val="32"/>
          <w:highlight w:val="none"/>
          <w:u w:val="none" w:color="auto"/>
          <w:lang w:val="en-US" w:eastAsia="zh-CN"/>
        </w:rPr>
        <w:t>发展森林</w:t>
      </w:r>
      <w:r>
        <w:rPr>
          <w:rFonts w:hint="eastAsia" w:ascii="宋体" w:hAnsi="宋体" w:eastAsia="仿宋_GB2312" w:cs="Times New Roman Regular"/>
          <w:color w:val="auto"/>
          <w:sz w:val="32"/>
          <w:szCs w:val="32"/>
          <w:highlight w:val="none"/>
          <w:u w:val="none" w:color="auto"/>
          <w:lang w:val="en-US" w:eastAsia="zh-CN"/>
        </w:rPr>
        <w:t>旅游新业态，打造</w:t>
      </w:r>
      <w:r>
        <w:rPr>
          <w:rFonts w:hint="default" w:ascii="宋体" w:hAnsi="宋体" w:eastAsia="仿宋_GB2312" w:cs="Times New Roman Regular"/>
          <w:color w:val="auto"/>
          <w:sz w:val="32"/>
          <w:szCs w:val="32"/>
          <w:highlight w:val="none"/>
          <w:u w:val="none" w:color="auto"/>
          <w:lang w:val="en-US" w:eastAsia="zh-CN"/>
        </w:rPr>
        <w:t>生态观光、森林休闲度假、森林探险、自然教育研学等特色生态旅游，打造特色生态旅游线路和森林生态文化品牌</w:t>
      </w:r>
      <w:r>
        <w:rPr>
          <w:rFonts w:hint="eastAsia" w:ascii="宋体" w:hAnsi="宋体" w:eastAsia="仿宋_GB2312" w:cs="Times New Roman Regular"/>
          <w:color w:val="auto"/>
          <w:sz w:val="32"/>
          <w:szCs w:val="32"/>
          <w:highlight w:val="none"/>
          <w:u w:val="none" w:color="auto"/>
          <w:lang w:val="en-US" w:eastAsia="zh-CN"/>
        </w:rPr>
        <w:t>。</w:t>
      </w:r>
      <w:r>
        <w:rPr>
          <w:rFonts w:hint="default" w:ascii="宋体" w:hAnsi="宋体" w:eastAsia="仿宋_GB2312" w:cs="Times New Roman Regular"/>
          <w:color w:val="auto"/>
          <w:sz w:val="32"/>
          <w:szCs w:val="32"/>
          <w:highlight w:val="none"/>
          <w:u w:val="none" w:color="auto"/>
          <w:lang w:val="en-US" w:eastAsia="zh-CN"/>
        </w:rPr>
        <w:t>探索</w:t>
      </w:r>
      <w:r>
        <w:rPr>
          <w:rFonts w:hint="eastAsia" w:ascii="宋体" w:hAnsi="宋体" w:eastAsia="仿宋_GB2312" w:cs="Times New Roman Regular"/>
          <w:color w:val="auto"/>
          <w:sz w:val="32"/>
          <w:szCs w:val="32"/>
          <w:highlight w:val="none"/>
          <w:u w:val="none" w:color="auto"/>
          <w:lang w:val="en-US" w:eastAsia="zh-CN"/>
        </w:rPr>
        <w:t>“</w:t>
      </w:r>
      <w:r>
        <w:rPr>
          <w:rFonts w:hint="default" w:ascii="宋体" w:hAnsi="宋体" w:eastAsia="仿宋_GB2312" w:cs="Times New Roman Regular"/>
          <w:color w:val="auto"/>
          <w:sz w:val="32"/>
          <w:szCs w:val="32"/>
          <w:highlight w:val="none"/>
          <w:u w:val="none" w:color="auto"/>
          <w:lang w:val="en-US" w:eastAsia="zh-CN"/>
        </w:rPr>
        <w:t>碳汇交易+林下经济</w:t>
      </w:r>
      <w:r>
        <w:rPr>
          <w:rFonts w:hint="eastAsia" w:ascii="宋体" w:hAnsi="宋体" w:eastAsia="仿宋_GB2312" w:cs="Times New Roman Regular"/>
          <w:color w:val="auto"/>
          <w:sz w:val="32"/>
          <w:szCs w:val="32"/>
          <w:highlight w:val="none"/>
          <w:u w:val="none" w:color="auto"/>
          <w:lang w:val="en-US" w:eastAsia="zh-CN"/>
        </w:rPr>
        <w:t>”</w:t>
      </w:r>
      <w:r>
        <w:rPr>
          <w:rFonts w:hint="default" w:ascii="宋体" w:hAnsi="宋体" w:eastAsia="仿宋_GB2312" w:cs="Times New Roman Regular"/>
          <w:color w:val="auto"/>
          <w:sz w:val="32"/>
          <w:szCs w:val="32"/>
          <w:highlight w:val="none"/>
          <w:u w:val="none" w:color="auto"/>
          <w:lang w:val="en-US" w:eastAsia="zh-CN"/>
        </w:rPr>
        <w:t>发展新路径</w:t>
      </w:r>
      <w:r>
        <w:rPr>
          <w:rFonts w:hint="eastAsia" w:ascii="宋体" w:hAnsi="宋体" w:eastAsia="仿宋_GB2312" w:cs="Times New Roman Regular"/>
          <w:color w:val="auto"/>
          <w:sz w:val="32"/>
          <w:szCs w:val="32"/>
          <w:highlight w:val="none"/>
          <w:u w:val="none" w:color="auto"/>
          <w:lang w:val="en-US" w:eastAsia="zh-CN"/>
        </w:rPr>
        <w:t>，推动生态效益、经济效益与社会效益协同提升</w:t>
      </w:r>
      <w:r>
        <w:rPr>
          <w:rFonts w:hint="default" w:ascii="宋体" w:hAnsi="宋体" w:eastAsia="仿宋_GB2312" w:cs="Times New Roman Regular"/>
          <w:color w:val="auto"/>
          <w:sz w:val="32"/>
          <w:szCs w:val="32"/>
          <w:highlight w:val="none"/>
          <w:u w:val="none" w:color="auto"/>
          <w:lang w:val="en-US" w:eastAsia="zh-CN"/>
        </w:rPr>
        <w:t>。</w:t>
      </w:r>
    </w:p>
    <w:p w14:paraId="1B46A2BB">
      <w:pPr>
        <w:keepNext/>
        <w:keepLines w:val="0"/>
        <w:pageBreakBefore w:val="0"/>
        <w:widowControl w:val="0"/>
        <w:numPr>
          <w:ilvl w:val="0"/>
          <w:numId w:val="2"/>
        </w:numPr>
        <w:kinsoku/>
        <w:wordWrap/>
        <w:overflowPunct/>
        <w:topLinePunct w:val="0"/>
        <w:autoSpaceDE/>
        <w:autoSpaceDN/>
        <w:bidi w:val="0"/>
        <w:adjustRightInd/>
        <w:snapToGrid w:val="0"/>
        <w:spacing w:line="522" w:lineRule="exact"/>
        <w:ind w:left="0" w:leftChars="0" w:firstLine="640" w:firstLineChars="200"/>
        <w:jc w:val="left"/>
        <w:textAlignment w:val="auto"/>
        <w:outlineLvl w:val="2"/>
        <w:rPr>
          <w:rFonts w:hint="eastAsia" w:ascii="宋体" w:hAnsi="宋体" w:eastAsia="楷体_GB2312" w:cs="楷体_GB2312"/>
          <w:color w:val="auto"/>
          <w:sz w:val="32"/>
          <w:szCs w:val="32"/>
          <w:highlight w:val="none"/>
          <w:u w:val="none" w:color="auto"/>
          <w:lang w:val="en-US" w:eastAsia="zh-CN"/>
        </w:rPr>
      </w:pPr>
      <w:r>
        <w:rPr>
          <w:rFonts w:hint="eastAsia" w:ascii="宋体" w:hAnsi="宋体" w:eastAsia="楷体_GB2312" w:cs="楷体_GB2312"/>
          <w:color w:val="auto"/>
          <w:sz w:val="32"/>
          <w:szCs w:val="32"/>
          <w:highlight w:val="none"/>
          <w:u w:val="none" w:color="auto"/>
          <w:lang w:val="en-US" w:eastAsia="zh-CN"/>
        </w:rPr>
        <w:t>发挥台创园农业特色示范引领作用</w:t>
      </w:r>
    </w:p>
    <w:p w14:paraId="23EC42E4">
      <w:pPr>
        <w:keepNext/>
        <w:keepLines w:val="0"/>
        <w:pageBreakBefore w:val="0"/>
        <w:widowControl w:val="0"/>
        <w:numPr>
          <w:ilvl w:val="-1"/>
          <w:numId w:val="0"/>
        </w:numPr>
        <w:kinsoku/>
        <w:wordWrap/>
        <w:overflowPunct/>
        <w:topLinePunct w:val="0"/>
        <w:autoSpaceDE/>
        <w:autoSpaceDN/>
        <w:bidi w:val="0"/>
        <w:adjustRightInd w:val="0"/>
        <w:snapToGrid w:val="0"/>
        <w:spacing w:line="522" w:lineRule="exact"/>
        <w:ind w:left="0" w:leftChars="0" w:firstLine="640" w:firstLineChars="200"/>
        <w:jc w:val="both"/>
        <w:textAlignment w:val="auto"/>
        <w:outlineLvl w:val="9"/>
        <w:rPr>
          <w:rFonts w:hint="default" w:ascii="宋体" w:hAnsi="宋体" w:eastAsia="方正仿宋_GBK" w:cs="Times New Roman Regular"/>
          <w:color w:val="auto"/>
          <w:sz w:val="32"/>
          <w:szCs w:val="32"/>
          <w:highlight w:val="none"/>
          <w:u w:val="none" w:color="auto"/>
        </w:rPr>
      </w:pPr>
      <w:r>
        <w:rPr>
          <w:rFonts w:hint="default" w:ascii="宋体" w:hAnsi="宋体" w:eastAsia="仿宋_GB2312" w:cs="Times New Roman Regular"/>
          <w:color w:val="auto"/>
          <w:sz w:val="32"/>
          <w:szCs w:val="32"/>
          <w:highlight w:val="none"/>
          <w:u w:val="none" w:color="auto"/>
        </w:rPr>
        <w:t>探索构建台创园市场化管理运营模式秉持“两岸一家亲、共筑三农梦”的理念，以两岸融合、产业升级、创新驱动、绿色发展为主线，因地制宜发展新质生产力，打造国家级两岸农业融合发展标杆园区、全国台创园</w:t>
      </w:r>
      <w:r>
        <w:rPr>
          <w:rFonts w:hint="eastAsia" w:ascii="宋体" w:hAnsi="宋体" w:eastAsia="仿宋_GB2312" w:cs="Times New Roman Regular"/>
          <w:color w:val="auto"/>
          <w:sz w:val="32"/>
          <w:szCs w:val="32"/>
          <w:highlight w:val="none"/>
          <w:u w:val="none" w:color="auto"/>
          <w:lang w:eastAsia="zh-CN"/>
        </w:rPr>
        <w:t>“</w:t>
      </w:r>
      <w:r>
        <w:rPr>
          <w:rFonts w:hint="default" w:ascii="宋体" w:hAnsi="宋体" w:eastAsia="仿宋_GB2312" w:cs="Times New Roman Regular"/>
          <w:color w:val="auto"/>
          <w:sz w:val="32"/>
          <w:szCs w:val="32"/>
          <w:highlight w:val="none"/>
          <w:u w:val="none" w:color="auto"/>
        </w:rPr>
        <w:t>石林样板</w:t>
      </w:r>
      <w:r>
        <w:rPr>
          <w:rFonts w:hint="eastAsia" w:ascii="宋体" w:hAnsi="宋体" w:eastAsia="仿宋_GB2312" w:cs="Times New Roman Regular"/>
          <w:color w:val="auto"/>
          <w:sz w:val="32"/>
          <w:szCs w:val="32"/>
          <w:highlight w:val="none"/>
          <w:u w:val="none" w:color="auto"/>
          <w:lang w:eastAsia="zh-CN"/>
        </w:rPr>
        <w:t>”</w:t>
      </w:r>
      <w:r>
        <w:rPr>
          <w:rFonts w:hint="default" w:ascii="宋体" w:hAnsi="宋体" w:eastAsia="仿宋_GB2312" w:cs="Times New Roman Regular"/>
          <w:color w:val="auto"/>
          <w:sz w:val="32"/>
          <w:szCs w:val="32"/>
          <w:highlight w:val="none"/>
          <w:u w:val="none" w:color="auto"/>
        </w:rPr>
        <w:t>。探索构建台创园市场化管理运营模式</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lang w:val="en-US" w:eastAsia="zh-CN"/>
        </w:rPr>
        <w:t>推动</w:t>
      </w:r>
      <w:r>
        <w:rPr>
          <w:rFonts w:hint="default" w:ascii="宋体" w:hAnsi="宋体" w:eastAsia="仿宋_GB2312" w:cs="Times New Roman Regular"/>
          <w:color w:val="auto"/>
          <w:sz w:val="32"/>
          <w:szCs w:val="32"/>
          <w:highlight w:val="none"/>
          <w:u w:val="none" w:color="auto"/>
        </w:rPr>
        <w:t>智慧农业科技园、紫约智慧化蓝莓产业园等</w:t>
      </w:r>
      <w:r>
        <w:rPr>
          <w:rFonts w:hint="eastAsia" w:ascii="宋体" w:hAnsi="宋体" w:eastAsia="仿宋_GB2312" w:cs="Times New Roman Regular"/>
          <w:color w:val="auto"/>
          <w:sz w:val="32"/>
          <w:szCs w:val="32"/>
          <w:highlight w:val="none"/>
          <w:u w:val="none" w:color="auto"/>
          <w:lang w:val="en-US" w:eastAsia="zh-CN"/>
        </w:rPr>
        <w:t>建设，</w:t>
      </w:r>
      <w:r>
        <w:rPr>
          <w:rFonts w:hint="eastAsia" w:ascii="宋体" w:hAnsi="宋体" w:eastAsia="仿宋_GB2312" w:cs="Times New Roman Regular"/>
          <w:color w:val="auto"/>
          <w:sz w:val="32"/>
          <w:szCs w:val="32"/>
          <w:highlight w:val="none"/>
          <w:u w:val="none" w:color="auto"/>
          <w:lang w:eastAsia="zh-CN"/>
        </w:rPr>
        <w:t>大力发展科技农业、绿色农业、质量农业、品牌农业</w:t>
      </w:r>
      <w:r>
        <w:rPr>
          <w:rFonts w:hint="default" w:ascii="宋体" w:hAnsi="宋体" w:eastAsia="仿宋_GB2312" w:cs="Times New Roman Regular"/>
          <w:color w:val="auto"/>
          <w:sz w:val="32"/>
          <w:szCs w:val="32"/>
          <w:highlight w:val="none"/>
          <w:u w:val="none" w:color="auto"/>
        </w:rPr>
        <w:t>，壮大园区农业基地集群优势</w:t>
      </w:r>
      <w:r>
        <w:rPr>
          <w:rFonts w:hint="eastAsia" w:ascii="宋体" w:hAnsi="宋体" w:eastAsia="仿宋_GB2312" w:cs="Times New Roman Regular"/>
          <w:color w:val="auto"/>
          <w:sz w:val="32"/>
          <w:szCs w:val="32"/>
          <w:highlight w:val="none"/>
          <w:u w:val="none" w:color="auto"/>
        </w:rPr>
        <w:t>。实施雨生红球藻特色产业</w:t>
      </w:r>
      <w:r>
        <w:rPr>
          <w:rFonts w:hint="eastAsia" w:ascii="宋体" w:hAnsi="宋体" w:eastAsia="仿宋_GB2312" w:cs="Times New Roman Regular"/>
          <w:color w:val="auto"/>
          <w:sz w:val="32"/>
          <w:szCs w:val="32"/>
          <w:highlight w:val="none"/>
          <w:u w:val="none" w:color="auto"/>
          <w:lang w:eastAsia="zh-CN"/>
        </w:rPr>
        <w:t>培育工程</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lang w:val="en-US" w:eastAsia="zh-CN"/>
        </w:rPr>
        <w:t>稳步</w:t>
      </w:r>
      <w:r>
        <w:rPr>
          <w:rFonts w:hint="default" w:ascii="宋体" w:hAnsi="宋体" w:eastAsia="仿宋_GB2312" w:cs="Times New Roman Regular"/>
          <w:color w:val="auto"/>
          <w:sz w:val="32"/>
          <w:szCs w:val="32"/>
          <w:highlight w:val="none"/>
          <w:u w:val="none" w:color="auto"/>
          <w:lang w:val="en-US" w:eastAsia="zh-CN"/>
        </w:rPr>
        <w:t>提升</w:t>
      </w:r>
      <w:r>
        <w:rPr>
          <w:rFonts w:hint="eastAsia" w:ascii="宋体" w:hAnsi="宋体" w:eastAsia="仿宋_GB2312" w:cs="Times New Roman Regular"/>
          <w:color w:val="auto"/>
          <w:sz w:val="32"/>
          <w:szCs w:val="32"/>
          <w:highlight w:val="none"/>
          <w:u w:val="none" w:color="auto"/>
          <w:lang w:eastAsia="zh-CN"/>
        </w:rPr>
        <w:t>雨生红球藻规模养殖能力和质量，</w:t>
      </w:r>
      <w:r>
        <w:rPr>
          <w:rFonts w:hint="eastAsia" w:ascii="宋体" w:hAnsi="宋体" w:eastAsia="仿宋_GB2312" w:cs="Times New Roman Regular"/>
          <w:color w:val="auto"/>
          <w:sz w:val="32"/>
          <w:szCs w:val="32"/>
          <w:highlight w:val="none"/>
          <w:u w:val="none" w:color="auto"/>
          <w:lang w:val="en-US" w:eastAsia="zh-CN"/>
        </w:rPr>
        <w:t>推动</w:t>
      </w:r>
      <w:r>
        <w:rPr>
          <w:rFonts w:hint="eastAsia" w:ascii="宋体" w:hAnsi="宋体" w:eastAsia="仿宋_GB2312" w:cs="Times New Roman Regular"/>
          <w:color w:val="auto"/>
          <w:sz w:val="32"/>
          <w:szCs w:val="32"/>
          <w:highlight w:val="none"/>
          <w:u w:val="none" w:color="auto"/>
          <w:lang w:eastAsia="zh-CN"/>
        </w:rPr>
        <w:t>养殖</w:t>
      </w:r>
      <w:r>
        <w:rPr>
          <w:rFonts w:hint="eastAsia" w:ascii="宋体" w:hAnsi="宋体" w:eastAsia="仿宋_GB2312" w:cs="Times New Roman Regular"/>
          <w:color w:val="auto"/>
          <w:sz w:val="32"/>
          <w:szCs w:val="32"/>
          <w:highlight w:val="none"/>
          <w:u w:val="none" w:color="auto"/>
        </w:rPr>
        <w:t>规模突破1</w:t>
      </w:r>
      <w:r>
        <w:rPr>
          <w:rFonts w:hint="default" w:ascii="宋体" w:hAnsi="宋体" w:eastAsia="仿宋_GB2312" w:cs="Times New Roman Regular"/>
          <w:color w:val="auto"/>
          <w:sz w:val="32"/>
          <w:szCs w:val="32"/>
          <w:highlight w:val="none"/>
          <w:u w:val="none" w:color="auto"/>
          <w:lang w:val="en-US" w:eastAsia="zh-CN"/>
        </w:rPr>
        <w:t>5</w:t>
      </w:r>
      <w:r>
        <w:rPr>
          <w:rFonts w:hint="eastAsia" w:ascii="宋体" w:hAnsi="宋体" w:eastAsia="仿宋_GB2312" w:cs="Times New Roman Regular"/>
          <w:color w:val="auto"/>
          <w:sz w:val="32"/>
          <w:szCs w:val="32"/>
          <w:highlight w:val="none"/>
          <w:u w:val="none" w:color="auto"/>
        </w:rPr>
        <w:t>00亩、农业产值达</w:t>
      </w:r>
      <w:r>
        <w:rPr>
          <w:rFonts w:hint="default" w:ascii="宋体" w:hAnsi="宋体" w:eastAsia="仿宋_GB2312" w:cs="Times New Roman Regular"/>
          <w:color w:val="auto"/>
          <w:sz w:val="32"/>
          <w:szCs w:val="32"/>
          <w:highlight w:val="none"/>
          <w:u w:val="none" w:color="auto"/>
          <w:lang w:val="en-US" w:eastAsia="zh-CN"/>
        </w:rPr>
        <w:t>3</w:t>
      </w:r>
      <w:r>
        <w:rPr>
          <w:rFonts w:hint="eastAsia" w:ascii="宋体" w:hAnsi="宋体" w:eastAsia="仿宋_GB2312" w:cs="Times New Roman Regular"/>
          <w:color w:val="auto"/>
          <w:sz w:val="32"/>
          <w:szCs w:val="32"/>
          <w:highlight w:val="none"/>
          <w:u w:val="none" w:color="auto"/>
        </w:rPr>
        <w:t>亿元</w:t>
      </w:r>
      <w:r>
        <w:rPr>
          <w:rFonts w:hint="eastAsia" w:ascii="宋体" w:hAnsi="宋体" w:eastAsia="仿宋_GB2312" w:cs="Times New Roman Regular"/>
          <w:color w:val="auto"/>
          <w:sz w:val="32"/>
          <w:szCs w:val="32"/>
          <w:highlight w:val="none"/>
          <w:u w:val="none" w:color="auto"/>
          <w:lang w:eastAsia="zh-CN"/>
        </w:rPr>
        <w:t>以上。实施</w:t>
      </w:r>
      <w:r>
        <w:rPr>
          <w:rFonts w:hint="eastAsia" w:ascii="宋体" w:hAnsi="宋体" w:eastAsia="仿宋_GB2312" w:cs="Times New Roman Regular"/>
          <w:color w:val="auto"/>
          <w:sz w:val="32"/>
          <w:szCs w:val="32"/>
          <w:highlight w:val="none"/>
          <w:u w:val="none" w:color="auto"/>
        </w:rPr>
        <w:t>千亩蓝莓产业</w:t>
      </w:r>
      <w:r>
        <w:rPr>
          <w:rFonts w:hint="eastAsia" w:ascii="宋体" w:hAnsi="宋体" w:eastAsia="仿宋_GB2312" w:cs="Times New Roman Regular"/>
          <w:color w:val="auto"/>
          <w:sz w:val="32"/>
          <w:szCs w:val="32"/>
          <w:highlight w:val="none"/>
          <w:u w:val="none" w:color="auto"/>
          <w:lang w:eastAsia="zh-CN"/>
        </w:rPr>
        <w:t>壮大工程，</w:t>
      </w:r>
      <w:r>
        <w:rPr>
          <w:rFonts w:hint="eastAsia" w:ascii="宋体" w:hAnsi="宋体" w:eastAsia="仿宋_GB2312" w:cs="Times New Roman Regular"/>
          <w:color w:val="auto"/>
          <w:sz w:val="32"/>
          <w:szCs w:val="32"/>
          <w:highlight w:val="none"/>
          <w:u w:val="none" w:color="auto"/>
        </w:rPr>
        <w:t>以紫约、荨莓为</w:t>
      </w:r>
      <w:r>
        <w:rPr>
          <w:rFonts w:hint="eastAsia" w:ascii="宋体" w:hAnsi="宋体" w:eastAsia="仿宋_GB2312" w:cs="Times New Roman Regular"/>
          <w:color w:val="auto"/>
          <w:sz w:val="32"/>
          <w:szCs w:val="32"/>
          <w:highlight w:val="none"/>
          <w:u w:val="none" w:color="auto"/>
          <w:lang w:eastAsia="zh-CN"/>
        </w:rPr>
        <w:t>支撑</w:t>
      </w:r>
      <w:r>
        <w:rPr>
          <w:rFonts w:hint="eastAsia" w:ascii="宋体" w:hAnsi="宋体" w:eastAsia="仿宋_GB2312" w:cs="Times New Roman Regular"/>
          <w:color w:val="auto"/>
          <w:sz w:val="32"/>
          <w:szCs w:val="32"/>
          <w:highlight w:val="none"/>
          <w:u w:val="none" w:color="auto"/>
        </w:rPr>
        <w:t>，</w:t>
      </w:r>
      <w:r>
        <w:rPr>
          <w:rFonts w:hint="eastAsia" w:ascii="宋体" w:hAnsi="宋体" w:eastAsia="仿宋_GB2312" w:cs="Times New Roman Regular"/>
          <w:color w:val="auto"/>
          <w:sz w:val="32"/>
          <w:szCs w:val="32"/>
          <w:highlight w:val="none"/>
          <w:u w:val="none" w:color="auto"/>
          <w:lang w:val="en-US" w:eastAsia="zh-CN"/>
        </w:rPr>
        <w:t>推动</w:t>
      </w:r>
      <w:r>
        <w:rPr>
          <w:rFonts w:hint="eastAsia" w:ascii="宋体" w:hAnsi="宋体" w:eastAsia="仿宋_GB2312" w:cs="Times New Roman Regular"/>
          <w:color w:val="auto"/>
          <w:sz w:val="32"/>
          <w:szCs w:val="32"/>
          <w:highlight w:val="none"/>
          <w:u w:val="none" w:color="auto"/>
        </w:rPr>
        <w:t>优质蓝莓</w:t>
      </w:r>
      <w:r>
        <w:rPr>
          <w:rFonts w:hint="eastAsia" w:ascii="宋体" w:hAnsi="宋体" w:eastAsia="仿宋_GB2312" w:cs="Times New Roman Regular"/>
          <w:color w:val="auto"/>
          <w:sz w:val="32"/>
          <w:szCs w:val="32"/>
          <w:highlight w:val="none"/>
          <w:u w:val="none" w:color="auto"/>
          <w:lang w:eastAsia="zh-CN"/>
        </w:rPr>
        <w:t>种植</w:t>
      </w:r>
      <w:r>
        <w:rPr>
          <w:rFonts w:hint="eastAsia" w:ascii="宋体" w:hAnsi="宋体" w:eastAsia="仿宋_GB2312" w:cs="Times New Roman Regular"/>
          <w:color w:val="auto"/>
          <w:sz w:val="32"/>
          <w:szCs w:val="32"/>
          <w:highlight w:val="none"/>
          <w:u w:val="none" w:color="auto"/>
          <w:lang w:val="en-US" w:eastAsia="zh-CN"/>
        </w:rPr>
        <w:t>面积达</w:t>
      </w:r>
      <w:r>
        <w:rPr>
          <w:rFonts w:hint="default" w:ascii="宋体" w:hAnsi="宋体" w:eastAsia="仿宋_GB2312" w:cs="Times New Roman Regular"/>
          <w:color w:val="auto"/>
          <w:sz w:val="32"/>
          <w:szCs w:val="32"/>
          <w:highlight w:val="none"/>
          <w:u w:val="none" w:color="auto"/>
          <w:lang w:val="en-US" w:eastAsia="zh-CN"/>
        </w:rPr>
        <w:t>5000亩</w:t>
      </w:r>
      <w:r>
        <w:rPr>
          <w:rFonts w:hint="eastAsia" w:ascii="宋体" w:hAnsi="宋体" w:eastAsia="仿宋_GB2312" w:cs="Times New Roman Regular"/>
          <w:color w:val="auto"/>
          <w:sz w:val="32"/>
          <w:szCs w:val="32"/>
          <w:highlight w:val="none"/>
          <w:u w:val="none" w:color="auto"/>
          <w:lang w:val="en-US" w:eastAsia="zh-CN"/>
        </w:rPr>
        <w:t>、</w:t>
      </w:r>
      <w:r>
        <w:rPr>
          <w:rFonts w:hint="eastAsia" w:ascii="宋体" w:hAnsi="宋体" w:eastAsia="仿宋_GB2312" w:cs="Times New Roman Regular"/>
          <w:color w:val="auto"/>
          <w:sz w:val="32"/>
          <w:szCs w:val="32"/>
          <w:highlight w:val="none"/>
          <w:u w:val="none" w:color="auto"/>
        </w:rPr>
        <w:t>年产</w:t>
      </w:r>
      <w:r>
        <w:rPr>
          <w:rFonts w:hint="eastAsia" w:ascii="宋体" w:hAnsi="宋体" w:eastAsia="仿宋_GB2312" w:cs="Times New Roman Regular"/>
          <w:color w:val="auto"/>
          <w:sz w:val="32"/>
          <w:szCs w:val="32"/>
          <w:highlight w:val="none"/>
          <w:u w:val="none" w:color="auto"/>
          <w:lang w:eastAsia="zh-CN"/>
        </w:rPr>
        <w:t>优质蓝莓</w:t>
      </w:r>
      <w:r>
        <w:rPr>
          <w:rFonts w:hint="default" w:ascii="宋体" w:hAnsi="宋体" w:eastAsia="仿宋_GB2312" w:cs="Times New Roman Regular"/>
          <w:color w:val="auto"/>
          <w:sz w:val="32"/>
          <w:szCs w:val="32"/>
          <w:highlight w:val="none"/>
          <w:u w:val="none" w:color="auto"/>
          <w:lang w:val="en-US" w:eastAsia="zh-CN"/>
        </w:rPr>
        <w:t>1万</w:t>
      </w:r>
      <w:r>
        <w:rPr>
          <w:rFonts w:hint="eastAsia" w:ascii="宋体" w:hAnsi="宋体" w:eastAsia="仿宋_GB2312" w:cs="Times New Roman Regular"/>
          <w:color w:val="auto"/>
          <w:sz w:val="32"/>
          <w:szCs w:val="32"/>
          <w:highlight w:val="none"/>
          <w:u w:val="none" w:color="auto"/>
        </w:rPr>
        <w:t>吨、年均产值</w:t>
      </w:r>
      <w:r>
        <w:rPr>
          <w:rFonts w:hint="eastAsia" w:ascii="宋体" w:hAnsi="宋体" w:eastAsia="仿宋_GB2312" w:cs="Times New Roman Regular"/>
          <w:color w:val="auto"/>
          <w:sz w:val="32"/>
          <w:szCs w:val="32"/>
          <w:highlight w:val="none"/>
          <w:u w:val="none" w:color="auto"/>
          <w:lang w:eastAsia="zh-CN"/>
        </w:rPr>
        <w:t>达</w:t>
      </w:r>
      <w:r>
        <w:rPr>
          <w:rFonts w:hint="default" w:ascii="宋体" w:hAnsi="宋体" w:eastAsia="仿宋_GB2312" w:cs="Times New Roman Regular"/>
          <w:color w:val="auto"/>
          <w:sz w:val="32"/>
          <w:szCs w:val="32"/>
          <w:highlight w:val="none"/>
          <w:u w:val="none" w:color="auto"/>
          <w:lang w:val="en-US" w:eastAsia="zh-CN"/>
        </w:rPr>
        <w:t>5</w:t>
      </w:r>
      <w:r>
        <w:rPr>
          <w:rFonts w:hint="eastAsia" w:ascii="宋体" w:hAnsi="宋体" w:eastAsia="仿宋_GB2312" w:cs="Times New Roman Regular"/>
          <w:color w:val="auto"/>
          <w:sz w:val="32"/>
          <w:szCs w:val="32"/>
          <w:highlight w:val="none"/>
          <w:u w:val="none" w:color="auto"/>
        </w:rPr>
        <w:t>亿元以上，蓝莓种业育苗</w:t>
      </w:r>
      <w:r>
        <w:rPr>
          <w:rFonts w:hint="default" w:ascii="宋体" w:hAnsi="宋体" w:eastAsia="仿宋_GB2312" w:cs="Times New Roman Regular"/>
          <w:color w:val="auto"/>
          <w:sz w:val="32"/>
          <w:szCs w:val="32"/>
          <w:highlight w:val="none"/>
          <w:u w:val="none" w:color="auto"/>
          <w:lang w:val="en-US" w:eastAsia="zh-CN"/>
        </w:rPr>
        <w:t>1000</w:t>
      </w:r>
      <w:r>
        <w:rPr>
          <w:rFonts w:hint="eastAsia" w:ascii="宋体" w:hAnsi="宋体" w:eastAsia="仿宋_GB2312" w:cs="Times New Roman Regular"/>
          <w:color w:val="auto"/>
          <w:sz w:val="32"/>
          <w:szCs w:val="32"/>
          <w:highlight w:val="none"/>
          <w:u w:val="none" w:color="auto"/>
        </w:rPr>
        <w:t>万株、产值</w:t>
      </w:r>
      <w:r>
        <w:rPr>
          <w:rFonts w:hint="default" w:ascii="宋体" w:hAnsi="宋体" w:eastAsia="仿宋_GB2312" w:cs="Times New Roman Regular"/>
          <w:color w:val="auto"/>
          <w:sz w:val="32"/>
          <w:szCs w:val="32"/>
          <w:highlight w:val="none"/>
          <w:u w:val="none" w:color="auto"/>
          <w:lang w:val="en-US" w:eastAsia="zh-CN"/>
        </w:rPr>
        <w:t>2</w:t>
      </w:r>
      <w:r>
        <w:rPr>
          <w:rFonts w:hint="eastAsia" w:ascii="宋体" w:hAnsi="宋体" w:eastAsia="仿宋_GB2312" w:cs="Times New Roman Regular"/>
          <w:color w:val="auto"/>
          <w:sz w:val="32"/>
          <w:szCs w:val="32"/>
          <w:highlight w:val="none"/>
          <w:u w:val="none" w:color="auto"/>
        </w:rPr>
        <w:t>亿元</w:t>
      </w:r>
      <w:r>
        <w:rPr>
          <w:rFonts w:hint="eastAsia" w:ascii="宋体" w:hAnsi="宋体" w:eastAsia="仿宋_GB2312" w:cs="Times New Roman Regular"/>
          <w:color w:val="auto"/>
          <w:sz w:val="32"/>
          <w:szCs w:val="32"/>
          <w:highlight w:val="none"/>
          <w:u w:val="none" w:color="auto"/>
          <w:lang w:eastAsia="zh-CN"/>
        </w:rPr>
        <w:t>以上。实施千亩花卉示范工程，</w:t>
      </w:r>
      <w:r>
        <w:rPr>
          <w:rFonts w:hint="eastAsia" w:ascii="宋体" w:hAnsi="宋体" w:eastAsia="仿宋_GB2312" w:cs="Times New Roman Regular"/>
          <w:color w:val="auto"/>
          <w:sz w:val="32"/>
          <w:szCs w:val="32"/>
          <w:highlight w:val="none"/>
          <w:u w:val="none" w:color="auto"/>
        </w:rPr>
        <w:t>发展大花蕙兰、鲜切花等花卉</w:t>
      </w:r>
      <w:r>
        <w:rPr>
          <w:rFonts w:hint="eastAsia" w:ascii="宋体" w:hAnsi="宋体" w:eastAsia="仿宋_GB2312" w:cs="Times New Roman Regular"/>
          <w:color w:val="auto"/>
          <w:sz w:val="32"/>
          <w:szCs w:val="32"/>
          <w:highlight w:val="none"/>
          <w:u w:val="none" w:color="auto"/>
          <w:lang w:eastAsia="zh-CN"/>
        </w:rPr>
        <w:t>种植</w:t>
      </w:r>
      <w:r>
        <w:rPr>
          <w:rFonts w:hint="eastAsia" w:ascii="宋体" w:hAnsi="宋体" w:eastAsia="仿宋_GB2312" w:cs="Times New Roman Regular"/>
          <w:color w:val="auto"/>
          <w:sz w:val="32"/>
          <w:szCs w:val="32"/>
          <w:highlight w:val="none"/>
          <w:u w:val="none" w:color="auto"/>
        </w:rPr>
        <w:t>，</w:t>
      </w:r>
      <w:r>
        <w:rPr>
          <w:rFonts w:hint="eastAsia" w:ascii="宋体" w:hAnsi="宋体" w:eastAsia="仿宋_GB2312" w:cs="Times New Roman Regular"/>
          <w:color w:val="auto"/>
          <w:sz w:val="32"/>
          <w:szCs w:val="32"/>
          <w:highlight w:val="none"/>
          <w:u w:val="none" w:color="auto"/>
          <w:lang w:eastAsia="zh-CN"/>
        </w:rPr>
        <w:t>实现种植规模</w:t>
      </w:r>
      <w:r>
        <w:rPr>
          <w:rFonts w:hint="eastAsia" w:ascii="宋体" w:hAnsi="宋体" w:eastAsia="仿宋_GB2312" w:cs="Times New Roman Regular"/>
          <w:color w:val="auto"/>
          <w:sz w:val="32"/>
          <w:szCs w:val="32"/>
          <w:highlight w:val="none"/>
          <w:u w:val="none" w:color="auto"/>
        </w:rPr>
        <w:t>5000亩</w:t>
      </w:r>
      <w:r>
        <w:rPr>
          <w:rFonts w:hint="eastAsia" w:ascii="宋体" w:hAnsi="宋体" w:eastAsia="仿宋_GB2312" w:cs="Times New Roman Regular"/>
          <w:color w:val="auto"/>
          <w:sz w:val="32"/>
          <w:szCs w:val="32"/>
          <w:highlight w:val="none"/>
          <w:u w:val="none" w:color="auto"/>
          <w:lang w:eastAsia="zh-CN"/>
        </w:rPr>
        <w:t>以上</w:t>
      </w:r>
      <w:r>
        <w:rPr>
          <w:rFonts w:hint="eastAsia" w:ascii="宋体" w:hAnsi="宋体" w:eastAsia="仿宋_GB2312" w:cs="Times New Roman Regular"/>
          <w:color w:val="auto"/>
          <w:sz w:val="32"/>
          <w:szCs w:val="32"/>
          <w:highlight w:val="none"/>
          <w:u w:val="none" w:color="auto"/>
        </w:rPr>
        <w:t>、年产值</w:t>
      </w:r>
      <w:r>
        <w:rPr>
          <w:rFonts w:hint="default" w:ascii="宋体" w:hAnsi="宋体" w:eastAsia="仿宋_GB2312" w:cs="Times New Roman Regular"/>
          <w:color w:val="auto"/>
          <w:sz w:val="32"/>
          <w:szCs w:val="32"/>
          <w:highlight w:val="none"/>
          <w:u w:val="none" w:color="auto"/>
          <w:lang w:val="en-US" w:eastAsia="zh-CN"/>
        </w:rPr>
        <w:t>5</w:t>
      </w:r>
      <w:r>
        <w:rPr>
          <w:rFonts w:hint="eastAsia" w:ascii="宋体" w:hAnsi="宋体" w:eastAsia="仿宋_GB2312" w:cs="Times New Roman Regular"/>
          <w:color w:val="auto"/>
          <w:sz w:val="32"/>
          <w:szCs w:val="32"/>
          <w:highlight w:val="none"/>
          <w:u w:val="none" w:color="auto"/>
        </w:rPr>
        <w:t>亿元</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lang w:eastAsia="zh-CN"/>
        </w:rPr>
        <w:t>实施旅居康养提升工程，依托杏林大观园、万家欢等</w:t>
      </w:r>
      <w:r>
        <w:rPr>
          <w:rFonts w:hint="default" w:ascii="宋体" w:hAnsi="宋体" w:eastAsia="仿宋_GB2312" w:cs="Times New Roman Regular"/>
          <w:color w:val="auto"/>
          <w:sz w:val="32"/>
          <w:szCs w:val="32"/>
          <w:highlight w:val="none"/>
          <w:u w:val="none" w:color="auto"/>
          <w:lang w:val="en-US" w:eastAsia="zh-CN"/>
        </w:rPr>
        <w:t>A级</w:t>
      </w:r>
      <w:r>
        <w:rPr>
          <w:rFonts w:hint="eastAsia" w:ascii="宋体" w:hAnsi="宋体" w:eastAsia="仿宋_GB2312" w:cs="Times New Roman Regular"/>
          <w:color w:val="auto"/>
          <w:sz w:val="32"/>
          <w:szCs w:val="32"/>
          <w:highlight w:val="none"/>
          <w:u w:val="none" w:color="auto"/>
          <w:lang w:val="en-US" w:eastAsia="zh-CN"/>
        </w:rPr>
        <w:t>旅游</w:t>
      </w:r>
      <w:r>
        <w:rPr>
          <w:rFonts w:hint="default" w:ascii="宋体" w:hAnsi="宋体" w:eastAsia="仿宋_GB2312" w:cs="Times New Roman Regular"/>
          <w:color w:val="auto"/>
          <w:sz w:val="32"/>
          <w:szCs w:val="32"/>
          <w:highlight w:val="none"/>
          <w:u w:val="none" w:color="auto"/>
          <w:lang w:val="en-US" w:eastAsia="zh-CN"/>
        </w:rPr>
        <w:t>景区</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推动</w:t>
      </w:r>
      <w:r>
        <w:rPr>
          <w:rFonts w:hint="eastAsia" w:ascii="宋体" w:hAnsi="宋体" w:eastAsia="仿宋_GB2312" w:cs="Times New Roman Regular"/>
          <w:color w:val="auto"/>
          <w:sz w:val="32"/>
          <w:szCs w:val="32"/>
          <w:highlight w:val="none"/>
          <w:u w:val="none" w:color="auto"/>
          <w:lang w:eastAsia="zh-CN"/>
        </w:rPr>
        <w:t>农文旅深度融合，做强台创园康养旅居产业。</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085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061" w:type="dxa"/>
            <w:vAlign w:val="center"/>
          </w:tcPr>
          <w:p w14:paraId="4AC931B0">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0" w:firstLineChars="200"/>
              <w:jc w:val="center"/>
              <w:textAlignment w:val="auto"/>
              <w:outlineLvl w:val="9"/>
              <w:rPr>
                <w:rFonts w:hint="default" w:ascii="宋体" w:hAnsi="宋体" w:eastAsia="方正楷体_GBK" w:cs="Times New Roman Regular"/>
                <w:color w:val="auto"/>
                <w:kern w:val="2"/>
                <w:sz w:val="28"/>
                <w:szCs w:val="28"/>
                <w:highlight w:val="none"/>
                <w:u w:val="none" w:color="auto"/>
                <w:vertAlign w:val="baseline"/>
                <w:lang w:val="en-US" w:eastAsia="zh-CN" w:bidi="ar-SA"/>
              </w:rPr>
            </w:pPr>
            <w:r>
              <w:rPr>
                <w:rFonts w:hint="eastAsia" w:ascii="黑体" w:hAnsi="黑体" w:eastAsia="黑体" w:cs="黑体"/>
                <w:color w:val="auto"/>
                <w:kern w:val="2"/>
                <w:sz w:val="28"/>
                <w:szCs w:val="28"/>
                <w:highlight w:val="none"/>
                <w:lang w:val="en-US" w:eastAsia="zh-CN" w:bidi="ar-SA"/>
              </w:rPr>
              <w:t>专栏5  现代特色农业重点工程</w:t>
            </w:r>
          </w:p>
        </w:tc>
      </w:tr>
      <w:tr w14:paraId="4E5E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5" w:hRule="atLeast"/>
        </w:trPr>
        <w:tc>
          <w:tcPr>
            <w:tcW w:w="9061" w:type="dxa"/>
          </w:tcPr>
          <w:p w14:paraId="4C4D894C">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00" w:lineRule="exact"/>
              <w:ind w:left="0" w:leftChars="0" w:firstLine="562" w:firstLineChars="200"/>
              <w:jc w:val="both"/>
              <w:textAlignment w:val="auto"/>
              <w:outlineLvl w:val="9"/>
              <w:rPr>
                <w:rFonts w:hint="eastAsia" w:ascii="宋体" w:hAnsi="宋体" w:eastAsia="仿宋_GB2312" w:cs="仿宋_GB2312"/>
                <w:color w:val="auto"/>
                <w:sz w:val="28"/>
                <w:szCs w:val="28"/>
                <w:highlight w:val="none"/>
                <w:u w:val="none" w:color="auto"/>
              </w:rPr>
            </w:pPr>
            <w:r>
              <w:rPr>
                <w:rFonts w:hint="eastAsia" w:ascii="宋体" w:hAnsi="宋体" w:eastAsia="仿宋_GB2312" w:cs="仿宋_GB2312"/>
                <w:b/>
                <w:bCs/>
                <w:color w:val="auto"/>
                <w:sz w:val="28"/>
                <w:szCs w:val="28"/>
                <w:highlight w:val="none"/>
                <w:u w:val="none" w:color="auto"/>
                <w:lang w:val="en-US" w:eastAsia="zh-CN"/>
              </w:rPr>
              <w:t>高标准农田建设工程。</w:t>
            </w:r>
            <w:r>
              <w:rPr>
                <w:rFonts w:hint="eastAsia" w:ascii="宋体" w:hAnsi="宋体" w:eastAsia="仿宋_GB2312" w:cs="仿宋_GB2312"/>
                <w:b w:val="0"/>
                <w:bCs w:val="0"/>
                <w:color w:val="auto"/>
                <w:sz w:val="28"/>
                <w:szCs w:val="28"/>
                <w:highlight w:val="none"/>
                <w:u w:val="none" w:color="auto"/>
                <w:lang w:val="en-US" w:eastAsia="zh-CN"/>
              </w:rPr>
              <w:t>推进</w:t>
            </w:r>
            <w:r>
              <w:rPr>
                <w:rFonts w:hint="eastAsia" w:ascii="宋体" w:hAnsi="宋体" w:eastAsia="仿宋_GB2312" w:cs="宋体"/>
                <w:color w:val="auto"/>
                <w:sz w:val="28"/>
                <w:szCs w:val="28"/>
                <w:highlight w:val="none"/>
                <w:u w:val="none" w:color="auto"/>
              </w:rPr>
              <w:t>29</w:t>
            </w:r>
            <w:r>
              <w:rPr>
                <w:rFonts w:hint="eastAsia" w:ascii="宋体" w:hAnsi="宋体" w:eastAsia="仿宋_GB2312" w:cs="仿宋_GB2312"/>
                <w:color w:val="auto"/>
                <w:sz w:val="28"/>
                <w:szCs w:val="28"/>
                <w:highlight w:val="none"/>
                <w:u w:val="none" w:color="auto"/>
              </w:rPr>
              <w:t>万亩</w:t>
            </w:r>
            <w:r>
              <w:rPr>
                <w:rFonts w:hint="eastAsia" w:ascii="宋体" w:hAnsi="宋体" w:eastAsia="仿宋_GB2312" w:cs="仿宋_GB2312"/>
                <w:b w:val="0"/>
                <w:bCs w:val="0"/>
                <w:color w:val="auto"/>
                <w:sz w:val="28"/>
                <w:szCs w:val="28"/>
                <w:highlight w:val="none"/>
                <w:u w:val="none" w:color="auto"/>
                <w:lang w:val="en-US" w:eastAsia="zh-CN"/>
              </w:rPr>
              <w:t>高标准农田建设，</w:t>
            </w:r>
            <w:r>
              <w:rPr>
                <w:rFonts w:hint="eastAsia" w:ascii="宋体" w:hAnsi="宋体" w:eastAsia="仿宋_GB2312" w:cs="仿宋_GB2312"/>
                <w:color w:val="auto"/>
                <w:sz w:val="28"/>
                <w:szCs w:val="28"/>
                <w:highlight w:val="none"/>
                <w:u w:val="none" w:color="auto"/>
              </w:rPr>
              <w:t>开展田块整治、田间道路改（扩）建、水电</w:t>
            </w:r>
            <w:r>
              <w:rPr>
                <w:rFonts w:hint="eastAsia" w:ascii="宋体" w:hAnsi="宋体" w:eastAsia="仿宋_GB2312" w:cs="仿宋_GB2312"/>
                <w:color w:val="auto"/>
                <w:sz w:val="28"/>
                <w:szCs w:val="28"/>
                <w:highlight w:val="none"/>
                <w:u w:val="none" w:color="auto"/>
                <w:lang w:val="en-US" w:eastAsia="zh-CN"/>
              </w:rPr>
              <w:t>设施</w:t>
            </w:r>
            <w:r>
              <w:rPr>
                <w:rFonts w:hint="eastAsia" w:ascii="宋体" w:hAnsi="宋体" w:eastAsia="仿宋_GB2312" w:cs="仿宋_GB2312"/>
                <w:color w:val="auto"/>
                <w:sz w:val="28"/>
                <w:szCs w:val="28"/>
                <w:highlight w:val="none"/>
                <w:u w:val="none" w:color="auto"/>
              </w:rPr>
              <w:t>配套等田间基础设施建设，并结合土壤肥力情况开展农田地力提升工程。</w:t>
            </w:r>
          </w:p>
          <w:p w14:paraId="630EE263">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00" w:lineRule="exact"/>
              <w:ind w:left="0" w:leftChars="0" w:firstLine="562" w:firstLineChars="200"/>
              <w:jc w:val="both"/>
              <w:textAlignment w:val="auto"/>
              <w:outlineLvl w:val="9"/>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核心烟区巩固和提升工程。</w:t>
            </w:r>
            <w:r>
              <w:rPr>
                <w:rFonts w:hint="eastAsia" w:ascii="宋体" w:hAnsi="宋体" w:eastAsia="仿宋_GB2312" w:cs="仿宋_GB2312"/>
                <w:b w:val="0"/>
                <w:bCs w:val="0"/>
                <w:color w:val="auto"/>
                <w:sz w:val="28"/>
                <w:szCs w:val="28"/>
                <w:highlight w:val="none"/>
                <w:u w:val="none" w:color="auto"/>
                <w:lang w:val="en-US" w:eastAsia="zh-CN"/>
              </w:rPr>
              <w:t>稳步优化县乡村烟区空间布局，加快烟田规模化、规范化流转，推进</w:t>
            </w:r>
            <w:r>
              <w:rPr>
                <w:rFonts w:hint="eastAsia" w:ascii="宋体" w:hAnsi="宋体" w:eastAsia="仿宋_GB2312" w:cs="宋体"/>
                <w:b w:val="0"/>
                <w:bCs w:val="0"/>
                <w:color w:val="auto"/>
                <w:sz w:val="28"/>
                <w:szCs w:val="28"/>
                <w:highlight w:val="none"/>
                <w:u w:val="none" w:color="auto"/>
                <w:lang w:val="en-US" w:eastAsia="zh-CN"/>
              </w:rPr>
              <w:t>1</w:t>
            </w:r>
            <w:r>
              <w:rPr>
                <w:rFonts w:hint="eastAsia" w:ascii="宋体" w:hAnsi="宋体" w:eastAsia="仿宋_GB2312" w:cs="仿宋_GB2312"/>
                <w:b w:val="0"/>
                <w:bCs w:val="0"/>
                <w:color w:val="auto"/>
                <w:sz w:val="28"/>
                <w:szCs w:val="28"/>
                <w:highlight w:val="none"/>
                <w:u w:val="none" w:color="auto"/>
                <w:lang w:val="en-US" w:eastAsia="zh-CN"/>
              </w:rPr>
              <w:t>万担以上及种烟乡、</w:t>
            </w:r>
            <w:r>
              <w:rPr>
                <w:rFonts w:hint="eastAsia" w:ascii="宋体" w:hAnsi="宋体" w:eastAsia="仿宋_GB2312" w:cs="宋体"/>
                <w:b w:val="0"/>
                <w:bCs w:val="0"/>
                <w:color w:val="auto"/>
                <w:sz w:val="28"/>
                <w:szCs w:val="28"/>
                <w:highlight w:val="none"/>
                <w:u w:val="none" w:color="auto"/>
                <w:lang w:val="en-US" w:eastAsia="zh-CN"/>
              </w:rPr>
              <w:t>1000</w:t>
            </w:r>
            <w:r>
              <w:rPr>
                <w:rFonts w:hint="eastAsia" w:ascii="宋体" w:hAnsi="宋体" w:eastAsia="仿宋_GB2312" w:cs="仿宋_GB2312"/>
                <w:b w:val="0"/>
                <w:bCs w:val="0"/>
                <w:color w:val="auto"/>
                <w:sz w:val="28"/>
                <w:szCs w:val="28"/>
                <w:highlight w:val="none"/>
                <w:u w:val="none" w:color="auto"/>
                <w:lang w:val="en-US" w:eastAsia="zh-CN"/>
              </w:rPr>
              <w:t>亩以上种烟村建设，重点在长湖镇中部打造烟草核心示范区、“烟叶+”产业融合区。</w:t>
            </w:r>
          </w:p>
          <w:p w14:paraId="61D1518E">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00" w:lineRule="exact"/>
              <w:ind w:left="0" w:leftChars="0" w:firstLine="562" w:firstLineChars="200"/>
              <w:jc w:val="both"/>
              <w:textAlignment w:val="auto"/>
              <w:outlineLvl w:val="9"/>
              <w:rPr>
                <w:rFonts w:hint="default" w:ascii="宋体" w:hAnsi="宋体" w:eastAsia="方正楷体_GBK" w:cs="Times New Roman Regular"/>
                <w:color w:val="auto"/>
                <w:sz w:val="28"/>
                <w:szCs w:val="28"/>
                <w:highlight w:val="none"/>
                <w:u w:val="none" w:color="auto"/>
                <w:vertAlign w:val="baseline"/>
                <w:lang w:val="en-US" w:eastAsia="zh-CN"/>
              </w:rPr>
            </w:pPr>
            <w:r>
              <w:rPr>
                <w:rFonts w:hint="eastAsia" w:ascii="宋体" w:hAnsi="宋体" w:eastAsia="仿宋_GB2312" w:cs="仿宋_GB2312"/>
                <w:b/>
                <w:bCs/>
                <w:color w:val="auto"/>
                <w:sz w:val="28"/>
                <w:szCs w:val="28"/>
                <w:highlight w:val="none"/>
                <w:u w:val="none" w:color="auto"/>
              </w:rPr>
              <w:t>“百亿级”人参果产业</w:t>
            </w:r>
            <w:r>
              <w:rPr>
                <w:rFonts w:hint="eastAsia" w:ascii="宋体" w:hAnsi="宋体" w:eastAsia="仿宋_GB2312" w:cs="仿宋_GB2312"/>
                <w:b/>
                <w:bCs/>
                <w:color w:val="auto"/>
                <w:sz w:val="28"/>
                <w:szCs w:val="28"/>
                <w:highlight w:val="none"/>
                <w:u w:val="none" w:color="auto"/>
                <w:lang w:val="en-US" w:eastAsia="zh-CN"/>
              </w:rPr>
              <w:t>发展工程。</w:t>
            </w:r>
            <w:r>
              <w:rPr>
                <w:rFonts w:hint="eastAsia" w:ascii="宋体" w:hAnsi="宋体" w:eastAsia="仿宋_GB2312" w:cs="仿宋_GB2312"/>
                <w:b w:val="0"/>
                <w:bCs w:val="0"/>
                <w:color w:val="auto"/>
                <w:sz w:val="28"/>
                <w:szCs w:val="28"/>
                <w:highlight w:val="none"/>
                <w:u w:val="none" w:color="auto"/>
                <w:lang w:val="en-US" w:eastAsia="zh-CN"/>
              </w:rPr>
              <w:t>推进</w:t>
            </w:r>
            <w:r>
              <w:rPr>
                <w:rFonts w:hint="eastAsia" w:ascii="宋体" w:hAnsi="宋体" w:eastAsia="仿宋_GB2312" w:cs="仿宋_GB2312"/>
                <w:color w:val="auto"/>
                <w:sz w:val="28"/>
                <w:szCs w:val="28"/>
                <w:highlight w:val="none"/>
                <w:u w:val="none" w:color="auto"/>
              </w:rPr>
              <w:t>人参果优质种苗基地建设，种质资源创新保护及应用</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打造省级和国家级人参果种业基地，完善和提升育苗设施</w:t>
            </w:r>
            <w:r>
              <w:rPr>
                <w:rFonts w:hint="eastAsia" w:ascii="宋体" w:hAnsi="宋体" w:eastAsia="仿宋_GB2312" w:cs="宋体"/>
                <w:color w:val="auto"/>
                <w:sz w:val="28"/>
                <w:szCs w:val="28"/>
                <w:highlight w:val="none"/>
                <w:u w:val="none" w:color="auto"/>
              </w:rPr>
              <w:t>800－1000</w:t>
            </w:r>
            <w:r>
              <w:rPr>
                <w:rFonts w:hint="eastAsia" w:ascii="宋体" w:hAnsi="宋体" w:eastAsia="仿宋_GB2312" w:cs="仿宋_GB2312"/>
                <w:color w:val="auto"/>
                <w:sz w:val="28"/>
                <w:szCs w:val="28"/>
                <w:highlight w:val="none"/>
                <w:u w:val="none" w:color="auto"/>
              </w:rPr>
              <w:t>亩，每年生产优质人参果种苗</w:t>
            </w:r>
            <w:r>
              <w:rPr>
                <w:rFonts w:hint="eastAsia" w:ascii="宋体" w:hAnsi="宋体" w:eastAsia="仿宋_GB2312" w:cs="宋体"/>
                <w:color w:val="auto"/>
                <w:sz w:val="28"/>
                <w:szCs w:val="28"/>
                <w:highlight w:val="none"/>
                <w:u w:val="none" w:color="auto"/>
              </w:rPr>
              <w:t>2</w:t>
            </w:r>
            <w:r>
              <w:rPr>
                <w:rFonts w:hint="eastAsia" w:ascii="宋体" w:hAnsi="宋体" w:eastAsia="仿宋_GB2312" w:cs="仿宋_GB2312"/>
                <w:color w:val="auto"/>
                <w:sz w:val="28"/>
                <w:szCs w:val="28"/>
                <w:highlight w:val="none"/>
                <w:u w:val="none" w:color="auto"/>
              </w:rPr>
              <w:t>亿株以上；提升绿色生态高效种植模式</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lang w:val="en-US" w:eastAsia="zh-CN"/>
              </w:rPr>
              <w:t>实现</w:t>
            </w:r>
            <w:r>
              <w:rPr>
                <w:rFonts w:hint="eastAsia" w:ascii="宋体" w:hAnsi="宋体" w:eastAsia="仿宋_GB2312" w:cs="仿宋_GB2312"/>
                <w:color w:val="auto"/>
                <w:sz w:val="28"/>
                <w:szCs w:val="28"/>
                <w:highlight w:val="none"/>
                <w:u w:val="none" w:color="auto"/>
              </w:rPr>
              <w:t>人参果种植面积</w:t>
            </w:r>
            <w:r>
              <w:rPr>
                <w:rFonts w:hint="eastAsia" w:ascii="宋体" w:hAnsi="宋体" w:eastAsia="仿宋_GB2312" w:cs="仿宋_GB2312"/>
                <w:color w:val="auto"/>
                <w:sz w:val="28"/>
                <w:szCs w:val="28"/>
                <w:highlight w:val="none"/>
                <w:u w:val="none" w:color="auto"/>
                <w:lang w:val="en-US" w:eastAsia="zh-CN"/>
              </w:rPr>
              <w:t>达</w:t>
            </w:r>
            <w:r>
              <w:rPr>
                <w:rFonts w:hint="eastAsia" w:ascii="宋体" w:hAnsi="宋体" w:eastAsia="仿宋_GB2312" w:cs="宋体"/>
                <w:color w:val="auto"/>
                <w:sz w:val="28"/>
                <w:szCs w:val="28"/>
                <w:highlight w:val="none"/>
                <w:u w:val="none" w:color="auto"/>
                <w:lang w:val="en-US" w:eastAsia="zh-CN"/>
              </w:rPr>
              <w:t>18</w:t>
            </w:r>
            <w:r>
              <w:rPr>
                <w:rFonts w:hint="eastAsia" w:ascii="宋体" w:hAnsi="宋体" w:eastAsia="仿宋_GB2312" w:cs="仿宋_GB2312"/>
                <w:color w:val="auto"/>
                <w:sz w:val="28"/>
                <w:szCs w:val="28"/>
                <w:highlight w:val="none"/>
                <w:u w:val="none" w:color="auto"/>
                <w:lang w:val="en-US" w:eastAsia="zh-CN"/>
              </w:rPr>
              <w:t>万—</w:t>
            </w:r>
            <w:r>
              <w:rPr>
                <w:rFonts w:hint="eastAsia" w:ascii="宋体" w:hAnsi="宋体" w:eastAsia="仿宋_GB2312" w:cs="宋体"/>
                <w:color w:val="auto"/>
                <w:sz w:val="28"/>
                <w:szCs w:val="28"/>
                <w:highlight w:val="none"/>
                <w:u w:val="none" w:color="auto"/>
                <w:lang w:val="en-US" w:eastAsia="zh-CN"/>
              </w:rPr>
              <w:t>20</w:t>
            </w:r>
            <w:r>
              <w:rPr>
                <w:rFonts w:hint="eastAsia" w:ascii="宋体" w:hAnsi="宋体" w:eastAsia="仿宋_GB2312" w:cs="仿宋_GB2312"/>
                <w:color w:val="auto"/>
                <w:sz w:val="28"/>
                <w:szCs w:val="28"/>
                <w:highlight w:val="none"/>
                <w:u w:val="none" w:color="auto"/>
                <w:lang w:val="en-US" w:eastAsia="zh-CN"/>
              </w:rPr>
              <w:t>万</w:t>
            </w:r>
            <w:r>
              <w:rPr>
                <w:rFonts w:hint="eastAsia" w:ascii="宋体" w:hAnsi="宋体" w:eastAsia="仿宋_GB2312" w:cs="仿宋_GB2312"/>
                <w:color w:val="auto"/>
                <w:sz w:val="28"/>
                <w:szCs w:val="28"/>
                <w:highlight w:val="none"/>
                <w:u w:val="none" w:color="auto"/>
              </w:rPr>
              <w:t>亩，打造万亩人参果核心示范区</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实施“金扁担”农业社会化服务平台建设项目，建设石林人参果区域公用品牌标准化采收及流通体系，开发“惠果通”农事服务微信小程序，购置</w:t>
            </w:r>
            <w:r>
              <w:rPr>
                <w:rFonts w:hint="eastAsia" w:ascii="宋体" w:hAnsi="宋体" w:eastAsia="仿宋_GB2312" w:cs="宋体"/>
                <w:color w:val="auto"/>
                <w:sz w:val="28"/>
                <w:szCs w:val="28"/>
                <w:highlight w:val="none"/>
                <w:u w:val="none" w:color="auto"/>
              </w:rPr>
              <w:t>30</w:t>
            </w:r>
            <w:r>
              <w:rPr>
                <w:rFonts w:hint="eastAsia" w:ascii="宋体" w:hAnsi="宋体" w:eastAsia="仿宋_GB2312" w:cs="仿宋_GB2312"/>
                <w:color w:val="auto"/>
                <w:sz w:val="28"/>
                <w:szCs w:val="28"/>
                <w:highlight w:val="none"/>
                <w:u w:val="none" w:color="auto"/>
              </w:rPr>
              <w:t>条智能化果品分拣线、建设</w:t>
            </w:r>
            <w:r>
              <w:rPr>
                <w:rFonts w:hint="eastAsia" w:ascii="宋体" w:hAnsi="宋体" w:eastAsia="仿宋_GB2312" w:cs="宋体"/>
                <w:color w:val="auto"/>
                <w:sz w:val="28"/>
                <w:szCs w:val="28"/>
                <w:highlight w:val="none"/>
                <w:u w:val="none" w:color="auto"/>
              </w:rPr>
              <w:t>30</w:t>
            </w:r>
            <w:r>
              <w:rPr>
                <w:rFonts w:hint="eastAsia" w:ascii="宋体" w:hAnsi="宋体" w:eastAsia="仿宋_GB2312" w:cs="仿宋_GB2312"/>
                <w:color w:val="auto"/>
                <w:sz w:val="28"/>
                <w:szCs w:val="28"/>
                <w:highlight w:val="none"/>
                <w:u w:val="none" w:color="auto"/>
              </w:rPr>
              <w:t>个流动果品分拣站；完善人参果果品交易中心功能设施配套。</w:t>
            </w:r>
          </w:p>
        </w:tc>
      </w:tr>
    </w:tbl>
    <w:p w14:paraId="7A7EB54E">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379" w:name="_Toc976542336"/>
      <w:bookmarkStart w:id="380" w:name="_Toc348966466"/>
      <w:bookmarkStart w:id="381" w:name="_Toc1539283685"/>
      <w:bookmarkStart w:id="382" w:name="_Toc1360981619"/>
      <w:bookmarkStart w:id="383" w:name="_Toc549192360"/>
      <w:bookmarkStart w:id="384" w:name="_Toc64"/>
      <w:bookmarkStart w:id="385" w:name="_Toc1316411345"/>
      <w:bookmarkStart w:id="386" w:name="_Toc1268"/>
      <w:bookmarkStart w:id="387" w:name="_Toc994707437"/>
      <w:bookmarkStart w:id="388" w:name="_Toc393890871"/>
      <w:bookmarkStart w:id="389" w:name="_Toc32493"/>
      <w:r>
        <w:rPr>
          <w:rFonts w:hint="eastAsia" w:ascii="宋体" w:hAnsi="宋体" w:eastAsia="黑体" w:cs="黑体"/>
          <w:b w:val="0"/>
          <w:bCs/>
          <w:color w:val="auto"/>
          <w:kern w:val="2"/>
          <w:sz w:val="32"/>
          <w:szCs w:val="24"/>
          <w:highlight w:val="none"/>
          <w:u w:val="none"/>
          <w:lang w:val="en-US" w:eastAsia="zh-CN" w:bidi="ar-SA"/>
        </w:rPr>
        <w:t>第二节  建设宜居宜业和美乡村</w:t>
      </w:r>
      <w:bookmarkEnd w:id="379"/>
      <w:bookmarkEnd w:id="380"/>
      <w:bookmarkEnd w:id="381"/>
      <w:bookmarkEnd w:id="382"/>
      <w:bookmarkEnd w:id="383"/>
      <w:bookmarkEnd w:id="384"/>
      <w:bookmarkEnd w:id="385"/>
      <w:bookmarkEnd w:id="386"/>
      <w:bookmarkEnd w:id="387"/>
      <w:bookmarkEnd w:id="388"/>
      <w:bookmarkEnd w:id="389"/>
    </w:p>
    <w:p w14:paraId="11756311">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kern w:val="2"/>
          <w:sz w:val="32"/>
          <w:szCs w:val="32"/>
          <w:highlight w:val="none"/>
          <w:u w:val="none" w:color="auto"/>
          <w:lang w:val="en-US" w:eastAsia="zh-CN" w:bidi="ar-SA"/>
        </w:rPr>
      </w:pPr>
      <w:r>
        <w:rPr>
          <w:rFonts w:hint="eastAsia" w:ascii="宋体" w:hAnsi="宋体" w:eastAsia="仿宋_GB2312" w:cs="Times New Roman Regular"/>
          <w:b w:val="0"/>
          <w:bCs w:val="0"/>
          <w:color w:val="auto"/>
          <w:kern w:val="2"/>
          <w:sz w:val="32"/>
          <w:szCs w:val="32"/>
          <w:highlight w:val="none"/>
          <w:u w:val="none" w:color="auto"/>
          <w:lang w:val="en-US" w:eastAsia="zh-CN" w:bidi="ar-SA"/>
        </w:rPr>
        <w:t>学习运用浙江“千万工程”经验，优化村庄布局引导人口适度集聚，实施乡村建设行动，统筹建设和管护，加强乡村治理，全面推进宜居宜业和美乡村建设。</w:t>
      </w:r>
    </w:p>
    <w:p w14:paraId="7AA33B68">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一、加强村庄规划建设管理</w:t>
      </w:r>
    </w:p>
    <w:p w14:paraId="6A01E212">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SA"/>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加强“多规合一”实用性村庄规划实施监督管理，优化农村地区生产、生活、生态空间布局，严格节约集约利用土地。推广“轻介入、微改造、精提升”理念，严格实行乡村建设负面清单管理，加强农村房屋建筑风貌管控。严格落实传统村落保护规章制度，加强对糯黑村、月湖村等传统村落的保护利用。持续开展农村危房改造和农房抗震改造，提升农房质量安全水平，推动现代宜居农房建设。稳妥有序开展以县域为统筹单元、乡镇为基本实施单元的全域土地综合整治，最大限度提高土地增值收益。</w:t>
      </w:r>
    </w:p>
    <w:p w14:paraId="5350AAA5">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二、持续整治提升农村人居环境</w:t>
      </w:r>
    </w:p>
    <w:p w14:paraId="4B1917D2">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24" w:lineRule="exact"/>
        <w:ind w:left="0" w:leftChars="0" w:firstLine="640" w:firstLineChars="200"/>
        <w:jc w:val="both"/>
        <w:textAlignment w:val="auto"/>
        <w:outlineLvl w:val="9"/>
        <w:rPr>
          <w:rFonts w:hint="eastAsia" w:ascii="宋体" w:hAnsi="宋体" w:eastAsia="仿宋_GB2312" w:cs="Times New Roman Regular"/>
          <w:b w:val="0"/>
          <w:bCs w:val="0"/>
          <w:color w:val="auto"/>
          <w:kern w:val="2"/>
          <w:sz w:val="32"/>
          <w:szCs w:val="32"/>
          <w:highlight w:val="none"/>
          <w:u w:val="none" w:color="auto"/>
          <w:lang w:val="en-US" w:eastAsia="zh-CN" w:bidi="ar-SA"/>
        </w:rPr>
      </w:pPr>
      <w:r>
        <w:rPr>
          <w:rFonts w:hint="eastAsia" w:ascii="宋体" w:hAnsi="宋体" w:eastAsia="仿宋_GB2312" w:cs="Times New Roman Regular"/>
          <w:b w:val="0"/>
          <w:bCs w:val="0"/>
          <w:color w:val="auto"/>
          <w:kern w:val="2"/>
          <w:sz w:val="32"/>
          <w:szCs w:val="32"/>
          <w:highlight w:val="none"/>
          <w:u w:val="none" w:color="auto"/>
          <w:lang w:val="en-US" w:eastAsia="zh-CN" w:bidi="ar-SA"/>
        </w:rPr>
        <w:t>实施农村人居环境整治提升行动，</w:t>
      </w:r>
      <w:r>
        <w:rPr>
          <w:rFonts w:hint="eastAsia" w:ascii="宋体" w:hAnsi="宋体" w:eastAsia="仿宋_GB2312" w:cs="Times New Roman Regular"/>
          <w:color w:val="auto"/>
          <w:szCs w:val="32"/>
          <w:highlight w:val="none"/>
          <w:u w:val="none" w:color="auto"/>
        </w:rPr>
        <w:t>提升农村卫生厕所覆盖率、生活污水治理率和生活垃圾收运处置水平</w:t>
      </w:r>
      <w:r>
        <w:rPr>
          <w:rFonts w:hint="eastAsia" w:ascii="宋体" w:hAnsi="宋体" w:eastAsia="仿宋_GB2312" w:cs="Times New Roman Regular"/>
          <w:b w:val="0"/>
          <w:bCs w:val="0"/>
          <w:color w:val="auto"/>
          <w:kern w:val="2"/>
          <w:sz w:val="32"/>
          <w:szCs w:val="32"/>
          <w:highlight w:val="none"/>
          <w:u w:val="none" w:color="auto"/>
          <w:lang w:val="en-US" w:eastAsia="zh-CN" w:bidi="ar-SA"/>
        </w:rPr>
        <w:t>，改善村容村貌，建设美丽乡村。完善农村厕所社会化管护服务体系，推进农村厕所革命与生活污水治理有机衔接，鼓励联户、联村、村镇一体处理。实施农村生活污水治理整县推进工程，优化调整低效无效污水处理设施，加快消除农村黑臭水体。推进农村生活垃圾源头减量，推广“户分类—村收集—镇转运—县处理”治理模式，健全收运处置常态化运行保障机制。</w:t>
      </w:r>
      <w:r>
        <w:rPr>
          <w:rFonts w:hint="eastAsia" w:ascii="宋体" w:hAnsi="宋体" w:eastAsia="仿宋_GB2312" w:cs="Times New Roman Regular"/>
          <w:color w:val="auto"/>
          <w:szCs w:val="32"/>
          <w:highlight w:val="none"/>
          <w:u w:val="none" w:color="auto"/>
        </w:rPr>
        <w:t>实施村庄清洁行动，</w:t>
      </w:r>
      <w:r>
        <w:rPr>
          <w:rFonts w:hint="eastAsia" w:ascii="宋体" w:hAnsi="宋体" w:eastAsia="仿宋_GB2312" w:cs="Times New Roman Regular"/>
          <w:b w:val="0"/>
          <w:bCs w:val="0"/>
          <w:color w:val="auto"/>
          <w:kern w:val="2"/>
          <w:sz w:val="32"/>
          <w:szCs w:val="32"/>
          <w:highlight w:val="none"/>
          <w:u w:val="none" w:color="auto"/>
          <w:lang w:val="en-US" w:eastAsia="zh-CN" w:bidi="ar-SA"/>
        </w:rPr>
        <w:t>引导村民群众开展道路庭院美化、房前屋后绿化、坑塘沟渠净化行动。到2030年，村庄生活垃圾、生活污水治理率分别达100%、90%以上。</w:t>
      </w:r>
    </w:p>
    <w:p w14:paraId="014AEA11">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三、完善乡村基础设施和公共服务</w:t>
      </w:r>
    </w:p>
    <w:p w14:paraId="680E1479">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20" w:lineRule="exact"/>
        <w:ind w:left="0" w:leftChars="0" w:firstLine="640" w:firstLineChars="200"/>
        <w:jc w:val="both"/>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SA"/>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聚焦补短板，推进“四好农村路”城乡交通一体化高质量发展，重点推进乡村县道进行“四改三”道路改造、30户以上自然村通硬化路等建设，持续提高路网通达水平。强化供水安全保障，深化城乡供水一体化改革，探索以“投资人+EPC+特许经营”等方式，逐步推进城乡供水“水网电网化”运营。巩固提升农村电网，积极发展清洁能源。深入实施数字乡村发展行动，加快现代信息技术与农村生产生活全面深度融合，推动行政村村委会驻地实现5G和千兆光网全覆盖。实施村级综合服务设施提升工程，推进健康乡村建设，持续办好“一老一小”民生实事，提升教育、医疗、养老等公共服务水平。</w:t>
      </w:r>
    </w:p>
    <w:p w14:paraId="69A44468">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4"/>
          <w:highlight w:val="none"/>
          <w:lang w:val="en-US" w:eastAsia="zh-CN" w:bidi="ar-SA"/>
        </w:rPr>
      </w:pPr>
      <w:r>
        <w:rPr>
          <w:rFonts w:hint="eastAsia" w:ascii="宋体" w:hAnsi="宋体" w:eastAsia="楷体_GB2312" w:cs="楷体_GB2312"/>
          <w:b w:val="0"/>
          <w:bCs/>
          <w:color w:val="auto"/>
          <w:kern w:val="2"/>
          <w:sz w:val="32"/>
          <w:szCs w:val="24"/>
          <w:highlight w:val="none"/>
          <w:lang w:val="en-US" w:eastAsia="zh-CN" w:bidi="ar-SA"/>
        </w:rPr>
        <w:t>四、加强乡村人才队伍建设</w:t>
      </w:r>
    </w:p>
    <w:p w14:paraId="1DB33CA1">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24" w:lineRule="exact"/>
        <w:ind w:left="0" w:leftChars="0" w:firstLine="640" w:firstLineChars="200"/>
        <w:jc w:val="left"/>
        <w:textAlignment w:val="auto"/>
        <w:outlineLvl w:val="9"/>
        <w:rPr>
          <w:rFonts w:hint="eastAsia" w:ascii="宋体" w:hAnsi="宋体" w:eastAsia="仿宋_GB2312" w:cs="Times New Roman Regular"/>
          <w:color w:val="auto"/>
          <w:sz w:val="32"/>
          <w:szCs w:val="32"/>
          <w:highlight w:val="none"/>
          <w:u w:val="none" w:color="auto"/>
          <w:lang w:val="en-US" w:eastAsia="zh-CN"/>
        </w:rPr>
      </w:pPr>
      <w:r>
        <w:rPr>
          <w:rFonts w:hint="default" w:ascii="宋体" w:hAnsi="宋体" w:eastAsia="仿宋_GB2312" w:cs="Times New Roman Regular"/>
          <w:color w:val="auto"/>
          <w:sz w:val="32"/>
          <w:szCs w:val="32"/>
          <w:highlight w:val="none"/>
          <w:u w:val="none" w:color="auto"/>
        </w:rPr>
        <w:t>实施乡村振兴人才支持计划，加强农民技术技能培训，推进乡村工匠培育工程，培训培育农村实用人才带头人、乡村产业振兴带头人“头雁”、高素质农民等，壮大农村各类人才队伍，认定一批县、乡级工匠。建立农村实用人才培训基地，支持农业科研院校、合作社、龙头企业等主体承担培训，鼓励职业学校与农业企业等组建产教联合体，加大农技人员培训力度，优化农技推广人才队伍。推进</w:t>
      </w:r>
      <w:r>
        <w:rPr>
          <w:rFonts w:hint="eastAsia" w:ascii="宋体" w:hAnsi="宋体" w:eastAsia="仿宋_GB2312" w:cs="Times New Roman Regular"/>
          <w:color w:val="auto"/>
          <w:sz w:val="32"/>
          <w:szCs w:val="32"/>
          <w:highlight w:val="none"/>
          <w:u w:val="none" w:color="auto"/>
          <w:lang w:eastAsia="zh-CN"/>
        </w:rPr>
        <w:t>“</w:t>
      </w:r>
      <w:r>
        <w:rPr>
          <w:rFonts w:hint="default" w:ascii="宋体" w:hAnsi="宋体" w:eastAsia="仿宋_GB2312" w:cs="Times New Roman Regular"/>
          <w:color w:val="auto"/>
          <w:sz w:val="32"/>
          <w:szCs w:val="32"/>
          <w:highlight w:val="none"/>
          <w:u w:val="none" w:color="auto"/>
        </w:rPr>
        <w:t>三支一扶</w:t>
      </w:r>
      <w:r>
        <w:rPr>
          <w:rFonts w:hint="eastAsia" w:ascii="宋体" w:hAnsi="宋体" w:eastAsia="仿宋_GB2312" w:cs="Times New Roman Regular"/>
          <w:color w:val="auto"/>
          <w:sz w:val="32"/>
          <w:szCs w:val="32"/>
          <w:highlight w:val="none"/>
          <w:u w:val="none" w:color="auto"/>
          <w:lang w:eastAsia="zh-CN"/>
        </w:rPr>
        <w:t>”</w:t>
      </w:r>
      <w:r>
        <w:rPr>
          <w:rFonts w:hint="default" w:ascii="宋体" w:hAnsi="宋体" w:eastAsia="仿宋_GB2312" w:cs="Times New Roman Regular"/>
          <w:color w:val="auto"/>
          <w:sz w:val="32"/>
          <w:szCs w:val="32"/>
          <w:highlight w:val="none"/>
          <w:u w:val="none" w:color="auto"/>
        </w:rPr>
        <w:t>计划、科技特派员、特岗计划、大学生志愿服务西部计划等基层服务项目，开展乡村振兴青春建功行动。继续实施大学生乡村医生专项计划。鼓励和引导城市人才服务乡村。</w:t>
      </w:r>
    </w:p>
    <w:p w14:paraId="794DEA4F">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五、全面提升乡村治理效能</w:t>
      </w:r>
    </w:p>
    <w:p w14:paraId="3278F060">
      <w:pPr>
        <w:keepNext w:val="0"/>
        <w:keepLines w:val="0"/>
        <w:pageBreakBefore w:val="0"/>
        <w:numPr>
          <w:ilvl w:val="-1"/>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SA"/>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以党建引领乡村治理，健全党组织领导的自治、法治、德治相结合的乡村治理体系。实施村班子调优提质行动，集中整顿软弱涣散村党组织，建好建强农村基层党组织。深化农村精神文明建设，持续推进农村移风易俗，强化道德教化和激励约束，大力开展文明村镇、农村文明家庭、星级文明户、五好家庭等创建活动。积极开展“最美村规民约”评议和创建“云岭好家风”示范，推进和睦家庭与和谐邻里建设。推动数字赋能乡村治理，落实“四议两公开”制度，推进法治乡村建设。</w:t>
      </w:r>
    </w:p>
    <w:p w14:paraId="078C36F3">
      <w:pPr>
        <w:keepNext w:val="0"/>
        <w:keepLines w:val="0"/>
        <w:pageBreakBefore w:val="0"/>
        <w:widowControl w:val="0"/>
        <w:numPr>
          <w:ilvl w:val="-1"/>
          <w:numId w:val="0"/>
        </w:numPr>
        <w:kinsoku/>
        <w:wordWrap/>
        <w:overflowPunct/>
        <w:topLinePunct w:val="0"/>
        <w:autoSpaceDE/>
        <w:autoSpaceDN/>
        <w:bidi w:val="0"/>
        <w:adjustRightInd/>
        <w:snapToGrid w:val="0"/>
        <w:spacing w:before="32" w:beforeLines="10" w:beforeAutospacing="0" w:after="0" w:afterLines="0" w:afterAutospacing="0" w:line="520" w:lineRule="exact"/>
        <w:ind w:left="0" w:leftChars="0" w:firstLine="640" w:firstLineChars="20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390" w:name="_Toc301554105"/>
      <w:bookmarkStart w:id="391" w:name="_Toc1677010778"/>
      <w:bookmarkStart w:id="392" w:name="_Toc5398386"/>
      <w:bookmarkStart w:id="393" w:name="_Toc21349"/>
      <w:bookmarkStart w:id="394" w:name="_Toc1579268843"/>
      <w:bookmarkStart w:id="395" w:name="_Toc16586"/>
      <w:bookmarkStart w:id="396" w:name="_Toc2035185411"/>
      <w:bookmarkStart w:id="397" w:name="_Toc10014"/>
      <w:bookmarkStart w:id="398" w:name="_Toc1548944021"/>
      <w:bookmarkStart w:id="399" w:name="_Toc391279714"/>
      <w:bookmarkStart w:id="400" w:name="_Toc1169746336"/>
      <w:r>
        <w:rPr>
          <w:rFonts w:hint="eastAsia" w:ascii="宋体" w:hAnsi="宋体" w:eastAsia="黑体" w:cs="黑体"/>
          <w:b w:val="0"/>
          <w:bCs/>
          <w:color w:val="auto"/>
          <w:kern w:val="2"/>
          <w:sz w:val="32"/>
          <w:szCs w:val="24"/>
          <w:highlight w:val="none"/>
          <w:u w:val="none"/>
          <w:lang w:val="en-US" w:eastAsia="zh-CN" w:bidi="ar-SA"/>
        </w:rPr>
        <w:t>第三节  推动农民持续增收致富</w:t>
      </w:r>
      <w:bookmarkEnd w:id="390"/>
      <w:bookmarkEnd w:id="391"/>
      <w:bookmarkEnd w:id="392"/>
      <w:bookmarkEnd w:id="393"/>
      <w:bookmarkEnd w:id="394"/>
      <w:bookmarkEnd w:id="395"/>
      <w:bookmarkEnd w:id="396"/>
      <w:bookmarkEnd w:id="397"/>
      <w:bookmarkEnd w:id="398"/>
      <w:bookmarkEnd w:id="399"/>
      <w:bookmarkEnd w:id="400"/>
    </w:p>
    <w:p w14:paraId="141503C4">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仿宋_GB2312"/>
          <w:color w:val="auto"/>
          <w:sz w:val="32"/>
          <w:szCs w:val="32"/>
          <w:highlight w:val="none"/>
          <w:u w:val="none" w:color="auto"/>
        </w:rPr>
      </w:pPr>
      <w:r>
        <w:rPr>
          <w:rFonts w:hint="eastAsia" w:ascii="宋体" w:hAnsi="宋体" w:eastAsia="仿宋_GB2312" w:cs="仿宋_GB2312"/>
          <w:b w:val="0"/>
          <w:bCs w:val="0"/>
          <w:color w:val="auto"/>
          <w:spacing w:val="0"/>
          <w:kern w:val="2"/>
          <w:sz w:val="32"/>
          <w:szCs w:val="32"/>
          <w:highlight w:val="none"/>
          <w:u w:val="none" w:color="auto"/>
          <w:lang w:val="en-US" w:eastAsia="zh-CN" w:bidi="ar-SA"/>
        </w:rPr>
        <w:t>坚持一切围绕农民增收、一切为了农民增收，</w:t>
      </w:r>
      <w:r>
        <w:rPr>
          <w:rFonts w:hint="eastAsia" w:ascii="宋体" w:hAnsi="宋体" w:eastAsia="仿宋_GB2312" w:cs="仿宋_GB2312"/>
          <w:color w:val="auto"/>
          <w:sz w:val="32"/>
          <w:szCs w:val="32"/>
          <w:highlight w:val="none"/>
          <w:u w:val="none" w:color="auto"/>
        </w:rPr>
        <w:t>坚决守住不发生规模性返贫致贫底线，实施好新一轮促农增收三年行动，推动农民持续增收致富。</w:t>
      </w:r>
    </w:p>
    <w:p w14:paraId="11CB190B">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val="0"/>
          <w:color w:val="auto"/>
          <w:sz w:val="32"/>
          <w:szCs w:val="32"/>
          <w:highlight w:val="none"/>
          <w:u w:val="none" w:color="auto"/>
          <w:lang w:val="en-US" w:eastAsia="zh-CN"/>
        </w:rPr>
      </w:pPr>
      <w:r>
        <w:rPr>
          <w:rFonts w:hint="eastAsia" w:ascii="宋体" w:hAnsi="宋体" w:eastAsia="楷体_GB2312" w:cs="楷体_GB2312"/>
          <w:b w:val="0"/>
          <w:bCs w:val="0"/>
          <w:color w:val="auto"/>
          <w:sz w:val="32"/>
          <w:szCs w:val="32"/>
          <w:highlight w:val="none"/>
          <w:u w:val="none" w:color="auto"/>
          <w:lang w:val="en-US" w:eastAsia="zh-CN"/>
        </w:rPr>
        <w:t>一、持续筑牢防止返贫底线</w:t>
      </w:r>
    </w:p>
    <w:p w14:paraId="27C1F411">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SA"/>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夯实防止返贫致贫工作责任，抓牢防止返贫监测，严格落实“四个不摘</w:t>
      </w:r>
      <w:r>
        <w:rPr>
          <w:rFonts w:hint="eastAsia" w:ascii="宋体" w:hAnsi="宋体" w:eastAsia="仿宋_GB2312" w:cs="Times New Roman Regular"/>
          <w:b w:val="0"/>
          <w:bCs w:val="0"/>
          <w:color w:val="auto"/>
          <w:kern w:val="2"/>
          <w:sz w:val="32"/>
          <w:szCs w:val="32"/>
          <w:highlight w:val="none"/>
          <w:u w:val="none" w:color="auto"/>
          <w:lang w:val="en-US" w:eastAsia="zh-CN" w:bidi="ar-SA"/>
        </w:rPr>
        <w:t>”</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要求，健全覆盖农村人口的常态化防止返贫致贫机制，做好防止返贫帮扶政策和低收入人口常态化帮扶政策衔接并轨试点，规范消除返贫致贫风险隐患。建立农村低收入人口分层分类帮扶制度，</w:t>
      </w:r>
      <w:r>
        <w:rPr>
          <w:rFonts w:hint="eastAsia" w:ascii="宋体" w:hAnsi="宋体" w:eastAsia="仿宋_GB2312" w:cs="Times New Roman Regular"/>
          <w:color w:val="auto"/>
          <w:sz w:val="32"/>
          <w:szCs w:val="32"/>
          <w:highlight w:val="none"/>
          <w:u w:val="none" w:color="auto"/>
        </w:rPr>
        <w:t>对具备劳动能力的</w:t>
      </w:r>
      <w:r>
        <w:rPr>
          <w:rFonts w:hint="eastAsia" w:ascii="宋体" w:hAnsi="宋体" w:eastAsia="仿宋_GB2312" w:cs="Times New Roman Regular"/>
          <w:color w:val="auto"/>
          <w:sz w:val="32"/>
          <w:szCs w:val="32"/>
          <w:highlight w:val="none"/>
          <w:u w:val="none" w:color="auto"/>
          <w:lang w:val="en-US" w:eastAsia="zh-CN"/>
        </w:rPr>
        <w:t>人口</w:t>
      </w:r>
      <w:r>
        <w:rPr>
          <w:rFonts w:hint="eastAsia" w:ascii="宋体" w:hAnsi="宋体" w:eastAsia="仿宋_GB2312" w:cs="Times New Roman Regular"/>
          <w:color w:val="auto"/>
          <w:sz w:val="32"/>
          <w:szCs w:val="32"/>
          <w:highlight w:val="none"/>
          <w:u w:val="none" w:color="auto"/>
        </w:rPr>
        <w:t>，实施以产业扶持和就业促进为核心的开发式帮扶；对缺乏劳动能力、难以通过产业就业获得稳定收入的</w:t>
      </w:r>
      <w:r>
        <w:rPr>
          <w:rFonts w:hint="eastAsia" w:ascii="宋体" w:hAnsi="宋体" w:eastAsia="仿宋_GB2312" w:cs="Times New Roman Regular"/>
          <w:color w:val="auto"/>
          <w:sz w:val="32"/>
          <w:szCs w:val="32"/>
          <w:highlight w:val="none"/>
          <w:u w:val="none" w:color="auto"/>
          <w:lang w:val="en-US" w:eastAsia="zh-CN"/>
        </w:rPr>
        <w:t>人口</w:t>
      </w:r>
      <w:r>
        <w:rPr>
          <w:rFonts w:hint="eastAsia" w:ascii="宋体" w:hAnsi="宋体" w:eastAsia="仿宋_GB2312" w:cs="Times New Roman Regular"/>
          <w:color w:val="auto"/>
          <w:sz w:val="32"/>
          <w:szCs w:val="32"/>
          <w:highlight w:val="none"/>
          <w:u w:val="none" w:color="auto"/>
        </w:rPr>
        <w:t>，</w:t>
      </w:r>
      <w:r>
        <w:rPr>
          <w:rFonts w:hint="eastAsia" w:ascii="宋体" w:hAnsi="宋体" w:eastAsia="仿宋_GB2312" w:cs="Times New Roman Regular"/>
          <w:color w:val="auto"/>
          <w:sz w:val="32"/>
          <w:szCs w:val="32"/>
          <w:highlight w:val="none"/>
          <w:u w:val="none" w:color="auto"/>
          <w:lang w:val="en-US" w:eastAsia="zh-CN"/>
        </w:rPr>
        <w:t>完善相关</w:t>
      </w:r>
      <w:r>
        <w:rPr>
          <w:rFonts w:hint="eastAsia" w:ascii="宋体" w:hAnsi="宋体" w:eastAsia="仿宋_GB2312" w:cs="Times New Roman Regular"/>
          <w:color w:val="auto"/>
          <w:sz w:val="32"/>
          <w:szCs w:val="32"/>
          <w:highlight w:val="none"/>
          <w:u w:val="none" w:color="auto"/>
        </w:rPr>
        <w:t>社会救助政策</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全面落实惠民惠农相关补贴政策，管好用好衔接资金、帮扶资金更多投向产业培育、联农带农和投向稳岗就业，促进脱贫群众稳岗增收。</w:t>
      </w:r>
    </w:p>
    <w:p w14:paraId="4452E510">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val="0"/>
          <w:color w:val="auto"/>
          <w:sz w:val="32"/>
          <w:szCs w:val="32"/>
          <w:highlight w:val="none"/>
          <w:u w:val="none" w:color="auto"/>
          <w:lang w:val="en-US" w:eastAsia="zh-CN"/>
        </w:rPr>
      </w:pPr>
      <w:r>
        <w:rPr>
          <w:rFonts w:hint="eastAsia" w:ascii="宋体" w:hAnsi="宋体" w:eastAsia="楷体_GB2312" w:cs="楷体_GB2312"/>
          <w:b w:val="0"/>
          <w:bCs w:val="0"/>
          <w:color w:val="auto"/>
          <w:sz w:val="32"/>
          <w:szCs w:val="32"/>
          <w:highlight w:val="none"/>
          <w:u w:val="none" w:color="auto"/>
          <w:lang w:val="en-US" w:eastAsia="zh-CN"/>
        </w:rPr>
        <w:t>二、</w:t>
      </w:r>
      <w:r>
        <w:rPr>
          <w:rFonts w:hint="eastAsia" w:ascii="宋体" w:hAnsi="宋体" w:eastAsia="楷体_GB2312" w:cs="楷体_GB2312"/>
          <w:color w:val="auto"/>
          <w:sz w:val="32"/>
          <w:szCs w:val="32"/>
          <w:highlight w:val="none"/>
          <w:u w:val="none" w:color="auto"/>
        </w:rPr>
        <w:t>拓宽农民增收致富渠道</w:t>
      </w:r>
    </w:p>
    <w:p w14:paraId="5444F893">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SA"/>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聚焦烟叶、畜禽、水果、花卉等乡村特色产业，</w:t>
      </w:r>
      <w:r>
        <w:rPr>
          <w:rFonts w:hint="eastAsia" w:ascii="宋体" w:hAnsi="宋体" w:eastAsia="仿宋_GB2312" w:cs="Times New Roman Regular"/>
          <w:b w:val="0"/>
          <w:bCs w:val="0"/>
          <w:color w:val="auto"/>
          <w:kern w:val="2"/>
          <w:sz w:val="32"/>
          <w:szCs w:val="32"/>
          <w:highlight w:val="none"/>
          <w:u w:val="none" w:color="auto"/>
          <w:lang w:val="en-US" w:eastAsia="zh-CN" w:bidi="ar-SA"/>
        </w:rPr>
        <w:t>发展壮大种业、设施农业、农产品加工、冷链物流、乡村旅游、数字农业，</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持续打造“一村一品”</w:t>
      </w:r>
      <w:r>
        <w:rPr>
          <w:rFonts w:hint="eastAsia" w:ascii="宋体" w:hAnsi="宋体" w:eastAsia="仿宋_GB2312" w:cs="Times New Roman Regular"/>
          <w:b w:val="0"/>
          <w:bCs w:val="0"/>
          <w:color w:val="auto"/>
          <w:kern w:val="2"/>
          <w:sz w:val="32"/>
          <w:szCs w:val="32"/>
          <w:highlight w:val="none"/>
          <w:u w:val="none" w:color="auto"/>
          <w:lang w:val="en-US" w:eastAsia="zh-CN" w:bidi="ar-SA"/>
        </w:rPr>
        <w:t>，发展石林“土特产”和农文旅融合新业态，</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因地制宜发展庭院经济、林下经济、民宿经济等业态</w:t>
      </w:r>
      <w:r>
        <w:rPr>
          <w:rFonts w:hint="eastAsia" w:ascii="宋体" w:hAnsi="宋体" w:eastAsia="仿宋_GB2312" w:cs="Times New Roman Regular"/>
          <w:b w:val="0"/>
          <w:bCs w:val="0"/>
          <w:color w:val="auto"/>
          <w:kern w:val="2"/>
          <w:sz w:val="32"/>
          <w:szCs w:val="32"/>
          <w:highlight w:val="none"/>
          <w:u w:val="none" w:color="auto"/>
          <w:lang w:val="en-US" w:eastAsia="zh-CN" w:bidi="ar-SA"/>
        </w:rPr>
        <w:t>。</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培育壮大新型农业经营主体，推进农业龙头企业发展壮大，引导农户发展家庭农场，支持农民合作社依法自愿组建联合社。实施高素质农民培育计划和乡村产业振兴带头人培育“头雁”项目。鼓励新型农业经营主体与农户探索入股分红、合作经营、订单收购、技术支持等生产合作方式，让农民更多分享产业增值收益。积极开展农民工技能提升培训，促进工资性收入较快增长。全面落实耕地地力保护补贴、生态护林员补助等惠民惠农政策，促进转移净收入平稳增长。发挥矣美堵都市驱动型乡村振兴示范村示范带动作用，</w:t>
      </w:r>
      <w:r>
        <w:rPr>
          <w:rFonts w:hint="eastAsia" w:ascii="宋体" w:hAnsi="宋体" w:eastAsia="仿宋_GB2312" w:cs="Times New Roman Regular"/>
          <w:color w:val="auto"/>
          <w:sz w:val="32"/>
          <w:szCs w:val="32"/>
          <w:highlight w:val="none"/>
          <w:u w:val="none" w:color="auto"/>
        </w:rPr>
        <w:t>积极开展村级资产运营管理试点，推进村集体闲置资产招商引资，</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发展壮大新型农村集体经济。</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069E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9061" w:type="dxa"/>
            <w:vAlign w:val="center"/>
          </w:tcPr>
          <w:p w14:paraId="05A8B635">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400" w:lineRule="exact"/>
              <w:ind w:left="0" w:leftChars="0" w:firstLine="640"/>
              <w:jc w:val="center"/>
              <w:textAlignment w:val="auto"/>
              <w:outlineLvl w:val="9"/>
              <w:rPr>
                <w:rFonts w:hint="default" w:ascii="宋体" w:hAnsi="宋体" w:eastAsia="方正仿宋_GBK" w:cs="Times New Roman Regular"/>
                <w:b w:val="0"/>
                <w:bCs/>
                <w:color w:val="auto"/>
                <w:sz w:val="32"/>
                <w:szCs w:val="32"/>
                <w:highlight w:val="none"/>
                <w:vertAlign w:val="baseline"/>
                <w:lang w:val="en-US" w:eastAsia="zh-CN"/>
              </w:rPr>
            </w:pPr>
            <w:r>
              <w:rPr>
                <w:rFonts w:hint="eastAsia" w:ascii="黑体" w:hAnsi="黑体" w:eastAsia="黑体" w:cs="黑体"/>
                <w:b w:val="0"/>
                <w:bCs/>
                <w:color w:val="auto"/>
                <w:sz w:val="28"/>
                <w:szCs w:val="28"/>
                <w:highlight w:val="none"/>
                <w:vertAlign w:val="baseline"/>
                <w:lang w:val="en-US" w:eastAsia="zh-CN"/>
              </w:rPr>
              <w:t>专栏6  乡村特色产业发展工程</w:t>
            </w:r>
          </w:p>
        </w:tc>
      </w:tr>
      <w:tr w14:paraId="3226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0" w:hRule="atLeast"/>
        </w:trPr>
        <w:tc>
          <w:tcPr>
            <w:tcW w:w="9061" w:type="dxa"/>
            <w:vAlign w:val="center"/>
          </w:tcPr>
          <w:p w14:paraId="46874B9A">
            <w:pPr>
              <w:keepNext w:val="0"/>
              <w:keepLines w:val="0"/>
              <w:pageBreakBefore w:val="0"/>
              <w:widowControl w:val="0"/>
              <w:numPr>
                <w:ilvl w:val="0"/>
                <w:numId w:val="0"/>
              </w:numPr>
              <w:tabs>
                <w:tab w:val="left" w:pos="1420"/>
              </w:tabs>
              <w:kinsoku/>
              <w:wordWrap/>
              <w:overflowPunct/>
              <w:topLinePunct w:val="0"/>
              <w:autoSpaceDE/>
              <w:autoSpaceDN/>
              <w:bidi w:val="0"/>
              <w:adjustRightInd/>
              <w:snapToGrid w:val="0"/>
              <w:spacing w:beforeLines="0" w:afterLines="0" w:line="420" w:lineRule="exact"/>
              <w:ind w:left="0" w:leftChars="0" w:firstLine="562" w:firstLineChars="200"/>
              <w:jc w:val="both"/>
              <w:textAlignment w:val="auto"/>
              <w:outlineLvl w:val="9"/>
              <w:rPr>
                <w:rFonts w:hint="eastAsia" w:ascii="宋体" w:hAnsi="宋体" w:eastAsia="仿宋_GB2312" w:cs="仿宋_GB2312"/>
                <w:color w:val="auto"/>
                <w:kern w:val="2"/>
                <w:sz w:val="28"/>
                <w:szCs w:val="28"/>
                <w:highlight w:val="none"/>
                <w:lang w:val="en-US" w:eastAsia="zh-CN" w:bidi="ar-SA"/>
              </w:rPr>
            </w:pPr>
            <w:r>
              <w:rPr>
                <w:rFonts w:hint="eastAsia" w:ascii="宋体" w:hAnsi="宋体" w:eastAsia="仿宋_GB2312" w:cs="仿宋_GB2312"/>
                <w:b/>
                <w:bCs/>
                <w:color w:val="auto"/>
                <w:kern w:val="2"/>
                <w:sz w:val="28"/>
                <w:szCs w:val="28"/>
                <w:highlight w:val="none"/>
                <w:lang w:val="en-US" w:eastAsia="zh-CN" w:bidi="ar-SA"/>
              </w:rPr>
              <w:t>智慧农业发展工程。</w:t>
            </w:r>
            <w:r>
              <w:rPr>
                <w:rFonts w:hint="eastAsia" w:ascii="宋体" w:hAnsi="宋体" w:eastAsia="仿宋_GB2312" w:cs="仿宋_GB2312"/>
                <w:color w:val="auto"/>
                <w:kern w:val="2"/>
                <w:sz w:val="28"/>
                <w:szCs w:val="28"/>
                <w:highlight w:val="none"/>
                <w:lang w:val="en-US" w:eastAsia="zh-CN" w:bidi="ar-SA"/>
              </w:rPr>
              <w:t>积极建设数字化智慧农业园，打造数字农业云平台，完善智慧大棚工程、滴灌系统、遮阳保温系统、智能化控制系统，四情监测系统等智慧设施配套。</w:t>
            </w:r>
          </w:p>
          <w:p w14:paraId="55DD7CF5">
            <w:pPr>
              <w:keepNext w:val="0"/>
              <w:keepLines w:val="0"/>
              <w:pageBreakBefore w:val="0"/>
              <w:widowControl w:val="0"/>
              <w:numPr>
                <w:ilvl w:val="0"/>
                <w:numId w:val="0"/>
              </w:numPr>
              <w:tabs>
                <w:tab w:val="left" w:pos="1420"/>
              </w:tabs>
              <w:kinsoku/>
              <w:wordWrap/>
              <w:overflowPunct/>
              <w:topLinePunct w:val="0"/>
              <w:autoSpaceDE/>
              <w:autoSpaceDN/>
              <w:bidi w:val="0"/>
              <w:adjustRightInd/>
              <w:snapToGrid w:val="0"/>
              <w:spacing w:beforeLines="0" w:afterLines="0" w:line="420" w:lineRule="exact"/>
              <w:ind w:left="0" w:leftChars="0" w:firstLine="562" w:firstLineChars="200"/>
              <w:jc w:val="both"/>
              <w:textAlignment w:val="auto"/>
              <w:outlineLvl w:val="9"/>
              <w:rPr>
                <w:rFonts w:hint="eastAsia" w:ascii="宋体" w:hAnsi="宋体" w:eastAsia="仿宋_GB2312" w:cs="仿宋_GB2312"/>
                <w:color w:val="auto"/>
                <w:kern w:val="2"/>
                <w:sz w:val="28"/>
                <w:szCs w:val="28"/>
                <w:highlight w:val="none"/>
                <w:lang w:val="en-US" w:eastAsia="zh-CN" w:bidi="ar-SA"/>
              </w:rPr>
            </w:pPr>
            <w:r>
              <w:rPr>
                <w:rFonts w:hint="eastAsia" w:ascii="宋体" w:hAnsi="宋体" w:eastAsia="仿宋_GB2312" w:cs="仿宋_GB2312"/>
                <w:b/>
                <w:bCs/>
                <w:color w:val="auto"/>
                <w:kern w:val="2"/>
                <w:sz w:val="28"/>
                <w:szCs w:val="28"/>
                <w:highlight w:val="none"/>
                <w:lang w:val="en-US" w:eastAsia="zh-CN" w:bidi="ar-SA"/>
              </w:rPr>
              <w:t>绿色农业发展工程。</w:t>
            </w:r>
            <w:r>
              <w:rPr>
                <w:rFonts w:hint="eastAsia" w:ascii="宋体" w:hAnsi="宋体" w:eastAsia="仿宋_GB2312" w:cs="仿宋_GB2312"/>
                <w:b w:val="0"/>
                <w:bCs w:val="0"/>
                <w:color w:val="auto"/>
                <w:kern w:val="2"/>
                <w:sz w:val="28"/>
                <w:szCs w:val="28"/>
                <w:highlight w:val="none"/>
                <w:lang w:val="en-US" w:eastAsia="zh-CN" w:bidi="ar-SA"/>
              </w:rPr>
              <w:t>推进农业面源污染综合防治，推行农药化肥减量增效，推广高效节水灌溉技术覆盖</w:t>
            </w:r>
            <w:r>
              <w:rPr>
                <w:rFonts w:hint="eastAsia" w:ascii="宋体" w:hAnsi="宋体" w:eastAsia="仿宋_GB2312" w:cs="宋体"/>
                <w:b w:val="0"/>
                <w:bCs w:val="0"/>
                <w:color w:val="auto"/>
                <w:kern w:val="2"/>
                <w:sz w:val="28"/>
                <w:szCs w:val="28"/>
                <w:highlight w:val="none"/>
                <w:lang w:val="en-US" w:eastAsia="zh-CN" w:bidi="ar-SA"/>
              </w:rPr>
              <w:t>10</w:t>
            </w:r>
            <w:r>
              <w:rPr>
                <w:rFonts w:hint="eastAsia" w:ascii="宋体" w:hAnsi="宋体" w:eastAsia="仿宋_GB2312" w:cs="仿宋_GB2312"/>
                <w:b w:val="0"/>
                <w:bCs w:val="0"/>
                <w:color w:val="auto"/>
                <w:kern w:val="2"/>
                <w:sz w:val="28"/>
                <w:szCs w:val="28"/>
                <w:highlight w:val="none"/>
                <w:lang w:val="en-US" w:eastAsia="zh-CN" w:bidi="ar-SA"/>
              </w:rPr>
              <w:t>万亩，实现化肥亩均施用强度下降</w:t>
            </w:r>
            <w:r>
              <w:rPr>
                <w:rFonts w:hint="eastAsia" w:ascii="宋体" w:hAnsi="宋体" w:eastAsia="仿宋_GB2312" w:cs="宋体"/>
                <w:b w:val="0"/>
                <w:bCs w:val="0"/>
                <w:color w:val="auto"/>
                <w:kern w:val="2"/>
                <w:sz w:val="28"/>
                <w:szCs w:val="28"/>
                <w:highlight w:val="none"/>
                <w:lang w:val="en-US" w:eastAsia="zh-CN" w:bidi="ar-SA"/>
              </w:rPr>
              <w:t>5%</w:t>
            </w:r>
            <w:r>
              <w:rPr>
                <w:rFonts w:hint="eastAsia" w:ascii="宋体" w:hAnsi="宋体" w:eastAsia="仿宋_GB2312" w:cs="仿宋_GB2312"/>
                <w:b w:val="0"/>
                <w:bCs w:val="0"/>
                <w:color w:val="auto"/>
                <w:kern w:val="2"/>
                <w:sz w:val="28"/>
                <w:szCs w:val="28"/>
                <w:highlight w:val="none"/>
                <w:lang w:val="en-US" w:eastAsia="zh-CN" w:bidi="ar-SA"/>
              </w:rPr>
              <w:t>。</w:t>
            </w:r>
            <w:r>
              <w:rPr>
                <w:rFonts w:hint="eastAsia" w:ascii="宋体" w:hAnsi="宋体" w:eastAsia="仿宋_GB2312" w:cs="仿宋_GB2312"/>
                <w:color w:val="auto"/>
                <w:kern w:val="2"/>
                <w:sz w:val="28"/>
                <w:szCs w:val="28"/>
                <w:highlight w:val="none"/>
                <w:lang w:val="en-US" w:eastAsia="zh-CN" w:bidi="ar-SA"/>
              </w:rPr>
              <w:t>强化流域畜禽养殖、水产养殖退后常态化监管。</w:t>
            </w:r>
          </w:p>
          <w:p w14:paraId="5C9593C7">
            <w:pPr>
              <w:keepNext w:val="0"/>
              <w:keepLines w:val="0"/>
              <w:pageBreakBefore w:val="0"/>
              <w:widowControl w:val="0"/>
              <w:numPr>
                <w:ilvl w:val="0"/>
                <w:numId w:val="0"/>
              </w:numPr>
              <w:tabs>
                <w:tab w:val="left" w:pos="1420"/>
              </w:tabs>
              <w:kinsoku/>
              <w:wordWrap/>
              <w:overflowPunct/>
              <w:topLinePunct w:val="0"/>
              <w:autoSpaceDE/>
              <w:autoSpaceDN/>
              <w:bidi w:val="0"/>
              <w:adjustRightInd/>
              <w:snapToGrid w:val="0"/>
              <w:spacing w:beforeLines="0" w:afterLines="0" w:line="420" w:lineRule="exact"/>
              <w:ind w:left="0" w:leftChars="0" w:firstLine="562" w:firstLineChars="200"/>
              <w:jc w:val="both"/>
              <w:textAlignment w:val="auto"/>
              <w:outlineLvl w:val="9"/>
              <w:rPr>
                <w:rFonts w:hint="eastAsia" w:ascii="宋体" w:hAnsi="宋体" w:eastAsia="仿宋_GB2312" w:cs="仿宋_GB2312"/>
                <w:bCs/>
                <w:color w:val="auto"/>
                <w:sz w:val="28"/>
                <w:szCs w:val="28"/>
                <w:highlight w:val="none"/>
                <w:lang w:eastAsia="zh-CN"/>
              </w:rPr>
            </w:pPr>
            <w:r>
              <w:rPr>
                <w:rFonts w:hint="eastAsia" w:ascii="宋体" w:hAnsi="宋体" w:eastAsia="仿宋_GB2312" w:cs="仿宋_GB2312"/>
                <w:b/>
                <w:bCs w:val="0"/>
                <w:color w:val="auto"/>
                <w:sz w:val="28"/>
                <w:szCs w:val="28"/>
                <w:highlight w:val="none"/>
                <w:vertAlign w:val="baseline"/>
                <w:lang w:val="en-US" w:eastAsia="zh-CN"/>
              </w:rPr>
              <w:t>新型农业经营主体培育工程。</w:t>
            </w:r>
            <w:r>
              <w:rPr>
                <w:rFonts w:hint="eastAsia" w:ascii="宋体" w:hAnsi="宋体" w:eastAsia="仿宋_GB2312" w:cs="仿宋_GB2312"/>
                <w:bCs/>
                <w:color w:val="auto"/>
                <w:sz w:val="28"/>
                <w:szCs w:val="28"/>
                <w:highlight w:val="none"/>
              </w:rPr>
              <w:t>加快构建以家庭承包经营为基础，种养大户、家庭农场、农民合作社、农业产业化龙头企业为骨干，其他组织形式为补充的现代新型农业经营体系，分级分类建立培育名录库，推动农业企业“升规上限”，增强带动能力和市场竞争力</w:t>
            </w:r>
            <w:r>
              <w:rPr>
                <w:rFonts w:hint="eastAsia" w:ascii="宋体" w:hAnsi="宋体" w:eastAsia="仿宋_GB2312" w:cs="仿宋_GB2312"/>
                <w:bCs/>
                <w:color w:val="auto"/>
                <w:sz w:val="28"/>
                <w:szCs w:val="28"/>
                <w:highlight w:val="none"/>
                <w:lang w:eastAsia="zh-CN"/>
              </w:rPr>
              <w:t>。</w:t>
            </w:r>
          </w:p>
          <w:p w14:paraId="7E318BE1">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420" w:lineRule="exact"/>
              <w:ind w:left="0" w:leftChars="0" w:firstLine="562" w:firstLineChars="200"/>
              <w:jc w:val="both"/>
              <w:textAlignment w:val="auto"/>
              <w:outlineLvl w:val="9"/>
              <w:rPr>
                <w:rFonts w:hint="default" w:ascii="宋体" w:hAnsi="宋体" w:eastAsia="方正仿宋_GBK" w:cs="Times New Roman Regular"/>
                <w:b w:val="0"/>
                <w:bCs/>
                <w:color w:val="auto"/>
                <w:sz w:val="28"/>
                <w:szCs w:val="28"/>
                <w:highlight w:val="none"/>
                <w:vertAlign w:val="baseline"/>
                <w:lang w:val="en-US" w:eastAsia="zh-CN"/>
              </w:rPr>
            </w:pPr>
            <w:r>
              <w:rPr>
                <w:rFonts w:hint="eastAsia" w:ascii="宋体" w:hAnsi="宋体" w:eastAsia="仿宋_GB2312" w:cs="仿宋_GB2312"/>
                <w:b/>
                <w:bCs w:val="0"/>
                <w:color w:val="auto"/>
                <w:sz w:val="28"/>
                <w:szCs w:val="28"/>
                <w:highlight w:val="none"/>
                <w:lang w:eastAsia="zh-CN"/>
              </w:rPr>
              <w:t>高原特色现代农业品牌化建设</w:t>
            </w:r>
            <w:r>
              <w:rPr>
                <w:rFonts w:hint="eastAsia" w:ascii="宋体" w:hAnsi="宋体" w:eastAsia="仿宋_GB2312" w:cs="仿宋_GB2312"/>
                <w:b/>
                <w:bCs w:val="0"/>
                <w:color w:val="auto"/>
                <w:sz w:val="28"/>
                <w:szCs w:val="28"/>
                <w:highlight w:val="none"/>
                <w:lang w:val="en-US" w:eastAsia="zh-CN"/>
              </w:rPr>
              <w:t>工程。</w:t>
            </w:r>
            <w:r>
              <w:rPr>
                <w:rFonts w:hint="eastAsia" w:ascii="宋体" w:hAnsi="宋体" w:eastAsia="仿宋_GB2312" w:cs="仿宋_GB2312"/>
                <w:bCs/>
                <w:color w:val="auto"/>
                <w:sz w:val="28"/>
                <w:szCs w:val="28"/>
                <w:highlight w:val="none"/>
              </w:rPr>
              <w:t>深入推进农业品种培优、品质提升、品牌打造和标准化生产，</w:t>
            </w:r>
            <w:r>
              <w:rPr>
                <w:rFonts w:hint="eastAsia" w:ascii="宋体" w:hAnsi="宋体" w:eastAsia="仿宋_GB2312" w:cs="仿宋_GB2312"/>
                <w:bCs/>
                <w:color w:val="auto"/>
                <w:sz w:val="28"/>
                <w:szCs w:val="28"/>
                <w:highlight w:val="none"/>
                <w:lang w:val="en-US" w:eastAsia="zh-CN"/>
              </w:rPr>
              <w:t>开展</w:t>
            </w:r>
            <w:r>
              <w:rPr>
                <w:rFonts w:hint="eastAsia" w:ascii="宋体" w:hAnsi="宋体" w:eastAsia="仿宋_GB2312" w:cs="仿宋_GB2312"/>
                <w:bCs/>
                <w:color w:val="auto"/>
                <w:sz w:val="28"/>
                <w:szCs w:val="28"/>
                <w:highlight w:val="none"/>
              </w:rPr>
              <w:t>农业品牌精品培育，全力打造“</w:t>
            </w:r>
            <w:r>
              <w:rPr>
                <w:rFonts w:hint="eastAsia" w:ascii="宋体" w:hAnsi="宋体" w:eastAsia="仿宋_GB2312" w:cs="仿宋_GB2312"/>
                <w:bCs/>
                <w:color w:val="auto"/>
                <w:sz w:val="28"/>
                <w:szCs w:val="28"/>
                <w:highlight w:val="none"/>
                <w:lang w:val="en-US" w:eastAsia="zh-CN"/>
              </w:rPr>
              <w:t>石林乳饼</w:t>
            </w:r>
            <w:r>
              <w:rPr>
                <w:rFonts w:hint="eastAsia" w:ascii="宋体" w:hAnsi="宋体" w:eastAsia="仿宋_GB2312" w:cs="仿宋_GB2312"/>
                <w:bCs/>
                <w:color w:val="auto"/>
                <w:sz w:val="28"/>
                <w:szCs w:val="28"/>
                <w:highlight w:val="none"/>
              </w:rPr>
              <w:t>”“</w:t>
            </w:r>
            <w:r>
              <w:rPr>
                <w:rFonts w:hint="eastAsia" w:ascii="宋体" w:hAnsi="宋体" w:eastAsia="仿宋_GB2312" w:cs="仿宋_GB2312"/>
                <w:bCs/>
                <w:color w:val="auto"/>
                <w:sz w:val="28"/>
                <w:szCs w:val="28"/>
                <w:highlight w:val="none"/>
                <w:lang w:val="en-US" w:eastAsia="zh-CN"/>
              </w:rPr>
              <w:t>石林马肉</w:t>
            </w:r>
            <w:r>
              <w:rPr>
                <w:rFonts w:hint="eastAsia" w:ascii="宋体" w:hAnsi="宋体" w:eastAsia="仿宋_GB2312" w:cs="仿宋_GB2312"/>
                <w:bCs/>
                <w:color w:val="auto"/>
                <w:sz w:val="28"/>
                <w:szCs w:val="28"/>
                <w:highlight w:val="none"/>
              </w:rPr>
              <w:t>”</w:t>
            </w:r>
            <w:r>
              <w:rPr>
                <w:rFonts w:hint="eastAsia" w:ascii="宋体" w:hAnsi="宋体" w:eastAsia="仿宋_GB2312" w:cs="仿宋_GB2312"/>
                <w:bCs/>
                <w:color w:val="auto"/>
                <w:sz w:val="28"/>
                <w:szCs w:val="28"/>
                <w:highlight w:val="none"/>
                <w:lang w:eastAsia="zh-CN"/>
              </w:rPr>
              <w:t>“</w:t>
            </w:r>
            <w:r>
              <w:rPr>
                <w:rFonts w:hint="eastAsia" w:ascii="宋体" w:hAnsi="宋体" w:eastAsia="仿宋_GB2312" w:cs="仿宋_GB2312"/>
                <w:bCs/>
                <w:color w:val="auto"/>
                <w:sz w:val="28"/>
                <w:szCs w:val="28"/>
                <w:highlight w:val="none"/>
                <w:lang w:val="en-US" w:eastAsia="zh-CN"/>
              </w:rPr>
              <w:t>石林人参果”“石林蓝莓”</w:t>
            </w:r>
            <w:r>
              <w:rPr>
                <w:rFonts w:hint="eastAsia" w:ascii="宋体" w:hAnsi="宋体" w:eastAsia="仿宋_GB2312" w:cs="仿宋_GB2312"/>
                <w:bCs/>
                <w:color w:val="auto"/>
                <w:sz w:val="28"/>
                <w:szCs w:val="28"/>
                <w:highlight w:val="none"/>
              </w:rPr>
              <w:t>等精品品牌</w:t>
            </w:r>
            <w:r>
              <w:rPr>
                <w:rFonts w:hint="eastAsia" w:ascii="宋体" w:hAnsi="宋体" w:eastAsia="仿宋_GB2312" w:cs="仿宋_GB2312"/>
                <w:bCs/>
                <w:color w:val="auto"/>
                <w:sz w:val="28"/>
                <w:szCs w:val="28"/>
                <w:highlight w:val="none"/>
                <w:lang w:val="en-US" w:eastAsia="zh-CN"/>
              </w:rPr>
              <w:t>。</w:t>
            </w:r>
          </w:p>
        </w:tc>
      </w:tr>
    </w:tbl>
    <w:p w14:paraId="46AA3CCE">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50" w:lineRule="atLeast"/>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01" w:name="_Toc27687"/>
      <w:bookmarkStart w:id="402" w:name="_Toc1861364514"/>
      <w:bookmarkStart w:id="403" w:name="_Toc241673261"/>
      <w:bookmarkStart w:id="404" w:name="_Toc536360328"/>
      <w:bookmarkStart w:id="405" w:name="_Toc1305392013"/>
      <w:bookmarkStart w:id="406" w:name="_Toc824"/>
      <w:bookmarkStart w:id="407" w:name="_Toc158435815"/>
      <w:bookmarkStart w:id="408" w:name="_Toc22481"/>
      <w:bookmarkStart w:id="409" w:name="_Toc2021051028"/>
      <w:bookmarkStart w:id="410" w:name="_Toc643226084"/>
      <w:bookmarkStart w:id="411" w:name="_Toc1944762618"/>
      <w:r>
        <w:rPr>
          <w:rFonts w:hint="eastAsia" w:ascii="宋体" w:hAnsi="宋体" w:eastAsia="黑体" w:cs="黑体"/>
          <w:b w:val="0"/>
          <w:bCs/>
          <w:color w:val="auto"/>
          <w:kern w:val="2"/>
          <w:sz w:val="32"/>
          <w:szCs w:val="24"/>
          <w:highlight w:val="none"/>
          <w:u w:val="none"/>
          <w:lang w:val="en-US" w:eastAsia="zh-CN" w:bidi="ar-SA"/>
        </w:rPr>
        <w:t>第四节  深化农业农村改革</w:t>
      </w:r>
      <w:bookmarkEnd w:id="401"/>
      <w:bookmarkEnd w:id="402"/>
      <w:bookmarkEnd w:id="403"/>
      <w:bookmarkEnd w:id="404"/>
      <w:bookmarkEnd w:id="405"/>
      <w:bookmarkEnd w:id="406"/>
      <w:bookmarkEnd w:id="407"/>
      <w:bookmarkEnd w:id="408"/>
      <w:bookmarkEnd w:id="409"/>
      <w:bookmarkEnd w:id="410"/>
      <w:bookmarkEnd w:id="411"/>
    </w:p>
    <w:p w14:paraId="33D36C0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40" w:lineRule="atLeast"/>
        <w:ind w:left="0" w:leftChars="0" w:firstLine="640" w:firstLineChars="200"/>
        <w:jc w:val="both"/>
        <w:textAlignment w:val="auto"/>
        <w:outlineLvl w:val="9"/>
        <w:rPr>
          <w:rFonts w:hint="eastAsia" w:ascii="宋体" w:hAnsi="宋体" w:eastAsia="方正仿宋_GBK" w:cs="Times New Roman Regular"/>
          <w:b w:val="0"/>
          <w:bCs w:val="0"/>
          <w:color w:val="auto"/>
          <w:spacing w:val="0"/>
          <w:kern w:val="2"/>
          <w:sz w:val="32"/>
          <w:szCs w:val="32"/>
          <w:highlight w:val="none"/>
          <w:u w:val="none" w:color="auto"/>
          <w:lang w:val="en-US" w:eastAsia="zh-CN" w:bidi="ar-SA"/>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巩固和完善农村基本经营制度，有序推进第二轮土地承包到期后再延长30年试点，深化承包地所有权、承包权、经营权分置改革。推进农村宅基地制度改革，有序推进房地一体宅基地确权登记颁证。</w:t>
      </w:r>
      <w:r>
        <w:rPr>
          <w:rFonts w:hint="eastAsia" w:ascii="宋体" w:hAnsi="宋体" w:eastAsia="仿宋_GB2312" w:cs="Times New Roman Regular"/>
          <w:b w:val="0"/>
          <w:bCs w:val="0"/>
          <w:color w:val="auto"/>
          <w:kern w:val="2"/>
          <w:sz w:val="32"/>
          <w:szCs w:val="32"/>
          <w:highlight w:val="none"/>
          <w:u w:val="none" w:color="auto"/>
          <w:lang w:val="en-US" w:eastAsia="zh-CN" w:bidi="ar-SA"/>
        </w:rPr>
        <w:t>巩固农村集体产权制度改革及全国农村集体经营性建设用地入市试点县成果，做好农村集体资产清产核资工作，确保集体资产的保值增值。推进“金扁担”农业社会化服务平台建设，探索集约经营、规模经营、社会化服务等方式，推动农业适度规模经营。创新乡村振兴投融资机制，</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积极争取预算内投资、超长期国债和政府专项债券对农业农村领域的支持，落实提高土地出让收益用于农业农村比例政策。引导金融机构加大对乡村振兴领域资金投放力度，推广新品种权、承包土地经营权、农业设施等农村产权抵质押融资模式。引导和规范农业农村领域社会投资，推进“万企兴万村”行动。健全市场化涉农金融风险补偿机制，发展多层次农业保险。</w:t>
      </w:r>
    </w:p>
    <w:bookmarkEnd w:id="364"/>
    <w:bookmarkEnd w:id="365"/>
    <w:bookmarkEnd w:id="366"/>
    <w:bookmarkEnd w:id="367"/>
    <w:p w14:paraId="6B4C8900">
      <w:pPr>
        <w:keepNext/>
        <w:keepLines w:val="0"/>
        <w:pageBreakBefore w:val="0"/>
        <w:widowControl w:val="0"/>
        <w:numPr>
          <w:ilvl w:val="0"/>
          <w:numId w:val="0"/>
        </w:numPr>
        <w:kinsoku/>
        <w:wordWrap/>
        <w:overflowPunct/>
        <w:topLinePunct w:val="0"/>
        <w:autoSpaceDE/>
        <w:autoSpaceDN/>
        <w:bidi w:val="0"/>
        <w:adjustRightInd/>
        <w:snapToGrid w:val="0"/>
        <w:spacing w:before="360" w:beforeLines="0" w:beforeAutospacing="0" w:after="200" w:afterLines="0" w:afterAutospacing="0" w:line="52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kern w:val="44"/>
          <w:sz w:val="36"/>
          <w:szCs w:val="36"/>
          <w:highlight w:val="none"/>
          <w:lang w:val="en-US" w:eastAsia="zh-CN" w:bidi="ar-SA"/>
        </w:rPr>
      </w:pPr>
      <w:bookmarkStart w:id="412" w:name="_Toc268114790"/>
      <w:bookmarkStart w:id="413" w:name="_Toc1055782997"/>
      <w:bookmarkStart w:id="414" w:name="_Toc1030624739"/>
      <w:bookmarkStart w:id="415" w:name="_Toc910921150"/>
      <w:bookmarkStart w:id="416" w:name="_Toc1559100949"/>
      <w:bookmarkStart w:id="417" w:name="_Toc1619166237"/>
      <w:bookmarkStart w:id="418" w:name="_Toc924213386"/>
      <w:bookmarkStart w:id="419" w:name="_Toc2098504072"/>
      <w:bookmarkStart w:id="420" w:name="_Toc15567"/>
      <w:bookmarkStart w:id="421" w:name="_Toc27155"/>
      <w:bookmarkStart w:id="422" w:name="_Toc6844"/>
      <w:bookmarkStart w:id="423" w:name="_Toc1706"/>
      <w:bookmarkStart w:id="424" w:name="_Toc14115"/>
      <w:bookmarkStart w:id="425" w:name="_Toc1767152157"/>
      <w:bookmarkStart w:id="426" w:name="_Toc1631157066"/>
      <w:bookmarkStart w:id="427" w:name="_Toc17412"/>
      <w:bookmarkStart w:id="428" w:name="_Toc9286"/>
      <w:r>
        <w:rPr>
          <w:rFonts w:hint="eastAsia" w:ascii="方正小标宋简体" w:hAnsi="方正小标宋简体" w:eastAsia="方正小标宋简体" w:cs="方正小标宋简体"/>
          <w:b w:val="0"/>
          <w:bCs/>
          <w:color w:val="auto"/>
          <w:kern w:val="44"/>
          <w:sz w:val="36"/>
          <w:szCs w:val="36"/>
          <w:highlight w:val="none"/>
          <w:lang w:val="en-US" w:eastAsia="zh-CN" w:bidi="ar-SA"/>
        </w:rPr>
        <w:t>第六章  聚焦景城融合发展，高质量推动旅游城市建设</w:t>
      </w:r>
      <w:bookmarkEnd w:id="412"/>
      <w:bookmarkEnd w:id="413"/>
      <w:bookmarkEnd w:id="414"/>
      <w:bookmarkEnd w:id="415"/>
      <w:bookmarkEnd w:id="416"/>
      <w:bookmarkEnd w:id="417"/>
      <w:bookmarkEnd w:id="418"/>
      <w:bookmarkEnd w:id="419"/>
      <w:bookmarkEnd w:id="420"/>
      <w:bookmarkEnd w:id="421"/>
      <w:bookmarkEnd w:id="422"/>
    </w:p>
    <w:p w14:paraId="25F65A79">
      <w:pPr>
        <w:keepNext/>
        <w:keepLines w:val="0"/>
        <w:pageBreakBefore w:val="0"/>
        <w:widowControl w:val="0"/>
        <w:numPr>
          <w:ilvl w:val="-1"/>
          <w:numId w:val="0"/>
        </w:numPr>
        <w:kinsoku/>
        <w:wordWrap/>
        <w:overflowPunct/>
        <w:topLinePunct w:val="0"/>
        <w:autoSpaceDE/>
        <w:autoSpaceDN/>
        <w:bidi w:val="0"/>
        <w:adjustRightInd w:val="0"/>
        <w:snapToGrid w:val="0"/>
        <w:spacing w:beforeLines="0" w:afterLines="0" w:line="510" w:lineRule="exact"/>
        <w:ind w:left="0" w:leftChars="0" w:firstLine="640" w:firstLineChars="200"/>
        <w:jc w:val="left"/>
        <w:textAlignment w:val="auto"/>
        <w:outlineLvl w:val="9"/>
        <w:rPr>
          <w:rFonts w:hint="default" w:ascii="宋体" w:hAnsi="宋体" w:eastAsia="仿宋_GB2312" w:cs="Times New Roman Regular"/>
          <w:b w:val="0"/>
          <w:bCs/>
          <w:color w:val="auto"/>
          <w:sz w:val="32"/>
          <w:szCs w:val="32"/>
          <w:highlight w:val="none"/>
          <w:lang w:val="en-US" w:eastAsia="zh-CN"/>
        </w:rPr>
      </w:pPr>
      <w:r>
        <w:rPr>
          <w:rFonts w:hint="eastAsia" w:ascii="宋体" w:hAnsi="宋体" w:eastAsia="仿宋_GB2312" w:cs="Times New Roman Regular"/>
          <w:b w:val="0"/>
          <w:bCs w:val="0"/>
          <w:color w:val="auto"/>
          <w:sz w:val="32"/>
          <w:szCs w:val="32"/>
          <w:highlight w:val="none"/>
          <w:u w:val="none" w:color="auto"/>
          <w:lang w:bidi="ar-SA"/>
        </w:rPr>
        <w:t>坚持以人为本，以“景城、产城、城乡”三融谋篇，推进内涵式发展，促进文旅资源与城市业态深度融合</w:t>
      </w:r>
      <w:r>
        <w:rPr>
          <w:rFonts w:hint="eastAsia" w:ascii="宋体" w:hAnsi="宋体" w:eastAsia="仿宋_GB2312" w:cs="Times New Roman Regular"/>
          <w:b w:val="0"/>
          <w:bCs w:val="0"/>
          <w:color w:val="auto"/>
          <w:sz w:val="32"/>
          <w:szCs w:val="32"/>
          <w:highlight w:val="none"/>
          <w:u w:val="none" w:color="auto"/>
          <w:lang w:eastAsia="zh-CN" w:bidi="ar-SA"/>
        </w:rPr>
        <w:t>，</w:t>
      </w:r>
      <w:r>
        <w:rPr>
          <w:rFonts w:hint="eastAsia" w:ascii="宋体" w:hAnsi="宋体" w:eastAsia="仿宋_GB2312" w:cs="Times New Roman Regular"/>
          <w:b w:val="0"/>
          <w:bCs w:val="0"/>
          <w:color w:val="auto"/>
          <w:sz w:val="32"/>
          <w:szCs w:val="32"/>
          <w:highlight w:val="none"/>
          <w:u w:val="none" w:color="auto"/>
          <w:lang w:val="en-US" w:eastAsia="zh-CN" w:bidi="ar-SA"/>
        </w:rPr>
        <w:t>把城市功能与国际知名旅游目的地深度融合，推动城市更新提质，</w:t>
      </w:r>
      <w:r>
        <w:rPr>
          <w:rFonts w:hint="eastAsia" w:ascii="宋体" w:hAnsi="宋体" w:eastAsia="仿宋_GB2312" w:cs="Times New Roman Regular"/>
          <w:b w:val="0"/>
          <w:bCs w:val="0"/>
          <w:color w:val="auto"/>
          <w:sz w:val="32"/>
          <w:szCs w:val="32"/>
          <w:highlight w:val="none"/>
          <w:u w:val="none" w:color="auto"/>
          <w:lang w:val="en-US" w:eastAsia="zh-CN"/>
        </w:rPr>
        <w:t>促进城市动能转换、品质提升、绿色转型、文脉赓续、治理增效，加快建设现代化人民城市，建成高质量宜居宜业旅游城市。</w:t>
      </w:r>
    </w:p>
    <w:p w14:paraId="447BE088">
      <w:pPr>
        <w:keepNext/>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29" w:name="_Toc784584124"/>
      <w:bookmarkStart w:id="430" w:name="_Toc214189149"/>
      <w:bookmarkStart w:id="431" w:name="_Toc2034939065"/>
      <w:bookmarkStart w:id="432" w:name="_Toc1434003423"/>
      <w:bookmarkStart w:id="433" w:name="_Toc4907"/>
      <w:bookmarkStart w:id="434" w:name="_Toc414170475"/>
      <w:bookmarkStart w:id="435" w:name="_Toc18540"/>
      <w:bookmarkStart w:id="436" w:name="_Toc440848587"/>
      <w:bookmarkStart w:id="437" w:name="_Toc106891671"/>
      <w:bookmarkStart w:id="438" w:name="_Toc8831"/>
      <w:bookmarkStart w:id="439" w:name="_Toc505159751"/>
      <w:r>
        <w:rPr>
          <w:rFonts w:hint="eastAsia" w:ascii="宋体" w:hAnsi="宋体" w:eastAsia="黑体" w:cs="黑体"/>
          <w:b w:val="0"/>
          <w:bCs/>
          <w:color w:val="auto"/>
          <w:kern w:val="2"/>
          <w:sz w:val="32"/>
          <w:szCs w:val="24"/>
          <w:highlight w:val="none"/>
          <w:u w:val="none"/>
          <w:lang w:val="en-US" w:eastAsia="zh-CN" w:bidi="ar-SA"/>
        </w:rPr>
        <w:t>第一节  建设现代化人民城市</w:t>
      </w:r>
      <w:bookmarkEnd w:id="429"/>
      <w:bookmarkEnd w:id="430"/>
      <w:bookmarkEnd w:id="431"/>
      <w:bookmarkEnd w:id="432"/>
      <w:bookmarkEnd w:id="433"/>
      <w:bookmarkEnd w:id="434"/>
      <w:bookmarkEnd w:id="435"/>
      <w:bookmarkEnd w:id="436"/>
      <w:bookmarkEnd w:id="437"/>
      <w:bookmarkEnd w:id="438"/>
      <w:bookmarkEnd w:id="439"/>
    </w:p>
    <w:p w14:paraId="6D8E2786">
      <w:pPr>
        <w:keepNext/>
        <w:keepLines w:val="0"/>
        <w:pageBreakBefore w:val="0"/>
        <w:widowControl w:val="0"/>
        <w:numPr>
          <w:ilvl w:val="-1"/>
          <w:numId w:val="0"/>
        </w:numPr>
        <w:kinsoku/>
        <w:wordWrap/>
        <w:overflowPunct/>
        <w:topLinePunct w:val="0"/>
        <w:autoSpaceDE/>
        <w:autoSpaceDN/>
        <w:bidi w:val="0"/>
        <w:adjustRightInd w:val="0"/>
        <w:snapToGrid w:val="0"/>
        <w:spacing w:beforeLines="0" w:afterLines="0" w:line="510" w:lineRule="exact"/>
        <w:ind w:left="0" w:leftChars="0" w:firstLine="640" w:firstLineChars="200"/>
        <w:jc w:val="left"/>
        <w:textAlignment w:val="auto"/>
        <w:outlineLvl w:val="9"/>
        <w:rPr>
          <w:rFonts w:hint="eastAsia" w:ascii="宋体" w:hAnsi="宋体" w:eastAsia="仿宋_GB2312" w:cs="Times New Roman Regular"/>
          <w:color w:val="auto"/>
          <w:sz w:val="32"/>
          <w:szCs w:val="32"/>
          <w:highlight w:val="none"/>
          <w:u w:val="none" w:color="auto"/>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以推动城市高质量发展为主题，以坚持城市内涵式发展为主线，以推进城市更新为重要抓手，</w:t>
      </w:r>
      <w:r>
        <w:rPr>
          <w:rFonts w:hint="eastAsia" w:ascii="宋体" w:hAnsi="宋体" w:eastAsia="仿宋_GB2312" w:cs="Times New Roman Regular"/>
          <w:b w:val="0"/>
          <w:bCs w:val="0"/>
          <w:color w:val="auto"/>
          <w:sz w:val="32"/>
          <w:szCs w:val="32"/>
          <w:highlight w:val="none"/>
          <w:u w:val="none" w:color="auto"/>
          <w:lang w:val="en-US" w:eastAsia="zh-CN"/>
        </w:rPr>
        <w:t>实施“老城提质”“新城提速”“古城提韵”三大行动，高标准打造旅游型城市，</w:t>
      </w:r>
      <w:r>
        <w:rPr>
          <w:rFonts w:hint="default" w:ascii="宋体" w:hAnsi="宋体" w:eastAsia="仿宋_GB2312" w:cs="Times New Roman Regular"/>
          <w:b w:val="0"/>
          <w:bCs w:val="0"/>
          <w:color w:val="auto"/>
          <w:sz w:val="32"/>
          <w:szCs w:val="32"/>
          <w:highlight w:val="none"/>
          <w:u w:val="none" w:color="auto"/>
          <w:lang w:bidi="ar-SA"/>
        </w:rPr>
        <w:t>加快建设创新</w:t>
      </w:r>
      <w:r>
        <w:rPr>
          <w:rFonts w:hint="eastAsia" w:ascii="宋体" w:hAnsi="宋体" w:eastAsia="仿宋_GB2312" w:cs="Times New Roman Regular"/>
          <w:b w:val="0"/>
          <w:bCs w:val="0"/>
          <w:color w:val="auto"/>
          <w:sz w:val="32"/>
          <w:szCs w:val="32"/>
          <w:highlight w:val="none"/>
          <w:u w:val="none" w:color="auto"/>
          <w:lang w:bidi="ar-SA"/>
        </w:rPr>
        <w:t>、宜居、美丽、韧性、文明、智慧的现代化人民城市。</w:t>
      </w:r>
    </w:p>
    <w:p w14:paraId="0EC10037">
      <w:pPr>
        <w:keepNext/>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一、高标准建设旅游型城市</w:t>
      </w:r>
    </w:p>
    <w:p w14:paraId="08F2EA4B">
      <w:pPr>
        <w:keepNext/>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510" w:lineRule="exact"/>
        <w:ind w:left="0" w:leftChars="0" w:firstLine="640" w:firstLineChars="200"/>
        <w:jc w:val="both"/>
        <w:textAlignment w:val="auto"/>
        <w:outlineLvl w:val="9"/>
        <w:rPr>
          <w:rFonts w:hint="eastAsia" w:ascii="宋体" w:hAnsi="宋体" w:eastAsia="仿宋_GB2312" w:cs="Times New Roman Regular"/>
          <w:b w:val="0"/>
          <w:bCs w:val="0"/>
          <w:color w:val="auto"/>
          <w:sz w:val="32"/>
          <w:szCs w:val="32"/>
          <w:highlight w:val="none"/>
          <w:u w:val="none" w:color="auto"/>
          <w:lang w:val="en-US" w:eastAsia="zh-CN"/>
        </w:rPr>
      </w:pPr>
      <w:r>
        <w:rPr>
          <w:rFonts w:hint="eastAsia" w:ascii="宋体" w:hAnsi="宋体" w:eastAsia="仿宋_GB2312" w:cs="Times New Roman Regular"/>
          <w:b w:val="0"/>
          <w:bCs w:val="0"/>
          <w:color w:val="auto"/>
          <w:sz w:val="32"/>
          <w:szCs w:val="32"/>
          <w:highlight w:val="none"/>
          <w:u w:val="none" w:color="auto"/>
          <w:lang w:val="en-US" w:eastAsia="zh-CN"/>
        </w:rPr>
        <w:t>聚焦提升旅游城市服务水平，坚持“抓规划、美城市、强服务、促产业”，依托石林景区提质升级，</w:t>
      </w:r>
      <w:r>
        <w:rPr>
          <w:rFonts w:hint="default" w:ascii="宋体" w:hAnsi="宋体" w:eastAsia="仿宋_GB2312" w:cs="Times New Roman Regular"/>
          <w:b w:val="0"/>
          <w:bCs w:val="0"/>
          <w:color w:val="auto"/>
          <w:sz w:val="32"/>
          <w:szCs w:val="32"/>
          <w:highlight w:val="none"/>
          <w:u w:val="none" w:color="auto"/>
          <w:lang w:val="en-US" w:eastAsia="zh-CN"/>
        </w:rPr>
        <w:t>加快</w:t>
      </w:r>
      <w:r>
        <w:rPr>
          <w:rFonts w:hint="eastAsia" w:ascii="宋体" w:hAnsi="宋体" w:eastAsia="仿宋_GB2312" w:cs="Times New Roman Regular"/>
          <w:b w:val="0"/>
          <w:bCs w:val="0"/>
          <w:color w:val="auto"/>
          <w:sz w:val="32"/>
          <w:szCs w:val="32"/>
          <w:highlight w:val="none"/>
          <w:u w:val="none" w:color="auto"/>
          <w:lang w:val="en-US" w:eastAsia="zh-CN"/>
        </w:rPr>
        <w:t>构建城旅一体的大公园、大景区体系，展现“世界喀斯特精品旅游城市”特色风貌</w:t>
      </w:r>
      <w:r>
        <w:rPr>
          <w:rFonts w:hint="default" w:ascii="宋体" w:hAnsi="宋体" w:eastAsia="仿宋_GB2312" w:cs="Times New Roman Regular"/>
          <w:b w:val="0"/>
          <w:bCs w:val="0"/>
          <w:color w:val="auto"/>
          <w:sz w:val="32"/>
          <w:szCs w:val="32"/>
          <w:highlight w:val="none"/>
          <w:u w:val="none" w:color="auto"/>
          <w:lang w:val="en-US" w:eastAsia="zh-CN"/>
        </w:rPr>
        <w:t>，</w:t>
      </w:r>
      <w:r>
        <w:rPr>
          <w:rFonts w:hint="eastAsia" w:ascii="宋体" w:hAnsi="宋体" w:eastAsia="仿宋_GB2312" w:cs="Times New Roman Regular"/>
          <w:b w:val="0"/>
          <w:bCs w:val="0"/>
          <w:color w:val="auto"/>
          <w:sz w:val="32"/>
          <w:szCs w:val="32"/>
          <w:highlight w:val="none"/>
          <w:u w:val="none" w:color="auto"/>
          <w:lang w:val="en-US" w:eastAsia="zh-CN"/>
        </w:rPr>
        <w:t>推动景城融合发展，着力打造旅游名县</w:t>
      </w:r>
      <w:r>
        <w:rPr>
          <w:rFonts w:hint="default" w:ascii="宋体" w:hAnsi="宋体" w:eastAsia="仿宋_GB2312" w:cs="Times New Roman Regular"/>
          <w:b w:val="0"/>
          <w:bCs w:val="0"/>
          <w:color w:val="auto"/>
          <w:sz w:val="32"/>
          <w:szCs w:val="32"/>
          <w:highlight w:val="none"/>
          <w:u w:val="none" w:color="auto"/>
          <w:lang w:val="en-US" w:eastAsia="zh-CN"/>
        </w:rPr>
        <w:t>。高位统筹</w:t>
      </w:r>
      <w:r>
        <w:rPr>
          <w:rFonts w:hint="eastAsia" w:ascii="宋体" w:hAnsi="宋体" w:eastAsia="仿宋_GB2312" w:cs="Times New Roman Regular"/>
          <w:color w:val="auto"/>
          <w:sz w:val="32"/>
          <w:szCs w:val="32"/>
          <w:highlight w:val="none"/>
          <w:u w:val="none" w:color="auto"/>
          <w:lang w:val="en-US" w:eastAsia="zh-CN"/>
        </w:rPr>
        <w:t>各</w:t>
      </w:r>
      <w:r>
        <w:rPr>
          <w:rFonts w:hint="eastAsia" w:ascii="宋体" w:hAnsi="宋体" w:eastAsia="仿宋_GB2312" w:cs="Times New Roman Regular"/>
          <w:color w:val="auto"/>
          <w:sz w:val="32"/>
          <w:szCs w:val="32"/>
          <w:highlight w:val="none"/>
          <w:u w:val="none" w:color="auto"/>
        </w:rPr>
        <w:t>景区</w:t>
      </w:r>
      <w:r>
        <w:rPr>
          <w:rFonts w:hint="eastAsia"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lang w:val="en-US" w:eastAsia="zh-CN"/>
        </w:rPr>
        <w:t>景点</w:t>
      </w:r>
      <w:r>
        <w:rPr>
          <w:rFonts w:hint="eastAsia" w:ascii="宋体" w:hAnsi="宋体" w:eastAsia="仿宋_GB2312" w:cs="Times New Roman Regular"/>
          <w:color w:val="auto"/>
          <w:sz w:val="32"/>
          <w:szCs w:val="32"/>
          <w:highlight w:val="none"/>
          <w:u w:val="none" w:color="auto"/>
        </w:rPr>
        <w:t>与县城在规划布局、基础设施、公共服务等方面的无缝对接，将县城打造成为</w:t>
      </w:r>
      <w:r>
        <w:rPr>
          <w:rFonts w:hint="eastAsia" w:ascii="宋体" w:hAnsi="宋体" w:eastAsia="仿宋_GB2312" w:cs="Times New Roman Regular"/>
          <w:color w:val="auto"/>
          <w:sz w:val="32"/>
          <w:szCs w:val="32"/>
          <w:highlight w:val="none"/>
          <w:u w:val="none" w:color="auto"/>
          <w:lang w:val="en-US" w:eastAsia="zh-CN"/>
        </w:rPr>
        <w:t>石林文旅产业</w:t>
      </w:r>
      <w:r>
        <w:rPr>
          <w:rFonts w:hint="eastAsia" w:ascii="宋体" w:hAnsi="宋体" w:eastAsia="仿宋_GB2312" w:cs="Times New Roman Regular"/>
          <w:color w:val="auto"/>
          <w:sz w:val="32"/>
          <w:szCs w:val="32"/>
          <w:highlight w:val="none"/>
          <w:u w:val="none" w:color="auto"/>
        </w:rPr>
        <w:t>的</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游客集散中心</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和</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后勤保障基地</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b w:val="0"/>
          <w:bCs w:val="0"/>
          <w:color w:val="auto"/>
          <w:sz w:val="32"/>
          <w:szCs w:val="32"/>
          <w:highlight w:val="none"/>
          <w:u w:val="none" w:color="auto"/>
          <w:lang w:val="en-US" w:eastAsia="zh-CN"/>
        </w:rPr>
        <w:t>强化城市设计与风貌指引，推动“阿诗玛”文化元素融入城市建筑，引导显山露水的梯度式建筑高度控制，加强重点区域和巴江河</w:t>
      </w:r>
      <w:r>
        <w:rPr>
          <w:rFonts w:hint="default" w:ascii="宋体" w:hAnsi="宋体" w:eastAsia="仿宋_GB2312" w:cs="Times New Roman Regular"/>
          <w:b w:val="0"/>
          <w:bCs w:val="0"/>
          <w:color w:val="auto"/>
          <w:sz w:val="32"/>
          <w:szCs w:val="32"/>
          <w:highlight w:val="none"/>
          <w:u w:val="none" w:color="auto"/>
          <w:lang w:val="en-US" w:eastAsia="zh-CN"/>
        </w:rPr>
        <w:t>沿</w:t>
      </w:r>
      <w:r>
        <w:rPr>
          <w:rFonts w:hint="eastAsia" w:ascii="宋体" w:hAnsi="宋体" w:eastAsia="仿宋_GB2312" w:cs="Times New Roman Regular"/>
          <w:b w:val="0"/>
          <w:bCs w:val="0"/>
          <w:color w:val="auto"/>
          <w:sz w:val="32"/>
          <w:szCs w:val="32"/>
          <w:highlight w:val="none"/>
          <w:u w:val="none" w:color="auto"/>
          <w:lang w:val="en-US" w:eastAsia="zh-CN"/>
        </w:rPr>
        <w:t>岸</w:t>
      </w:r>
      <w:r>
        <w:rPr>
          <w:rFonts w:hint="default" w:ascii="宋体" w:hAnsi="宋体" w:eastAsia="仿宋_GB2312" w:cs="Times New Roman Regular"/>
          <w:b w:val="0"/>
          <w:bCs w:val="0"/>
          <w:color w:val="auto"/>
          <w:sz w:val="32"/>
          <w:szCs w:val="32"/>
          <w:highlight w:val="none"/>
          <w:u w:val="none" w:color="auto"/>
          <w:lang w:val="en-US" w:eastAsia="zh-CN"/>
        </w:rPr>
        <w:t>天际线</w:t>
      </w:r>
      <w:r>
        <w:rPr>
          <w:rFonts w:hint="eastAsia" w:ascii="宋体" w:hAnsi="宋体" w:eastAsia="仿宋_GB2312" w:cs="Times New Roman Regular"/>
          <w:b w:val="0"/>
          <w:bCs w:val="0"/>
          <w:color w:val="auto"/>
          <w:sz w:val="32"/>
          <w:szCs w:val="32"/>
          <w:highlight w:val="none"/>
          <w:u w:val="none" w:color="auto"/>
          <w:lang w:val="en-US" w:eastAsia="zh-CN"/>
        </w:rPr>
        <w:t>管控。</w:t>
      </w:r>
      <w:r>
        <w:rPr>
          <w:rFonts w:hint="default" w:ascii="宋体" w:hAnsi="宋体" w:eastAsia="仿宋_GB2312" w:cs="Times New Roman Regular"/>
          <w:color w:val="auto"/>
          <w:sz w:val="32"/>
          <w:szCs w:val="32"/>
          <w:highlight w:val="none"/>
          <w:u w:val="none" w:color="auto"/>
          <w:lang w:val="en-US" w:eastAsia="zh-CN"/>
        </w:rPr>
        <w:t>发展夜间经济，</w:t>
      </w:r>
      <w:r>
        <w:rPr>
          <w:rFonts w:hint="eastAsia" w:ascii="宋体" w:hAnsi="宋体" w:eastAsia="仿宋_GB2312" w:cs="Times New Roman Regular"/>
          <w:color w:val="auto"/>
          <w:sz w:val="32"/>
          <w:szCs w:val="32"/>
          <w:highlight w:val="none"/>
          <w:u w:val="none" w:color="auto"/>
          <w:lang w:val="en-US" w:eastAsia="zh-CN"/>
        </w:rPr>
        <w:t>打造</w:t>
      </w:r>
      <w:r>
        <w:rPr>
          <w:rFonts w:hint="default" w:ascii="宋体" w:hAnsi="宋体" w:eastAsia="仿宋_GB2312" w:cs="Times New Roman Regular"/>
          <w:color w:val="auto"/>
          <w:sz w:val="32"/>
          <w:szCs w:val="32"/>
          <w:highlight w:val="none"/>
          <w:u w:val="none" w:color="auto"/>
          <w:lang w:val="en-US" w:eastAsia="zh-CN"/>
        </w:rPr>
        <w:t>“</w:t>
      </w:r>
      <w:r>
        <w:rPr>
          <w:rFonts w:hint="eastAsia" w:ascii="宋体" w:hAnsi="宋体" w:eastAsia="仿宋_GB2312" w:cs="Times New Roman Regular"/>
          <w:color w:val="auto"/>
          <w:sz w:val="32"/>
          <w:szCs w:val="32"/>
          <w:highlight w:val="none"/>
          <w:u w:val="none" w:color="auto"/>
          <w:lang w:val="en-US" w:eastAsia="zh-CN"/>
        </w:rPr>
        <w:t>巴江河文旅街区</w:t>
      </w:r>
      <w:r>
        <w:rPr>
          <w:rFonts w:hint="default" w:ascii="宋体" w:hAnsi="宋体" w:eastAsia="仿宋_GB2312" w:cs="Times New Roman Regular"/>
          <w:color w:val="auto"/>
          <w:sz w:val="32"/>
          <w:szCs w:val="32"/>
          <w:highlight w:val="none"/>
          <w:u w:val="none" w:color="auto"/>
          <w:lang w:val="en-US" w:eastAsia="zh-CN"/>
        </w:rPr>
        <w:t>”，</w:t>
      </w:r>
      <w:r>
        <w:rPr>
          <w:rFonts w:hint="eastAsia" w:ascii="宋体" w:hAnsi="宋体" w:eastAsia="仿宋_GB2312" w:cs="Times New Roman Regular"/>
          <w:color w:val="auto"/>
          <w:sz w:val="32"/>
          <w:szCs w:val="32"/>
          <w:highlight w:val="none"/>
          <w:u w:val="none" w:color="auto"/>
          <w:lang w:val="en-US" w:eastAsia="zh-CN"/>
        </w:rPr>
        <w:t>完善</w:t>
      </w:r>
      <w:r>
        <w:rPr>
          <w:rFonts w:hint="eastAsia" w:ascii="宋体" w:hAnsi="宋体" w:eastAsia="仿宋_GB2312" w:cs="Times New Roman Regular"/>
          <w:b w:val="0"/>
          <w:bCs w:val="0"/>
          <w:color w:val="auto"/>
          <w:sz w:val="32"/>
          <w:szCs w:val="32"/>
          <w:highlight w:val="none"/>
          <w:u w:val="none" w:color="auto"/>
          <w:lang w:val="en-US" w:eastAsia="zh-CN"/>
        </w:rPr>
        <w:t>巴江河</w:t>
      </w:r>
      <w:r>
        <w:rPr>
          <w:rFonts w:hint="eastAsia" w:ascii="宋体" w:hAnsi="宋体" w:eastAsia="仿宋_GB2312" w:cs="Times New Roman Regular"/>
          <w:color w:val="auto"/>
          <w:sz w:val="32"/>
          <w:szCs w:val="32"/>
          <w:highlight w:val="none"/>
          <w:u w:val="none" w:color="auto"/>
          <w:lang w:val="en-US" w:eastAsia="zh-CN"/>
        </w:rPr>
        <w:t>两岸商业、休闲、娱乐等配套服务设施，</w:t>
      </w:r>
      <w:r>
        <w:rPr>
          <w:rFonts w:hint="eastAsia" w:ascii="宋体" w:hAnsi="宋体" w:eastAsia="仿宋_GB2312" w:cs="Times New Roman Regular"/>
          <w:b w:val="0"/>
          <w:bCs w:val="0"/>
          <w:color w:val="auto"/>
          <w:sz w:val="32"/>
          <w:szCs w:val="32"/>
          <w:highlight w:val="none"/>
          <w:u w:val="none" w:color="auto"/>
          <w:lang w:val="en-US" w:eastAsia="zh-CN"/>
        </w:rPr>
        <w:t>打造石林光影秀、夜游巴江景观</w:t>
      </w:r>
      <w:r>
        <w:rPr>
          <w:rFonts w:hint="eastAsia" w:ascii="宋体" w:hAnsi="宋体" w:eastAsia="仿宋_GB2312" w:cs="Times New Roman Regular"/>
          <w:color w:val="auto"/>
          <w:sz w:val="32"/>
          <w:szCs w:val="32"/>
          <w:highlight w:val="none"/>
          <w:u w:val="none" w:color="auto"/>
          <w:lang w:val="en-US" w:eastAsia="zh-CN"/>
        </w:rPr>
        <w:t>；</w:t>
      </w:r>
      <w:r>
        <w:rPr>
          <w:rFonts w:hint="default" w:ascii="宋体" w:hAnsi="宋体" w:eastAsia="仿宋_GB2312" w:cs="Times New Roman Regular"/>
          <w:b w:val="0"/>
          <w:bCs w:val="0"/>
          <w:color w:val="auto"/>
          <w:sz w:val="32"/>
          <w:szCs w:val="32"/>
          <w:highlight w:val="none"/>
          <w:u w:val="none" w:color="auto"/>
          <w:lang w:val="en-US" w:eastAsia="zh-CN"/>
        </w:rPr>
        <w:t>提升巩固东门坊夜市文化美食街、城古楼夜市等两大夜市商业业态</w:t>
      </w:r>
      <w:r>
        <w:rPr>
          <w:rFonts w:hint="eastAsia" w:ascii="宋体" w:hAnsi="宋体" w:eastAsia="仿宋_GB2312" w:cs="Times New Roman Regular"/>
          <w:color w:val="auto"/>
          <w:sz w:val="32"/>
          <w:szCs w:val="32"/>
          <w:highlight w:val="none"/>
          <w:u w:val="none" w:color="auto"/>
          <w:lang w:val="en-US" w:eastAsia="zh-CN"/>
        </w:rPr>
        <w:t>。</w:t>
      </w:r>
      <w:r>
        <w:rPr>
          <w:rFonts w:hint="eastAsia" w:ascii="宋体" w:hAnsi="宋体" w:eastAsia="仿宋_GB2312" w:cs="Times New Roman Regular"/>
          <w:b w:val="0"/>
          <w:bCs w:val="0"/>
          <w:color w:val="auto"/>
          <w:sz w:val="32"/>
          <w:szCs w:val="32"/>
          <w:highlight w:val="none"/>
          <w:u w:val="none" w:color="auto"/>
          <w:lang w:val="en-US" w:eastAsia="zh-CN"/>
        </w:rPr>
        <w:t>开展绿美城市、绿美社区、绿美街区等建设，打造“景城交融”的</w:t>
      </w:r>
      <w:r>
        <w:rPr>
          <w:rFonts w:hint="default" w:ascii="宋体" w:hAnsi="宋体" w:eastAsia="仿宋_GB2312" w:cs="Times New Roman Regular"/>
          <w:b w:val="0"/>
          <w:bCs w:val="0"/>
          <w:color w:val="auto"/>
          <w:sz w:val="32"/>
          <w:szCs w:val="32"/>
          <w:highlight w:val="none"/>
          <w:u w:val="none" w:color="auto"/>
          <w:lang w:val="en-US" w:eastAsia="zh-CN"/>
        </w:rPr>
        <w:t>旅游型城市</w:t>
      </w:r>
      <w:r>
        <w:rPr>
          <w:rFonts w:hint="eastAsia" w:ascii="宋体" w:hAnsi="宋体" w:eastAsia="仿宋_GB2312" w:cs="Times New Roman Regular"/>
          <w:b w:val="0"/>
          <w:bCs w:val="0"/>
          <w:color w:val="auto"/>
          <w:sz w:val="32"/>
          <w:szCs w:val="32"/>
          <w:highlight w:val="none"/>
          <w:u w:val="none" w:color="auto"/>
          <w:lang w:val="en-US" w:eastAsia="zh-CN"/>
        </w:rPr>
        <w:t>格局</w:t>
      </w:r>
      <w:r>
        <w:rPr>
          <w:rFonts w:hint="eastAsia" w:ascii="宋体" w:hAnsi="宋体" w:eastAsia="仿宋_GB2312" w:cs="Times New Roman Regular"/>
          <w:color w:val="auto"/>
          <w:sz w:val="32"/>
          <w:szCs w:val="32"/>
          <w:highlight w:val="none"/>
          <w:u w:val="none" w:color="auto"/>
        </w:rPr>
        <w:t>，实现</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景区游</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与</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县城</w:t>
      </w:r>
      <w:r>
        <w:rPr>
          <w:rFonts w:hint="default" w:ascii="宋体" w:hAnsi="宋体" w:eastAsia="仿宋_GB2312" w:cs="Times New Roman Regular"/>
          <w:color w:val="auto"/>
          <w:sz w:val="32"/>
          <w:szCs w:val="32"/>
          <w:highlight w:val="none"/>
          <w:u w:val="none" w:color="auto"/>
          <w:lang w:val="en-US" w:eastAsia="zh-CN"/>
        </w:rPr>
        <w:t>留</w:t>
      </w:r>
      <w:r>
        <w:rPr>
          <w:rFonts w:hint="default" w:ascii="宋体" w:hAnsi="宋体" w:eastAsia="仿宋_GB2312" w:cs="Times New Roman Regular"/>
          <w:color w:val="auto"/>
          <w:sz w:val="32"/>
          <w:szCs w:val="32"/>
          <w:highlight w:val="none"/>
          <w:u w:val="none" w:color="auto"/>
          <w:lang w:eastAsia="zh-CN"/>
        </w:rPr>
        <w:t>”</w:t>
      </w:r>
      <w:r>
        <w:rPr>
          <w:rFonts w:hint="eastAsia" w:ascii="宋体" w:hAnsi="宋体" w:eastAsia="仿宋_GB2312" w:cs="Times New Roman Regular"/>
          <w:color w:val="auto"/>
          <w:sz w:val="32"/>
          <w:szCs w:val="32"/>
          <w:highlight w:val="none"/>
          <w:u w:val="none" w:color="auto"/>
        </w:rPr>
        <w:t>的有机结合</w:t>
      </w:r>
      <w:r>
        <w:rPr>
          <w:rFonts w:hint="eastAsia" w:ascii="宋体" w:hAnsi="宋体" w:eastAsia="仿宋_GB2312" w:cs="Times New Roman Regular"/>
          <w:b w:val="0"/>
          <w:bCs w:val="0"/>
          <w:color w:val="auto"/>
          <w:sz w:val="32"/>
          <w:szCs w:val="32"/>
          <w:highlight w:val="none"/>
          <w:u w:val="none" w:color="auto"/>
          <w:lang w:val="en-US" w:eastAsia="zh-CN"/>
        </w:rPr>
        <w:t>。</w:t>
      </w:r>
    </w:p>
    <w:p w14:paraId="524491C4">
      <w:pPr>
        <w:keepNext/>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二、推动宜居韧性城市建设</w:t>
      </w:r>
    </w:p>
    <w:p w14:paraId="7C438DCF">
      <w:pPr>
        <w:keepNext/>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524" w:lineRule="exact"/>
        <w:ind w:left="0" w:leftChars="0" w:firstLine="640" w:firstLineChars="200"/>
        <w:jc w:val="left"/>
        <w:textAlignment w:val="auto"/>
        <w:outlineLvl w:val="9"/>
        <w:rPr>
          <w:rFonts w:hint="eastAsia" w:ascii="宋体" w:hAnsi="宋体" w:eastAsia="仿宋_GB2312" w:cs="Times New Roman Regular"/>
          <w:b w:val="0"/>
          <w:bCs w:val="0"/>
          <w:color w:val="auto"/>
          <w:sz w:val="32"/>
          <w:szCs w:val="32"/>
          <w:highlight w:val="none"/>
          <w:u w:val="none" w:color="auto"/>
          <w:lang w:val="en-US" w:eastAsia="zh-CN"/>
        </w:rPr>
      </w:pPr>
      <w:r>
        <w:rPr>
          <w:rFonts w:hint="eastAsia" w:ascii="宋体" w:hAnsi="宋体" w:eastAsia="仿宋_GB2312" w:cs="Times New Roman Regular"/>
          <w:b w:val="0"/>
          <w:bCs w:val="0"/>
          <w:color w:val="auto"/>
          <w:sz w:val="32"/>
          <w:szCs w:val="32"/>
          <w:highlight w:val="none"/>
          <w:u w:val="none" w:color="auto"/>
          <w:lang w:val="en-US" w:eastAsia="zh-CN"/>
        </w:rPr>
        <w:t>巩固“五城共建”成果，全面开展城市体检，实施城市更新行动和韧性提升行动，建设宜居韧性城市。推动老城片区市政道路停车及交通流线优化提升，加快完善城市道路、供水、电力、环卫、防洪排涝、抗震、消防等市政基础设施，推动城市基础设施更新、数字化改造和智能化管理。加强城市入河排污口排查整治，改造提升污水处理厂，完善配套管网设施建设；深入实施城乡生活垃圾收转运一体化项目。推动“平急两用”公共基础设施建设。谋划推进双龙市场片区、学地山片区城市更新改造，稳妥推进县城城中村改造。加快建设完整社区，完善城市社区嵌入式服务设施，构建15分钟便民生活圈。系统推进“好房子”建设，推动构建房地产发展新模式，稳步推进烂尾楼整治，完善“保障+市场”的住房供应体系，合理测算住房需求，打造高品质项目，更好满足群众对住房的多样化、多元化需求。</w:t>
      </w:r>
    </w:p>
    <w:p w14:paraId="7163B3AC">
      <w:pPr>
        <w:keepNext/>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三、打造创新智慧县城</w:t>
      </w:r>
    </w:p>
    <w:p w14:paraId="504CAFC5">
      <w:pPr>
        <w:keepNext/>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SA"/>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突出创新在推动城市高质量发展中的核心作用，坚持“产、城、人”融合发展，围绕资源要素互通、创新链产业链互融合基础设施互联，推进生物医药、绿色食品等产业发展与城市建设深度融合，促进城市与石林产业园区、台创园等互动融合。深化“智慧城市”及城市运行管理服务平台建设，不断拓展平台功能和应用场景，加强市政管理与环境管理、交通管理、应急管理等城市管理数字化平台信息共享与互联互通，打造城市运行“一网统管”新模式。深化城乡一体化智慧管养特许经营改革，谋划建设建筑垃圾消纳场。</w:t>
      </w:r>
      <w:r>
        <w:rPr>
          <w:rFonts w:hint="eastAsia" w:ascii="宋体" w:hAnsi="宋体" w:eastAsia="仿宋_GB2312" w:cs="Times New Roman Regular"/>
          <w:b w:val="0"/>
          <w:bCs w:val="0"/>
          <w:color w:val="auto"/>
          <w:sz w:val="32"/>
          <w:szCs w:val="32"/>
          <w:highlight w:val="none"/>
          <w:u w:val="none" w:color="auto"/>
          <w:lang w:val="en-US" w:eastAsia="zh-CN"/>
        </w:rPr>
        <w:t>加强网格化管理服务，</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统筹推进城市管理、便民服务、市政管护，持续提升城市精细化管理水平。</w:t>
      </w:r>
    </w:p>
    <w:p w14:paraId="6B1488B4">
      <w:pPr>
        <w:keepNext/>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10" w:lineRule="exact"/>
        <w:ind w:left="0" w:leftChars="0" w:firstLine="640" w:firstLineChars="200"/>
        <w:jc w:val="left"/>
        <w:textAlignment w:val="auto"/>
        <w:outlineLvl w:val="2"/>
        <w:rPr>
          <w:rFonts w:hint="eastAsia" w:ascii="宋体" w:hAnsi="宋体" w:eastAsia="楷体_GB2312" w:cs="楷体_GB2312"/>
          <w:b w:val="0"/>
          <w:bCs/>
          <w:color w:val="auto"/>
          <w:spacing w:val="0"/>
          <w:kern w:val="2"/>
          <w:sz w:val="32"/>
          <w:szCs w:val="32"/>
          <w:highlight w:val="none"/>
          <w:lang w:val="en-US" w:eastAsia="zh-CN" w:bidi="ar-SA"/>
        </w:rPr>
      </w:pPr>
      <w:r>
        <w:rPr>
          <w:rFonts w:hint="eastAsia" w:ascii="宋体" w:hAnsi="宋体" w:eastAsia="楷体_GB2312" w:cs="楷体_GB2312"/>
          <w:b w:val="0"/>
          <w:bCs/>
          <w:color w:val="auto"/>
          <w:spacing w:val="0"/>
          <w:kern w:val="2"/>
          <w:sz w:val="32"/>
          <w:szCs w:val="32"/>
          <w:highlight w:val="none"/>
          <w:lang w:val="en-US" w:eastAsia="zh-CN" w:bidi="ar-SA"/>
        </w:rPr>
        <w:t>四、加强</w:t>
      </w:r>
      <w:r>
        <w:rPr>
          <w:rFonts w:hint="eastAsia" w:ascii="宋体" w:hAnsi="宋体" w:eastAsia="楷体_GB2312" w:cs="楷体_GB2312"/>
          <w:b w:val="0"/>
          <w:bCs/>
          <w:color w:val="auto"/>
          <w:kern w:val="2"/>
          <w:sz w:val="32"/>
          <w:szCs w:val="32"/>
          <w:highlight w:val="none"/>
          <w:lang w:val="en-US" w:eastAsia="zh-CN" w:bidi="ar-SA"/>
        </w:rPr>
        <w:t>城市历史文脉保护利用传承</w:t>
      </w:r>
    </w:p>
    <w:p w14:paraId="64E5B988">
      <w:pPr>
        <w:keepNext/>
        <w:keepLines w:val="0"/>
        <w:pageBreakBefore w:val="0"/>
        <w:widowControl w:val="0"/>
        <w:numPr>
          <w:ilvl w:val="0"/>
          <w:numId w:val="0"/>
        </w:numPr>
        <w:kinsoku/>
        <w:wordWrap/>
        <w:overflowPunct/>
        <w:topLinePunct w:val="0"/>
        <w:autoSpaceDE/>
        <w:autoSpaceDN/>
        <w:bidi w:val="0"/>
        <w:adjustRightInd w:val="0"/>
        <w:snapToGrid w:val="0"/>
        <w:spacing w:beforeLines="0" w:afterLines="0" w:line="510" w:lineRule="exact"/>
        <w:ind w:left="0" w:leftChars="0" w:firstLine="640" w:firstLineChars="200"/>
        <w:jc w:val="left"/>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SA"/>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立足石林“世界自然遗产”与“历史文化资源富集”的双重禀赋，加强对城市独特的历史文脉、人文地理、自然景观保护。健全城市文化遗产普查调查制度，重点摸排路南古城传统街巷、明清民居、古碑刻等遗存。</w:t>
      </w:r>
      <w:r>
        <w:rPr>
          <w:rFonts w:hint="eastAsia" w:ascii="宋体" w:hAnsi="宋体" w:eastAsia="仿宋_GB2312" w:cs="Times New Roman Regular"/>
          <w:bCs w:val="0"/>
          <w:color w:val="auto"/>
          <w:sz w:val="32"/>
          <w:szCs w:val="32"/>
          <w:highlight w:val="none"/>
          <w:u w:val="none" w:color="auto"/>
        </w:rPr>
        <w:t>加强石林文庙</w:t>
      </w:r>
      <w:r>
        <w:rPr>
          <w:rFonts w:hint="eastAsia" w:ascii="宋体" w:hAnsi="宋体" w:eastAsia="仿宋_GB2312" w:cs="Times New Roman Regular"/>
          <w:bCs w:val="0"/>
          <w:color w:val="auto"/>
          <w:sz w:val="32"/>
          <w:szCs w:val="32"/>
          <w:highlight w:val="none"/>
          <w:u w:val="none" w:color="auto"/>
          <w:lang w:val="en-US" w:eastAsia="zh-CN"/>
        </w:rPr>
        <w:t>等历史建筑</w:t>
      </w:r>
      <w:r>
        <w:rPr>
          <w:rFonts w:hint="eastAsia" w:ascii="宋体" w:hAnsi="宋体" w:eastAsia="仿宋_GB2312" w:cs="Times New Roman Regular"/>
          <w:bCs w:val="0"/>
          <w:color w:val="auto"/>
          <w:sz w:val="32"/>
          <w:szCs w:val="32"/>
          <w:highlight w:val="none"/>
          <w:u w:val="none" w:color="auto"/>
        </w:rPr>
        <w:t>保护修复，系统推进路南古城非遗馆群建设</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加快推进旧改片区文庙、武庙、万圣宫、李埏故居等历史文化遗产活化利用，打造石林文化对外展示的窗口。培育和践行社会主义核心价值观，丰富城市精神文化生活，提高市民文明素质，推进全国文明城市创建常态化。</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5280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5" w:hRule="atLeast"/>
          <w:tblHeader/>
        </w:trPr>
        <w:tc>
          <w:tcPr>
            <w:tcW w:w="9061" w:type="dxa"/>
          </w:tcPr>
          <w:p w14:paraId="6A105E0A">
            <w:pPr>
              <w:keepNext/>
              <w:keepLines w:val="0"/>
              <w:pageBreakBefore w:val="0"/>
              <w:widowControl w:val="0"/>
              <w:numPr>
                <w:ilvl w:val="-1"/>
                <w:numId w:val="0"/>
              </w:numPr>
              <w:kinsoku/>
              <w:wordWrap/>
              <w:overflowPunct/>
              <w:topLinePunct w:val="0"/>
              <w:autoSpaceDE/>
              <w:autoSpaceDN/>
              <w:bidi w:val="0"/>
              <w:adjustRightInd/>
              <w:snapToGrid w:val="0"/>
              <w:spacing w:beforeLines="0" w:afterLines="0" w:line="520" w:lineRule="exact"/>
              <w:ind w:left="0" w:leftChars="0" w:firstLine="640"/>
              <w:jc w:val="center"/>
              <w:textAlignment w:val="auto"/>
              <w:outlineLvl w:val="9"/>
              <w:rPr>
                <w:rFonts w:hint="default" w:ascii="宋体" w:hAnsi="宋体" w:eastAsia="方正楷体_GBK" w:cs="Times New Roman Regular"/>
                <w:b w:val="0"/>
                <w:bCs w:val="0"/>
                <w:color w:val="auto"/>
                <w:spacing w:val="0"/>
                <w:kern w:val="2"/>
                <w:sz w:val="28"/>
                <w:szCs w:val="28"/>
                <w:highlight w:val="none"/>
                <w:vertAlign w:val="baseline"/>
                <w:lang w:val="en-US" w:eastAsia="zh-CN" w:bidi="ar-SA"/>
              </w:rPr>
            </w:pPr>
            <w:r>
              <w:rPr>
                <w:rFonts w:hint="eastAsia" w:ascii="黑体" w:hAnsi="黑体" w:eastAsia="黑体" w:cs="黑体"/>
                <w:b w:val="0"/>
                <w:bCs/>
                <w:i w:val="0"/>
                <w:color w:val="auto"/>
                <w:sz w:val="28"/>
                <w:szCs w:val="28"/>
                <w:vertAlign w:val="baseline"/>
                <w:lang w:val="en-US" w:eastAsia="zh-CN"/>
              </w:rPr>
              <w:t xml:space="preserve">专栏7  </w:t>
            </w:r>
            <w:r>
              <w:rPr>
                <w:rFonts w:hint="eastAsia" w:ascii="黑体" w:hAnsi="黑体" w:eastAsia="黑体" w:cs="黑体"/>
                <w:b w:val="0"/>
                <w:bCs/>
                <w:color w:val="auto"/>
                <w:sz w:val="28"/>
                <w:szCs w:val="28"/>
              </w:rPr>
              <w:t>现代人民城市建设重点工程</w:t>
            </w:r>
          </w:p>
        </w:tc>
      </w:tr>
      <w:tr w14:paraId="5A59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1" w:type="dxa"/>
            <w:vAlign w:val="center"/>
          </w:tcPr>
          <w:p w14:paraId="2F3BC395">
            <w:pPr>
              <w:keepNext/>
              <w:keepLines w:val="0"/>
              <w:pageBreakBefore w:val="0"/>
              <w:widowControl w:val="0"/>
              <w:numPr>
                <w:ilvl w:val="0"/>
                <w:numId w:val="0"/>
              </w:numPr>
              <w:kinsoku/>
              <w:wordWrap/>
              <w:overflowPunct/>
              <w:topLinePunct w:val="0"/>
              <w:autoSpaceDE/>
              <w:autoSpaceDN/>
              <w:bidi w:val="0"/>
              <w:adjustRightInd/>
              <w:snapToGrid w:val="0"/>
              <w:spacing w:beforeLines="0" w:afterLines="0" w:line="380" w:lineRule="exact"/>
              <w:ind w:left="0" w:leftChars="0" w:firstLine="562" w:firstLineChars="200"/>
              <w:jc w:val="left"/>
              <w:textAlignment w:val="auto"/>
              <w:outlineLvl w:val="9"/>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智慧县城城市管理补短板工程。</w:t>
            </w:r>
            <w:r>
              <w:rPr>
                <w:rFonts w:hint="eastAsia" w:ascii="宋体" w:hAnsi="宋体" w:eastAsia="仿宋_GB2312" w:cs="仿宋_GB2312"/>
                <w:b w:val="0"/>
                <w:bCs w:val="0"/>
                <w:color w:val="auto"/>
                <w:sz w:val="28"/>
                <w:szCs w:val="28"/>
                <w:highlight w:val="none"/>
                <w:u w:val="none" w:color="auto"/>
                <w:lang w:val="en-US" w:eastAsia="zh-CN"/>
              </w:rPr>
              <w:t>完善市政信息管理系统、环卫和公共服务、市政管网智能化监测系统，实施雨污分流、强弱电入地及绿化亮化、景观提升、停车管理系统建设。</w:t>
            </w:r>
          </w:p>
          <w:p w14:paraId="1627198E">
            <w:pPr>
              <w:keepNext/>
              <w:keepLines w:val="0"/>
              <w:pageBreakBefore w:val="0"/>
              <w:widowControl w:val="0"/>
              <w:numPr>
                <w:ilvl w:val="0"/>
                <w:numId w:val="0"/>
              </w:numPr>
              <w:kinsoku/>
              <w:wordWrap/>
              <w:overflowPunct/>
              <w:topLinePunct w:val="0"/>
              <w:autoSpaceDE/>
              <w:autoSpaceDN/>
              <w:bidi w:val="0"/>
              <w:adjustRightInd/>
              <w:snapToGrid w:val="0"/>
              <w:spacing w:beforeLines="0" w:afterLines="0" w:line="380" w:lineRule="exact"/>
              <w:ind w:left="0" w:leftChars="0" w:firstLine="562" w:firstLineChars="200"/>
              <w:jc w:val="left"/>
              <w:textAlignment w:val="auto"/>
              <w:outlineLvl w:val="9"/>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老旧小区改造及配套基础设施建设工程。</w:t>
            </w:r>
            <w:r>
              <w:rPr>
                <w:rFonts w:hint="eastAsia" w:ascii="宋体" w:hAnsi="宋体" w:eastAsia="仿宋_GB2312" w:cs="仿宋_GB2312"/>
                <w:color w:val="auto"/>
                <w:sz w:val="28"/>
                <w:szCs w:val="28"/>
                <w:highlight w:val="none"/>
                <w:u w:val="none" w:color="auto"/>
              </w:rPr>
              <w:t>实施</w:t>
            </w:r>
            <w:r>
              <w:rPr>
                <w:rFonts w:hint="eastAsia" w:ascii="宋体" w:hAnsi="宋体" w:eastAsia="仿宋_GB2312" w:cs="宋体"/>
                <w:color w:val="auto"/>
                <w:sz w:val="28"/>
                <w:szCs w:val="28"/>
                <w:highlight w:val="none"/>
                <w:u w:val="none" w:color="auto"/>
              </w:rPr>
              <w:t>2026</w:t>
            </w:r>
            <w:r>
              <w:rPr>
                <w:rFonts w:hint="eastAsia" w:ascii="宋体" w:hAnsi="宋体" w:eastAsia="仿宋_GB2312" w:cs="仿宋_GB2312"/>
                <w:color w:val="auto"/>
                <w:sz w:val="28"/>
                <w:szCs w:val="28"/>
                <w:highlight w:val="none"/>
                <w:u w:val="none" w:color="auto"/>
              </w:rPr>
              <w:t>年度教育局住宅小区</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经济适用房</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等</w:t>
            </w:r>
            <w:r>
              <w:rPr>
                <w:rFonts w:hint="eastAsia" w:ascii="宋体" w:hAnsi="宋体" w:eastAsia="仿宋_GB2312" w:cs="宋体"/>
                <w:color w:val="auto"/>
                <w:sz w:val="28"/>
                <w:szCs w:val="28"/>
                <w:highlight w:val="none"/>
                <w:u w:val="none" w:color="auto"/>
              </w:rPr>
              <w:t>29</w:t>
            </w:r>
            <w:r>
              <w:rPr>
                <w:rFonts w:hint="eastAsia" w:ascii="宋体" w:hAnsi="宋体" w:eastAsia="仿宋_GB2312" w:cs="仿宋_GB2312"/>
                <w:color w:val="auto"/>
                <w:sz w:val="28"/>
                <w:szCs w:val="28"/>
                <w:highlight w:val="none"/>
                <w:u w:val="none" w:color="auto"/>
              </w:rPr>
              <w:t>个小区、</w:t>
            </w:r>
            <w:r>
              <w:rPr>
                <w:rFonts w:hint="eastAsia" w:ascii="宋体" w:hAnsi="宋体" w:eastAsia="仿宋_GB2312" w:cs="宋体"/>
                <w:color w:val="auto"/>
                <w:sz w:val="28"/>
                <w:szCs w:val="28"/>
                <w:highlight w:val="none"/>
                <w:u w:val="none" w:color="auto"/>
              </w:rPr>
              <w:t>2027</w:t>
            </w:r>
            <w:r>
              <w:rPr>
                <w:rFonts w:hint="eastAsia" w:ascii="宋体" w:hAnsi="宋体" w:eastAsia="仿宋_GB2312" w:cs="仿宋_GB2312"/>
                <w:color w:val="auto"/>
                <w:sz w:val="28"/>
                <w:szCs w:val="28"/>
                <w:highlight w:val="none"/>
                <w:u w:val="none" w:color="auto"/>
              </w:rPr>
              <w:t>年度得民小区等</w:t>
            </w:r>
            <w:r>
              <w:rPr>
                <w:rFonts w:hint="eastAsia" w:ascii="宋体" w:hAnsi="宋体" w:eastAsia="仿宋_GB2312" w:cs="宋体"/>
                <w:color w:val="auto"/>
                <w:sz w:val="28"/>
                <w:szCs w:val="28"/>
                <w:highlight w:val="none"/>
                <w:u w:val="none" w:color="auto"/>
              </w:rPr>
              <w:t>49</w:t>
            </w:r>
            <w:r>
              <w:rPr>
                <w:rFonts w:hint="eastAsia" w:ascii="宋体" w:hAnsi="宋体" w:eastAsia="仿宋_GB2312" w:cs="仿宋_GB2312"/>
                <w:color w:val="auto"/>
                <w:sz w:val="28"/>
                <w:szCs w:val="28"/>
                <w:highlight w:val="none"/>
                <w:u w:val="none" w:color="auto"/>
              </w:rPr>
              <w:t>个小区、</w:t>
            </w:r>
            <w:r>
              <w:rPr>
                <w:rFonts w:hint="eastAsia" w:ascii="宋体" w:hAnsi="宋体" w:eastAsia="仿宋_GB2312" w:cs="宋体"/>
                <w:color w:val="auto"/>
                <w:sz w:val="28"/>
                <w:szCs w:val="28"/>
                <w:highlight w:val="none"/>
                <w:u w:val="none" w:color="auto"/>
              </w:rPr>
              <w:t>2028</w:t>
            </w:r>
            <w:r>
              <w:rPr>
                <w:rFonts w:hint="eastAsia" w:ascii="宋体" w:hAnsi="宋体" w:eastAsia="仿宋_GB2312" w:cs="仿宋_GB2312"/>
                <w:color w:val="auto"/>
                <w:sz w:val="28"/>
                <w:szCs w:val="28"/>
                <w:highlight w:val="none"/>
                <w:u w:val="none" w:color="auto"/>
              </w:rPr>
              <w:t>年度一期安居工程小区等</w:t>
            </w:r>
            <w:r>
              <w:rPr>
                <w:rFonts w:hint="eastAsia" w:ascii="宋体" w:hAnsi="宋体" w:eastAsia="仿宋_GB2312" w:cs="宋体"/>
                <w:color w:val="auto"/>
                <w:sz w:val="28"/>
                <w:szCs w:val="28"/>
                <w:highlight w:val="none"/>
                <w:u w:val="none" w:color="auto"/>
              </w:rPr>
              <w:t>55</w:t>
            </w:r>
            <w:r>
              <w:rPr>
                <w:rFonts w:hint="eastAsia" w:ascii="宋体" w:hAnsi="宋体" w:eastAsia="仿宋_GB2312" w:cs="仿宋_GB2312"/>
                <w:color w:val="auto"/>
                <w:sz w:val="28"/>
                <w:szCs w:val="28"/>
                <w:highlight w:val="none"/>
                <w:u w:val="none" w:color="auto"/>
              </w:rPr>
              <w:t>个小区，</w:t>
            </w:r>
            <w:r>
              <w:rPr>
                <w:rFonts w:hint="eastAsia" w:ascii="宋体" w:hAnsi="宋体" w:eastAsia="仿宋_GB2312" w:cs="宋体"/>
                <w:color w:val="auto"/>
                <w:sz w:val="28"/>
                <w:szCs w:val="28"/>
                <w:highlight w:val="none"/>
                <w:u w:val="none" w:color="auto"/>
              </w:rPr>
              <w:t>2029</w:t>
            </w:r>
            <w:r>
              <w:rPr>
                <w:rFonts w:hint="eastAsia" w:ascii="宋体" w:hAnsi="宋体" w:eastAsia="仿宋_GB2312" w:cs="仿宋_GB2312"/>
                <w:color w:val="auto"/>
                <w:sz w:val="28"/>
                <w:szCs w:val="28"/>
                <w:highlight w:val="none"/>
                <w:u w:val="none" w:color="auto"/>
              </w:rPr>
              <w:t>年度锦花园小区等</w:t>
            </w:r>
            <w:r>
              <w:rPr>
                <w:rFonts w:hint="eastAsia" w:ascii="宋体" w:hAnsi="宋体" w:eastAsia="仿宋_GB2312" w:cs="宋体"/>
                <w:color w:val="auto"/>
                <w:sz w:val="28"/>
                <w:szCs w:val="28"/>
                <w:highlight w:val="none"/>
                <w:u w:val="none" w:color="auto"/>
              </w:rPr>
              <w:t>40</w:t>
            </w:r>
            <w:r>
              <w:rPr>
                <w:rFonts w:hint="eastAsia" w:ascii="宋体" w:hAnsi="宋体" w:eastAsia="仿宋_GB2312" w:cs="仿宋_GB2312"/>
                <w:color w:val="auto"/>
                <w:sz w:val="28"/>
                <w:szCs w:val="28"/>
                <w:highlight w:val="none"/>
                <w:u w:val="none" w:color="auto"/>
              </w:rPr>
              <w:t>个小区</w:t>
            </w:r>
            <w:r>
              <w:rPr>
                <w:rFonts w:hint="eastAsia" w:ascii="宋体" w:hAnsi="宋体" w:eastAsia="仿宋_GB2312" w:cs="仿宋_GB2312"/>
                <w:color w:val="auto"/>
                <w:sz w:val="28"/>
                <w:szCs w:val="28"/>
                <w:highlight w:val="none"/>
                <w:u w:val="none" w:color="auto"/>
                <w:lang w:val="en-US" w:eastAsia="zh-CN"/>
              </w:rPr>
              <w:t>改造工程</w:t>
            </w:r>
            <w:r>
              <w:rPr>
                <w:rFonts w:hint="eastAsia" w:ascii="宋体" w:hAnsi="宋体" w:eastAsia="仿宋_GB2312" w:cs="仿宋_GB2312"/>
                <w:color w:val="auto"/>
                <w:sz w:val="28"/>
                <w:szCs w:val="28"/>
                <w:highlight w:val="none"/>
                <w:u w:val="none" w:color="auto"/>
              </w:rPr>
              <w:t>，</w:t>
            </w:r>
            <w:r>
              <w:rPr>
                <w:rFonts w:hint="eastAsia" w:ascii="宋体" w:hAnsi="宋体" w:eastAsia="仿宋_GB2312" w:cs="仿宋_GB2312"/>
                <w:b w:val="0"/>
                <w:bCs w:val="0"/>
                <w:color w:val="auto"/>
                <w:sz w:val="28"/>
                <w:szCs w:val="28"/>
                <w:highlight w:val="none"/>
                <w:u w:val="none" w:color="auto"/>
                <w:lang w:val="en-US" w:eastAsia="zh-CN"/>
              </w:rPr>
              <w:t>改造老旧小区排水、道路、绿化、照明、围墙、垃圾收储等基础设施，新建或改造嵌入式社区养老设施、无障碍设施</w:t>
            </w:r>
            <w:r>
              <w:rPr>
                <w:rFonts w:hint="eastAsia" w:ascii="宋体" w:hAnsi="宋体" w:eastAsia="仿宋_GB2312" w:cs="仿宋_GB2312"/>
                <w:color w:val="auto"/>
                <w:sz w:val="28"/>
                <w:szCs w:val="28"/>
                <w:highlight w:val="none"/>
                <w:u w:val="none" w:color="auto"/>
              </w:rPr>
              <w:t>、云柜管理</w:t>
            </w:r>
            <w:r>
              <w:rPr>
                <w:rFonts w:hint="eastAsia" w:ascii="宋体" w:hAnsi="宋体" w:eastAsia="仿宋_GB2312" w:cs="仿宋_GB2312"/>
                <w:b w:val="0"/>
                <w:bCs w:val="0"/>
                <w:color w:val="auto"/>
                <w:sz w:val="28"/>
                <w:szCs w:val="28"/>
                <w:highlight w:val="none"/>
                <w:u w:val="none" w:color="auto"/>
                <w:lang w:val="en-US" w:eastAsia="zh-CN"/>
              </w:rPr>
              <w:t>、充电桩等设施，配套完善社区公园建设，推动巴江绿道提升改造等。</w:t>
            </w:r>
          </w:p>
          <w:p w14:paraId="74D81EBF">
            <w:pPr>
              <w:keepNext/>
              <w:keepLines w:val="0"/>
              <w:pageBreakBefore w:val="0"/>
              <w:widowControl w:val="0"/>
              <w:numPr>
                <w:ilvl w:val="0"/>
                <w:numId w:val="0"/>
              </w:numPr>
              <w:kinsoku/>
              <w:wordWrap/>
              <w:overflowPunct/>
              <w:topLinePunct w:val="0"/>
              <w:autoSpaceDE/>
              <w:autoSpaceDN/>
              <w:bidi w:val="0"/>
              <w:adjustRightInd/>
              <w:snapToGrid w:val="0"/>
              <w:spacing w:beforeLines="0" w:afterLines="0" w:line="380" w:lineRule="exact"/>
              <w:ind w:left="0" w:leftChars="0" w:firstLine="562" w:firstLineChars="200"/>
              <w:jc w:val="left"/>
              <w:textAlignment w:val="auto"/>
              <w:outlineLvl w:val="9"/>
              <w:rPr>
                <w:rFonts w:hint="default" w:ascii="宋体" w:hAnsi="宋体" w:eastAsia="方正楷体_GBK" w:cs="Times New Roman Regular"/>
                <w:b w:val="0"/>
                <w:bCs w:val="0"/>
                <w:color w:val="auto"/>
                <w:spacing w:val="0"/>
                <w:kern w:val="2"/>
                <w:sz w:val="28"/>
                <w:szCs w:val="28"/>
                <w:highlight w:val="none"/>
                <w:vertAlign w:val="baseline"/>
                <w:lang w:val="en-US" w:eastAsia="zh-CN" w:bidi="ar-SA"/>
              </w:rPr>
            </w:pPr>
            <w:r>
              <w:rPr>
                <w:rFonts w:hint="eastAsia" w:ascii="宋体" w:hAnsi="宋体" w:eastAsia="仿宋_GB2312" w:cs="仿宋_GB2312"/>
                <w:b/>
                <w:bCs/>
                <w:color w:val="auto"/>
                <w:sz w:val="28"/>
                <w:szCs w:val="28"/>
                <w:highlight w:val="none"/>
                <w:u w:val="none" w:color="auto"/>
                <w:lang w:val="en-US" w:eastAsia="zh-CN"/>
              </w:rPr>
              <w:t>市政基础设施建设工程。</w:t>
            </w:r>
            <w:r>
              <w:rPr>
                <w:rFonts w:hint="eastAsia" w:ascii="宋体" w:hAnsi="宋体" w:eastAsia="仿宋_GB2312" w:cs="仿宋_GB2312"/>
                <w:b w:val="0"/>
                <w:bCs w:val="0"/>
                <w:color w:val="auto"/>
                <w:sz w:val="28"/>
                <w:szCs w:val="28"/>
                <w:highlight w:val="none"/>
                <w:u w:val="none" w:color="auto"/>
                <w:lang w:val="en-US" w:eastAsia="zh-CN"/>
              </w:rPr>
              <w:t>建设</w:t>
            </w:r>
            <w:r>
              <w:rPr>
                <w:rFonts w:hint="eastAsia" w:ascii="宋体" w:hAnsi="宋体" w:eastAsia="仿宋_GB2312" w:cs="仿宋_GB2312"/>
                <w:bCs w:val="0"/>
                <w:color w:val="auto"/>
                <w:sz w:val="28"/>
                <w:szCs w:val="28"/>
                <w:highlight w:val="none"/>
                <w:u w:val="none" w:color="auto"/>
                <w:lang w:val="en-US" w:eastAsia="zh-CN"/>
              </w:rPr>
              <w:t>石林县</w:t>
            </w:r>
            <w:r>
              <w:rPr>
                <w:rFonts w:hint="eastAsia" w:ascii="宋体" w:hAnsi="宋体" w:eastAsia="仿宋_GB2312" w:cs="宋体"/>
                <w:bCs w:val="0"/>
                <w:color w:val="auto"/>
                <w:sz w:val="28"/>
                <w:szCs w:val="28"/>
                <w:highlight w:val="none"/>
                <w:u w:val="none" w:color="auto"/>
                <w:lang w:val="en-US" w:eastAsia="zh-CN"/>
              </w:rPr>
              <w:t>43</w:t>
            </w:r>
            <w:r>
              <w:rPr>
                <w:rFonts w:hint="eastAsia" w:ascii="宋体" w:hAnsi="宋体" w:eastAsia="仿宋_GB2312" w:cs="仿宋_GB2312"/>
                <w:bCs w:val="0"/>
                <w:color w:val="auto"/>
                <w:sz w:val="28"/>
                <w:szCs w:val="28"/>
                <w:highlight w:val="none"/>
                <w:u w:val="none" w:color="auto"/>
                <w:lang w:val="en-US" w:eastAsia="zh-CN"/>
              </w:rPr>
              <w:t>号道路（龙园至西城大道）、</w:t>
            </w:r>
            <w:r>
              <w:rPr>
                <w:rFonts w:hint="eastAsia" w:ascii="宋体" w:hAnsi="宋体" w:eastAsia="仿宋_GB2312" w:cs="宋体"/>
                <w:bCs w:val="0"/>
                <w:color w:val="auto"/>
                <w:sz w:val="28"/>
                <w:szCs w:val="28"/>
                <w:highlight w:val="none"/>
                <w:u w:val="none" w:color="auto"/>
                <w:lang w:val="en-US" w:eastAsia="zh-CN"/>
              </w:rPr>
              <w:t>42—2</w:t>
            </w:r>
            <w:r>
              <w:rPr>
                <w:rFonts w:hint="eastAsia" w:ascii="宋体" w:hAnsi="宋体" w:eastAsia="仿宋_GB2312" w:cs="仿宋_GB2312"/>
                <w:bCs w:val="0"/>
                <w:color w:val="auto"/>
                <w:sz w:val="28"/>
                <w:szCs w:val="28"/>
                <w:highlight w:val="none"/>
                <w:u w:val="none" w:color="auto"/>
                <w:lang w:val="en-US" w:eastAsia="zh-CN"/>
              </w:rPr>
              <w:t>道路、</w:t>
            </w:r>
            <w:r>
              <w:rPr>
                <w:rFonts w:hint="eastAsia" w:ascii="宋体" w:hAnsi="宋体" w:eastAsia="仿宋_GB2312" w:cs="宋体"/>
                <w:bCs w:val="0"/>
                <w:color w:val="auto"/>
                <w:sz w:val="28"/>
                <w:szCs w:val="28"/>
                <w:highlight w:val="none"/>
                <w:u w:val="none" w:color="auto"/>
                <w:lang w:val="en-US" w:eastAsia="zh-CN"/>
              </w:rPr>
              <w:t>54—1</w:t>
            </w:r>
            <w:r>
              <w:rPr>
                <w:rFonts w:hint="eastAsia" w:ascii="宋体" w:hAnsi="宋体" w:eastAsia="仿宋_GB2312" w:cs="仿宋_GB2312"/>
                <w:bCs w:val="0"/>
                <w:color w:val="auto"/>
                <w:sz w:val="28"/>
                <w:szCs w:val="28"/>
                <w:highlight w:val="none"/>
                <w:u w:val="none" w:color="auto"/>
                <w:lang w:val="en-US" w:eastAsia="zh-CN"/>
              </w:rPr>
              <w:t>道路（西城大道连通工程）建设、</w:t>
            </w:r>
            <w:r>
              <w:rPr>
                <w:rFonts w:hint="eastAsia" w:ascii="宋体" w:hAnsi="宋体" w:eastAsia="仿宋_GB2312" w:cs="宋体"/>
                <w:bCs w:val="0"/>
                <w:color w:val="auto"/>
                <w:sz w:val="28"/>
                <w:szCs w:val="28"/>
                <w:highlight w:val="none"/>
                <w:u w:val="none" w:color="auto"/>
                <w:lang w:val="en-US" w:eastAsia="zh-CN"/>
              </w:rPr>
              <w:t>56</w:t>
            </w:r>
            <w:r>
              <w:rPr>
                <w:rFonts w:hint="eastAsia" w:ascii="宋体" w:hAnsi="宋体" w:eastAsia="仿宋_GB2312" w:cs="仿宋_GB2312"/>
                <w:bCs w:val="0"/>
                <w:color w:val="auto"/>
                <w:sz w:val="28"/>
                <w:szCs w:val="28"/>
                <w:highlight w:val="none"/>
                <w:u w:val="none" w:color="auto"/>
                <w:lang w:val="en-US" w:eastAsia="zh-CN"/>
              </w:rPr>
              <w:t>号道路（海林路至凯旋城）；</w:t>
            </w:r>
            <w:r>
              <w:rPr>
                <w:rFonts w:hint="eastAsia" w:ascii="宋体" w:hAnsi="宋体" w:eastAsia="仿宋_GB2312" w:cs="仿宋_GB2312"/>
                <w:b w:val="0"/>
                <w:bCs w:val="0"/>
                <w:color w:val="auto"/>
                <w:sz w:val="28"/>
                <w:szCs w:val="28"/>
                <w:highlight w:val="none"/>
                <w:u w:val="none" w:color="auto"/>
                <w:lang w:val="en-US" w:eastAsia="zh-CN"/>
              </w:rPr>
              <w:t>实施石林县燃气管道等老化更新改造项目、主城区老旧供水管网改造工程。</w:t>
            </w:r>
          </w:p>
        </w:tc>
      </w:tr>
    </w:tbl>
    <w:p w14:paraId="57943B08">
      <w:pPr>
        <w:keepNext/>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2"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40" w:name="_Toc694434871"/>
      <w:bookmarkStart w:id="441" w:name="_Toc4380"/>
      <w:bookmarkStart w:id="442" w:name="_Toc968673398"/>
      <w:bookmarkStart w:id="443" w:name="_Toc86560080"/>
      <w:bookmarkStart w:id="444" w:name="_Toc955779488"/>
      <w:bookmarkStart w:id="445" w:name="_Toc12457"/>
      <w:bookmarkStart w:id="446" w:name="_Toc10098"/>
      <w:bookmarkStart w:id="447" w:name="_Toc1217078466"/>
      <w:bookmarkStart w:id="448" w:name="_Toc1231985605"/>
      <w:bookmarkStart w:id="449" w:name="_Toc523619559"/>
      <w:bookmarkStart w:id="450" w:name="_Toc396303333"/>
      <w:r>
        <w:rPr>
          <w:rFonts w:hint="eastAsia" w:ascii="宋体" w:hAnsi="宋体" w:eastAsia="黑体" w:cs="黑体"/>
          <w:b w:val="0"/>
          <w:bCs/>
          <w:color w:val="auto"/>
          <w:kern w:val="2"/>
          <w:sz w:val="32"/>
          <w:szCs w:val="24"/>
          <w:highlight w:val="none"/>
          <w:u w:val="none"/>
          <w:lang w:val="en-US" w:eastAsia="zh-CN" w:bidi="ar-SA"/>
        </w:rPr>
        <w:t>第二节  分类引导乡镇街道特色发展</w:t>
      </w:r>
      <w:bookmarkEnd w:id="440"/>
      <w:bookmarkEnd w:id="441"/>
      <w:bookmarkEnd w:id="442"/>
      <w:bookmarkEnd w:id="443"/>
      <w:bookmarkEnd w:id="444"/>
      <w:bookmarkEnd w:id="445"/>
      <w:bookmarkEnd w:id="446"/>
      <w:bookmarkEnd w:id="447"/>
      <w:bookmarkEnd w:id="448"/>
      <w:bookmarkEnd w:id="449"/>
      <w:bookmarkEnd w:id="450"/>
    </w:p>
    <w:p w14:paraId="052E5BD3">
      <w:pPr>
        <w:keepNext/>
        <w:keepLines w:val="0"/>
        <w:pageBreakBefore w:val="0"/>
        <w:widowControl w:val="0"/>
        <w:numPr>
          <w:ilvl w:val="-1"/>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仿宋_GB2312"/>
          <w:b w:val="0"/>
          <w:bCs w:val="0"/>
          <w:color w:val="auto"/>
          <w:sz w:val="32"/>
          <w:szCs w:val="32"/>
          <w:highlight w:val="none"/>
          <w:u w:val="none" w:color="auto"/>
          <w:lang w:val="en-US" w:eastAsia="zh-CN"/>
        </w:rPr>
      </w:pPr>
      <w:r>
        <w:rPr>
          <w:rFonts w:hint="eastAsia" w:ascii="宋体" w:hAnsi="宋体" w:eastAsia="仿宋_GB2312" w:cs="仿宋_GB2312"/>
          <w:b w:val="0"/>
          <w:bCs w:val="0"/>
          <w:color w:val="auto"/>
          <w:sz w:val="32"/>
          <w:szCs w:val="32"/>
          <w:highlight w:val="none"/>
          <w:u w:val="none" w:color="auto"/>
          <w:lang w:val="en-US" w:eastAsia="zh-CN"/>
        </w:rPr>
        <w:t>统筹城镇功能定位和人口规模，</w:t>
      </w:r>
      <w:r>
        <w:rPr>
          <w:rFonts w:hint="eastAsia" w:ascii="宋体" w:hAnsi="宋体" w:eastAsia="仿宋_GB2312" w:cs="仿宋_GB2312"/>
          <w:b w:val="0"/>
          <w:bCs w:val="0"/>
          <w:color w:val="auto"/>
          <w:spacing w:val="0"/>
          <w:kern w:val="2"/>
          <w:sz w:val="32"/>
          <w:szCs w:val="32"/>
          <w:highlight w:val="none"/>
          <w:u w:val="none" w:color="auto"/>
          <w:lang w:val="en-US" w:eastAsia="zh-CN" w:bidi="ar-SA"/>
        </w:rPr>
        <w:t>建立完善</w:t>
      </w:r>
      <w:r>
        <w:rPr>
          <w:rFonts w:hint="eastAsia" w:ascii="宋体" w:hAnsi="宋体" w:eastAsia="仿宋_GB2312" w:cs="仿宋_GB2312"/>
          <w:color w:val="auto"/>
          <w:sz w:val="32"/>
          <w:szCs w:val="32"/>
          <w:highlight w:val="none"/>
          <w:u w:val="none" w:color="auto"/>
        </w:rPr>
        <w:t>“中心城区</w:t>
      </w:r>
      <w:r>
        <w:rPr>
          <w:rFonts w:hint="eastAsia" w:ascii="宋体" w:hAnsi="宋体" w:eastAsia="仿宋_GB2312" w:cs="仿宋_GB2312"/>
          <w:color w:val="auto"/>
          <w:sz w:val="32"/>
          <w:szCs w:val="32"/>
          <w:highlight w:val="none"/>
          <w:u w:val="none" w:color="auto"/>
          <w:lang w:eastAsia="zh-CN"/>
        </w:rPr>
        <w:t>—</w:t>
      </w:r>
      <w:r>
        <w:rPr>
          <w:rFonts w:hint="eastAsia" w:ascii="宋体" w:hAnsi="宋体" w:eastAsia="仿宋_GB2312" w:cs="仿宋_GB2312"/>
          <w:color w:val="auto"/>
          <w:sz w:val="32"/>
          <w:szCs w:val="32"/>
          <w:highlight w:val="none"/>
          <w:u w:val="none" w:color="auto"/>
        </w:rPr>
        <w:t>重点镇</w:t>
      </w:r>
      <w:r>
        <w:rPr>
          <w:rFonts w:hint="eastAsia" w:ascii="宋体" w:hAnsi="宋体" w:eastAsia="仿宋_GB2312" w:cs="仿宋_GB2312"/>
          <w:color w:val="auto"/>
          <w:sz w:val="32"/>
          <w:szCs w:val="32"/>
          <w:highlight w:val="none"/>
          <w:u w:val="none" w:color="auto"/>
          <w:lang w:eastAsia="zh-CN"/>
        </w:rPr>
        <w:t>—</w:t>
      </w:r>
      <w:r>
        <w:rPr>
          <w:rFonts w:hint="eastAsia" w:ascii="宋体" w:hAnsi="宋体" w:eastAsia="仿宋_GB2312" w:cs="仿宋_GB2312"/>
          <w:color w:val="auto"/>
          <w:sz w:val="32"/>
          <w:szCs w:val="32"/>
          <w:highlight w:val="none"/>
          <w:u w:val="none" w:color="auto"/>
        </w:rPr>
        <w:t>一般镇（乡）”的三级城镇体系结构</w:t>
      </w:r>
      <w:r>
        <w:rPr>
          <w:rFonts w:hint="eastAsia" w:ascii="宋体" w:hAnsi="宋体" w:eastAsia="仿宋_GB2312" w:cs="仿宋_GB2312"/>
          <w:color w:val="auto"/>
          <w:sz w:val="32"/>
          <w:szCs w:val="32"/>
          <w:highlight w:val="none"/>
          <w:u w:val="none" w:color="auto"/>
          <w:lang w:eastAsia="zh-CN"/>
        </w:rPr>
        <w:t>，</w:t>
      </w:r>
      <w:r>
        <w:rPr>
          <w:rFonts w:hint="eastAsia" w:ascii="宋体" w:hAnsi="宋体" w:eastAsia="仿宋_GB2312" w:cs="仿宋_GB2312"/>
          <w:b w:val="0"/>
          <w:bCs w:val="0"/>
          <w:color w:val="auto"/>
          <w:sz w:val="32"/>
          <w:szCs w:val="32"/>
          <w:highlight w:val="none"/>
          <w:u w:val="none" w:color="auto"/>
          <w:lang w:val="en-US" w:eastAsia="zh-CN"/>
        </w:rPr>
        <w:t>实施乡镇提级行动，按照“一镇一特色”布局理念，充分挖掘各乡镇特色资源，因地制宜发展特色鲜明、产城融合、充满魅力的特色乡镇和小城镇</w:t>
      </w:r>
      <w:r>
        <w:rPr>
          <w:rFonts w:hint="eastAsia" w:ascii="宋体" w:hAnsi="宋体" w:eastAsia="仿宋_GB2312" w:cs="仿宋_GB2312"/>
          <w:b w:val="0"/>
          <w:bCs w:val="0"/>
          <w:color w:val="auto"/>
          <w:spacing w:val="0"/>
          <w:kern w:val="2"/>
          <w:sz w:val="32"/>
          <w:szCs w:val="32"/>
          <w:highlight w:val="none"/>
          <w:u w:val="none" w:color="auto"/>
          <w:lang w:val="en-US" w:eastAsia="zh-CN" w:bidi="ar-SA"/>
        </w:rPr>
        <w:t>。中心城区以鹿阜街道（县城）、石林街道北大村区域和石林景区旅游服务区为主，</w:t>
      </w:r>
      <w:r>
        <w:rPr>
          <w:rFonts w:hint="eastAsia" w:ascii="宋体" w:hAnsi="宋体" w:eastAsia="仿宋_GB2312" w:cs="仿宋_GB2312"/>
          <w:b w:val="0"/>
          <w:bCs w:val="0"/>
          <w:color w:val="auto"/>
          <w:sz w:val="32"/>
          <w:szCs w:val="32"/>
          <w:highlight w:val="none"/>
          <w:u w:val="none" w:color="auto"/>
          <w:lang w:val="en-US" w:eastAsia="zh-CN"/>
        </w:rPr>
        <w:t>发挥与景区联动优势，</w:t>
      </w:r>
      <w:r>
        <w:rPr>
          <w:rFonts w:hint="eastAsia" w:ascii="宋体" w:hAnsi="宋体" w:eastAsia="仿宋_GB2312" w:cs="仿宋_GB2312"/>
          <w:b w:val="0"/>
          <w:bCs w:val="0"/>
          <w:color w:val="auto"/>
          <w:spacing w:val="0"/>
          <w:kern w:val="2"/>
          <w:sz w:val="32"/>
          <w:szCs w:val="32"/>
          <w:highlight w:val="none"/>
          <w:u w:val="none" w:color="auto"/>
          <w:lang w:val="en-US" w:eastAsia="zh-CN" w:bidi="ar-SA"/>
        </w:rPr>
        <w:t>加强各类旅游配套服务设施建设</w:t>
      </w:r>
      <w:r>
        <w:rPr>
          <w:rFonts w:hint="eastAsia" w:ascii="宋体" w:hAnsi="宋体" w:eastAsia="仿宋_GB2312" w:cs="仿宋_GB2312"/>
          <w:b w:val="0"/>
          <w:bCs w:val="0"/>
          <w:color w:val="auto"/>
          <w:sz w:val="32"/>
          <w:szCs w:val="32"/>
          <w:highlight w:val="none"/>
          <w:u w:val="none" w:color="auto"/>
          <w:lang w:val="en-US" w:eastAsia="zh-CN"/>
        </w:rPr>
        <w:t>，</w:t>
      </w:r>
      <w:r>
        <w:rPr>
          <w:rFonts w:hint="eastAsia" w:ascii="宋体" w:hAnsi="宋体" w:eastAsia="仿宋_GB2312" w:cs="仿宋_GB2312"/>
          <w:b w:val="0"/>
          <w:bCs w:val="0"/>
          <w:color w:val="auto"/>
          <w:spacing w:val="0"/>
          <w:kern w:val="2"/>
          <w:sz w:val="32"/>
          <w:szCs w:val="32"/>
          <w:highlight w:val="none"/>
          <w:u w:val="none" w:color="auto"/>
          <w:lang w:val="en-US" w:eastAsia="zh-CN" w:bidi="ar-SA"/>
        </w:rPr>
        <w:t>引导人口、产业、资源和要素配置向县城集聚。</w:t>
      </w:r>
      <w:r>
        <w:rPr>
          <w:rFonts w:hint="eastAsia" w:ascii="宋体" w:hAnsi="宋体" w:eastAsia="仿宋_GB2312" w:cs="仿宋_GB2312"/>
          <w:color w:val="auto"/>
          <w:sz w:val="32"/>
          <w:szCs w:val="32"/>
          <w:highlight w:val="none"/>
          <w:u w:val="none" w:color="auto"/>
        </w:rPr>
        <w:t>板桥街道</w:t>
      </w:r>
      <w:r>
        <w:rPr>
          <w:rFonts w:hint="eastAsia" w:ascii="宋体" w:hAnsi="宋体" w:eastAsia="仿宋_GB2312" w:cs="仿宋_GB2312"/>
          <w:color w:val="auto"/>
          <w:sz w:val="32"/>
          <w:szCs w:val="32"/>
          <w:highlight w:val="none"/>
          <w:u w:val="none" w:color="auto"/>
          <w:lang w:val="en-US" w:eastAsia="zh-CN"/>
        </w:rPr>
        <w:t>依托高铁站和大叠水景区，重点发展高铁经济，打造农文旅融合增长点</w:t>
      </w:r>
      <w:r>
        <w:rPr>
          <w:rFonts w:hint="eastAsia" w:ascii="宋体" w:hAnsi="宋体" w:eastAsia="仿宋_GB2312" w:cs="仿宋_GB2312"/>
          <w:color w:val="auto"/>
          <w:sz w:val="32"/>
          <w:szCs w:val="32"/>
          <w:highlight w:val="none"/>
          <w:u w:val="none" w:color="auto"/>
          <w:lang w:eastAsia="zh-CN"/>
        </w:rPr>
        <w:t>。</w:t>
      </w:r>
      <w:r>
        <w:rPr>
          <w:rFonts w:hint="eastAsia" w:ascii="宋体" w:hAnsi="宋体" w:eastAsia="仿宋_GB2312" w:cs="仿宋_GB2312"/>
          <w:color w:val="auto"/>
          <w:sz w:val="32"/>
          <w:szCs w:val="32"/>
          <w:highlight w:val="none"/>
          <w:u w:val="none" w:color="auto"/>
        </w:rPr>
        <w:t>长湖镇、西街口镇、圭山镇、大可乡四个乡</w:t>
      </w:r>
      <w:r>
        <w:rPr>
          <w:rFonts w:hint="eastAsia" w:ascii="宋体" w:hAnsi="宋体" w:eastAsia="仿宋_GB2312" w:cs="仿宋_GB2312"/>
          <w:color w:val="auto"/>
          <w:sz w:val="32"/>
          <w:szCs w:val="32"/>
          <w:highlight w:val="none"/>
          <w:u w:val="none" w:color="auto"/>
          <w:lang w:val="en-US" w:eastAsia="zh-CN"/>
        </w:rPr>
        <w:t>镇，</w:t>
      </w:r>
      <w:r>
        <w:rPr>
          <w:rFonts w:hint="eastAsia" w:ascii="宋体" w:hAnsi="宋体" w:eastAsia="仿宋_GB2312" w:cs="仿宋_GB2312"/>
          <w:color w:val="auto"/>
          <w:sz w:val="32"/>
          <w:szCs w:val="32"/>
          <w:highlight w:val="none"/>
          <w:u w:val="none" w:color="auto"/>
        </w:rPr>
        <w:t>发挥特色资源优势，</w:t>
      </w:r>
      <w:r>
        <w:rPr>
          <w:rFonts w:hint="eastAsia" w:ascii="宋体" w:hAnsi="宋体" w:eastAsia="仿宋_GB2312" w:cs="仿宋_GB2312"/>
          <w:b w:val="0"/>
          <w:bCs w:val="0"/>
          <w:color w:val="auto"/>
          <w:spacing w:val="0"/>
          <w:kern w:val="2"/>
          <w:sz w:val="32"/>
          <w:szCs w:val="32"/>
          <w:highlight w:val="none"/>
          <w:u w:val="none" w:color="auto"/>
          <w:lang w:val="en-US" w:eastAsia="zh-CN" w:bidi="ar-SA"/>
        </w:rPr>
        <w:t>因地制宜发展特色农业、特色工业，</w:t>
      </w:r>
      <w:r>
        <w:rPr>
          <w:rFonts w:hint="eastAsia" w:ascii="宋体" w:hAnsi="宋体" w:eastAsia="仿宋_GB2312" w:cs="仿宋_GB2312"/>
          <w:color w:val="auto"/>
          <w:sz w:val="32"/>
          <w:szCs w:val="32"/>
          <w:highlight w:val="none"/>
          <w:u w:val="none" w:color="auto"/>
        </w:rPr>
        <w:t>适度预留产业发展用地及旅游设施配置用地</w:t>
      </w:r>
      <w:r>
        <w:rPr>
          <w:rFonts w:hint="eastAsia" w:ascii="宋体" w:hAnsi="宋体" w:eastAsia="仿宋_GB2312" w:cs="仿宋_GB2312"/>
          <w:b w:val="0"/>
          <w:bCs w:val="0"/>
          <w:color w:val="auto"/>
          <w:sz w:val="32"/>
          <w:szCs w:val="32"/>
          <w:highlight w:val="none"/>
          <w:u w:val="none" w:color="auto"/>
          <w:lang w:val="en-US" w:eastAsia="zh-CN"/>
        </w:rPr>
        <w:t>。加快集镇基础设施、公共服务向乡村延伸覆盖，改善人居环境，提升城镇绿化美化水平，推动集镇产业聚集发展，强化集镇联城带村节点功能，增强集聚人口和服务产业能力。</w:t>
      </w:r>
    </w:p>
    <w:tbl>
      <w:tblPr>
        <w:tblStyle w:val="18"/>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3684"/>
        <w:gridCol w:w="3814"/>
      </w:tblGrid>
      <w:tr w14:paraId="7EE4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blHeader/>
          <w:jc w:val="center"/>
        </w:trPr>
        <w:tc>
          <w:tcPr>
            <w:tcW w:w="9056" w:type="dxa"/>
            <w:gridSpan w:val="3"/>
            <w:vAlign w:val="center"/>
          </w:tcPr>
          <w:p w14:paraId="415015B7">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520" w:lineRule="exact"/>
              <w:ind w:left="0" w:leftChars="0" w:firstLine="0" w:firstLineChars="0"/>
              <w:jc w:val="center"/>
              <w:textAlignment w:val="auto"/>
              <w:outlineLvl w:val="9"/>
              <w:rPr>
                <w:rFonts w:hint="default" w:ascii="宋体" w:hAnsi="宋体" w:eastAsia="方正楷体_GBK" w:cs="Times New Roman Regular"/>
                <w:color w:val="auto"/>
                <w:sz w:val="21"/>
                <w:szCs w:val="21"/>
                <w:highlight w:val="none"/>
                <w:lang w:val="en-US" w:eastAsia="zh-CN"/>
              </w:rPr>
            </w:pPr>
            <w:r>
              <w:rPr>
                <w:rFonts w:hint="eastAsia" w:ascii="黑体" w:hAnsi="黑体" w:eastAsia="黑体" w:cs="黑体"/>
                <w:b w:val="0"/>
                <w:bCs/>
                <w:color w:val="auto"/>
                <w:sz w:val="28"/>
                <w:szCs w:val="28"/>
                <w:lang w:val="en-US" w:eastAsia="zh-CN"/>
              </w:rPr>
              <w:t xml:space="preserve">专栏8  </w:t>
            </w:r>
            <w:r>
              <w:rPr>
                <w:rFonts w:hint="eastAsia" w:ascii="黑体" w:hAnsi="黑体" w:eastAsia="黑体" w:cs="黑体"/>
                <w:bCs/>
                <w:color w:val="auto"/>
                <w:sz w:val="28"/>
                <w:szCs w:val="28"/>
              </w:rPr>
              <w:t>各乡镇/街道发展定位及发展指引</w:t>
            </w:r>
          </w:p>
        </w:tc>
      </w:tr>
      <w:tr w14:paraId="6229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blHeader/>
          <w:jc w:val="center"/>
        </w:trPr>
        <w:tc>
          <w:tcPr>
            <w:tcW w:w="1558" w:type="dxa"/>
            <w:vAlign w:val="center"/>
          </w:tcPr>
          <w:p w14:paraId="060DF001">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360" w:lineRule="exact"/>
              <w:ind w:left="0" w:leftChars="0" w:firstLine="0" w:firstLineChars="0"/>
              <w:jc w:val="center"/>
              <w:textAlignment w:val="auto"/>
              <w:outlineLvl w:val="9"/>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乡镇/街道</w:t>
            </w:r>
          </w:p>
        </w:tc>
        <w:tc>
          <w:tcPr>
            <w:tcW w:w="3684" w:type="dxa"/>
            <w:vAlign w:val="center"/>
          </w:tcPr>
          <w:p w14:paraId="6FD1D87C">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360" w:lineRule="exact"/>
              <w:ind w:left="0" w:leftChars="0" w:firstLine="0" w:firstLineChars="0"/>
              <w:jc w:val="center"/>
              <w:textAlignment w:val="auto"/>
              <w:outlineLvl w:val="9"/>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rPr>
              <w:t>发展定位</w:t>
            </w:r>
          </w:p>
        </w:tc>
        <w:tc>
          <w:tcPr>
            <w:tcW w:w="3814" w:type="dxa"/>
            <w:vAlign w:val="center"/>
          </w:tcPr>
          <w:p w14:paraId="0EA7D866">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360" w:lineRule="exact"/>
              <w:ind w:left="0" w:leftChars="0" w:firstLine="0" w:firstLineChars="0"/>
              <w:jc w:val="center"/>
              <w:textAlignment w:val="auto"/>
              <w:outlineLvl w:val="9"/>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发展指引</w:t>
            </w:r>
          </w:p>
        </w:tc>
      </w:tr>
      <w:tr w14:paraId="69FF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558" w:type="dxa"/>
            <w:vAlign w:val="center"/>
          </w:tcPr>
          <w:p w14:paraId="003CFBB0">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0" w:firstLineChars="0"/>
              <w:jc w:val="both"/>
              <w:textAlignment w:val="auto"/>
              <w:outlineLvl w:val="9"/>
              <w:rPr>
                <w:rFonts w:hint="eastAsia" w:ascii="宋体" w:hAnsi="宋体" w:eastAsia="仿宋_GB2312" w:cs="仿宋_GB2312"/>
                <w:b/>
                <w:bCs/>
                <w:color w:val="auto"/>
                <w:sz w:val="28"/>
                <w:szCs w:val="28"/>
                <w:highlight w:val="none"/>
              </w:rPr>
            </w:pPr>
            <w:r>
              <w:rPr>
                <w:rFonts w:hint="eastAsia" w:ascii="宋体" w:hAnsi="宋体" w:eastAsia="仿宋_GB2312" w:cs="仿宋_GB2312"/>
                <w:b/>
                <w:bCs/>
                <w:color w:val="auto"/>
                <w:sz w:val="28"/>
                <w:szCs w:val="28"/>
                <w:highlight w:val="none"/>
              </w:rPr>
              <w:t>鹿阜街道</w:t>
            </w:r>
          </w:p>
        </w:tc>
        <w:tc>
          <w:tcPr>
            <w:tcW w:w="3684" w:type="dxa"/>
            <w:vAlign w:val="center"/>
          </w:tcPr>
          <w:p w14:paraId="351456B5">
            <w:pPr>
              <w:keepNext w:val="0"/>
              <w:keepLines w:val="0"/>
              <w:pageBreakBefore w:val="0"/>
              <w:widowControl w:val="0"/>
              <w:numPr>
                <w:ilvl w:val="0"/>
                <w:numId w:val="3"/>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rPr>
              <w:t>县域</w:t>
            </w:r>
            <w:r>
              <w:rPr>
                <w:rFonts w:hint="eastAsia" w:ascii="宋体" w:hAnsi="宋体" w:eastAsia="仿宋_GB2312" w:cs="仿宋_GB2312"/>
                <w:color w:val="auto"/>
                <w:sz w:val="28"/>
                <w:szCs w:val="28"/>
                <w:highlight w:val="none"/>
                <w:lang w:val="en-US" w:eastAsia="zh-CN"/>
              </w:rPr>
              <w:t>综合</w:t>
            </w:r>
            <w:r>
              <w:rPr>
                <w:rFonts w:hint="eastAsia" w:ascii="宋体" w:hAnsi="宋体" w:eastAsia="仿宋_GB2312" w:cs="仿宋_GB2312"/>
                <w:color w:val="auto"/>
                <w:sz w:val="28"/>
                <w:szCs w:val="28"/>
                <w:highlight w:val="none"/>
              </w:rPr>
              <w:t>服务核心区</w:t>
            </w:r>
          </w:p>
          <w:p w14:paraId="54E11AC3">
            <w:pPr>
              <w:keepNext w:val="0"/>
              <w:keepLines w:val="0"/>
              <w:pageBreakBefore w:val="0"/>
              <w:widowControl w:val="0"/>
              <w:numPr>
                <w:ilvl w:val="0"/>
                <w:numId w:val="3"/>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lang w:val="en-US" w:eastAsia="zh-CN"/>
              </w:rPr>
              <w:t>三产融合发展示范区</w:t>
            </w:r>
          </w:p>
        </w:tc>
        <w:tc>
          <w:tcPr>
            <w:tcW w:w="3814" w:type="dxa"/>
            <w:vAlign w:val="center"/>
          </w:tcPr>
          <w:p w14:paraId="6FB6D3E9">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lang w:val="en-US" w:eastAsia="zh-CN"/>
              </w:rPr>
              <w:t>城市功能服务</w:t>
            </w:r>
          </w:p>
          <w:p w14:paraId="32E3107D">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lang w:val="en-US" w:eastAsia="zh-CN"/>
              </w:rPr>
              <w:t>生态工业</w:t>
            </w:r>
          </w:p>
          <w:p w14:paraId="7B5EEEC8">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rPr>
              <w:t>现代服务业</w:t>
            </w:r>
          </w:p>
        </w:tc>
      </w:tr>
      <w:tr w14:paraId="388B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558" w:type="dxa"/>
            <w:vAlign w:val="center"/>
          </w:tcPr>
          <w:p w14:paraId="54EAC1DC">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0" w:firstLineChars="0"/>
              <w:jc w:val="both"/>
              <w:textAlignment w:val="auto"/>
              <w:outlineLvl w:val="9"/>
              <w:rPr>
                <w:rFonts w:hint="eastAsia" w:ascii="宋体" w:hAnsi="宋体" w:eastAsia="仿宋_GB2312" w:cs="仿宋_GB2312"/>
                <w:b/>
                <w:bCs/>
                <w:color w:val="auto"/>
                <w:sz w:val="28"/>
                <w:szCs w:val="28"/>
                <w:highlight w:val="none"/>
              </w:rPr>
            </w:pPr>
            <w:r>
              <w:rPr>
                <w:rFonts w:hint="eastAsia" w:ascii="宋体" w:hAnsi="宋体" w:eastAsia="仿宋_GB2312" w:cs="仿宋_GB2312"/>
                <w:b/>
                <w:bCs/>
                <w:color w:val="auto"/>
                <w:sz w:val="28"/>
                <w:szCs w:val="28"/>
                <w:highlight w:val="none"/>
                <w:lang w:val="en-US" w:eastAsia="zh-CN"/>
              </w:rPr>
              <w:t>石林街道</w:t>
            </w:r>
          </w:p>
        </w:tc>
        <w:tc>
          <w:tcPr>
            <w:tcW w:w="3684" w:type="dxa"/>
            <w:vAlign w:val="center"/>
          </w:tcPr>
          <w:p w14:paraId="3DACD4A3">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lang w:val="en-US" w:eastAsia="zh-CN"/>
              </w:rPr>
              <w:t>全域</w:t>
            </w:r>
            <w:r>
              <w:rPr>
                <w:rFonts w:hint="eastAsia" w:ascii="宋体" w:hAnsi="宋体" w:eastAsia="仿宋_GB2312" w:cs="仿宋_GB2312"/>
                <w:color w:val="auto"/>
                <w:sz w:val="28"/>
                <w:szCs w:val="28"/>
                <w:highlight w:val="none"/>
              </w:rPr>
              <w:t>旅游门户枢纽</w:t>
            </w:r>
          </w:p>
          <w:p w14:paraId="146DD2F2">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农文旅融合先行区</w:t>
            </w:r>
          </w:p>
        </w:tc>
        <w:tc>
          <w:tcPr>
            <w:tcW w:w="3814" w:type="dxa"/>
            <w:vAlign w:val="center"/>
          </w:tcPr>
          <w:p w14:paraId="0FBCCE33">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rPr>
              <w:t>文旅融合</w:t>
            </w:r>
          </w:p>
          <w:p w14:paraId="5439FF50">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旅居康养</w:t>
            </w:r>
          </w:p>
          <w:p w14:paraId="6DF6B07E">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低空经济</w:t>
            </w:r>
          </w:p>
        </w:tc>
      </w:tr>
      <w:tr w14:paraId="6CE0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558" w:type="dxa"/>
            <w:vAlign w:val="center"/>
          </w:tcPr>
          <w:p w14:paraId="79D1BA35">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0" w:firstLineChars="0"/>
              <w:jc w:val="both"/>
              <w:textAlignment w:val="auto"/>
              <w:outlineLvl w:val="9"/>
              <w:rPr>
                <w:rFonts w:hint="eastAsia" w:ascii="宋体" w:hAnsi="宋体" w:eastAsia="仿宋_GB2312" w:cs="仿宋_GB2312"/>
                <w:b/>
                <w:bCs/>
                <w:color w:val="auto"/>
                <w:sz w:val="28"/>
                <w:szCs w:val="28"/>
                <w:highlight w:val="none"/>
              </w:rPr>
            </w:pPr>
            <w:r>
              <w:rPr>
                <w:rFonts w:hint="eastAsia" w:ascii="宋体" w:hAnsi="宋体" w:eastAsia="仿宋_GB2312" w:cs="仿宋_GB2312"/>
                <w:b/>
                <w:bCs/>
                <w:color w:val="auto"/>
                <w:sz w:val="28"/>
                <w:szCs w:val="28"/>
                <w:highlight w:val="none"/>
              </w:rPr>
              <w:t>长湖镇</w:t>
            </w:r>
          </w:p>
        </w:tc>
        <w:tc>
          <w:tcPr>
            <w:tcW w:w="3684" w:type="dxa"/>
            <w:vAlign w:val="center"/>
          </w:tcPr>
          <w:p w14:paraId="5C6B6CC0">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rPr>
              <w:t>生态</w:t>
            </w:r>
            <w:r>
              <w:rPr>
                <w:rFonts w:hint="eastAsia" w:ascii="宋体" w:hAnsi="宋体" w:eastAsia="仿宋_GB2312" w:cs="仿宋_GB2312"/>
                <w:color w:val="auto"/>
                <w:sz w:val="28"/>
                <w:szCs w:val="28"/>
                <w:highlight w:val="none"/>
                <w:lang w:val="en-US" w:eastAsia="zh-CN"/>
              </w:rPr>
              <w:t>休闲旅游度假</w:t>
            </w:r>
            <w:r>
              <w:rPr>
                <w:rFonts w:hint="eastAsia" w:ascii="宋体" w:hAnsi="宋体" w:eastAsia="仿宋_GB2312" w:cs="仿宋_GB2312"/>
                <w:color w:val="auto"/>
                <w:sz w:val="28"/>
                <w:szCs w:val="28"/>
                <w:highlight w:val="none"/>
              </w:rPr>
              <w:t>区</w:t>
            </w:r>
          </w:p>
          <w:p w14:paraId="09FAD09E">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阿诗玛文化体验区</w:t>
            </w:r>
          </w:p>
        </w:tc>
        <w:tc>
          <w:tcPr>
            <w:tcW w:w="3814" w:type="dxa"/>
            <w:vAlign w:val="center"/>
          </w:tcPr>
          <w:p w14:paraId="4E2FC58F">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lang w:val="en-US" w:eastAsia="zh-CN"/>
              </w:rPr>
              <w:t>旅居康养</w:t>
            </w:r>
          </w:p>
          <w:p w14:paraId="1DABAE8E">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文化传承保护利用</w:t>
            </w:r>
          </w:p>
          <w:p w14:paraId="05233D1F">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林下经济</w:t>
            </w:r>
          </w:p>
        </w:tc>
      </w:tr>
      <w:tr w14:paraId="138B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558" w:type="dxa"/>
            <w:vAlign w:val="center"/>
          </w:tcPr>
          <w:p w14:paraId="39D5D94C">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0" w:firstLineChars="0"/>
              <w:jc w:val="both"/>
              <w:textAlignment w:val="auto"/>
              <w:outlineLvl w:val="9"/>
              <w:rPr>
                <w:rFonts w:hint="eastAsia" w:ascii="宋体" w:hAnsi="宋体" w:eastAsia="仿宋_GB2312" w:cs="仿宋_GB2312"/>
                <w:b/>
                <w:bCs/>
                <w:color w:val="auto"/>
                <w:sz w:val="28"/>
                <w:szCs w:val="28"/>
                <w:highlight w:val="none"/>
              </w:rPr>
            </w:pPr>
            <w:r>
              <w:rPr>
                <w:rFonts w:hint="eastAsia" w:ascii="宋体" w:hAnsi="宋体" w:eastAsia="仿宋_GB2312" w:cs="仿宋_GB2312"/>
                <w:b/>
                <w:bCs/>
                <w:color w:val="auto"/>
                <w:sz w:val="28"/>
                <w:szCs w:val="28"/>
                <w:highlight w:val="none"/>
              </w:rPr>
              <w:t>西街口镇</w:t>
            </w:r>
          </w:p>
        </w:tc>
        <w:tc>
          <w:tcPr>
            <w:tcW w:w="3684" w:type="dxa"/>
            <w:vAlign w:val="center"/>
          </w:tcPr>
          <w:p w14:paraId="101B8605">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人参果产业发展核心区</w:t>
            </w:r>
          </w:p>
          <w:p w14:paraId="1BD499F1">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生态工业集中区</w:t>
            </w:r>
          </w:p>
        </w:tc>
        <w:tc>
          <w:tcPr>
            <w:tcW w:w="3814" w:type="dxa"/>
            <w:vAlign w:val="center"/>
          </w:tcPr>
          <w:p w14:paraId="6763DBD4">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rPr>
              <w:t>人参果</w:t>
            </w:r>
            <w:r>
              <w:rPr>
                <w:rFonts w:hint="eastAsia" w:ascii="宋体" w:hAnsi="宋体" w:eastAsia="仿宋_GB2312" w:cs="仿宋_GB2312"/>
                <w:color w:val="auto"/>
                <w:sz w:val="28"/>
                <w:szCs w:val="28"/>
                <w:highlight w:val="none"/>
                <w:lang w:val="en-US" w:eastAsia="zh-CN"/>
              </w:rPr>
              <w:t>种植基地</w:t>
            </w:r>
          </w:p>
          <w:p w14:paraId="7A49E526">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lang w:val="en-US" w:eastAsia="zh-CN"/>
              </w:rPr>
              <w:t>钙基新材料（石材）全产业链</w:t>
            </w:r>
          </w:p>
        </w:tc>
      </w:tr>
      <w:tr w14:paraId="68D7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558" w:type="dxa"/>
            <w:vAlign w:val="center"/>
          </w:tcPr>
          <w:p w14:paraId="652EE358">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0" w:firstLineChars="0"/>
              <w:jc w:val="both"/>
              <w:textAlignment w:val="auto"/>
              <w:outlineLvl w:val="9"/>
              <w:rPr>
                <w:rFonts w:hint="eastAsia" w:ascii="宋体" w:hAnsi="宋体" w:eastAsia="仿宋_GB2312" w:cs="仿宋_GB2312"/>
                <w:b/>
                <w:bCs/>
                <w:color w:val="auto"/>
                <w:sz w:val="28"/>
                <w:szCs w:val="28"/>
                <w:highlight w:val="none"/>
              </w:rPr>
            </w:pPr>
            <w:r>
              <w:rPr>
                <w:rFonts w:hint="eastAsia" w:ascii="宋体" w:hAnsi="宋体" w:eastAsia="仿宋_GB2312" w:cs="仿宋_GB2312"/>
                <w:b/>
                <w:bCs/>
                <w:color w:val="auto"/>
                <w:sz w:val="28"/>
                <w:szCs w:val="28"/>
                <w:highlight w:val="none"/>
              </w:rPr>
              <w:t>板桥街道</w:t>
            </w:r>
          </w:p>
        </w:tc>
        <w:tc>
          <w:tcPr>
            <w:tcW w:w="3684" w:type="dxa"/>
            <w:vAlign w:val="center"/>
          </w:tcPr>
          <w:p w14:paraId="7A38A510">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农文旅融合增长点</w:t>
            </w:r>
          </w:p>
          <w:p w14:paraId="7EE5ED41">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高铁经济发展区</w:t>
            </w:r>
          </w:p>
        </w:tc>
        <w:tc>
          <w:tcPr>
            <w:tcW w:w="3814" w:type="dxa"/>
            <w:vAlign w:val="center"/>
          </w:tcPr>
          <w:p w14:paraId="70D12E68">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特色种植养殖</w:t>
            </w:r>
          </w:p>
          <w:p w14:paraId="69CA3A5C">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深度体验旅游</w:t>
            </w:r>
          </w:p>
        </w:tc>
      </w:tr>
      <w:tr w14:paraId="562F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558" w:type="dxa"/>
            <w:vAlign w:val="center"/>
          </w:tcPr>
          <w:p w14:paraId="3261C528">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0" w:firstLineChars="0"/>
              <w:jc w:val="both"/>
              <w:textAlignment w:val="auto"/>
              <w:outlineLvl w:val="9"/>
              <w:rPr>
                <w:rFonts w:hint="eastAsia" w:ascii="宋体" w:hAnsi="宋体" w:eastAsia="仿宋_GB2312" w:cs="仿宋_GB2312"/>
                <w:b/>
                <w:bCs/>
                <w:color w:val="auto"/>
                <w:sz w:val="28"/>
                <w:szCs w:val="28"/>
                <w:highlight w:val="none"/>
              </w:rPr>
            </w:pPr>
            <w:r>
              <w:rPr>
                <w:rFonts w:hint="eastAsia" w:ascii="宋体" w:hAnsi="宋体" w:eastAsia="仿宋_GB2312" w:cs="仿宋_GB2312"/>
                <w:b/>
                <w:bCs/>
                <w:color w:val="auto"/>
                <w:sz w:val="28"/>
                <w:szCs w:val="28"/>
                <w:highlight w:val="none"/>
              </w:rPr>
              <w:t>大可乡</w:t>
            </w:r>
          </w:p>
        </w:tc>
        <w:tc>
          <w:tcPr>
            <w:tcW w:w="3684" w:type="dxa"/>
            <w:vAlign w:val="center"/>
          </w:tcPr>
          <w:p w14:paraId="085454B7">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rPr>
              <w:t>现代农业创新试验区</w:t>
            </w:r>
          </w:p>
        </w:tc>
        <w:tc>
          <w:tcPr>
            <w:tcW w:w="3814" w:type="dxa"/>
            <w:vAlign w:val="center"/>
          </w:tcPr>
          <w:p w14:paraId="72CD1734">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lang w:val="en-US" w:eastAsia="zh-CN"/>
              </w:rPr>
              <w:t>特色农业</w:t>
            </w:r>
          </w:p>
          <w:p w14:paraId="17B012B0">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lang w:val="en-US" w:eastAsia="zh-CN"/>
              </w:rPr>
              <w:t>彩玉文创产品</w:t>
            </w:r>
          </w:p>
        </w:tc>
      </w:tr>
      <w:tr w14:paraId="2103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558" w:type="dxa"/>
            <w:vAlign w:val="center"/>
          </w:tcPr>
          <w:p w14:paraId="16969C1A">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0" w:firstLineChars="0"/>
              <w:jc w:val="both"/>
              <w:textAlignment w:val="auto"/>
              <w:outlineLvl w:val="9"/>
              <w:rPr>
                <w:rFonts w:hint="eastAsia" w:ascii="宋体" w:hAnsi="宋体" w:eastAsia="仿宋_GB2312" w:cs="仿宋_GB2312"/>
                <w:b/>
                <w:bCs/>
                <w:color w:val="auto"/>
                <w:sz w:val="28"/>
                <w:szCs w:val="28"/>
                <w:highlight w:val="none"/>
              </w:rPr>
            </w:pPr>
            <w:r>
              <w:rPr>
                <w:rFonts w:hint="eastAsia" w:ascii="宋体" w:hAnsi="宋体" w:eastAsia="仿宋_GB2312" w:cs="仿宋_GB2312"/>
                <w:b/>
                <w:bCs/>
                <w:color w:val="auto"/>
                <w:sz w:val="28"/>
                <w:szCs w:val="28"/>
                <w:highlight w:val="none"/>
              </w:rPr>
              <w:t>圭山镇</w:t>
            </w:r>
          </w:p>
        </w:tc>
        <w:tc>
          <w:tcPr>
            <w:tcW w:w="3684" w:type="dxa"/>
            <w:vAlign w:val="center"/>
          </w:tcPr>
          <w:p w14:paraId="4083A626">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rPr>
              <w:t>红色文旅融合示范区</w:t>
            </w:r>
          </w:p>
          <w:p w14:paraId="3C90D89A">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特色农业发展区</w:t>
            </w:r>
          </w:p>
        </w:tc>
        <w:tc>
          <w:tcPr>
            <w:tcW w:w="3814" w:type="dxa"/>
            <w:vAlign w:val="center"/>
          </w:tcPr>
          <w:p w14:paraId="5C338FCB">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color w:val="auto"/>
                <w:sz w:val="28"/>
                <w:szCs w:val="28"/>
                <w:highlight w:val="none"/>
              </w:rPr>
              <w:t>红色</w:t>
            </w:r>
            <w:r>
              <w:rPr>
                <w:rFonts w:hint="eastAsia" w:ascii="宋体" w:hAnsi="宋体" w:eastAsia="仿宋_GB2312" w:cs="仿宋_GB2312"/>
                <w:color w:val="auto"/>
                <w:sz w:val="28"/>
                <w:szCs w:val="28"/>
                <w:highlight w:val="none"/>
                <w:lang w:val="en-US" w:eastAsia="zh-CN"/>
              </w:rPr>
              <w:t>文化</w:t>
            </w:r>
          </w:p>
          <w:p w14:paraId="691B2DDF">
            <w:pPr>
              <w:keepNext w:val="0"/>
              <w:keepLines w:val="0"/>
              <w:pageBreakBefore w:val="0"/>
              <w:widowControl w:val="0"/>
              <w:numPr>
                <w:ilvl w:val="0"/>
                <w:numId w:val="4"/>
              </w:numPr>
              <w:kinsoku/>
              <w:wordWrap/>
              <w:overflowPunct/>
              <w:topLinePunct w:val="0"/>
              <w:autoSpaceDE/>
              <w:autoSpaceDN/>
              <w:bidi w:val="0"/>
              <w:adjustRightInd/>
              <w:snapToGrid w:val="0"/>
              <w:spacing w:beforeLines="0" w:afterLines="0" w:line="400" w:lineRule="exact"/>
              <w:ind w:left="0" w:leftChars="0" w:hanging="420" w:firstLineChars="0"/>
              <w:jc w:val="both"/>
              <w:textAlignment w:val="auto"/>
              <w:outlineLvl w:val="9"/>
              <w:rPr>
                <w:rFonts w:hint="eastAsia" w:ascii="宋体" w:hAnsi="宋体" w:eastAsia="仿宋_GB2312" w:cs="仿宋_GB2312"/>
                <w:color w:val="auto"/>
                <w:sz w:val="28"/>
                <w:szCs w:val="28"/>
                <w:highlight w:val="none"/>
                <w:lang w:val="en-US" w:eastAsia="zh-CN"/>
              </w:rPr>
            </w:pPr>
            <w:r>
              <w:rPr>
                <w:rFonts w:hint="eastAsia" w:ascii="宋体" w:hAnsi="宋体" w:eastAsia="仿宋_GB2312" w:cs="仿宋_GB2312"/>
                <w:color w:val="auto"/>
                <w:sz w:val="28"/>
                <w:szCs w:val="28"/>
                <w:highlight w:val="none"/>
                <w:lang w:val="en-US" w:eastAsia="zh-CN"/>
              </w:rPr>
              <w:t>林下经济</w:t>
            </w:r>
          </w:p>
        </w:tc>
      </w:tr>
    </w:tbl>
    <w:p w14:paraId="673EB398">
      <w:pPr>
        <w:keepNext w:val="0"/>
        <w:keepLines w:val="0"/>
        <w:pageBreakBefore w:val="0"/>
        <w:widowControl w:val="0"/>
        <w:numPr>
          <w:ilvl w:val="-1"/>
          <w:numId w:val="0"/>
        </w:numPr>
        <w:kinsoku/>
        <w:wordWrap/>
        <w:overflowPunct/>
        <w:topLinePunct w:val="0"/>
        <w:autoSpaceDE/>
        <w:autoSpaceDN/>
        <w:bidi w:val="0"/>
        <w:adjustRightInd/>
        <w:snapToGrid w:val="0"/>
        <w:spacing w:before="157" w:beforeLines="50" w:beforeAutospacing="0" w:after="0" w:afterLines="0" w:afterAutospacing="0" w:line="516" w:lineRule="exact"/>
        <w:ind w:left="0" w:leftChars="0" w:firstLine="640" w:firstLineChars="20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51" w:name="_Toc85942707"/>
      <w:bookmarkStart w:id="452" w:name="_Toc1940739099"/>
      <w:bookmarkStart w:id="453" w:name="_Toc656040387"/>
      <w:bookmarkStart w:id="454" w:name="_Toc1323328384"/>
      <w:bookmarkStart w:id="455" w:name="_Toc13567"/>
      <w:bookmarkStart w:id="456" w:name="_Toc14249"/>
      <w:bookmarkStart w:id="457" w:name="_Toc608175256"/>
      <w:bookmarkStart w:id="458" w:name="_Toc2092222508"/>
      <w:bookmarkStart w:id="459" w:name="_Toc420272279"/>
      <w:bookmarkStart w:id="460" w:name="_Toc12253"/>
      <w:bookmarkStart w:id="461" w:name="_Toc968835541"/>
      <w:r>
        <w:rPr>
          <w:rFonts w:hint="eastAsia" w:ascii="宋体" w:hAnsi="宋体" w:eastAsia="黑体" w:cs="黑体"/>
          <w:b w:val="0"/>
          <w:bCs/>
          <w:color w:val="auto"/>
          <w:kern w:val="2"/>
          <w:sz w:val="32"/>
          <w:szCs w:val="24"/>
          <w:highlight w:val="none"/>
          <w:u w:val="none"/>
          <w:lang w:val="en-US" w:eastAsia="zh-CN" w:bidi="ar-SA"/>
        </w:rPr>
        <w:t>第三节  推进新一轮农业转移人口市民化</w:t>
      </w:r>
      <w:bookmarkEnd w:id="451"/>
      <w:bookmarkEnd w:id="452"/>
      <w:bookmarkEnd w:id="453"/>
      <w:bookmarkEnd w:id="454"/>
      <w:bookmarkEnd w:id="455"/>
      <w:bookmarkEnd w:id="456"/>
      <w:bookmarkEnd w:id="457"/>
      <w:bookmarkEnd w:id="458"/>
      <w:bookmarkEnd w:id="459"/>
      <w:bookmarkEnd w:id="460"/>
      <w:bookmarkEnd w:id="461"/>
    </w:p>
    <w:p w14:paraId="3EE19BB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30" w:lineRule="exact"/>
        <w:ind w:left="0" w:leftChars="0" w:firstLine="640" w:firstLineChars="200"/>
        <w:jc w:val="left"/>
        <w:textAlignment w:val="auto"/>
        <w:outlineLvl w:val="9"/>
        <w:rPr>
          <w:rFonts w:hint="eastAsia" w:ascii="宋体" w:hAnsi="宋体" w:eastAsia="仿宋_GB2312" w:cs="Times New Roman Regular"/>
          <w:bCs w:val="0"/>
          <w:color w:val="auto"/>
          <w:sz w:val="32"/>
          <w:szCs w:val="32"/>
          <w:highlight w:val="none"/>
          <w:u w:val="none" w:color="auto"/>
          <w:lang w:val="en-US" w:eastAsia="zh-CN"/>
        </w:rPr>
      </w:pPr>
      <w:r>
        <w:rPr>
          <w:rFonts w:hint="eastAsia" w:ascii="宋体" w:hAnsi="宋体" w:eastAsia="仿宋_GB2312" w:cs="Times New Roman Regular"/>
          <w:bCs w:val="0"/>
          <w:color w:val="auto"/>
          <w:sz w:val="32"/>
          <w:szCs w:val="32"/>
          <w:highlight w:val="none"/>
          <w:u w:val="none" w:color="auto"/>
          <w:lang w:val="en-US" w:eastAsia="zh-CN"/>
        </w:rPr>
        <w:t>以进城农民工及随迁家属为重点、兼顾城市间流动人口，实施新一轮农业转移人口市民化行动。持续深化户籍制度改革，落实城镇落户“零门槛”政策，</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加强落户政策宣传，鼓励外来人口落户，推动进城就业生活和举家迁徙的农业转移人口和其他常住人口在城镇地区便捷落户</w:t>
      </w:r>
      <w:r>
        <w:rPr>
          <w:rFonts w:hint="eastAsia" w:ascii="宋体" w:hAnsi="宋体" w:eastAsia="仿宋_GB2312" w:cs="Times New Roman Regular"/>
          <w:bCs w:val="0"/>
          <w:color w:val="auto"/>
          <w:sz w:val="32"/>
          <w:szCs w:val="32"/>
          <w:highlight w:val="none"/>
          <w:u w:val="none" w:color="auto"/>
          <w:lang w:val="en-US" w:eastAsia="zh-CN"/>
        </w:rPr>
        <w:t>。全力推动居住证制度和户籍制度全面有机融合并轨，实施居住证管理制度，推进流动人口享有基本公共服务均等化等权利。</w:t>
      </w:r>
      <w:r>
        <w:rPr>
          <w:rFonts w:hint="eastAsia" w:ascii="宋体" w:hAnsi="宋体" w:eastAsia="仿宋_GB2312" w:cs="Times New Roman Regular"/>
          <w:b w:val="0"/>
          <w:bCs w:val="0"/>
          <w:color w:val="auto"/>
          <w:spacing w:val="0"/>
          <w:kern w:val="2"/>
          <w:sz w:val="32"/>
          <w:szCs w:val="32"/>
          <w:highlight w:val="none"/>
          <w:u w:val="none" w:color="auto"/>
          <w:lang w:val="en-US" w:eastAsia="zh-CN" w:bidi="ar-SA"/>
        </w:rPr>
        <w:t>推广“以人兴业”“以产扩岗”等模式，加快发展城镇生活性服务业、旅游业等产业，推动保洁绿化、批发零售、建筑装修等行业就业提质扩容，完善以促进农民工等重点群体就业为导向的精准培训机制，提高农业转移人口劳动技能素质。</w:t>
      </w:r>
      <w:r>
        <w:rPr>
          <w:rFonts w:hint="eastAsia" w:ascii="宋体" w:hAnsi="宋体" w:eastAsia="仿宋_GB2312" w:cs="Times New Roman Regular"/>
          <w:bCs w:val="0"/>
          <w:color w:val="auto"/>
          <w:sz w:val="32"/>
          <w:szCs w:val="32"/>
          <w:highlight w:val="none"/>
          <w:u w:val="none" w:color="auto"/>
          <w:lang w:val="en-US" w:eastAsia="zh-CN"/>
        </w:rPr>
        <w:t>完善农业转移人口市民化激励机制，健全“人钱地”挂钩机制，依法维护进城落户农民的土地承包权、宅基地使用权、集体收益分配权，探索建立自愿有偿退出的办法。推行由常住地登记户口提供基本公共服务制度，推动符合条件的农业转移人口社会保险、住房保障、随迁子女义务教育等享有同迁入地户籍人口同等权利。</w:t>
      </w:r>
    </w:p>
    <w:p w14:paraId="3CE21634">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6" w:lineRule="exact"/>
        <w:ind w:left="0" w:leftChars="0" w:firstLine="640" w:firstLineChars="20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62" w:name="_Toc2020406257"/>
      <w:bookmarkStart w:id="463" w:name="_Toc1726851519"/>
      <w:bookmarkStart w:id="464" w:name="_Toc11031"/>
      <w:bookmarkStart w:id="465" w:name="_Toc1086455978"/>
      <w:bookmarkStart w:id="466" w:name="_Toc889740611"/>
      <w:bookmarkStart w:id="467" w:name="_Toc27679"/>
      <w:bookmarkStart w:id="468" w:name="_Toc997926033"/>
      <w:bookmarkStart w:id="469" w:name="_Toc1839501556"/>
      <w:bookmarkStart w:id="470" w:name="_Toc442478170"/>
      <w:bookmarkStart w:id="471" w:name="_Toc13796"/>
      <w:bookmarkStart w:id="472" w:name="_Toc1330065765"/>
      <w:r>
        <w:rPr>
          <w:rFonts w:hint="eastAsia" w:ascii="宋体" w:hAnsi="宋体" w:eastAsia="黑体" w:cs="黑体"/>
          <w:b w:val="0"/>
          <w:bCs/>
          <w:color w:val="auto"/>
          <w:kern w:val="2"/>
          <w:sz w:val="32"/>
          <w:szCs w:val="24"/>
          <w:highlight w:val="none"/>
          <w:u w:val="none"/>
          <w:lang w:val="en-US" w:eastAsia="zh-CN" w:bidi="ar-SA"/>
        </w:rPr>
        <w:t>第四节  健全城乡融合发展机制</w:t>
      </w:r>
      <w:bookmarkEnd w:id="462"/>
      <w:bookmarkEnd w:id="463"/>
      <w:bookmarkEnd w:id="464"/>
      <w:bookmarkEnd w:id="465"/>
      <w:bookmarkEnd w:id="466"/>
      <w:bookmarkEnd w:id="467"/>
      <w:bookmarkEnd w:id="468"/>
      <w:bookmarkEnd w:id="469"/>
      <w:bookmarkEnd w:id="470"/>
      <w:bookmarkEnd w:id="471"/>
      <w:bookmarkEnd w:id="472"/>
    </w:p>
    <w:p w14:paraId="262F9463">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516" w:lineRule="exact"/>
        <w:ind w:left="0" w:leftChars="0" w:firstLine="640" w:firstLineChars="200"/>
        <w:jc w:val="left"/>
        <w:textAlignment w:val="auto"/>
        <w:outlineLvl w:val="9"/>
        <w:rPr>
          <w:rFonts w:hint="eastAsia" w:ascii="宋体" w:hAnsi="宋体" w:eastAsia="仿宋_GB2312" w:cs="Times New Roman Regular"/>
          <w:bCs w:val="0"/>
          <w:color w:val="auto"/>
          <w:sz w:val="32"/>
          <w:szCs w:val="32"/>
          <w:highlight w:val="none"/>
          <w:u w:val="none" w:color="auto"/>
          <w:lang w:val="en-US" w:eastAsia="zh-CN"/>
        </w:rPr>
      </w:pPr>
      <w:r>
        <w:rPr>
          <w:rFonts w:hint="eastAsia" w:ascii="宋体" w:hAnsi="宋体" w:eastAsia="仿宋_GB2312" w:cs="Times New Roman Regular"/>
          <w:bCs w:val="0"/>
          <w:color w:val="auto"/>
          <w:sz w:val="32"/>
          <w:szCs w:val="32"/>
          <w:highlight w:val="none"/>
          <w:u w:val="none" w:color="auto"/>
          <w:lang w:val="en-US" w:eastAsia="zh-CN"/>
        </w:rPr>
        <w:t>统筹推动新型城镇化和乡村全面振兴协调发展，完善财政投入保障机制，以财政资金投入引导社会资本投入，建立工商资本入乡促进机制，鼓励工商资本投资农业基地等适合产业化规模化集约化经营的农业领域，引导和支持社会力量投身乡村生活性服务业，不断激发乡村活力。健全有利于各类人才向乡（镇）流动的政策支持体系，促进青年、乡贤能人等返乡入乡创业兴业，加强农村发展人才支撑。建立科技成果入乡转化机制，通过建立试验示范基地等多种渠道开展科技下乡与科技服务，推广农业先进适用技术。建立公共设施一体化规划建设运营机制，实施一批污水处理、垃圾收集、冷链物流、农贸市场、道路客运、公共文化设施等城乡联动项目建设，推动镇（街道）公共服务设施和基础设施向乡村地区延伸。</w:t>
      </w:r>
    </w:p>
    <w:p w14:paraId="4129F43C">
      <w:pPr>
        <w:keepNext w:val="0"/>
        <w:keepLines w:val="0"/>
        <w:pageBreakBefore w:val="0"/>
        <w:widowControl w:val="0"/>
        <w:numPr>
          <w:ilvl w:val="0"/>
          <w:numId w:val="0"/>
        </w:numPr>
        <w:kinsoku/>
        <w:wordWrap/>
        <w:overflowPunct/>
        <w:topLinePunct w:val="0"/>
        <w:autoSpaceDE/>
        <w:autoSpaceDN/>
        <w:bidi w:val="0"/>
        <w:adjustRightInd/>
        <w:snapToGrid w:val="0"/>
        <w:spacing w:before="400" w:beforeLines="0" w:beforeAutospacing="0" w:after="200" w:afterLines="0" w:afterAutospacing="0" w:line="52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kern w:val="44"/>
          <w:sz w:val="36"/>
          <w:szCs w:val="36"/>
          <w:highlight w:val="none"/>
          <w:lang w:val="en-US" w:eastAsia="zh-CN" w:bidi="ar-SA"/>
        </w:rPr>
      </w:pPr>
      <w:bookmarkStart w:id="473" w:name="_Toc1328069480"/>
      <w:bookmarkStart w:id="474" w:name="_Toc30752"/>
      <w:bookmarkStart w:id="475" w:name="_Toc6290"/>
      <w:bookmarkStart w:id="476" w:name="_Toc941815016"/>
      <w:bookmarkStart w:id="477" w:name="_Toc1258030732"/>
      <w:bookmarkStart w:id="478" w:name="_Toc956535035"/>
      <w:bookmarkStart w:id="479" w:name="_Toc23673"/>
      <w:bookmarkStart w:id="480" w:name="_Toc2099474275"/>
      <w:bookmarkStart w:id="481" w:name="_Toc12171805"/>
      <w:bookmarkStart w:id="482" w:name="_Toc295553561"/>
      <w:bookmarkStart w:id="483" w:name="_Toc2142217276"/>
      <w:r>
        <w:rPr>
          <w:rFonts w:hint="eastAsia" w:ascii="方正小标宋简体" w:hAnsi="方正小标宋简体" w:eastAsia="方正小标宋简体" w:cs="方正小标宋简体"/>
          <w:b w:val="0"/>
          <w:bCs/>
          <w:color w:val="auto"/>
          <w:kern w:val="44"/>
          <w:sz w:val="36"/>
          <w:szCs w:val="36"/>
          <w:highlight w:val="none"/>
          <w:lang w:val="en-US" w:eastAsia="zh-CN" w:bidi="ar-SA"/>
        </w:rPr>
        <w:t>第七章  铸牢中华民族共同体意识，推进中华民族共同体建设</w:t>
      </w:r>
      <w:bookmarkEnd w:id="473"/>
      <w:bookmarkEnd w:id="474"/>
      <w:bookmarkEnd w:id="475"/>
      <w:bookmarkEnd w:id="476"/>
      <w:bookmarkEnd w:id="477"/>
      <w:bookmarkEnd w:id="478"/>
      <w:bookmarkEnd w:id="479"/>
      <w:bookmarkEnd w:id="480"/>
      <w:bookmarkEnd w:id="481"/>
      <w:bookmarkEnd w:id="482"/>
      <w:bookmarkEnd w:id="483"/>
    </w:p>
    <w:p w14:paraId="66BA250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00" w:lineRule="exact"/>
        <w:ind w:left="0" w:leftChars="0" w:firstLine="640" w:firstLineChars="200"/>
        <w:jc w:val="both"/>
        <w:textAlignment w:val="auto"/>
        <w:outlineLvl w:val="9"/>
        <w:rPr>
          <w:rFonts w:hint="eastAsia" w:ascii="宋体" w:hAnsi="宋体" w:eastAsia="仿宋_GB2312" w:cs="仿宋_GB2312"/>
          <w:bCs w:val="0"/>
          <w:color w:val="auto"/>
          <w:sz w:val="32"/>
          <w:szCs w:val="32"/>
          <w:highlight w:val="none"/>
          <w:u w:val="none" w:color="auto"/>
          <w:lang w:val="en-US" w:eastAsia="zh-CN"/>
        </w:rPr>
      </w:pPr>
      <w:r>
        <w:rPr>
          <w:rFonts w:hint="eastAsia" w:ascii="宋体" w:hAnsi="宋体" w:eastAsia="仿宋_GB2312" w:cs="仿宋_GB2312"/>
          <w:b w:val="0"/>
          <w:bCs w:val="0"/>
          <w:color w:val="auto"/>
          <w:sz w:val="32"/>
          <w:szCs w:val="32"/>
          <w:highlight w:val="none"/>
          <w:u w:val="none" w:color="auto"/>
          <w:lang w:val="en-US" w:eastAsia="zh-CN" w:bidi="ar"/>
        </w:rPr>
        <w:t>坚持把铸牢中华民族共同体意识作为党的民族工作和民族地区各项工作的主线，全面推进中华民族共有精神家园建设，推动各族群众共同走向社会主义现代化、促进各民族广泛交往交流交融、提升民族事务治理体系和治理能力现代化水平，促进各民族共同团结奋斗、共同繁荣发展。</w:t>
      </w:r>
    </w:p>
    <w:p w14:paraId="436A20F2">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42"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84" w:name="_Toc24607"/>
      <w:bookmarkStart w:id="485" w:name="_Toc421751803"/>
      <w:r>
        <w:rPr>
          <w:rFonts w:hint="eastAsia" w:ascii="宋体" w:hAnsi="宋体" w:eastAsia="黑体" w:cs="黑体"/>
          <w:b w:val="0"/>
          <w:bCs/>
          <w:color w:val="auto"/>
          <w:kern w:val="2"/>
          <w:sz w:val="32"/>
          <w:szCs w:val="24"/>
          <w:highlight w:val="none"/>
          <w:u w:val="none"/>
          <w:lang w:val="en-US" w:eastAsia="zh-CN" w:bidi="ar-SA"/>
        </w:rPr>
        <w:t>第一节  构筑中华民族共有精神家园</w:t>
      </w:r>
      <w:bookmarkEnd w:id="484"/>
      <w:bookmarkEnd w:id="485"/>
    </w:p>
    <w:p w14:paraId="4D05F33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50" w:lineRule="exact"/>
        <w:ind w:left="0" w:leftChars="0" w:firstLine="640" w:firstLineChars="200"/>
        <w:jc w:val="both"/>
        <w:textAlignment w:val="auto"/>
        <w:outlineLvl w:val="9"/>
        <w:rPr>
          <w:rFonts w:hint="eastAsia" w:ascii="宋体" w:hAnsi="宋体" w:eastAsia="仿宋_GB2312" w:cs="Times New Roman Regular"/>
          <w:bCs w:val="0"/>
          <w:color w:val="auto"/>
          <w:sz w:val="32"/>
          <w:szCs w:val="32"/>
          <w:highlight w:val="none"/>
          <w:u w:val="none" w:color="auto"/>
          <w:lang w:bidi="ar"/>
        </w:rPr>
      </w:pPr>
      <w:r>
        <w:rPr>
          <w:rFonts w:hint="eastAsia" w:ascii="宋体" w:hAnsi="宋体" w:eastAsia="仿宋_GB2312" w:cs="Times New Roman Regular"/>
          <w:b w:val="0"/>
          <w:bCs w:val="0"/>
          <w:color w:val="auto"/>
          <w:sz w:val="32"/>
          <w:szCs w:val="32"/>
          <w:highlight w:val="none"/>
          <w:u w:val="none" w:color="auto"/>
          <w:lang w:val="en-US" w:eastAsia="zh-CN" w:bidi="ar"/>
        </w:rPr>
        <w:t>围绕“中华民族一家亲，同心共筑中国梦”的总目标，深入开展铸牢中华民族共同体意识宣传教育，在构筑中华民族共有精神家园上作出示范。加强党的理论和路线方针政策教育，深化“党的光辉照边疆，边疆人民心向党”“同心共圆中国梦”等主题实践活动，引领各族群众感党恩、听党话、跟党走。常态化开展铸牢中华民族共同体意识宣传教育，深化“1+1+N”宣传教育机制，推进“五史五观五认同”“五旗五徽五认同”“三意识四个一五认同”教育实践，将铸牢中华民族共同体意识纳入干部教育、党员教育、学校教育、社会教育全过程。推进中央访问团历史教育建设项目，推动中央访问团访问云南首访圭山、圭山彝族舞踊会、“习近平同志来到咱们村”以及《阿诗玛》《远方的客人请你留下来》等文化符号挖掘、转化与传播。加强与陆良等县市区及云南民族大学等开展“铸牢系列”教育实践活动，民族团结、社会和谐的良好氛围。</w:t>
      </w:r>
    </w:p>
    <w:p w14:paraId="66A4420C">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42"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86" w:name="_Toc1686517921"/>
      <w:bookmarkStart w:id="487" w:name="_Toc21864"/>
      <w:r>
        <w:rPr>
          <w:rFonts w:hint="eastAsia" w:ascii="宋体" w:hAnsi="宋体" w:eastAsia="黑体" w:cs="黑体"/>
          <w:b w:val="0"/>
          <w:bCs/>
          <w:color w:val="auto"/>
          <w:kern w:val="2"/>
          <w:sz w:val="32"/>
          <w:szCs w:val="24"/>
          <w:highlight w:val="none"/>
          <w:u w:val="none"/>
          <w:lang w:val="en-US" w:eastAsia="zh-CN" w:bidi="ar-SA"/>
        </w:rPr>
        <w:t>第二节  繁荣发展社会主义文化</w:t>
      </w:r>
      <w:bookmarkEnd w:id="486"/>
      <w:bookmarkEnd w:id="487"/>
    </w:p>
    <w:p w14:paraId="16E8897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42" w:lineRule="exact"/>
        <w:ind w:left="0" w:leftChars="0" w:firstLine="640" w:firstLineChars="200"/>
        <w:jc w:val="left"/>
        <w:textAlignment w:val="auto"/>
        <w:outlineLvl w:val="9"/>
        <w:rPr>
          <w:rFonts w:hint="eastAsia" w:ascii="宋体" w:hAnsi="宋体" w:eastAsia="仿宋_GB2312" w:cs="仿宋_GB2312"/>
          <w:b w:val="0"/>
          <w:bCs w:val="0"/>
          <w:color w:val="auto"/>
          <w:sz w:val="32"/>
          <w:szCs w:val="32"/>
          <w:highlight w:val="none"/>
          <w:u w:val="none" w:color="auto"/>
          <w:lang w:val="en-US" w:eastAsia="zh-CN" w:bidi="ar"/>
        </w:rPr>
      </w:pPr>
      <w:r>
        <w:rPr>
          <w:rFonts w:hint="eastAsia" w:ascii="宋体" w:hAnsi="宋体" w:eastAsia="仿宋_GB2312" w:cs="仿宋_GB2312"/>
          <w:b w:val="0"/>
          <w:bCs w:val="0"/>
          <w:color w:val="auto"/>
          <w:sz w:val="32"/>
          <w:szCs w:val="32"/>
          <w:highlight w:val="none"/>
          <w:u w:val="none" w:color="auto"/>
          <w:lang w:val="en-US" w:eastAsia="zh-CN" w:bidi="ar"/>
        </w:rPr>
        <w:t>实施文化活县战略，统筹文化事业和文化产业共同繁荣发展，推动各民族优秀文化保护传承和创新交融，打牢中华民族共同体文化基础。</w:t>
      </w:r>
    </w:p>
    <w:p w14:paraId="29507807">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4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一、培育和践行社会主义核心价值观</w:t>
      </w:r>
    </w:p>
    <w:p w14:paraId="5C57B069">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30" w:lineRule="exact"/>
        <w:ind w:left="0" w:leftChars="0" w:firstLine="640" w:firstLineChars="200"/>
        <w:jc w:val="both"/>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大力弘扬中华优秀文化和社会主义核心价值观，弘扬爱国主义、集体主义精神和社会主义道德风尚，促进社会主义精神文明建设。加强《中华人民共和国英雄烈士保护法》的宣传及《烈士纪念设施保护管理办法》的落实，做好烈士纪念设施普查工作，加强革命遗址保护，积极推进烈士纪念设施不动产权登记。深化新时代文明实践中心（所、站）建设，实施公民道德和文明乡风建设工程，弘扬中华民族传统美德，加强家庭家教家风建设，加强和改进未成年人思想道德建设。深化文明县城、文明村镇、文明单位、文明家庭等创建，常态化组织新时代文明实践行动，巩固提升全国文明城市创建成效。弘扬诚信文化，健全诚信建设长效机制，全面提升人民素质和社会文明程度。</w:t>
      </w:r>
    </w:p>
    <w:p w14:paraId="657D9C5E">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42"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二、完善公共文化服务体系</w:t>
      </w:r>
    </w:p>
    <w:p w14:paraId="15FC6E7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54" w:lineRule="exact"/>
        <w:ind w:left="0" w:leftChars="0" w:firstLine="640" w:firstLineChars="200"/>
        <w:jc w:val="both"/>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优化城乡文化资源布局，推进公共文化服务设备设施更新，因地制宜打造新型文化空间，引导优质公共文化资源更多地向基层、农村倾斜。推进石林县历史文化博物馆和“辉煌圭山”煤矿文化博物馆谋划建设，持续推动公共文化场所免费开放。深入实施“百千万文化工程”，创新实施文化惠民工程，积极搭建群众文化活动平台，持续开展“旅居石林，品味乡愁”、石林戏曲进乡村进校园等文化惠民活动，办好彝族火把节、三月三、密枝节等节日庆典活动，丰富群众业余文化生活。推进公共文化服务数字化，提升服务覆盖面与便捷性。</w:t>
      </w:r>
    </w:p>
    <w:p w14:paraId="7BF28E1F">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42"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三、弘扬和传承优秀民族文化</w:t>
      </w:r>
    </w:p>
    <w:p w14:paraId="593698A9">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42" w:lineRule="exact"/>
        <w:ind w:left="0" w:leftChars="0" w:firstLine="640" w:firstLineChars="200"/>
        <w:jc w:val="both"/>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发挥好石林县民族研究所作用，</w:t>
      </w:r>
      <w:r>
        <w:rPr>
          <w:rFonts w:hint="eastAsia" w:ascii="宋体" w:hAnsi="宋体" w:eastAsia="仿宋_GB2312" w:cs="Times New Roman Regular"/>
          <w:b w:val="0"/>
          <w:bCs w:val="0"/>
          <w:color w:val="auto"/>
          <w:sz w:val="32"/>
          <w:szCs w:val="32"/>
          <w:highlight w:val="none"/>
          <w:u w:val="none" w:color="auto"/>
          <w:lang w:bidi="ar"/>
        </w:rPr>
        <w:t>深入实施中华优秀传统文化传承发展工程和文化精品工程，</w:t>
      </w:r>
      <w:r>
        <w:rPr>
          <w:rFonts w:hint="eastAsia" w:ascii="宋体" w:hAnsi="宋体" w:eastAsia="仿宋_GB2312" w:cs="Times New Roman Regular"/>
          <w:b w:val="0"/>
          <w:bCs w:val="0"/>
          <w:color w:val="auto"/>
          <w:sz w:val="32"/>
          <w:szCs w:val="32"/>
          <w:highlight w:val="none"/>
          <w:u w:val="none" w:color="auto"/>
          <w:lang w:val="en-US" w:eastAsia="zh-CN" w:bidi="ar"/>
        </w:rPr>
        <w:t>做好民族古籍挖掘整理，积极开发舞台剧及红色题材文艺产品，</w:t>
      </w:r>
      <w:r>
        <w:rPr>
          <w:rFonts w:hint="eastAsia" w:ascii="宋体" w:hAnsi="宋体" w:eastAsia="仿宋_GB2312" w:cs="Times New Roman Regular"/>
          <w:b w:val="0"/>
          <w:bCs w:val="0"/>
          <w:color w:val="auto"/>
          <w:sz w:val="32"/>
          <w:szCs w:val="32"/>
          <w:highlight w:val="none"/>
          <w:u w:val="none" w:color="auto"/>
          <w:lang w:bidi="ar"/>
        </w:rPr>
        <w:t>精心培育</w:t>
      </w:r>
      <w:r>
        <w:rPr>
          <w:rFonts w:hint="eastAsia" w:ascii="宋体" w:hAnsi="宋体" w:eastAsia="仿宋_GB2312" w:cs="Times New Roman Regular"/>
          <w:b w:val="0"/>
          <w:bCs w:val="0"/>
          <w:color w:val="auto"/>
          <w:sz w:val="32"/>
          <w:szCs w:val="32"/>
          <w:highlight w:val="none"/>
          <w:u w:val="none" w:color="auto"/>
          <w:lang w:val="en-US" w:eastAsia="zh-CN" w:bidi="ar"/>
        </w:rPr>
        <w:t>民族服饰、彝族（撒尼）刺绣等特色优质</w:t>
      </w:r>
      <w:r>
        <w:rPr>
          <w:rFonts w:hint="eastAsia" w:ascii="宋体" w:hAnsi="宋体" w:eastAsia="仿宋_GB2312" w:cs="Times New Roman Regular"/>
          <w:b w:val="0"/>
          <w:bCs w:val="0"/>
          <w:color w:val="auto"/>
          <w:sz w:val="32"/>
          <w:szCs w:val="32"/>
          <w:highlight w:val="none"/>
          <w:u w:val="none" w:color="auto"/>
          <w:lang w:bidi="ar"/>
        </w:rPr>
        <w:t>文化产业项目</w:t>
      </w:r>
      <w:r>
        <w:rPr>
          <w:rFonts w:hint="eastAsia" w:ascii="宋体" w:hAnsi="宋体" w:eastAsia="仿宋_GB2312" w:cs="Times New Roman Regular"/>
          <w:b w:val="0"/>
          <w:bCs w:val="0"/>
          <w:color w:val="auto"/>
          <w:sz w:val="32"/>
          <w:szCs w:val="32"/>
          <w:highlight w:val="none"/>
          <w:u w:val="none" w:color="auto"/>
          <w:lang w:eastAsia="zh-CN" w:bidi="ar"/>
        </w:rPr>
        <w:t>。</w:t>
      </w:r>
      <w:r>
        <w:rPr>
          <w:rFonts w:hint="eastAsia" w:ascii="宋体" w:hAnsi="宋体" w:eastAsia="仿宋_GB2312" w:cs="Times New Roman Regular"/>
          <w:b w:val="0"/>
          <w:bCs w:val="0"/>
          <w:color w:val="auto"/>
          <w:sz w:val="32"/>
          <w:szCs w:val="32"/>
          <w:highlight w:val="none"/>
          <w:u w:val="none" w:color="auto"/>
          <w:lang w:val="en-US" w:eastAsia="zh-CN" w:bidi="ar"/>
        </w:rPr>
        <w:t>加强非物质文化遗产保护传承基</w:t>
      </w:r>
    </w:p>
    <w:p w14:paraId="4391013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4" w:lineRule="exact"/>
        <w:jc w:val="both"/>
        <w:textAlignment w:val="auto"/>
        <w:outlineLvl w:val="9"/>
        <w:rPr>
          <w:rFonts w:hint="eastAsia" w:ascii="宋体" w:hAnsi="宋体" w:eastAsia="仿宋_GB2312" w:cs="Times New Roman Regular"/>
          <w:b w:val="0"/>
          <w:bCs w:val="0"/>
          <w:color w:val="auto"/>
          <w:sz w:val="32"/>
          <w:szCs w:val="32"/>
          <w:highlight w:val="none"/>
          <w:u w:val="none" w:color="auto"/>
          <w:lang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地、非遗工坊、传习馆（所、室）等设施建设，深度挖掘彝族撒尼语口传叙事长诗《阿诗玛》、彝族（撒尼）刺绣等国家级非物质文化遗产资源，推动彝族（撒尼）大三弦、彝族（撒尼）刺绣等非物质文化资源活化、产业化。</w:t>
      </w:r>
      <w:r>
        <w:rPr>
          <w:rFonts w:hint="eastAsia" w:ascii="宋体" w:hAnsi="宋体" w:eastAsia="仿宋_GB2312" w:cs="Times New Roman Regular"/>
          <w:b w:val="0"/>
          <w:bCs w:val="0"/>
          <w:color w:val="auto"/>
          <w:sz w:val="32"/>
          <w:szCs w:val="32"/>
          <w:highlight w:val="none"/>
          <w:u w:val="none" w:color="auto"/>
          <w:lang w:bidi="ar"/>
        </w:rPr>
        <w:t>开展中华优秀传统文化进基层活动，用更多反映“五个共同”的文艺作品浸润人心，不断增强各族群众对中华文化的情感共鸣和高度认同。</w:t>
      </w:r>
    </w:p>
    <w:p w14:paraId="4189B2C0">
      <w:pPr>
        <w:keepNext w:val="0"/>
        <w:keepLines w:val="0"/>
        <w:pageBreakBefore w:val="0"/>
        <w:widowControl w:val="0"/>
        <w:numPr>
          <w:ilvl w:val="-1"/>
          <w:numId w:val="0"/>
        </w:numPr>
        <w:kinsoku/>
        <w:wordWrap/>
        <w:overflowPunct/>
        <w:topLinePunct w:val="0"/>
        <w:autoSpaceDE/>
        <w:autoSpaceDN/>
        <w:bidi w:val="0"/>
        <w:adjustRightInd/>
        <w:snapToGrid w:val="0"/>
        <w:spacing w:before="32" w:beforeLines="10" w:beforeAutospacing="0" w:after="0" w:afterLines="0" w:afterAutospacing="0" w:line="56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88" w:name="_Toc670041494"/>
      <w:bookmarkStart w:id="489" w:name="_Toc395"/>
      <w:r>
        <w:rPr>
          <w:rFonts w:hint="eastAsia" w:ascii="宋体" w:hAnsi="宋体" w:eastAsia="黑体" w:cs="黑体"/>
          <w:b w:val="0"/>
          <w:bCs/>
          <w:color w:val="auto"/>
          <w:kern w:val="2"/>
          <w:sz w:val="32"/>
          <w:szCs w:val="24"/>
          <w:highlight w:val="none"/>
          <w:u w:val="none"/>
          <w:lang w:val="en-US" w:eastAsia="zh-CN" w:bidi="ar-SA"/>
        </w:rPr>
        <w:t>第三节  建设民族团结进步示范区</w:t>
      </w:r>
      <w:bookmarkEnd w:id="488"/>
      <w:bookmarkEnd w:id="489"/>
    </w:p>
    <w:p w14:paraId="1EC8A9B5">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4" w:lineRule="exact"/>
        <w:ind w:left="0" w:leftChars="0" w:firstLine="640" w:firstLineChars="200"/>
        <w:jc w:val="both"/>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按照“增进共同性”方向，以全域创建为抓手，加快互嵌式社会结构和社区建设，健全民族团结进步创建工作机制，打造民族团结进步示范创建升级版。</w:t>
      </w:r>
    </w:p>
    <w:p w14:paraId="6D178E18">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6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一、促进各民族交往交流交融</w:t>
      </w:r>
    </w:p>
    <w:p w14:paraId="53F1AAFA">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4" w:lineRule="exact"/>
        <w:ind w:left="0" w:leftChars="0" w:firstLine="640" w:firstLineChars="200"/>
        <w:jc w:val="both"/>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深入推进各族青少年交流、各族群众互嵌式发展、旅游促进各民族交往交流交融“三项计划”，积极营造各民族共居共学、共建共享、共事共乐的社会环境。持续举办“周周火把节”与“天天大三弦”活动、阿诗玛文化旅游节系列展演、旅居人专场晚会等文艺展演，开展健康徒步、石林特色美食赛等联谊活动，为各民族交往交流交融搭建平台。全面加强学前儿童普通话教育，落实国家通用语言文字普及攻坚和质量提升行动，全面推广普及国家通用语言文字。以城市更新、老旧小区改造提升为契机，推动“和和美美一家人”互嵌式社区建设，着力构建互嵌式社会和社区环境，力争到2030年，建成大乐台旧社区、巴江社区、北大村社区等6个“和和美美一家人”互嵌式社区。</w:t>
      </w:r>
    </w:p>
    <w:p w14:paraId="028176B3">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60" w:lineRule="exact"/>
        <w:ind w:left="0" w:leftChars="0" w:firstLine="640" w:firstLineChars="200"/>
        <w:jc w:val="left"/>
        <w:textAlignment w:val="auto"/>
        <w:outlineLvl w:val="2"/>
        <w:rPr>
          <w:rFonts w:hint="eastAsia" w:ascii="宋体" w:hAnsi="宋体" w:eastAsia="楷体_GB2312" w:cs="楷体_GB2312"/>
          <w:b w:val="0"/>
          <w:bCs/>
          <w:color w:val="auto"/>
          <w:kern w:val="2"/>
          <w:sz w:val="32"/>
          <w:szCs w:val="22"/>
          <w:highlight w:val="none"/>
          <w:lang w:val="en-US" w:eastAsia="zh-CN" w:bidi="ar-SA"/>
        </w:rPr>
      </w:pPr>
      <w:r>
        <w:rPr>
          <w:rFonts w:hint="eastAsia" w:ascii="宋体" w:hAnsi="宋体" w:eastAsia="楷体_GB2312" w:cs="楷体_GB2312"/>
          <w:b w:val="0"/>
          <w:bCs/>
          <w:color w:val="auto"/>
          <w:kern w:val="2"/>
          <w:sz w:val="32"/>
          <w:szCs w:val="22"/>
          <w:highlight w:val="none"/>
          <w:lang w:val="en-US" w:eastAsia="zh-CN" w:bidi="ar-SA"/>
        </w:rPr>
        <w:t>二、深化民族团结进步示范创建升级版</w:t>
      </w:r>
    </w:p>
    <w:p w14:paraId="30228288">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6" w:lineRule="exact"/>
        <w:ind w:left="0" w:leftChars="0" w:firstLine="640" w:firstLineChars="200"/>
        <w:jc w:val="both"/>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巩固提升全国民族团结进步示范县创建成果，以民族团结进步创建“十进+N”活动为抓手，推动民族团结进步创建活动进机关、进企业、进社区、进学校等，培育一批民族团结进步示范点，深化全域全业全民创建。深入实施民族团结进步“十县百乡千村万户”示范引领工程，推进民族团结进步示范乡镇（街道）和村（社区）建设，力争“十五五”期间实施1个民族团结进步示范县项目，1—2个民族团结进步示范乡镇（街道）建设，推进5个民族团结进步示范村、5个少数民族旅游特色村寨建设。主动融入昆明市民族团结进步示范“一圈三廊”创建，深化“奇石林立根连根・携手共绘石榴红”民族团结进步示范创建联盟合作，加快形成以点串线、以线连片、以片带面的示范创建格局。</w:t>
      </w:r>
    </w:p>
    <w:p w14:paraId="3EDBE879">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66"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90" w:name="_Toc2130628437"/>
      <w:bookmarkStart w:id="491" w:name="_Toc29466"/>
      <w:r>
        <w:rPr>
          <w:rFonts w:hint="eastAsia" w:ascii="宋体" w:hAnsi="宋体" w:eastAsia="黑体" w:cs="黑体"/>
          <w:b w:val="0"/>
          <w:bCs/>
          <w:color w:val="auto"/>
          <w:kern w:val="2"/>
          <w:sz w:val="32"/>
          <w:szCs w:val="24"/>
          <w:highlight w:val="none"/>
          <w:u w:val="none"/>
          <w:lang w:val="en-US" w:eastAsia="zh-CN" w:bidi="ar-SA"/>
        </w:rPr>
        <w:t>第四节  激活民族地区现代化新动能</w:t>
      </w:r>
      <w:bookmarkEnd w:id="490"/>
      <w:bookmarkEnd w:id="491"/>
    </w:p>
    <w:p w14:paraId="0E6A5A0A">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6" w:lineRule="exact"/>
        <w:ind w:left="0" w:leftChars="0" w:firstLine="640" w:firstLineChars="200"/>
        <w:jc w:val="both"/>
        <w:textAlignment w:val="auto"/>
        <w:outlineLvl w:val="9"/>
        <w:rPr>
          <w:rFonts w:hint="eastAsia" w:ascii="宋体" w:hAnsi="宋体" w:eastAsia="仿宋_GB2312" w:cs="Times New Roman Regular"/>
          <w:b w:val="0"/>
          <w:bCs w:val="0"/>
          <w:color w:val="auto"/>
          <w:spacing w:val="0"/>
          <w:kern w:val="2"/>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实施“幸福花开”工程，用好中央对民族地区财政转移支付等支持政策，主动争取差异化发展支持政策，培育发展乡村特色产业。推动民族手工业融合创新发展，支持民族文化、非物质文化遗产与旅游、创意、康体休闲融合发展产业项目实施，促进一二三产业融合发展，拓展民族地区各族群众增收渠道，增加群众收入。加快补齐交通、水利、能源、物流、信息等基础设施短板，稳步推进教育、基本医疗服务水平，改善生产生活条件和环境质量，努力打造可复制可推广具有中国特色、体现云南优势、彰显石林实践的共同现代化样板的一批“小箐村们”。全面推动教育、医疗、养老等基本公共服务不断完善，增强民族地区就业承载力和人口吸附力。积极申报全国旅游促“三交”计划试点培育城市，力争打造共同现代化试点“石林样板”。</w:t>
      </w:r>
    </w:p>
    <w:p w14:paraId="73A2324B">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42"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492" w:name="_Toc182326934"/>
      <w:bookmarkStart w:id="493" w:name="_Toc11961"/>
      <w:r>
        <w:rPr>
          <w:rFonts w:hint="eastAsia" w:ascii="宋体" w:hAnsi="宋体" w:eastAsia="黑体" w:cs="黑体"/>
          <w:b w:val="0"/>
          <w:bCs/>
          <w:color w:val="auto"/>
          <w:kern w:val="2"/>
          <w:sz w:val="32"/>
          <w:szCs w:val="24"/>
          <w:highlight w:val="none"/>
          <w:u w:val="none"/>
          <w:lang w:val="en-US" w:eastAsia="zh-CN" w:bidi="ar-SA"/>
        </w:rPr>
        <w:t>第五节  深化民族宗教事务治理</w:t>
      </w:r>
      <w:bookmarkEnd w:id="492"/>
      <w:bookmarkEnd w:id="493"/>
    </w:p>
    <w:p w14:paraId="27556C5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42" w:lineRule="exact"/>
        <w:ind w:left="0" w:leftChars="0" w:firstLine="640" w:firstLineChars="200"/>
        <w:jc w:val="both"/>
        <w:textAlignment w:val="auto"/>
        <w:outlineLvl w:val="9"/>
        <w:rPr>
          <w:rFonts w:hint="default" w:ascii="宋体" w:hAnsi="宋体" w:eastAsia="方正仿宋_GBK" w:cs="Times New Roman Regular"/>
          <w:color w:val="auto"/>
          <w:sz w:val="32"/>
          <w:szCs w:val="32"/>
          <w:highlight w:val="none"/>
          <w:u w:val="none" w:color="auto"/>
          <w:lang w:val="en-US" w:eastAsia="zh-CN"/>
        </w:rPr>
      </w:pPr>
      <w:r>
        <w:rPr>
          <w:rFonts w:hint="eastAsia" w:ascii="宋体" w:hAnsi="宋体" w:eastAsia="仿宋_GB2312" w:cs="Times New Roman Regular"/>
          <w:b w:val="0"/>
          <w:bCs w:val="0"/>
          <w:color w:val="auto"/>
          <w:sz w:val="32"/>
          <w:szCs w:val="32"/>
          <w:highlight w:val="none"/>
          <w:u w:val="none" w:color="auto"/>
          <w:lang w:val="en-US" w:eastAsia="zh-CN" w:bidi="ar"/>
        </w:rPr>
        <w:t>坚定不移走中国特色解决民族问题的道路，继续坚持和完善民族区域自治制度，积极稳妥开展涉及民族政策的专项清理，将民族事务治理纳入基层社会治理，持续推进民族事务治理体系和治理能力现代化。深化宗教事务治理。系统推进我国宗教中国化，提高宗教工作法治化水平。实施“润土培根”工程，强化对宗教界人士和信教群众的思想政治引领，持续开展宗教界人士“四条标准”思想教育、“爱党爱国爱社会主义”主题教育，支持宗教界全面从严治教，引导宗教界提高自我教育、自我管理、自我约束水平。深入开展“五进”宗教场所活动，常态化开展“爱党爱国爱社会主义”教育活动，积极引导宗教与社会主义社会相适应。</w:t>
      </w:r>
    </w:p>
    <w:p w14:paraId="695F0E65">
      <w:pPr>
        <w:keepNext w:val="0"/>
        <w:keepLines w:val="0"/>
        <w:pageBreakBefore w:val="0"/>
        <w:widowControl w:val="0"/>
        <w:numPr>
          <w:ilvl w:val="0"/>
          <w:numId w:val="0"/>
        </w:numPr>
        <w:kinsoku/>
        <w:wordWrap/>
        <w:overflowPunct/>
        <w:topLinePunct w:val="0"/>
        <w:autoSpaceDE/>
        <w:autoSpaceDN/>
        <w:bidi w:val="0"/>
        <w:adjustRightInd/>
        <w:snapToGrid w:val="0"/>
        <w:spacing w:before="400" w:beforeLines="0" w:beforeAutospacing="0" w:after="200" w:afterLines="0" w:afterAutospacing="0" w:line="52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kern w:val="44"/>
          <w:sz w:val="36"/>
          <w:szCs w:val="36"/>
          <w:highlight w:val="none"/>
          <w:lang w:val="en-US" w:eastAsia="zh-CN" w:bidi="ar-SA"/>
        </w:rPr>
      </w:pPr>
      <w:bookmarkStart w:id="494" w:name="_Toc1094501227"/>
      <w:bookmarkStart w:id="495" w:name="_Toc2057099116"/>
      <w:bookmarkStart w:id="496" w:name="_Toc22284"/>
      <w:bookmarkStart w:id="497" w:name="_Toc488805832"/>
      <w:bookmarkStart w:id="498" w:name="_Toc21698"/>
      <w:bookmarkStart w:id="499" w:name="_Toc432286392"/>
      <w:bookmarkStart w:id="500" w:name="_Toc1432906381"/>
      <w:bookmarkStart w:id="501" w:name="_Toc13418"/>
      <w:bookmarkStart w:id="502" w:name="_Toc2042291571"/>
      <w:bookmarkStart w:id="503" w:name="_Toc152777220"/>
      <w:bookmarkStart w:id="504" w:name="_Toc1984639164"/>
      <w:r>
        <w:rPr>
          <w:rFonts w:hint="eastAsia" w:ascii="方正小标宋简体" w:hAnsi="方正小标宋简体" w:eastAsia="方正小标宋简体" w:cs="方正小标宋简体"/>
          <w:b w:val="0"/>
          <w:bCs/>
          <w:color w:val="auto"/>
          <w:kern w:val="44"/>
          <w:sz w:val="36"/>
          <w:szCs w:val="36"/>
          <w:highlight w:val="none"/>
          <w:lang w:val="en-US" w:eastAsia="zh-CN" w:bidi="ar-SA"/>
        </w:rPr>
        <w:t>第八章  完善现代基础设施，夯实经济社会发展硬支撑</w:t>
      </w:r>
      <w:bookmarkEnd w:id="494"/>
      <w:bookmarkEnd w:id="495"/>
      <w:bookmarkEnd w:id="496"/>
      <w:bookmarkEnd w:id="497"/>
      <w:bookmarkEnd w:id="498"/>
      <w:bookmarkEnd w:id="499"/>
      <w:bookmarkEnd w:id="500"/>
      <w:bookmarkEnd w:id="501"/>
      <w:bookmarkEnd w:id="502"/>
      <w:bookmarkEnd w:id="503"/>
      <w:bookmarkEnd w:id="504"/>
    </w:p>
    <w:p w14:paraId="2425150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36" w:lineRule="exact"/>
        <w:ind w:left="0" w:leftChars="0" w:firstLine="640" w:firstLineChars="200"/>
        <w:jc w:val="both"/>
        <w:textAlignment w:val="auto"/>
        <w:outlineLvl w:val="9"/>
        <w:rPr>
          <w:rFonts w:hint="default" w:ascii="宋体" w:hAnsi="宋体" w:eastAsia="仿宋_GB2312" w:cs="Times New Roman Regular"/>
          <w:b w:val="0"/>
          <w:bCs/>
          <w:color w:val="auto"/>
          <w:sz w:val="32"/>
          <w:szCs w:val="32"/>
          <w:highlight w:val="none"/>
          <w:lang w:val="en-US" w:eastAsia="zh-CN"/>
        </w:rPr>
      </w:pPr>
      <w:r>
        <w:rPr>
          <w:rFonts w:hint="eastAsia" w:ascii="宋体" w:hAnsi="宋体" w:eastAsia="仿宋_GB2312" w:cs="Times New Roman Regular"/>
          <w:b w:val="0"/>
          <w:bCs w:val="0"/>
          <w:color w:val="auto"/>
          <w:sz w:val="32"/>
          <w:szCs w:val="32"/>
          <w:highlight w:val="none"/>
          <w:u w:val="none" w:color="auto"/>
          <w:lang w:bidi="ar"/>
        </w:rPr>
        <w:t>围绕昆明市建设面向南亚东南亚的区域性中心城市和国际性综合交通枢纽城市的定位，坚持融入滇中城市群和城乡融合发展</w:t>
      </w:r>
      <w:r>
        <w:rPr>
          <w:rFonts w:hint="eastAsia" w:ascii="宋体" w:hAnsi="宋体" w:eastAsia="仿宋_GB2312" w:cs="Times New Roman Regular"/>
          <w:b w:val="0"/>
          <w:bCs w:val="0"/>
          <w:color w:val="auto"/>
          <w:sz w:val="32"/>
          <w:szCs w:val="32"/>
          <w:highlight w:val="none"/>
          <w:u w:val="none" w:color="auto"/>
          <w:lang w:eastAsia="zh-CN" w:bidi="ar"/>
        </w:rPr>
        <w:t>，</w:t>
      </w:r>
      <w:r>
        <w:rPr>
          <w:rFonts w:hint="eastAsia" w:ascii="宋体" w:hAnsi="宋体" w:eastAsia="仿宋_GB2312" w:cs="Times New Roman Regular"/>
          <w:b w:val="0"/>
          <w:bCs w:val="0"/>
          <w:color w:val="auto"/>
          <w:sz w:val="32"/>
          <w:szCs w:val="32"/>
          <w:highlight w:val="none"/>
          <w:u w:val="none" w:color="auto"/>
          <w:lang w:bidi="ar"/>
        </w:rPr>
        <w:t>推动交通</w:t>
      </w:r>
      <w:r>
        <w:rPr>
          <w:rFonts w:hint="eastAsia" w:ascii="宋体" w:hAnsi="宋体" w:eastAsia="仿宋_GB2312" w:cs="Times New Roman Regular"/>
          <w:b w:val="0"/>
          <w:bCs w:val="0"/>
          <w:color w:val="auto"/>
          <w:sz w:val="32"/>
          <w:szCs w:val="32"/>
          <w:highlight w:val="none"/>
          <w:u w:val="none" w:color="auto"/>
          <w:lang w:val="en-US" w:eastAsia="zh-CN" w:bidi="ar"/>
        </w:rPr>
        <w:t>运输</w:t>
      </w:r>
      <w:r>
        <w:rPr>
          <w:rFonts w:hint="eastAsia" w:ascii="宋体" w:hAnsi="宋体" w:eastAsia="仿宋_GB2312" w:cs="Times New Roman Regular"/>
          <w:b w:val="0"/>
          <w:bCs w:val="0"/>
          <w:color w:val="auto"/>
          <w:sz w:val="32"/>
          <w:szCs w:val="32"/>
          <w:highlight w:val="none"/>
          <w:u w:val="none" w:color="auto"/>
          <w:lang w:bidi="ar"/>
        </w:rPr>
        <w:t>设施布局合理、功能完善、互联互通、运行高效，系统推进水利、能源、信息等</w:t>
      </w:r>
      <w:r>
        <w:rPr>
          <w:rFonts w:hint="eastAsia" w:ascii="宋体" w:hAnsi="宋体" w:eastAsia="仿宋_GB2312" w:cs="Times New Roman Regular"/>
          <w:b w:val="0"/>
          <w:bCs w:val="0"/>
          <w:color w:val="auto"/>
          <w:sz w:val="32"/>
          <w:szCs w:val="32"/>
          <w:highlight w:val="none"/>
          <w:u w:val="none" w:color="auto"/>
          <w:lang w:val="en-US" w:eastAsia="zh-CN" w:bidi="ar"/>
        </w:rPr>
        <w:t>基础</w:t>
      </w:r>
      <w:r>
        <w:rPr>
          <w:rFonts w:hint="eastAsia" w:ascii="宋体" w:hAnsi="宋体" w:eastAsia="仿宋_GB2312" w:cs="Times New Roman Regular"/>
          <w:b w:val="0"/>
          <w:bCs w:val="0"/>
          <w:color w:val="auto"/>
          <w:sz w:val="32"/>
          <w:szCs w:val="32"/>
          <w:highlight w:val="none"/>
          <w:u w:val="none" w:color="auto"/>
          <w:lang w:bidi="ar"/>
        </w:rPr>
        <w:t>设施建设</w:t>
      </w:r>
      <w:r>
        <w:rPr>
          <w:rFonts w:hint="eastAsia" w:ascii="宋体" w:hAnsi="宋体" w:eastAsia="仿宋_GB2312" w:cs="Times New Roman Regular"/>
          <w:b w:val="0"/>
          <w:bCs w:val="0"/>
          <w:color w:val="auto"/>
          <w:sz w:val="32"/>
          <w:szCs w:val="32"/>
          <w:highlight w:val="none"/>
          <w:u w:val="none" w:color="auto"/>
          <w:lang w:eastAsia="zh-CN" w:bidi="ar"/>
        </w:rPr>
        <w:t>，</w:t>
      </w:r>
      <w:r>
        <w:rPr>
          <w:rFonts w:hint="eastAsia" w:ascii="宋体" w:hAnsi="宋体" w:eastAsia="仿宋_GB2312" w:cs="Times New Roman Regular"/>
          <w:b w:val="0"/>
          <w:bCs w:val="0"/>
          <w:color w:val="auto"/>
          <w:sz w:val="32"/>
          <w:szCs w:val="32"/>
          <w:highlight w:val="none"/>
          <w:u w:val="none" w:color="auto"/>
          <w:lang w:val="en-US" w:eastAsia="zh-CN" w:bidi="ar"/>
        </w:rPr>
        <w:t>推进基础设施领域REITs发行，促进投资良性循环，</w:t>
      </w:r>
      <w:r>
        <w:rPr>
          <w:rFonts w:hint="eastAsia" w:ascii="宋体" w:hAnsi="宋体" w:eastAsia="仿宋_GB2312" w:cs="Times New Roman Regular"/>
          <w:b w:val="0"/>
          <w:bCs w:val="0"/>
          <w:color w:val="auto"/>
          <w:sz w:val="32"/>
          <w:szCs w:val="32"/>
          <w:highlight w:val="none"/>
          <w:u w:val="none" w:color="auto"/>
          <w:lang w:eastAsia="zh-CN" w:bidi="ar"/>
        </w:rPr>
        <w:t>强化中国式现代化</w:t>
      </w:r>
      <w:r>
        <w:rPr>
          <w:rFonts w:hint="eastAsia" w:ascii="宋体" w:hAnsi="宋体" w:eastAsia="仿宋_GB2312" w:cs="Times New Roman Regular"/>
          <w:b w:val="0"/>
          <w:bCs w:val="0"/>
          <w:color w:val="auto"/>
          <w:sz w:val="32"/>
          <w:szCs w:val="32"/>
          <w:highlight w:val="none"/>
          <w:u w:val="none" w:color="auto"/>
          <w:lang w:val="en-US" w:eastAsia="zh-CN" w:bidi="ar"/>
        </w:rPr>
        <w:t>石林</w:t>
      </w:r>
      <w:r>
        <w:rPr>
          <w:rFonts w:hint="eastAsia" w:ascii="宋体" w:hAnsi="宋体" w:eastAsia="仿宋_GB2312" w:cs="Times New Roman Regular"/>
          <w:b w:val="0"/>
          <w:bCs w:val="0"/>
          <w:color w:val="auto"/>
          <w:sz w:val="32"/>
          <w:szCs w:val="32"/>
          <w:highlight w:val="none"/>
          <w:u w:val="none" w:color="auto"/>
          <w:lang w:eastAsia="zh-CN" w:bidi="ar"/>
        </w:rPr>
        <w:t>实践建设</w:t>
      </w:r>
      <w:r>
        <w:rPr>
          <w:rFonts w:hint="eastAsia" w:ascii="宋体" w:hAnsi="宋体" w:eastAsia="仿宋_GB2312" w:cs="Times New Roman Regular"/>
          <w:b w:val="0"/>
          <w:bCs w:val="0"/>
          <w:color w:val="auto"/>
          <w:sz w:val="32"/>
          <w:szCs w:val="32"/>
          <w:highlight w:val="none"/>
          <w:u w:val="none" w:color="auto"/>
          <w:lang w:val="en-US" w:eastAsia="zh-CN" w:bidi="ar"/>
        </w:rPr>
        <w:t>基础</w:t>
      </w:r>
      <w:r>
        <w:rPr>
          <w:rFonts w:hint="eastAsia" w:ascii="宋体" w:hAnsi="宋体" w:eastAsia="仿宋_GB2312" w:cs="Times New Roman Regular"/>
          <w:b w:val="0"/>
          <w:bCs w:val="0"/>
          <w:color w:val="auto"/>
          <w:sz w:val="32"/>
          <w:szCs w:val="32"/>
          <w:highlight w:val="none"/>
          <w:u w:val="none" w:color="auto"/>
          <w:lang w:eastAsia="zh-CN" w:bidi="ar"/>
        </w:rPr>
        <w:t>支撑。</w:t>
      </w:r>
    </w:p>
    <w:p w14:paraId="321F0A37">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36"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505" w:name="_Toc1563303796"/>
      <w:bookmarkStart w:id="506" w:name="_Toc2084685634"/>
      <w:bookmarkStart w:id="507" w:name="_Toc32094"/>
      <w:bookmarkStart w:id="508" w:name="_Toc500212543"/>
      <w:bookmarkStart w:id="509" w:name="_Toc1483778375"/>
      <w:bookmarkStart w:id="510" w:name="_Toc1325609559"/>
      <w:bookmarkStart w:id="511" w:name="_Toc1519"/>
      <w:bookmarkStart w:id="512" w:name="_Toc1234668649"/>
      <w:bookmarkStart w:id="513" w:name="_Toc19036"/>
      <w:bookmarkStart w:id="514" w:name="_Toc975928009"/>
      <w:bookmarkStart w:id="515" w:name="_Toc1114424144"/>
      <w:r>
        <w:rPr>
          <w:rFonts w:hint="eastAsia" w:ascii="宋体" w:hAnsi="宋体" w:eastAsia="黑体" w:cs="黑体"/>
          <w:b w:val="0"/>
          <w:bCs/>
          <w:color w:val="auto"/>
          <w:kern w:val="2"/>
          <w:sz w:val="32"/>
          <w:szCs w:val="24"/>
          <w:highlight w:val="none"/>
          <w:u w:val="none"/>
          <w:lang w:val="en-US" w:eastAsia="zh-CN" w:bidi="ar-SA"/>
        </w:rPr>
        <w:t>第一节  构建综合立体交通运输网络</w:t>
      </w:r>
      <w:bookmarkEnd w:id="505"/>
      <w:bookmarkEnd w:id="506"/>
      <w:bookmarkEnd w:id="507"/>
      <w:bookmarkEnd w:id="508"/>
      <w:bookmarkEnd w:id="509"/>
      <w:bookmarkEnd w:id="510"/>
      <w:bookmarkEnd w:id="511"/>
      <w:bookmarkEnd w:id="512"/>
      <w:bookmarkEnd w:id="513"/>
      <w:bookmarkEnd w:id="514"/>
      <w:bookmarkEnd w:id="515"/>
    </w:p>
    <w:p w14:paraId="123EDD8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36" w:lineRule="exact"/>
        <w:ind w:left="0" w:leftChars="0" w:firstLine="640" w:firstLineChars="200"/>
        <w:jc w:val="both"/>
        <w:textAlignment w:val="auto"/>
        <w:outlineLvl w:val="9"/>
        <w:rPr>
          <w:rFonts w:hint="eastAsia" w:ascii="宋体" w:hAnsi="宋体" w:eastAsia="仿宋_GB2312" w:cs="Times New Roman Regular"/>
          <w:bCs w:val="0"/>
          <w:color w:val="auto"/>
          <w:sz w:val="32"/>
          <w:szCs w:val="32"/>
          <w:highlight w:val="none"/>
          <w:u w:val="none" w:color="auto"/>
          <w:lang w:val="en-US" w:eastAsia="zh-CN" w:bidi="ar"/>
        </w:rPr>
      </w:pPr>
      <w:r>
        <w:rPr>
          <w:rFonts w:hint="eastAsia" w:ascii="宋体" w:hAnsi="宋体" w:eastAsia="仿宋_GB2312" w:cs="Times New Roman Regular"/>
          <w:bCs w:val="0"/>
          <w:color w:val="auto"/>
          <w:sz w:val="32"/>
          <w:szCs w:val="32"/>
          <w:highlight w:val="none"/>
          <w:u w:val="none" w:color="auto"/>
          <w:lang w:val="en-US" w:eastAsia="zh-CN" w:bidi="ar"/>
        </w:rPr>
        <w:t>聚焦“联网、补网、强链”，加快补齐县域交通基础设施短板，不断完善对内对外连接通道，推动“交通+”跨界融合，全面构建高效便捷的交通运输网络。</w:t>
      </w:r>
    </w:p>
    <w:p w14:paraId="0B928096">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00" w:lineRule="exact"/>
        <w:ind w:left="0" w:leftChars="0" w:firstLine="640" w:firstLineChars="200"/>
        <w:jc w:val="both"/>
        <w:textAlignment w:val="auto"/>
        <w:outlineLvl w:val="2"/>
        <w:rPr>
          <w:rFonts w:hint="eastAsia" w:ascii="宋体" w:hAnsi="宋体" w:eastAsia="楷体_GB2312" w:cs="楷体_GB2312"/>
          <w:b w:val="0"/>
          <w:color w:val="auto"/>
          <w:kern w:val="2"/>
          <w:sz w:val="32"/>
          <w:szCs w:val="24"/>
          <w:highlight w:val="none"/>
          <w:lang w:val="en-US" w:eastAsia="zh-CN" w:bidi="ar-SA"/>
        </w:rPr>
      </w:pPr>
      <w:r>
        <w:rPr>
          <w:rFonts w:hint="eastAsia" w:ascii="宋体" w:hAnsi="宋体" w:eastAsia="楷体_GB2312" w:cs="楷体_GB2312"/>
          <w:b w:val="0"/>
          <w:color w:val="auto"/>
          <w:kern w:val="2"/>
          <w:sz w:val="32"/>
          <w:szCs w:val="24"/>
          <w:highlight w:val="none"/>
          <w:lang w:val="en-US" w:eastAsia="zh-CN" w:bidi="ar-SA"/>
        </w:rPr>
        <w:t>一、完善综合交通设施建设</w:t>
      </w:r>
    </w:p>
    <w:p w14:paraId="3C4C6DF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36" w:lineRule="exact"/>
        <w:ind w:left="0" w:leftChars="0" w:firstLine="640" w:firstLineChars="200"/>
        <w:jc w:val="both"/>
        <w:textAlignment w:val="auto"/>
        <w:outlineLvl w:val="9"/>
        <w:rPr>
          <w:rFonts w:hint="eastAsia" w:ascii="宋体" w:hAnsi="宋体" w:eastAsia="仿宋_GB2312" w:cs="Times New Roman Regular"/>
          <w:b w:val="0"/>
          <w:bCs w:val="0"/>
          <w:color w:val="auto"/>
          <w:kern w:val="2"/>
          <w:sz w:val="32"/>
          <w:szCs w:val="32"/>
          <w:highlight w:val="none"/>
          <w:u w:val="none" w:color="auto"/>
          <w:lang w:val="en-US" w:eastAsia="zh-CN" w:bidi="ar"/>
        </w:rPr>
      </w:pPr>
      <w:r>
        <w:rPr>
          <w:rFonts w:hint="eastAsia" w:ascii="宋体" w:hAnsi="宋体" w:eastAsia="仿宋_GB2312" w:cs="Times New Roman Regular"/>
          <w:b w:val="0"/>
          <w:bCs w:val="0"/>
          <w:color w:val="auto"/>
          <w:kern w:val="2"/>
          <w:sz w:val="32"/>
          <w:szCs w:val="32"/>
          <w:highlight w:val="none"/>
          <w:u w:val="none" w:color="auto"/>
          <w:lang w:val="en-US" w:eastAsia="zh-CN" w:bidi="ar"/>
        </w:rPr>
        <w:t>积极融入昆明市“三环十八射多联”运输通道布局，推动石林南站铁路专用线升级，积极畅通云桂铁路、南昆铁路与石林西站之间的联结通道，做好配套设施谋划建设，推动实现客运“零换乘”、货运“无缝衔接”。配合做好G78汕昆高速/G80广昆高速石林至昆明段改扩建工程，开工建设国道G326和G324线石林县城过境公路。推进九石阿旅游专线石林段修复养护工程、县城至长湖风景区旅游专线建设，全力争取北召公路纳入省资源路产业路项目库。推动矿山周边农村公路修缮，实施堡子至所各邑乡等农村公路提档升级改造工程，巩固“四好农村路”发展成果，提升乡镇通三级公路比重。加强与省市通用航空产业发展规划对接，提前做好机场场站、进场通道布局，力争石林通用机场项目落地。推动智慧交通建设，推进国省干线、农村公路等重点路段智能感知设备全覆盖，加快智慧停车设施建设，提高交通管理效率和服务质量。</w:t>
      </w:r>
    </w:p>
    <w:p w14:paraId="62C08201">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00" w:lineRule="exact"/>
        <w:ind w:left="0" w:leftChars="0" w:firstLine="640" w:firstLineChars="200"/>
        <w:jc w:val="both"/>
        <w:textAlignment w:val="auto"/>
        <w:outlineLvl w:val="2"/>
        <w:rPr>
          <w:rFonts w:hint="eastAsia" w:ascii="宋体" w:hAnsi="宋体" w:eastAsia="楷体_GB2312" w:cs="楷体_GB2312"/>
          <w:b w:val="0"/>
          <w:color w:val="auto"/>
          <w:kern w:val="2"/>
          <w:sz w:val="32"/>
          <w:szCs w:val="24"/>
          <w:highlight w:val="none"/>
          <w:lang w:val="en-US" w:eastAsia="zh-CN" w:bidi="ar-SA"/>
        </w:rPr>
      </w:pPr>
      <w:r>
        <w:rPr>
          <w:rFonts w:hint="eastAsia" w:ascii="宋体" w:hAnsi="宋体" w:eastAsia="楷体_GB2312" w:cs="楷体_GB2312"/>
          <w:b w:val="0"/>
          <w:color w:val="auto"/>
          <w:kern w:val="2"/>
          <w:sz w:val="32"/>
          <w:szCs w:val="24"/>
          <w:highlight w:val="none"/>
          <w:lang w:val="en-US" w:eastAsia="zh-CN" w:bidi="ar-SA"/>
        </w:rPr>
        <w:t>二、推动交通运输融合发展</w:t>
      </w:r>
    </w:p>
    <w:p w14:paraId="004B6AEA">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00" w:lineRule="exact"/>
        <w:ind w:left="0" w:leftChars="0" w:firstLine="640" w:firstLineChars="200"/>
        <w:jc w:val="left"/>
        <w:textAlignment w:val="auto"/>
        <w:outlineLvl w:val="9"/>
        <w:rPr>
          <w:rFonts w:hint="eastAsia" w:ascii="宋体" w:hAnsi="宋体" w:eastAsia="方正仿宋_GBK" w:cs="Times New Roman Regular"/>
          <w:bCs w:val="0"/>
          <w:color w:val="auto"/>
          <w:kern w:val="2"/>
          <w:sz w:val="32"/>
          <w:szCs w:val="32"/>
          <w:highlight w:val="none"/>
          <w:u w:val="none" w:color="auto"/>
          <w:lang w:val="en-US" w:eastAsia="zh-CN" w:bidi="ar"/>
        </w:rPr>
      </w:pPr>
      <w:r>
        <w:rPr>
          <w:rFonts w:hint="eastAsia" w:ascii="宋体" w:hAnsi="宋体" w:eastAsia="仿宋_GB2312" w:cs="Times New Roman Regular"/>
          <w:bCs w:val="0"/>
          <w:color w:val="auto"/>
          <w:kern w:val="2"/>
          <w:sz w:val="32"/>
          <w:szCs w:val="32"/>
          <w:highlight w:val="none"/>
          <w:u w:val="none" w:color="auto"/>
          <w:lang w:val="en-US" w:eastAsia="zh-CN" w:bidi="ar"/>
        </w:rPr>
        <w:t>聚焦“绿色、经济、包容、韧性”，加大资源整合力度，推动“交通+”跨界融合。积极</w:t>
      </w:r>
      <w:r>
        <w:rPr>
          <w:rFonts w:hint="eastAsia" w:ascii="宋体" w:hAnsi="宋体" w:eastAsia="仿宋_GB2312" w:cs="Times New Roman Regular"/>
          <w:bCs w:val="0"/>
          <w:color w:val="auto"/>
          <w:sz w:val="32"/>
          <w:szCs w:val="32"/>
          <w:highlight w:val="none"/>
          <w:u w:val="none" w:color="auto"/>
          <w:lang w:val="en-US" w:eastAsia="zh-CN" w:bidi="ar"/>
        </w:rPr>
        <w:t>促进交通与旅游、商贸等业态融合发展，加快构建</w:t>
      </w:r>
      <w:r>
        <w:rPr>
          <w:rFonts w:hint="eastAsia" w:ascii="宋体" w:hAnsi="宋体" w:eastAsia="仿宋_GB2312" w:cs="Times New Roman Regular"/>
          <w:bCs w:val="0"/>
          <w:color w:val="auto"/>
          <w:kern w:val="2"/>
          <w:sz w:val="32"/>
          <w:szCs w:val="32"/>
          <w:highlight w:val="none"/>
          <w:u w:val="none" w:color="auto"/>
          <w:lang w:val="en-US" w:eastAsia="zh-CN" w:bidi="ar"/>
        </w:rPr>
        <w:t>“快进慢游”交通网络，因地制宜布局服务区商贸物流、旅游集散等服务业态。推动“交通+能源”融合发展，</w:t>
      </w:r>
      <w:r>
        <w:rPr>
          <w:rFonts w:hint="eastAsia" w:ascii="宋体" w:hAnsi="宋体" w:eastAsia="仿宋_GB2312" w:cs="Times New Roman Regular"/>
          <w:bCs w:val="0"/>
          <w:color w:val="auto"/>
          <w:sz w:val="32"/>
          <w:szCs w:val="32"/>
          <w:highlight w:val="none"/>
          <w:u w:val="none" w:color="auto"/>
          <w:lang w:val="en-US" w:eastAsia="zh-CN" w:bidi="ar"/>
        </w:rPr>
        <w:t>加强公路充（换）电站设施网络与电网布局相协同，探索开展</w:t>
      </w:r>
      <w:r>
        <w:rPr>
          <w:rFonts w:hint="eastAsia" w:ascii="宋体" w:hAnsi="宋体" w:eastAsia="仿宋_GB2312" w:cs="Times New Roman Regular"/>
          <w:bCs w:val="0"/>
          <w:color w:val="auto"/>
          <w:kern w:val="2"/>
          <w:sz w:val="32"/>
          <w:szCs w:val="32"/>
          <w:highlight w:val="none"/>
          <w:u w:val="none" w:color="auto"/>
          <w:lang w:val="en-US" w:eastAsia="zh-CN" w:bidi="ar"/>
        </w:rPr>
        <w:t>“源—网—荷—储—充”试点，</w:t>
      </w:r>
      <w:r>
        <w:rPr>
          <w:rFonts w:hint="eastAsia" w:ascii="宋体" w:hAnsi="宋体" w:eastAsia="仿宋_GB2312" w:cs="Times New Roman Regular"/>
          <w:b w:val="0"/>
          <w:bCs w:val="0"/>
          <w:color w:val="auto"/>
          <w:spacing w:val="0"/>
          <w:kern w:val="2"/>
          <w:sz w:val="32"/>
          <w:szCs w:val="32"/>
          <w:highlight w:val="none"/>
          <w:u w:val="none" w:color="auto"/>
          <w:lang w:val="en-US" w:eastAsia="zh-CN" w:bidi="ar"/>
        </w:rPr>
        <w:t>在服务区、枢纽场站等场景推广光伏发电、储能设施应用。完善新能源汽车充电网络布局，</w:t>
      </w:r>
      <w:r>
        <w:rPr>
          <w:rFonts w:hint="eastAsia" w:ascii="宋体" w:hAnsi="宋体" w:eastAsia="仿宋_GB2312" w:cs="Times New Roman Regular"/>
          <w:bCs w:val="0"/>
          <w:color w:val="auto"/>
          <w:kern w:val="2"/>
          <w:sz w:val="32"/>
          <w:szCs w:val="32"/>
          <w:highlight w:val="none"/>
          <w:u w:val="none" w:color="auto"/>
          <w:lang w:val="en-US" w:eastAsia="zh-CN" w:bidi="ar"/>
        </w:rPr>
        <w:t>扩大低碳交通运输工具在城市公交、出租、邮政快递、城市货运配送等领域应用规模。适时启动石林县客货邮融合发展中心建设，完善农村客货邮融合布局站点体系。</w:t>
      </w:r>
    </w:p>
    <w:tbl>
      <w:tblPr>
        <w:tblStyle w:val="1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6DC9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atLeast"/>
        </w:trPr>
        <w:tc>
          <w:tcPr>
            <w:tcW w:w="9060" w:type="dxa"/>
          </w:tcPr>
          <w:p w14:paraId="37F6D2B2">
            <w:pPr>
              <w:keepNext w:val="0"/>
              <w:keepLines w:val="0"/>
              <w:pageBreakBefore w:val="0"/>
              <w:widowControl w:val="0"/>
              <w:numPr>
                <w:ilvl w:val="-1"/>
                <w:numId w:val="0"/>
              </w:numPr>
              <w:kinsoku/>
              <w:wordWrap/>
              <w:overflowPunct/>
              <w:topLinePunct w:val="0"/>
              <w:autoSpaceDE/>
              <w:autoSpaceDN/>
              <w:bidi w:val="0"/>
              <w:adjustRightInd/>
              <w:snapToGrid w:val="0"/>
              <w:spacing w:beforeLines="0" w:after="0" w:afterLines="0" w:afterAutospacing="0" w:line="520" w:lineRule="exact"/>
              <w:ind w:left="0" w:leftChars="0" w:firstLine="0" w:firstLineChars="0"/>
              <w:jc w:val="center"/>
              <w:textAlignment w:val="auto"/>
              <w:outlineLvl w:val="9"/>
              <w:rPr>
                <w:rFonts w:hint="default" w:ascii="宋体" w:hAnsi="宋体" w:eastAsia="方正楷体_GBK" w:cs="Times New Roman Regular"/>
                <w:bCs/>
                <w:color w:val="auto"/>
                <w:kern w:val="2"/>
                <w:sz w:val="28"/>
                <w:szCs w:val="28"/>
                <w:highlight w:val="none"/>
                <w:vertAlign w:val="baseline"/>
                <w:lang w:val="en-US" w:eastAsia="zh-CN" w:bidi="ar"/>
              </w:rPr>
            </w:pPr>
            <w:r>
              <w:rPr>
                <w:rFonts w:hint="eastAsia" w:ascii="黑体" w:hAnsi="黑体" w:eastAsia="黑体" w:cs="黑体"/>
                <w:bCs/>
                <w:color w:val="auto"/>
                <w:kern w:val="2"/>
                <w:sz w:val="28"/>
                <w:szCs w:val="28"/>
                <w:highlight w:val="none"/>
                <w:vertAlign w:val="baseline"/>
                <w:lang w:val="en-US" w:eastAsia="zh-CN" w:bidi="ar"/>
              </w:rPr>
              <w:t>专栏9  现代化综合交通建设重点工程</w:t>
            </w:r>
          </w:p>
        </w:tc>
      </w:tr>
      <w:tr w14:paraId="1CDA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6" w:hRule="atLeast"/>
        </w:trPr>
        <w:tc>
          <w:tcPr>
            <w:tcW w:w="9060" w:type="dxa"/>
            <w:vAlign w:val="center"/>
          </w:tcPr>
          <w:p w14:paraId="44A874E4">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380" w:lineRule="exact"/>
              <w:ind w:left="0" w:leftChars="0" w:firstLine="562" w:firstLineChars="200"/>
              <w:jc w:val="both"/>
              <w:textAlignment w:val="auto"/>
              <w:outlineLvl w:val="9"/>
              <w:rPr>
                <w:rFonts w:hint="eastAsia" w:ascii="宋体" w:hAnsi="宋体" w:eastAsia="仿宋_GB2312" w:cs="仿宋_GB2312"/>
                <w:b w:val="0"/>
                <w:bCs w:val="0"/>
                <w:i w:val="0"/>
                <w:color w:val="auto"/>
                <w:sz w:val="28"/>
                <w:szCs w:val="28"/>
                <w:vertAlign w:val="baseline"/>
                <w:lang w:val="en-US" w:eastAsia="zh-CN"/>
              </w:rPr>
            </w:pPr>
            <w:r>
              <w:rPr>
                <w:rFonts w:hint="eastAsia" w:ascii="宋体" w:hAnsi="宋体" w:eastAsia="仿宋_GB2312" w:cs="仿宋_GB2312"/>
                <w:b/>
                <w:bCs/>
                <w:i w:val="0"/>
                <w:color w:val="auto"/>
                <w:sz w:val="28"/>
                <w:szCs w:val="28"/>
                <w:vertAlign w:val="baseline"/>
                <w:lang w:val="en-US" w:eastAsia="zh-CN"/>
              </w:rPr>
              <w:t>县乡公路建设工程。</w:t>
            </w:r>
            <w:r>
              <w:rPr>
                <w:rFonts w:hint="eastAsia" w:ascii="宋体" w:hAnsi="宋体" w:eastAsia="仿宋_GB2312" w:cs="仿宋_GB2312"/>
                <w:b w:val="0"/>
                <w:bCs w:val="0"/>
                <w:i w:val="0"/>
                <w:color w:val="auto"/>
                <w:sz w:val="28"/>
                <w:szCs w:val="28"/>
                <w:vertAlign w:val="baseline"/>
                <w:lang w:val="en-US" w:eastAsia="zh-CN"/>
              </w:rPr>
              <w:t>重点推进石林县北召公路月湖至新木凹段资源路产业路、县城至长湖风景区旅游专线二期、鹿平公路矣马伴至平田段公路改扩建、堡子至所各邑乡村公路修缮、长湖风景区至大叠水风景区公路、矣木公路四改二工程、豆金线（石黄牛至长湖风景区段）改造提升，全面提升县域县乡公路等级和运输服务能力，构建高效畅通的区域交通走廊。</w:t>
            </w:r>
          </w:p>
          <w:p w14:paraId="15116F69">
            <w:pPr>
              <w:keepNext w:val="0"/>
              <w:keepLines w:val="0"/>
              <w:pageBreakBefore w:val="0"/>
              <w:widowControl w:val="0"/>
              <w:numPr>
                <w:ilvl w:val="-1"/>
                <w:numId w:val="0"/>
              </w:numPr>
              <w:kinsoku/>
              <w:wordWrap/>
              <w:overflowPunct/>
              <w:topLinePunct w:val="0"/>
              <w:autoSpaceDE/>
              <w:autoSpaceDN/>
              <w:bidi w:val="0"/>
              <w:adjustRightInd/>
              <w:snapToGrid w:val="0"/>
              <w:spacing w:beforeLines="0" w:after="0" w:afterLines="0" w:afterAutospacing="0" w:line="380" w:lineRule="exact"/>
              <w:ind w:left="0" w:leftChars="0" w:firstLine="562" w:firstLineChars="200"/>
              <w:jc w:val="both"/>
              <w:textAlignment w:val="auto"/>
              <w:outlineLvl w:val="9"/>
              <w:rPr>
                <w:rFonts w:hint="eastAsia" w:ascii="宋体" w:hAnsi="宋体" w:eastAsia="仿宋_GB2312" w:cs="仿宋_GB2312"/>
                <w:b w:val="0"/>
                <w:bCs w:val="0"/>
                <w:i w:val="0"/>
                <w:color w:val="auto"/>
                <w:kern w:val="2"/>
                <w:sz w:val="28"/>
                <w:szCs w:val="28"/>
                <w:vertAlign w:val="baseline"/>
                <w:lang w:val="en-US" w:eastAsia="zh-CN" w:bidi="ar-SA"/>
              </w:rPr>
            </w:pPr>
            <w:r>
              <w:rPr>
                <w:rFonts w:hint="eastAsia" w:ascii="宋体" w:hAnsi="宋体" w:eastAsia="仿宋_GB2312" w:cs="仿宋_GB2312"/>
                <w:b/>
                <w:bCs/>
                <w:i w:val="0"/>
                <w:color w:val="auto"/>
                <w:kern w:val="2"/>
                <w:sz w:val="28"/>
                <w:szCs w:val="28"/>
                <w:vertAlign w:val="baseline"/>
                <w:lang w:val="en-US" w:eastAsia="zh-CN" w:bidi="ar-SA"/>
              </w:rPr>
              <w:t>农村公路建设工程。</w:t>
            </w:r>
            <w:r>
              <w:rPr>
                <w:rFonts w:hint="eastAsia" w:ascii="宋体" w:hAnsi="宋体" w:eastAsia="仿宋_GB2312" w:cs="仿宋_GB2312"/>
                <w:b w:val="0"/>
                <w:bCs w:val="0"/>
                <w:i w:val="0"/>
                <w:color w:val="auto"/>
                <w:kern w:val="2"/>
                <w:sz w:val="28"/>
                <w:szCs w:val="28"/>
                <w:vertAlign w:val="baseline"/>
                <w:lang w:val="en-US" w:eastAsia="zh-CN" w:bidi="ar-SA"/>
              </w:rPr>
              <w:t>实施乡道、村道提档升级改造（单车道改双车道）</w:t>
            </w:r>
            <w:r>
              <w:rPr>
                <w:rFonts w:hint="eastAsia" w:ascii="宋体" w:hAnsi="宋体" w:eastAsia="仿宋_GB2312" w:cs="宋体"/>
                <w:b w:val="0"/>
                <w:bCs w:val="0"/>
                <w:i w:val="0"/>
                <w:color w:val="auto"/>
                <w:kern w:val="2"/>
                <w:sz w:val="28"/>
                <w:szCs w:val="28"/>
                <w:vertAlign w:val="baseline"/>
                <w:lang w:val="en-US" w:eastAsia="zh-CN" w:bidi="ar-SA"/>
              </w:rPr>
              <w:t>32</w:t>
            </w:r>
            <w:r>
              <w:rPr>
                <w:rFonts w:hint="eastAsia" w:ascii="宋体" w:hAnsi="宋体" w:eastAsia="仿宋_GB2312" w:cs="仿宋_GB2312"/>
                <w:b w:val="0"/>
                <w:bCs w:val="0"/>
                <w:i w:val="0"/>
                <w:color w:val="auto"/>
                <w:kern w:val="2"/>
                <w:sz w:val="28"/>
                <w:szCs w:val="28"/>
                <w:vertAlign w:val="baseline"/>
                <w:lang w:val="en-US" w:eastAsia="zh-CN" w:bidi="ar-SA"/>
              </w:rPr>
              <w:t>条</w:t>
            </w:r>
            <w:r>
              <w:rPr>
                <w:rFonts w:hint="eastAsia" w:ascii="宋体" w:hAnsi="宋体" w:eastAsia="仿宋_GB2312" w:cs="宋体"/>
                <w:b w:val="0"/>
                <w:bCs w:val="0"/>
                <w:i w:val="0"/>
                <w:color w:val="auto"/>
                <w:kern w:val="2"/>
                <w:sz w:val="28"/>
                <w:szCs w:val="28"/>
                <w:vertAlign w:val="baseline"/>
                <w:lang w:val="en-US" w:eastAsia="zh-CN" w:bidi="ar-SA"/>
              </w:rPr>
              <w:t>114</w:t>
            </w:r>
            <w:r>
              <w:rPr>
                <w:rFonts w:hint="eastAsia" w:ascii="宋体" w:hAnsi="宋体" w:eastAsia="仿宋_GB2312" w:cs="仿宋_GB2312"/>
                <w:b w:val="0"/>
                <w:bCs w:val="0"/>
                <w:i w:val="0"/>
                <w:color w:val="auto"/>
                <w:kern w:val="2"/>
                <w:sz w:val="28"/>
                <w:szCs w:val="28"/>
                <w:vertAlign w:val="baseline"/>
                <w:lang w:val="en-US" w:eastAsia="zh-CN" w:bidi="ar-SA"/>
              </w:rPr>
              <w:t>公里，推进</w:t>
            </w:r>
            <w:r>
              <w:rPr>
                <w:rFonts w:hint="eastAsia" w:ascii="宋体" w:hAnsi="宋体" w:eastAsia="仿宋_GB2312" w:cs="仿宋_GB2312"/>
                <w:color w:val="auto"/>
                <w:kern w:val="2"/>
                <w:sz w:val="28"/>
                <w:szCs w:val="28"/>
                <w:lang w:val="en-US" w:eastAsia="zh-CN" w:bidi="ar-SA"/>
              </w:rPr>
              <w:t>建制村硬化路加宽改造、全面巩固自然村路网加密硬化、农村公路安防和危桥改造</w:t>
            </w:r>
            <w:r>
              <w:rPr>
                <w:rFonts w:hint="eastAsia" w:ascii="宋体" w:hAnsi="宋体" w:eastAsia="仿宋_GB2312" w:cs="仿宋_GB2312"/>
                <w:b w:val="0"/>
                <w:bCs w:val="0"/>
                <w:i w:val="0"/>
                <w:color w:val="auto"/>
                <w:kern w:val="2"/>
                <w:sz w:val="28"/>
                <w:szCs w:val="28"/>
                <w:vertAlign w:val="baseline"/>
                <w:lang w:val="en-US" w:eastAsia="zh-CN" w:bidi="ar-SA"/>
              </w:rPr>
              <w:t>。</w:t>
            </w:r>
            <w:r>
              <w:rPr>
                <w:rFonts w:hint="eastAsia" w:ascii="宋体" w:hAnsi="宋体" w:eastAsia="仿宋_GB2312" w:cs="仿宋_GB2312"/>
                <w:b w:val="0"/>
                <w:bCs w:val="0"/>
                <w:color w:val="auto"/>
                <w:spacing w:val="0"/>
                <w:kern w:val="2"/>
                <w:sz w:val="28"/>
                <w:szCs w:val="28"/>
                <w:highlight w:val="none"/>
                <w:lang w:val="en-US" w:eastAsia="zh-CN" w:bidi="ar-SA"/>
              </w:rPr>
              <w:t>到</w:t>
            </w:r>
            <w:r>
              <w:rPr>
                <w:rFonts w:hint="eastAsia" w:ascii="宋体" w:hAnsi="宋体" w:eastAsia="仿宋_GB2312" w:cs="宋体"/>
                <w:b w:val="0"/>
                <w:bCs w:val="0"/>
                <w:color w:val="auto"/>
                <w:spacing w:val="0"/>
                <w:kern w:val="2"/>
                <w:sz w:val="28"/>
                <w:szCs w:val="28"/>
                <w:highlight w:val="none"/>
                <w:lang w:val="en-US" w:eastAsia="zh-CN" w:bidi="ar-SA"/>
              </w:rPr>
              <w:t>2030</w:t>
            </w:r>
            <w:r>
              <w:rPr>
                <w:rFonts w:hint="eastAsia" w:ascii="宋体" w:hAnsi="宋体" w:eastAsia="仿宋_GB2312" w:cs="仿宋_GB2312"/>
                <w:b w:val="0"/>
                <w:bCs w:val="0"/>
                <w:color w:val="auto"/>
                <w:spacing w:val="0"/>
                <w:kern w:val="2"/>
                <w:sz w:val="28"/>
                <w:szCs w:val="28"/>
                <w:highlight w:val="none"/>
                <w:lang w:val="en-US" w:eastAsia="zh-CN" w:bidi="ar-SA"/>
              </w:rPr>
              <w:t>年，</w:t>
            </w:r>
            <w:r>
              <w:rPr>
                <w:rFonts w:hint="eastAsia" w:ascii="宋体" w:hAnsi="宋体" w:eastAsia="仿宋_GB2312" w:cs="仿宋_GB2312"/>
                <w:color w:val="auto"/>
                <w:kern w:val="2"/>
                <w:sz w:val="28"/>
                <w:szCs w:val="28"/>
                <w:lang w:val="en-US" w:eastAsia="zh-CN" w:bidi="ar-SA"/>
              </w:rPr>
              <w:t>公路路面优良率达</w:t>
            </w:r>
            <w:r>
              <w:rPr>
                <w:rFonts w:hint="eastAsia" w:ascii="宋体" w:hAnsi="宋体" w:eastAsia="仿宋_GB2312" w:cs="宋体"/>
                <w:color w:val="auto"/>
                <w:kern w:val="2"/>
                <w:sz w:val="28"/>
                <w:szCs w:val="28"/>
                <w:lang w:val="en-US" w:eastAsia="zh-CN" w:bidi="ar-SA"/>
              </w:rPr>
              <w:t>80%</w:t>
            </w:r>
            <w:r>
              <w:rPr>
                <w:rFonts w:hint="eastAsia" w:ascii="宋体" w:hAnsi="宋体" w:eastAsia="仿宋_GB2312" w:cs="仿宋_GB2312"/>
                <w:b w:val="0"/>
                <w:bCs w:val="0"/>
                <w:i w:val="0"/>
                <w:color w:val="auto"/>
                <w:kern w:val="2"/>
                <w:sz w:val="28"/>
                <w:szCs w:val="28"/>
                <w:vertAlign w:val="baseline"/>
                <w:lang w:val="en-US" w:eastAsia="zh-CN" w:bidi="ar-SA"/>
              </w:rPr>
              <w:t>。</w:t>
            </w:r>
          </w:p>
          <w:p w14:paraId="25DEFCA0">
            <w:pPr>
              <w:keepNext w:val="0"/>
              <w:keepLines w:val="0"/>
              <w:pageBreakBefore w:val="0"/>
              <w:widowControl w:val="0"/>
              <w:numPr>
                <w:ilvl w:val="-1"/>
                <w:numId w:val="0"/>
              </w:numPr>
              <w:kinsoku/>
              <w:wordWrap/>
              <w:overflowPunct/>
              <w:topLinePunct w:val="0"/>
              <w:autoSpaceDE/>
              <w:autoSpaceDN/>
              <w:bidi w:val="0"/>
              <w:adjustRightInd/>
              <w:snapToGrid w:val="0"/>
              <w:spacing w:beforeLines="0" w:after="0" w:afterLines="0" w:afterAutospacing="0" w:line="380" w:lineRule="exact"/>
              <w:ind w:left="0" w:leftChars="0" w:firstLine="562" w:firstLineChars="200"/>
              <w:jc w:val="both"/>
              <w:textAlignment w:val="auto"/>
              <w:outlineLvl w:val="9"/>
              <w:rPr>
                <w:rFonts w:hint="default" w:ascii="宋体" w:hAnsi="宋体" w:eastAsia="方正楷体_GBK" w:cs="Times New Roman Regular"/>
                <w:b w:val="0"/>
                <w:bCs w:val="0"/>
                <w:i w:val="0"/>
                <w:color w:val="auto"/>
                <w:kern w:val="2"/>
                <w:sz w:val="28"/>
                <w:szCs w:val="28"/>
                <w:vertAlign w:val="baseline"/>
                <w:lang w:val="en-US" w:eastAsia="zh-CN" w:bidi="ar-SA"/>
              </w:rPr>
            </w:pPr>
            <w:r>
              <w:rPr>
                <w:rFonts w:hint="eastAsia" w:ascii="宋体" w:hAnsi="宋体" w:eastAsia="仿宋_GB2312" w:cs="仿宋_GB2312"/>
                <w:b/>
                <w:bCs/>
                <w:i w:val="0"/>
                <w:color w:val="auto"/>
                <w:kern w:val="2"/>
                <w:sz w:val="28"/>
                <w:szCs w:val="28"/>
                <w:vertAlign w:val="baseline"/>
                <w:lang w:val="en-US" w:eastAsia="zh-CN" w:bidi="ar-SA"/>
              </w:rPr>
              <w:t>交通融合发展工程。</w:t>
            </w:r>
            <w:r>
              <w:rPr>
                <w:rFonts w:hint="eastAsia" w:ascii="宋体" w:hAnsi="宋体" w:eastAsia="仿宋_GB2312" w:cs="仿宋_GB2312"/>
                <w:b w:val="0"/>
                <w:bCs w:val="0"/>
                <w:i w:val="0"/>
                <w:color w:val="auto"/>
                <w:kern w:val="2"/>
                <w:sz w:val="28"/>
                <w:szCs w:val="28"/>
                <w:vertAlign w:val="baseline"/>
                <w:lang w:val="en-US" w:eastAsia="zh-CN" w:bidi="ar-SA"/>
              </w:rPr>
              <w:t>推动</w:t>
            </w:r>
            <w:r>
              <w:rPr>
                <w:rFonts w:hint="eastAsia" w:ascii="宋体" w:hAnsi="宋体" w:eastAsia="仿宋_GB2312" w:cs="宋体"/>
                <w:b w:val="0"/>
                <w:bCs w:val="0"/>
                <w:i w:val="0"/>
                <w:color w:val="auto"/>
                <w:kern w:val="2"/>
                <w:sz w:val="28"/>
                <w:szCs w:val="28"/>
                <w:vertAlign w:val="baseline"/>
                <w:lang w:val="en-US" w:eastAsia="zh-CN" w:bidi="ar-SA"/>
              </w:rPr>
              <w:t>G78</w:t>
            </w:r>
            <w:r>
              <w:rPr>
                <w:rFonts w:hint="eastAsia" w:ascii="宋体" w:hAnsi="宋体" w:eastAsia="仿宋_GB2312" w:cs="仿宋_GB2312"/>
                <w:b w:val="0"/>
                <w:bCs w:val="0"/>
                <w:i w:val="0"/>
                <w:color w:val="auto"/>
                <w:kern w:val="2"/>
                <w:sz w:val="28"/>
                <w:szCs w:val="28"/>
                <w:vertAlign w:val="baseline"/>
                <w:lang w:val="en-US" w:eastAsia="zh-CN" w:bidi="ar-SA"/>
              </w:rPr>
              <w:t>汕昆高速/</w:t>
            </w:r>
            <w:r>
              <w:rPr>
                <w:rFonts w:hint="eastAsia" w:ascii="宋体" w:hAnsi="宋体" w:eastAsia="仿宋_GB2312" w:cs="宋体"/>
                <w:b w:val="0"/>
                <w:bCs w:val="0"/>
                <w:i w:val="0"/>
                <w:color w:val="auto"/>
                <w:kern w:val="2"/>
                <w:sz w:val="28"/>
                <w:szCs w:val="28"/>
                <w:vertAlign w:val="baseline"/>
                <w:lang w:val="en-US" w:eastAsia="zh-CN" w:bidi="ar-SA"/>
              </w:rPr>
              <w:t>G80</w:t>
            </w:r>
            <w:r>
              <w:rPr>
                <w:rFonts w:hint="eastAsia" w:ascii="宋体" w:hAnsi="宋体" w:eastAsia="仿宋_GB2312" w:cs="仿宋_GB2312"/>
                <w:b w:val="0"/>
                <w:bCs w:val="0"/>
                <w:i w:val="0"/>
                <w:color w:val="auto"/>
                <w:kern w:val="2"/>
                <w:sz w:val="28"/>
                <w:szCs w:val="28"/>
                <w:vertAlign w:val="baseline"/>
                <w:lang w:val="en-US" w:eastAsia="zh-CN" w:bidi="ar-SA"/>
              </w:rPr>
              <w:t>广昆高速石林境内开口子改扩建，发展旅游集散中心、农特商品展示中心等，推动“旅游+农业”“旅游+工业”深度融合。</w:t>
            </w:r>
          </w:p>
        </w:tc>
      </w:tr>
    </w:tbl>
    <w:p w14:paraId="63262AB4">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4"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516" w:name="_Toc1524504135"/>
      <w:bookmarkStart w:id="517" w:name="_Toc1921702721"/>
      <w:bookmarkStart w:id="518" w:name="_Toc2131961974"/>
      <w:bookmarkStart w:id="519" w:name="_Toc6532"/>
      <w:bookmarkStart w:id="520" w:name="_Toc2089435124"/>
      <w:bookmarkStart w:id="521" w:name="_Toc30723"/>
      <w:bookmarkStart w:id="522" w:name="_Toc1821215843"/>
      <w:bookmarkStart w:id="523" w:name="_Toc1115749833"/>
      <w:bookmarkStart w:id="524" w:name="_Toc2088986429"/>
      <w:bookmarkStart w:id="525" w:name="_Toc1283039661"/>
      <w:bookmarkStart w:id="526" w:name="_Toc18777"/>
      <w:r>
        <w:rPr>
          <w:rFonts w:hint="eastAsia" w:ascii="宋体" w:hAnsi="宋体" w:eastAsia="黑体" w:cs="黑体"/>
          <w:b w:val="0"/>
          <w:bCs/>
          <w:color w:val="auto"/>
          <w:kern w:val="2"/>
          <w:sz w:val="32"/>
          <w:szCs w:val="24"/>
          <w:highlight w:val="none"/>
          <w:u w:val="none"/>
          <w:lang w:val="en-US" w:eastAsia="zh-CN" w:bidi="ar-SA"/>
        </w:rPr>
        <w:t>第二节  补齐现代水网设施短板</w:t>
      </w:r>
      <w:bookmarkEnd w:id="516"/>
      <w:bookmarkEnd w:id="517"/>
      <w:bookmarkEnd w:id="518"/>
      <w:bookmarkEnd w:id="519"/>
      <w:bookmarkEnd w:id="520"/>
      <w:bookmarkEnd w:id="521"/>
      <w:bookmarkEnd w:id="522"/>
      <w:bookmarkEnd w:id="523"/>
      <w:bookmarkEnd w:id="524"/>
      <w:bookmarkEnd w:id="525"/>
      <w:bookmarkEnd w:id="526"/>
    </w:p>
    <w:p w14:paraId="36CD00C6">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14" w:lineRule="exact"/>
        <w:ind w:left="0" w:leftChars="0" w:firstLine="640" w:firstLineChars="200"/>
        <w:jc w:val="left"/>
        <w:textAlignment w:val="auto"/>
        <w:outlineLvl w:val="9"/>
        <w:rPr>
          <w:rFonts w:hint="eastAsia" w:ascii="宋体" w:hAnsi="宋体" w:eastAsia="仿宋_GB2312" w:cs="仿宋_GB2312"/>
          <w:bCs w:val="0"/>
          <w:color w:val="auto"/>
          <w:sz w:val="32"/>
          <w:szCs w:val="32"/>
          <w:highlight w:val="none"/>
          <w:u w:val="none" w:color="auto"/>
          <w:lang w:eastAsia="zh-CN" w:bidi="ar"/>
        </w:rPr>
      </w:pPr>
      <w:r>
        <w:rPr>
          <w:rFonts w:hint="eastAsia" w:ascii="宋体" w:hAnsi="宋体" w:eastAsia="仿宋_GB2312" w:cs="仿宋_GB2312"/>
          <w:bCs w:val="0"/>
          <w:color w:val="auto"/>
          <w:sz w:val="32"/>
          <w:szCs w:val="32"/>
          <w:highlight w:val="none"/>
          <w:u w:val="none" w:color="auto"/>
          <w:lang w:val="en-US" w:eastAsia="zh-CN" w:bidi="ar"/>
        </w:rPr>
        <w:t>坚持</w:t>
      </w:r>
      <w:r>
        <w:rPr>
          <w:rFonts w:hint="eastAsia" w:ascii="宋体" w:hAnsi="宋体" w:eastAsia="仿宋_GB2312" w:cs="仿宋_GB2312"/>
          <w:bCs w:val="0"/>
          <w:color w:val="auto"/>
          <w:sz w:val="32"/>
          <w:szCs w:val="32"/>
          <w:highlight w:val="none"/>
          <w:u w:val="none" w:color="auto"/>
          <w:lang w:eastAsia="zh-CN" w:bidi="ar"/>
        </w:rPr>
        <w:t>“</w:t>
      </w:r>
      <w:r>
        <w:rPr>
          <w:rFonts w:hint="eastAsia" w:ascii="宋体" w:hAnsi="宋体" w:eastAsia="仿宋_GB2312" w:cs="仿宋_GB2312"/>
          <w:bCs w:val="0"/>
          <w:color w:val="auto"/>
          <w:sz w:val="32"/>
          <w:szCs w:val="32"/>
          <w:highlight w:val="none"/>
          <w:u w:val="none" w:color="auto"/>
          <w:lang w:bidi="ar"/>
        </w:rPr>
        <w:t>全域、全流程、全生命周期</w:t>
      </w:r>
      <w:r>
        <w:rPr>
          <w:rFonts w:hint="eastAsia" w:ascii="宋体" w:hAnsi="宋体" w:eastAsia="仿宋_GB2312" w:cs="仿宋_GB2312"/>
          <w:bCs w:val="0"/>
          <w:color w:val="auto"/>
          <w:sz w:val="32"/>
          <w:szCs w:val="32"/>
          <w:highlight w:val="none"/>
          <w:u w:val="none" w:color="auto"/>
          <w:lang w:eastAsia="zh-CN" w:bidi="ar"/>
        </w:rPr>
        <w:t>”</w:t>
      </w:r>
      <w:r>
        <w:rPr>
          <w:rFonts w:hint="eastAsia" w:ascii="宋体" w:hAnsi="宋体" w:eastAsia="仿宋_GB2312" w:cs="仿宋_GB2312"/>
          <w:bCs w:val="0"/>
          <w:color w:val="auto"/>
          <w:sz w:val="32"/>
          <w:szCs w:val="32"/>
          <w:highlight w:val="none"/>
          <w:u w:val="none" w:color="auto"/>
          <w:lang w:bidi="ar"/>
        </w:rPr>
        <w:t>理念，精准补短板、强弱项，</w:t>
      </w:r>
      <w:r>
        <w:rPr>
          <w:rFonts w:hint="eastAsia" w:ascii="宋体" w:hAnsi="宋体" w:eastAsia="仿宋_GB2312" w:cs="仿宋_GB2312"/>
          <w:bCs w:val="0"/>
          <w:color w:val="auto"/>
          <w:sz w:val="32"/>
          <w:szCs w:val="32"/>
          <w:highlight w:val="none"/>
          <w:u w:val="none" w:color="auto"/>
          <w:lang w:eastAsia="zh-CN" w:bidi="ar"/>
        </w:rPr>
        <w:t>全面实施水资源配置、流域防洪减灾、农业灌溉、河湖保护治理、数字孪生等工程，</w:t>
      </w:r>
      <w:r>
        <w:rPr>
          <w:rFonts w:hint="eastAsia" w:ascii="宋体" w:hAnsi="宋体" w:eastAsia="仿宋_GB2312" w:cs="仿宋_GB2312"/>
          <w:bCs w:val="0"/>
          <w:color w:val="auto"/>
          <w:sz w:val="32"/>
          <w:szCs w:val="32"/>
          <w:highlight w:val="none"/>
          <w:u w:val="none" w:color="auto"/>
          <w:lang w:bidi="ar"/>
        </w:rPr>
        <w:t>构建安全韧性现代水网</w:t>
      </w:r>
      <w:r>
        <w:rPr>
          <w:rFonts w:hint="eastAsia" w:ascii="宋体" w:hAnsi="宋体" w:eastAsia="仿宋_GB2312" w:cs="仿宋_GB2312"/>
          <w:bCs w:val="0"/>
          <w:color w:val="auto"/>
          <w:sz w:val="32"/>
          <w:szCs w:val="32"/>
          <w:highlight w:val="none"/>
          <w:u w:val="none" w:color="auto"/>
          <w:lang w:eastAsia="zh-CN" w:bidi="ar"/>
        </w:rPr>
        <w:t>，</w:t>
      </w:r>
      <w:r>
        <w:rPr>
          <w:rFonts w:hint="eastAsia" w:ascii="宋体" w:hAnsi="宋体" w:eastAsia="仿宋_GB2312" w:cs="仿宋_GB2312"/>
          <w:bCs w:val="0"/>
          <w:color w:val="auto"/>
          <w:sz w:val="32"/>
          <w:szCs w:val="32"/>
          <w:highlight w:val="none"/>
          <w:u w:val="none" w:color="auto"/>
          <w:lang w:bidi="ar"/>
        </w:rPr>
        <w:t>全面提升水安全保障能力</w:t>
      </w:r>
      <w:r>
        <w:rPr>
          <w:rFonts w:hint="eastAsia" w:ascii="宋体" w:hAnsi="宋体" w:eastAsia="仿宋_GB2312" w:cs="仿宋_GB2312"/>
          <w:bCs w:val="0"/>
          <w:color w:val="auto"/>
          <w:sz w:val="32"/>
          <w:szCs w:val="32"/>
          <w:highlight w:val="none"/>
          <w:u w:val="none" w:color="auto"/>
          <w:lang w:eastAsia="zh-CN" w:bidi="ar"/>
        </w:rPr>
        <w:t>。</w:t>
      </w:r>
    </w:p>
    <w:p w14:paraId="7C01058B">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4" w:lineRule="exact"/>
        <w:ind w:left="0" w:leftChars="0" w:firstLine="640" w:firstLineChars="200"/>
        <w:jc w:val="both"/>
        <w:textAlignment w:val="auto"/>
        <w:outlineLvl w:val="2"/>
        <w:rPr>
          <w:rFonts w:hint="eastAsia" w:ascii="宋体" w:hAnsi="宋体" w:eastAsia="楷体_GB2312" w:cs="楷体_GB2312"/>
          <w:b w:val="0"/>
          <w:color w:val="auto"/>
          <w:kern w:val="2"/>
          <w:sz w:val="32"/>
          <w:szCs w:val="24"/>
          <w:highlight w:val="none"/>
          <w:lang w:val="en-US" w:eastAsia="zh-CN" w:bidi="ar-SA"/>
        </w:rPr>
      </w:pPr>
      <w:r>
        <w:rPr>
          <w:rFonts w:hint="eastAsia" w:ascii="宋体" w:hAnsi="宋体" w:eastAsia="楷体_GB2312" w:cs="楷体_GB2312"/>
          <w:b w:val="0"/>
          <w:color w:val="auto"/>
          <w:kern w:val="2"/>
          <w:sz w:val="32"/>
          <w:szCs w:val="24"/>
          <w:highlight w:val="none"/>
          <w:lang w:val="en-US" w:eastAsia="zh-CN" w:bidi="ar-SA"/>
        </w:rPr>
        <w:t>一、实施重大水资源工程</w:t>
      </w:r>
    </w:p>
    <w:p w14:paraId="530EC9F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14" w:lineRule="exact"/>
        <w:ind w:left="0" w:leftChars="0" w:firstLine="640" w:firstLineChars="200"/>
        <w:jc w:val="left"/>
        <w:textAlignment w:val="auto"/>
        <w:outlineLvl w:val="9"/>
        <w:rPr>
          <w:rFonts w:hint="eastAsia" w:ascii="宋体" w:hAnsi="宋体" w:eastAsia="仿宋_GB2312" w:cs="仿宋_GB2312"/>
          <w:bCs w:val="0"/>
          <w:color w:val="auto"/>
          <w:sz w:val="32"/>
          <w:szCs w:val="32"/>
          <w:highlight w:val="none"/>
          <w:u w:val="none" w:color="auto"/>
          <w:lang w:bidi="ar"/>
        </w:rPr>
      </w:pPr>
      <w:r>
        <w:rPr>
          <w:rFonts w:hint="eastAsia" w:ascii="宋体" w:hAnsi="宋体" w:eastAsia="仿宋_GB2312" w:cs="仿宋_GB2312"/>
          <w:bCs w:val="0"/>
          <w:color w:val="auto"/>
          <w:sz w:val="32"/>
          <w:szCs w:val="32"/>
          <w:highlight w:val="none"/>
          <w:u w:val="none" w:color="auto"/>
          <w:lang w:val="en-US" w:eastAsia="zh-CN" w:bidi="ar"/>
        </w:rPr>
        <w:t>围绕“水源稳定、灌区高效、调水顺畅、供水普惠”目标，谋划“四干四支，四库七灌”骨干水网布局</w:t>
      </w:r>
      <w:r>
        <w:rPr>
          <w:rFonts w:hint="eastAsia" w:ascii="宋体" w:hAnsi="宋体" w:eastAsia="仿宋_GB2312" w:cs="仿宋_GB2312"/>
          <w:bCs w:val="0"/>
          <w:color w:val="auto"/>
          <w:sz w:val="32"/>
          <w:szCs w:val="32"/>
          <w:highlight w:val="none"/>
          <w:u w:val="none" w:color="auto"/>
          <w:lang w:bidi="ar"/>
        </w:rPr>
        <w:t>，推动戈冲里中型水库、龙凤箐小（一）型水库等水源工程建设和大密枝水库、杨溪水库扩建前期工作</w:t>
      </w:r>
      <w:r>
        <w:rPr>
          <w:rFonts w:hint="eastAsia" w:ascii="宋体" w:hAnsi="宋体" w:eastAsia="仿宋_GB2312" w:cs="仿宋_GB2312"/>
          <w:bCs w:val="0"/>
          <w:color w:val="auto"/>
          <w:sz w:val="32"/>
          <w:szCs w:val="32"/>
          <w:highlight w:val="none"/>
          <w:u w:val="none" w:color="auto"/>
          <w:lang w:val="en-US" w:eastAsia="zh-CN" w:bidi="ar"/>
        </w:rPr>
        <w:t>。积极推进</w:t>
      </w:r>
      <w:r>
        <w:rPr>
          <w:rFonts w:hint="eastAsia" w:ascii="宋体" w:hAnsi="宋体" w:eastAsia="仿宋_GB2312" w:cs="仿宋_GB2312"/>
          <w:bCs w:val="0"/>
          <w:color w:val="auto"/>
          <w:sz w:val="32"/>
          <w:szCs w:val="32"/>
          <w:highlight w:val="none"/>
          <w:u w:val="none" w:color="auto"/>
          <w:lang w:bidi="ar"/>
        </w:rPr>
        <w:t>水资源优化配置，</w:t>
      </w:r>
      <w:r>
        <w:rPr>
          <w:rFonts w:hint="eastAsia" w:ascii="宋体" w:hAnsi="宋体" w:eastAsia="仿宋_GB2312" w:cs="仿宋_GB2312"/>
          <w:bCs w:val="0"/>
          <w:color w:val="auto"/>
          <w:sz w:val="32"/>
          <w:szCs w:val="32"/>
          <w:highlight w:val="none"/>
          <w:u w:val="none" w:color="auto"/>
          <w:lang w:val="en-US" w:eastAsia="zh-CN" w:bidi="ar"/>
        </w:rPr>
        <w:t>实施</w:t>
      </w:r>
      <w:r>
        <w:rPr>
          <w:rFonts w:hint="eastAsia" w:ascii="宋体" w:hAnsi="宋体" w:eastAsia="仿宋_GB2312" w:cs="仿宋_GB2312"/>
          <w:bCs w:val="0"/>
          <w:color w:val="auto"/>
          <w:sz w:val="32"/>
          <w:szCs w:val="32"/>
          <w:highlight w:val="none"/>
          <w:u w:val="none" w:color="auto"/>
          <w:lang w:bidi="ar"/>
        </w:rPr>
        <w:t>黑龙潭提水工程</w:t>
      </w:r>
      <w:r>
        <w:rPr>
          <w:rFonts w:hint="eastAsia" w:ascii="宋体" w:hAnsi="宋体" w:eastAsia="仿宋_GB2312" w:cs="仿宋_GB2312"/>
          <w:bCs w:val="0"/>
          <w:color w:val="auto"/>
          <w:sz w:val="32"/>
          <w:szCs w:val="32"/>
          <w:highlight w:val="none"/>
          <w:u w:val="none" w:color="auto"/>
          <w:lang w:eastAsia="zh-CN" w:bidi="ar"/>
        </w:rPr>
        <w:t>，</w:t>
      </w:r>
      <w:r>
        <w:rPr>
          <w:rFonts w:hint="eastAsia" w:ascii="宋体" w:hAnsi="宋体" w:eastAsia="仿宋_GB2312" w:cs="仿宋_GB2312"/>
          <w:bCs w:val="0"/>
          <w:color w:val="auto"/>
          <w:sz w:val="32"/>
          <w:szCs w:val="32"/>
          <w:highlight w:val="none"/>
          <w:u w:val="none" w:color="auto"/>
          <w:lang w:bidi="ar"/>
        </w:rPr>
        <w:t>稳步推进石林县黑龙潭水库中型灌区续建配套与现代化改造工程</w:t>
      </w:r>
      <w:r>
        <w:rPr>
          <w:rFonts w:hint="eastAsia" w:ascii="宋体" w:hAnsi="宋体" w:eastAsia="仿宋_GB2312" w:cs="仿宋_GB2312"/>
          <w:bCs w:val="0"/>
          <w:color w:val="auto"/>
          <w:sz w:val="32"/>
          <w:szCs w:val="32"/>
          <w:highlight w:val="none"/>
          <w:u w:val="none" w:color="auto"/>
          <w:lang w:eastAsia="zh-CN" w:bidi="ar"/>
        </w:rPr>
        <w:t>、</w:t>
      </w:r>
      <w:r>
        <w:rPr>
          <w:rFonts w:hint="eastAsia" w:ascii="宋体" w:hAnsi="宋体" w:eastAsia="仿宋_GB2312" w:cs="仿宋_GB2312"/>
          <w:bCs w:val="0"/>
          <w:color w:val="auto"/>
          <w:sz w:val="32"/>
          <w:szCs w:val="32"/>
          <w:highlight w:val="none"/>
          <w:u w:val="none" w:color="auto"/>
          <w:lang w:val="en-US" w:eastAsia="zh-CN" w:bidi="ar"/>
        </w:rPr>
        <w:t>石林县</w:t>
      </w:r>
      <w:r>
        <w:rPr>
          <w:rFonts w:hint="eastAsia" w:ascii="宋体" w:hAnsi="宋体" w:eastAsia="仿宋_GB2312" w:cs="仿宋_GB2312"/>
          <w:bCs w:val="0"/>
          <w:color w:val="auto"/>
          <w:sz w:val="32"/>
          <w:szCs w:val="32"/>
          <w:highlight w:val="none"/>
          <w:u w:val="none" w:color="auto"/>
          <w:lang w:bidi="ar"/>
        </w:rPr>
        <w:t>西北部中型灌区工程</w:t>
      </w:r>
      <w:r>
        <w:rPr>
          <w:rFonts w:hint="eastAsia" w:ascii="宋体" w:hAnsi="宋体" w:eastAsia="仿宋_GB2312" w:cs="仿宋_GB2312"/>
          <w:bCs w:val="0"/>
          <w:color w:val="auto"/>
          <w:sz w:val="32"/>
          <w:szCs w:val="32"/>
          <w:highlight w:val="none"/>
          <w:u w:val="none" w:color="auto"/>
          <w:lang w:eastAsia="zh-CN" w:bidi="ar"/>
        </w:rPr>
        <w:t>、三角水库中型灌区续建配套与节水改造工程前期工作</w:t>
      </w:r>
      <w:r>
        <w:rPr>
          <w:rFonts w:hint="eastAsia" w:ascii="宋体" w:hAnsi="宋体" w:eastAsia="仿宋_GB2312" w:cs="仿宋_GB2312"/>
          <w:bCs w:val="0"/>
          <w:color w:val="auto"/>
          <w:sz w:val="32"/>
          <w:szCs w:val="32"/>
          <w:highlight w:val="none"/>
          <w:u w:val="none" w:color="auto"/>
          <w:lang w:bidi="ar"/>
        </w:rPr>
        <w:t>。</w:t>
      </w:r>
      <w:r>
        <w:rPr>
          <w:rFonts w:hint="eastAsia" w:ascii="宋体" w:hAnsi="宋体" w:eastAsia="仿宋_GB2312" w:cs="仿宋_GB2312"/>
          <w:bCs w:val="0"/>
          <w:color w:val="auto"/>
          <w:sz w:val="32"/>
          <w:szCs w:val="32"/>
          <w:highlight w:val="none"/>
          <w:u w:val="none" w:color="auto"/>
          <w:lang w:val="en-US" w:eastAsia="zh-CN" w:bidi="ar"/>
        </w:rPr>
        <w:t>实施</w:t>
      </w:r>
      <w:r>
        <w:rPr>
          <w:rFonts w:hint="eastAsia" w:ascii="宋体" w:hAnsi="宋体" w:eastAsia="仿宋_GB2312" w:cs="仿宋_GB2312"/>
          <w:bCs w:val="0"/>
          <w:color w:val="auto"/>
          <w:sz w:val="32"/>
          <w:szCs w:val="32"/>
          <w:highlight w:val="none"/>
          <w:u w:val="none" w:color="auto"/>
          <w:lang w:bidi="ar"/>
        </w:rPr>
        <w:t>城乡供水一体化工程</w:t>
      </w:r>
      <w:r>
        <w:rPr>
          <w:rFonts w:hint="eastAsia" w:ascii="宋体" w:hAnsi="宋体" w:eastAsia="仿宋_GB2312" w:cs="仿宋_GB2312"/>
          <w:bCs w:val="0"/>
          <w:color w:val="auto"/>
          <w:sz w:val="32"/>
          <w:szCs w:val="32"/>
          <w:highlight w:val="none"/>
          <w:u w:val="none" w:color="auto"/>
          <w:lang w:eastAsia="zh-CN" w:bidi="ar"/>
        </w:rPr>
        <w:t>，</w:t>
      </w:r>
      <w:r>
        <w:rPr>
          <w:rFonts w:hint="eastAsia" w:ascii="宋体" w:hAnsi="宋体" w:eastAsia="仿宋_GB2312" w:cs="仿宋_GB2312"/>
          <w:bCs w:val="0"/>
          <w:color w:val="auto"/>
          <w:sz w:val="32"/>
          <w:szCs w:val="32"/>
          <w:highlight w:val="none"/>
          <w:u w:val="none" w:color="auto"/>
          <w:lang w:val="en-US" w:eastAsia="zh-CN" w:bidi="ar"/>
        </w:rPr>
        <w:t>推动农村饮水安全提升，</w:t>
      </w:r>
      <w:r>
        <w:rPr>
          <w:rFonts w:hint="eastAsia" w:ascii="宋体" w:hAnsi="宋体" w:eastAsia="仿宋_GB2312" w:cs="仿宋_GB2312"/>
          <w:bCs w:val="0"/>
          <w:color w:val="auto"/>
          <w:sz w:val="32"/>
          <w:szCs w:val="32"/>
          <w:highlight w:val="none"/>
          <w:u w:val="none" w:color="auto"/>
          <w:lang w:bidi="ar"/>
        </w:rPr>
        <w:t>建设县域水资源调度中心</w:t>
      </w:r>
      <w:r>
        <w:rPr>
          <w:rFonts w:hint="eastAsia" w:ascii="宋体" w:hAnsi="宋体" w:eastAsia="仿宋_GB2312" w:cs="仿宋_GB2312"/>
          <w:bCs w:val="0"/>
          <w:color w:val="auto"/>
          <w:sz w:val="32"/>
          <w:szCs w:val="32"/>
          <w:highlight w:val="none"/>
          <w:u w:val="none" w:color="auto"/>
          <w:lang w:eastAsia="zh-CN" w:bidi="ar"/>
        </w:rPr>
        <w:t>，全面推进城乡供水“同源、同网、同质、同价、同服务”建设，推动“水网电网化”运营</w:t>
      </w:r>
      <w:r>
        <w:rPr>
          <w:rFonts w:hint="eastAsia" w:ascii="宋体" w:hAnsi="宋体" w:eastAsia="仿宋_GB2312" w:cs="仿宋_GB2312"/>
          <w:bCs w:val="0"/>
          <w:color w:val="auto"/>
          <w:sz w:val="32"/>
          <w:szCs w:val="32"/>
          <w:highlight w:val="none"/>
          <w:u w:val="none" w:color="auto"/>
          <w:lang w:val="en-US" w:eastAsia="zh-CN" w:bidi="ar"/>
        </w:rPr>
        <w:t>，保障民生及产业用水需求</w:t>
      </w:r>
      <w:r>
        <w:rPr>
          <w:rFonts w:hint="eastAsia" w:ascii="宋体" w:hAnsi="宋体" w:eastAsia="仿宋_GB2312" w:cs="仿宋_GB2312"/>
          <w:bCs w:val="0"/>
          <w:color w:val="auto"/>
          <w:sz w:val="32"/>
          <w:szCs w:val="32"/>
          <w:highlight w:val="none"/>
          <w:u w:val="none" w:color="auto"/>
          <w:lang w:bidi="ar"/>
        </w:rPr>
        <w:t>。</w:t>
      </w:r>
    </w:p>
    <w:p w14:paraId="1976B9DA">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00" w:lineRule="exact"/>
        <w:ind w:left="0" w:leftChars="0" w:firstLine="640" w:firstLineChars="200"/>
        <w:jc w:val="both"/>
        <w:textAlignment w:val="auto"/>
        <w:outlineLvl w:val="2"/>
        <w:rPr>
          <w:rFonts w:hint="eastAsia" w:ascii="宋体" w:hAnsi="宋体" w:eastAsia="楷体_GB2312" w:cs="楷体_GB2312"/>
          <w:b w:val="0"/>
          <w:color w:val="auto"/>
          <w:kern w:val="2"/>
          <w:sz w:val="32"/>
          <w:szCs w:val="24"/>
          <w:highlight w:val="none"/>
          <w:lang w:val="en-US" w:eastAsia="zh-CN" w:bidi="ar-SA"/>
        </w:rPr>
      </w:pPr>
      <w:r>
        <w:rPr>
          <w:rFonts w:hint="eastAsia" w:ascii="宋体" w:hAnsi="宋体" w:eastAsia="楷体_GB2312" w:cs="楷体_GB2312"/>
          <w:b w:val="0"/>
          <w:color w:val="auto"/>
          <w:kern w:val="2"/>
          <w:sz w:val="32"/>
          <w:szCs w:val="24"/>
          <w:highlight w:val="none"/>
          <w:lang w:val="en-US" w:eastAsia="zh-CN" w:bidi="ar-SA"/>
        </w:rPr>
        <w:t>二、完善水旱灾害防御体系</w:t>
      </w:r>
    </w:p>
    <w:p w14:paraId="21EAF13F">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00" w:lineRule="exact"/>
        <w:ind w:left="0" w:leftChars="0" w:firstLine="640" w:firstLineChars="200"/>
        <w:jc w:val="left"/>
        <w:textAlignment w:val="auto"/>
        <w:outlineLvl w:val="9"/>
        <w:rPr>
          <w:rFonts w:hint="eastAsia" w:ascii="宋体" w:hAnsi="宋体" w:eastAsia="仿宋_GB2312" w:cs="Times New Roman Regular"/>
          <w:bCs w:val="0"/>
          <w:color w:val="auto"/>
          <w:sz w:val="32"/>
          <w:szCs w:val="32"/>
          <w:highlight w:val="none"/>
          <w:u w:val="none" w:color="auto"/>
          <w:lang w:val="en-US" w:eastAsia="zh-CN" w:bidi="ar"/>
        </w:rPr>
      </w:pPr>
      <w:r>
        <w:rPr>
          <w:rFonts w:hint="eastAsia" w:ascii="宋体" w:hAnsi="宋体" w:eastAsia="仿宋_GB2312" w:cs="Times New Roman Regular"/>
          <w:bCs w:val="0"/>
          <w:color w:val="auto"/>
          <w:sz w:val="32"/>
          <w:szCs w:val="32"/>
          <w:highlight w:val="none"/>
          <w:u w:val="none" w:color="auto"/>
          <w:lang w:bidi="ar"/>
        </w:rPr>
        <w:t>统筹推进防洪抗旱、河道治理、除险加固及清淤除险</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提升流域整体防洪减灾能力</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推进巴江</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大可河</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白马河河道治理</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统筹做好水域岸线空间管控、水源涵养与水土保持生态建设、河流生态保护治理</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val="en-US" w:eastAsia="zh-CN" w:bidi="ar"/>
        </w:rPr>
        <w:t>实施好</w:t>
      </w:r>
      <w:r>
        <w:rPr>
          <w:rFonts w:hint="eastAsia" w:ascii="宋体" w:hAnsi="宋体" w:eastAsia="仿宋_GB2312" w:cs="Times New Roman Regular"/>
          <w:bCs w:val="0"/>
          <w:color w:val="auto"/>
          <w:sz w:val="32"/>
          <w:szCs w:val="32"/>
          <w:highlight w:val="none"/>
          <w:u w:val="none" w:color="auto"/>
          <w:lang w:eastAsia="zh-CN" w:bidi="ar"/>
        </w:rPr>
        <w:t>长湖镇农村抗旱引水工程，</w:t>
      </w:r>
      <w:r>
        <w:rPr>
          <w:rFonts w:hint="eastAsia" w:ascii="宋体" w:hAnsi="宋体" w:eastAsia="仿宋_GB2312" w:cs="Times New Roman Regular"/>
          <w:bCs w:val="0"/>
          <w:color w:val="auto"/>
          <w:sz w:val="32"/>
          <w:szCs w:val="32"/>
          <w:highlight w:val="none"/>
          <w:u w:val="none" w:color="auto"/>
          <w:lang w:bidi="ar"/>
        </w:rPr>
        <w:t>系统开展水库清淤</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坝塘清淤除险</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val="en-US" w:eastAsia="zh-CN" w:bidi="ar"/>
        </w:rPr>
        <w:t>加强永定坝、黄家庄河等河闸除险加固，加快实施30座小型水库除险加固工程，提高水旱灾害防御能力。</w:t>
      </w:r>
    </w:p>
    <w:p w14:paraId="3B11D86D">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00" w:lineRule="exact"/>
        <w:ind w:left="0" w:leftChars="0" w:firstLine="640" w:firstLineChars="200"/>
        <w:jc w:val="both"/>
        <w:textAlignment w:val="auto"/>
        <w:outlineLvl w:val="2"/>
        <w:rPr>
          <w:rFonts w:hint="eastAsia" w:ascii="宋体" w:hAnsi="宋体" w:eastAsia="楷体_GB2312" w:cs="楷体_GB2312"/>
          <w:b w:val="0"/>
          <w:color w:val="auto"/>
          <w:kern w:val="2"/>
          <w:sz w:val="32"/>
          <w:szCs w:val="24"/>
          <w:highlight w:val="none"/>
          <w:lang w:val="en-US" w:eastAsia="zh-CN" w:bidi="ar-SA"/>
        </w:rPr>
      </w:pPr>
      <w:r>
        <w:rPr>
          <w:rFonts w:hint="eastAsia" w:ascii="宋体" w:hAnsi="宋体" w:eastAsia="楷体_GB2312" w:cs="楷体_GB2312"/>
          <w:b w:val="0"/>
          <w:color w:val="auto"/>
          <w:kern w:val="2"/>
          <w:sz w:val="32"/>
          <w:szCs w:val="24"/>
          <w:highlight w:val="none"/>
          <w:lang w:val="en-US" w:eastAsia="zh-CN" w:bidi="ar-SA"/>
        </w:rPr>
        <w:t>三、提升水利治理能力</w:t>
      </w:r>
    </w:p>
    <w:p w14:paraId="5B3EA47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00" w:lineRule="exact"/>
        <w:ind w:left="0" w:leftChars="0" w:firstLine="640" w:firstLineChars="200"/>
        <w:jc w:val="left"/>
        <w:textAlignment w:val="auto"/>
        <w:outlineLvl w:val="9"/>
        <w:rPr>
          <w:rFonts w:hint="eastAsia" w:ascii="宋体" w:hAnsi="宋体" w:eastAsia="仿宋_GB2312" w:cs="Times New Roman Regular"/>
          <w:bCs w:val="0"/>
          <w:color w:val="auto"/>
          <w:sz w:val="32"/>
          <w:szCs w:val="32"/>
          <w:highlight w:val="none"/>
          <w:u w:val="none" w:color="auto"/>
          <w:lang w:val="en-US" w:eastAsia="zh-CN" w:bidi="ar"/>
        </w:rPr>
      </w:pPr>
      <w:r>
        <w:rPr>
          <w:rFonts w:hint="eastAsia" w:ascii="宋体" w:hAnsi="宋体" w:eastAsia="仿宋_GB2312" w:cs="Times New Roman Regular"/>
          <w:bCs w:val="0"/>
          <w:color w:val="auto"/>
          <w:sz w:val="32"/>
          <w:szCs w:val="32"/>
          <w:highlight w:val="none"/>
          <w:u w:val="none" w:color="auto"/>
          <w:lang w:bidi="ar"/>
        </w:rPr>
        <w:t>实行最严格总量红线，</w:t>
      </w:r>
      <w:r>
        <w:rPr>
          <w:rFonts w:hint="eastAsia" w:ascii="宋体" w:hAnsi="宋体" w:eastAsia="仿宋_GB2312" w:cs="Times New Roman Regular"/>
          <w:bCs w:val="0"/>
          <w:color w:val="auto"/>
          <w:sz w:val="32"/>
          <w:szCs w:val="32"/>
          <w:highlight w:val="none"/>
          <w:u w:val="none" w:color="auto"/>
          <w:lang w:val="en-US" w:eastAsia="zh-CN" w:bidi="ar"/>
        </w:rPr>
        <w:t>协同推进</w:t>
      </w:r>
      <w:r>
        <w:rPr>
          <w:rFonts w:hint="eastAsia" w:ascii="宋体" w:hAnsi="宋体" w:eastAsia="仿宋_GB2312" w:cs="Times New Roman Regular"/>
          <w:bCs w:val="0"/>
          <w:color w:val="auto"/>
          <w:sz w:val="32"/>
          <w:szCs w:val="32"/>
          <w:highlight w:val="none"/>
          <w:u w:val="none" w:color="auto"/>
          <w:lang w:bidi="ar"/>
        </w:rPr>
        <w:t>农业、工业、生活</w:t>
      </w:r>
      <w:r>
        <w:rPr>
          <w:rFonts w:hint="eastAsia" w:ascii="宋体" w:hAnsi="宋体" w:eastAsia="仿宋_GB2312" w:cs="Times New Roman Regular"/>
          <w:bCs w:val="0"/>
          <w:color w:val="auto"/>
          <w:sz w:val="32"/>
          <w:szCs w:val="32"/>
          <w:highlight w:val="none"/>
          <w:u w:val="none" w:color="auto"/>
          <w:lang w:val="en-US" w:eastAsia="zh-CN" w:bidi="ar"/>
        </w:rPr>
        <w:t>用水管理</w:t>
      </w:r>
      <w:r>
        <w:rPr>
          <w:rFonts w:hint="eastAsia" w:ascii="宋体" w:hAnsi="宋体" w:eastAsia="仿宋_GB2312" w:cs="Times New Roman Regular"/>
          <w:bCs w:val="0"/>
          <w:color w:val="auto"/>
          <w:sz w:val="32"/>
          <w:szCs w:val="32"/>
          <w:highlight w:val="none"/>
          <w:u w:val="none" w:color="auto"/>
          <w:lang w:bidi="ar"/>
        </w:rPr>
        <w:t>，加强再生水、集蓄雨水等非常规水利用</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推行合同节水管理</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创建节水型社</w:t>
      </w:r>
      <w:r>
        <w:rPr>
          <w:rFonts w:hint="eastAsia" w:ascii="宋体" w:hAnsi="宋体" w:eastAsia="仿宋_GB2312" w:cs="Times New Roman Regular"/>
          <w:bCs w:val="0"/>
          <w:color w:val="auto"/>
          <w:sz w:val="32"/>
          <w:szCs w:val="32"/>
          <w:highlight w:val="none"/>
          <w:u w:val="none" w:color="auto"/>
          <w:lang w:eastAsia="zh-CN" w:bidi="ar"/>
        </w:rPr>
        <w:t>会</w:t>
      </w:r>
      <w:r>
        <w:rPr>
          <w:rFonts w:hint="eastAsia" w:ascii="宋体" w:hAnsi="宋体" w:eastAsia="仿宋_GB2312" w:cs="Times New Roman Regular"/>
          <w:bCs w:val="0"/>
          <w:color w:val="auto"/>
          <w:sz w:val="32"/>
          <w:szCs w:val="32"/>
          <w:highlight w:val="none"/>
          <w:u w:val="none" w:color="auto"/>
          <w:lang w:bidi="ar"/>
        </w:rPr>
        <w:t>。推进小型水库</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水库保姆</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管护，推广</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节水贷</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取水贷</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全面落地，保障工程建设有效稳步推进</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val="en-US" w:eastAsia="zh-CN" w:bidi="ar"/>
        </w:rPr>
        <w:t>融入全国水利一张图建设，建设石林县智慧水利平台，构建“天空地”一体化监测预警网络，系统布局河湖水质监测站点，利用智能感知技术和通信技术推动输配水工程自动化控制。强化水利执法监管，严厉打击非法取水、污染水体等行为，规范水资源开发利用秩序，提升依法治水水平。</w:t>
      </w:r>
    </w:p>
    <w:tbl>
      <w:tblPr>
        <w:tblStyle w:val="18"/>
        <w:tblW w:w="93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2"/>
      </w:tblGrid>
      <w:tr w14:paraId="683E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9342" w:type="dxa"/>
          </w:tcPr>
          <w:p w14:paraId="74735C12">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520" w:lineRule="exact"/>
              <w:ind w:left="0" w:leftChars="0" w:firstLine="0" w:firstLineChars="0"/>
              <w:jc w:val="center"/>
              <w:textAlignment w:val="auto"/>
              <w:outlineLvl w:val="9"/>
              <w:rPr>
                <w:rFonts w:hint="default" w:ascii="宋体" w:hAnsi="宋体" w:eastAsia="方正楷体_GBK" w:cs="Times New Roman Regular"/>
                <w:b w:val="0"/>
                <w:bCs w:val="0"/>
                <w:color w:val="auto"/>
                <w:kern w:val="2"/>
                <w:sz w:val="28"/>
                <w:szCs w:val="28"/>
                <w:highlight w:val="none"/>
                <w:u w:val="none" w:color="auto"/>
                <w:lang w:val="en-US" w:eastAsia="zh-CN" w:bidi="ar-SA"/>
              </w:rPr>
            </w:pPr>
            <w:r>
              <w:rPr>
                <w:rFonts w:hint="eastAsia" w:ascii="黑体" w:hAnsi="黑体" w:eastAsia="黑体" w:cs="黑体"/>
                <w:color w:val="auto"/>
                <w:kern w:val="2"/>
                <w:sz w:val="28"/>
                <w:szCs w:val="28"/>
                <w:highlight w:val="none"/>
                <w:lang w:val="en-US" w:eastAsia="zh-CN" w:bidi="ar-SA"/>
              </w:rPr>
              <w:t>专栏10  水利基础设施建设重点工程</w:t>
            </w:r>
          </w:p>
        </w:tc>
      </w:tr>
      <w:tr w14:paraId="2AD9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42" w:type="dxa"/>
          </w:tcPr>
          <w:p w14:paraId="7B0D4EB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80" w:lineRule="exact"/>
              <w:ind w:left="0" w:leftChars="0" w:firstLine="562" w:firstLineChars="200"/>
              <w:jc w:val="both"/>
              <w:textAlignment w:val="auto"/>
              <w:outlineLvl w:val="9"/>
              <w:rPr>
                <w:rFonts w:hint="eastAsia" w:ascii="宋体" w:hAnsi="宋体" w:eastAsia="仿宋_GB2312" w:cs="仿宋_GB2312"/>
                <w:color w:val="auto"/>
                <w:sz w:val="28"/>
                <w:szCs w:val="28"/>
                <w:highlight w:val="none"/>
                <w:u w:val="none" w:color="auto"/>
              </w:rPr>
            </w:pPr>
            <w:r>
              <w:rPr>
                <w:rFonts w:hint="eastAsia" w:ascii="宋体" w:hAnsi="宋体" w:eastAsia="仿宋_GB2312" w:cs="仿宋_GB2312"/>
                <w:b/>
                <w:bCs/>
                <w:color w:val="auto"/>
                <w:sz w:val="28"/>
                <w:szCs w:val="28"/>
                <w:highlight w:val="none"/>
                <w:u w:val="none" w:color="auto"/>
                <w:lang w:eastAsia="zh-CN"/>
              </w:rPr>
              <w:t>“</w:t>
            </w:r>
            <w:r>
              <w:rPr>
                <w:rFonts w:hint="eastAsia" w:ascii="宋体" w:hAnsi="宋体" w:eastAsia="仿宋_GB2312" w:cs="仿宋_GB2312"/>
                <w:b/>
                <w:bCs/>
                <w:color w:val="auto"/>
                <w:sz w:val="28"/>
                <w:szCs w:val="28"/>
                <w:highlight w:val="none"/>
                <w:u w:val="none" w:color="auto"/>
              </w:rPr>
              <w:t>四干四支</w:t>
            </w:r>
            <w:r>
              <w:rPr>
                <w:rFonts w:hint="eastAsia" w:ascii="宋体" w:hAnsi="宋体" w:eastAsia="仿宋_GB2312" w:cs="仿宋_GB2312"/>
                <w:b/>
                <w:bCs/>
                <w:color w:val="auto"/>
                <w:sz w:val="28"/>
                <w:szCs w:val="28"/>
                <w:highlight w:val="none"/>
                <w:u w:val="none" w:color="auto"/>
                <w:lang w:eastAsia="zh-CN"/>
              </w:rPr>
              <w:t>”</w:t>
            </w:r>
            <w:r>
              <w:rPr>
                <w:rFonts w:hint="eastAsia" w:ascii="宋体" w:hAnsi="宋体" w:eastAsia="仿宋_GB2312" w:cs="仿宋_GB2312"/>
                <w:b/>
                <w:bCs/>
                <w:color w:val="auto"/>
                <w:sz w:val="28"/>
                <w:szCs w:val="28"/>
                <w:highlight w:val="none"/>
                <w:u w:val="none" w:color="auto"/>
                <w:lang w:val="en-US" w:eastAsia="zh-CN"/>
              </w:rPr>
              <w:t>调引水工程。</w:t>
            </w:r>
            <w:r>
              <w:rPr>
                <w:rFonts w:hint="eastAsia" w:ascii="宋体" w:hAnsi="宋体" w:eastAsia="仿宋_GB2312" w:cs="仿宋_GB2312"/>
                <w:color w:val="auto"/>
                <w:sz w:val="28"/>
                <w:szCs w:val="28"/>
                <w:highlight w:val="none"/>
                <w:u w:val="none" w:color="auto"/>
                <w:lang w:val="en-US" w:eastAsia="zh-CN"/>
              </w:rPr>
              <w:t>“四干”即</w:t>
            </w:r>
            <w:r>
              <w:rPr>
                <w:rFonts w:hint="eastAsia" w:ascii="宋体" w:hAnsi="宋体" w:eastAsia="仿宋_GB2312" w:cs="仿宋_GB2312"/>
                <w:color w:val="auto"/>
                <w:sz w:val="28"/>
                <w:szCs w:val="28"/>
                <w:highlight w:val="none"/>
                <w:u w:val="none" w:color="auto"/>
              </w:rPr>
              <w:t>地下水库大可乡连通工程、威黑—月湖引水改扩建工程、三角水库引水工程、长湖镇农村抗旱引水保障工程。</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四支</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lang w:val="en-US" w:eastAsia="zh-CN"/>
              </w:rPr>
              <w:t>即</w:t>
            </w:r>
            <w:r>
              <w:rPr>
                <w:rFonts w:hint="eastAsia" w:ascii="宋体" w:hAnsi="宋体" w:eastAsia="仿宋_GB2312" w:cs="仿宋_GB2312"/>
                <w:color w:val="auto"/>
                <w:sz w:val="28"/>
                <w:szCs w:val="28"/>
                <w:highlight w:val="none"/>
                <w:u w:val="none" w:color="auto"/>
              </w:rPr>
              <w:t>黑龙潭水库—鱼龙水库等</w:t>
            </w:r>
            <w:r>
              <w:rPr>
                <w:rFonts w:hint="eastAsia" w:ascii="宋体" w:hAnsi="宋体" w:eastAsia="仿宋_GB2312" w:cs="宋体"/>
                <w:color w:val="auto"/>
                <w:sz w:val="28"/>
                <w:szCs w:val="28"/>
                <w:highlight w:val="none"/>
                <w:u w:val="none" w:color="auto"/>
              </w:rPr>
              <w:t>9</w:t>
            </w:r>
            <w:r>
              <w:rPr>
                <w:rFonts w:hint="eastAsia" w:ascii="宋体" w:hAnsi="宋体" w:eastAsia="仿宋_GB2312" w:cs="仿宋_GB2312"/>
                <w:color w:val="auto"/>
                <w:sz w:val="28"/>
                <w:szCs w:val="28"/>
                <w:highlight w:val="none"/>
                <w:u w:val="none" w:color="auto"/>
              </w:rPr>
              <w:t>库水库连通工程、杨溪水库—威黑水库连通工程、石夹洞—三角水库—圭山水库连通工程、石夹洞提水基础设施配套工程。</w:t>
            </w:r>
          </w:p>
          <w:p w14:paraId="273999AC">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80" w:lineRule="exact"/>
              <w:ind w:left="0" w:leftChars="0" w:firstLine="562" w:firstLineChars="200"/>
              <w:jc w:val="both"/>
              <w:textAlignment w:val="auto"/>
              <w:outlineLvl w:val="9"/>
              <w:rPr>
                <w:rFonts w:hint="eastAsia" w:ascii="宋体" w:hAnsi="宋体" w:eastAsia="仿宋_GB2312" w:cs="仿宋_GB2312"/>
                <w:color w:val="auto"/>
                <w:sz w:val="28"/>
                <w:szCs w:val="28"/>
                <w:highlight w:val="none"/>
                <w:u w:val="none" w:color="auto"/>
                <w:lang w:eastAsia="zh-CN"/>
              </w:rPr>
            </w:pPr>
            <w:r>
              <w:rPr>
                <w:rFonts w:hint="eastAsia" w:ascii="宋体" w:hAnsi="宋体" w:eastAsia="仿宋_GB2312" w:cs="仿宋_GB2312"/>
                <w:b/>
                <w:bCs/>
                <w:color w:val="auto"/>
                <w:sz w:val="28"/>
                <w:szCs w:val="28"/>
                <w:highlight w:val="none"/>
                <w:u w:val="none" w:color="auto"/>
              </w:rPr>
              <w:t>“四库七灌”</w:t>
            </w:r>
            <w:r>
              <w:rPr>
                <w:rFonts w:hint="eastAsia" w:ascii="宋体" w:hAnsi="宋体" w:eastAsia="仿宋_GB2312" w:cs="仿宋_GB2312"/>
                <w:b/>
                <w:bCs/>
                <w:color w:val="auto"/>
                <w:sz w:val="28"/>
                <w:szCs w:val="28"/>
                <w:highlight w:val="none"/>
                <w:u w:val="none" w:color="auto"/>
                <w:lang w:val="en-US" w:eastAsia="zh-CN"/>
              </w:rPr>
              <w:t>建设工程</w:t>
            </w:r>
            <w:r>
              <w:rPr>
                <w:rFonts w:hint="eastAsia" w:ascii="宋体" w:hAnsi="宋体" w:eastAsia="仿宋_GB2312" w:cs="仿宋_GB2312"/>
                <w:b/>
                <w:bCs/>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四库</w:t>
            </w:r>
            <w:r>
              <w:rPr>
                <w:rFonts w:hint="eastAsia" w:ascii="宋体" w:hAnsi="宋体" w:eastAsia="仿宋_GB2312" w:cs="仿宋_GB2312"/>
                <w:color w:val="auto"/>
                <w:sz w:val="28"/>
                <w:szCs w:val="28"/>
                <w:highlight w:val="none"/>
                <w:u w:val="none" w:color="auto"/>
                <w:lang w:val="en-US" w:eastAsia="zh-CN"/>
              </w:rPr>
              <w:t>即</w:t>
            </w:r>
            <w:r>
              <w:rPr>
                <w:rFonts w:hint="eastAsia" w:ascii="宋体" w:hAnsi="宋体" w:eastAsia="仿宋_GB2312" w:cs="仿宋_GB2312"/>
                <w:color w:val="auto"/>
                <w:sz w:val="28"/>
                <w:szCs w:val="28"/>
                <w:highlight w:val="none"/>
                <w:u w:val="none" w:color="auto"/>
              </w:rPr>
              <w:t>黑龙潭水库、鱼龙水库、月湖水库、戈冲里水库。七灌</w:t>
            </w:r>
            <w:r>
              <w:rPr>
                <w:rFonts w:hint="eastAsia" w:ascii="宋体" w:hAnsi="宋体" w:eastAsia="仿宋_GB2312" w:cs="仿宋_GB2312"/>
                <w:color w:val="auto"/>
                <w:sz w:val="28"/>
                <w:szCs w:val="28"/>
                <w:highlight w:val="none"/>
                <w:u w:val="none" w:color="auto"/>
                <w:lang w:val="en-US" w:eastAsia="zh-CN"/>
              </w:rPr>
              <w:t>即</w:t>
            </w:r>
            <w:r>
              <w:rPr>
                <w:rFonts w:hint="eastAsia" w:ascii="宋体" w:hAnsi="宋体" w:eastAsia="仿宋_GB2312" w:cs="仿宋_GB2312"/>
                <w:color w:val="auto"/>
                <w:sz w:val="28"/>
                <w:szCs w:val="28"/>
                <w:highlight w:val="none"/>
                <w:u w:val="none" w:color="auto"/>
              </w:rPr>
              <w:t>团结水库灌区、黑龙潭水库灌区、三角水库灌区、威黑水库灌区、杨溪水库灌区、西北部中型灌区、七角塘水库灌区</w:t>
            </w:r>
            <w:r>
              <w:rPr>
                <w:rFonts w:hint="eastAsia" w:ascii="宋体" w:hAnsi="宋体" w:eastAsia="仿宋_GB2312" w:cs="仿宋_GB2312"/>
                <w:color w:val="auto"/>
                <w:sz w:val="28"/>
                <w:szCs w:val="28"/>
                <w:highlight w:val="none"/>
                <w:u w:val="none" w:color="auto"/>
                <w:lang w:eastAsia="zh-CN"/>
              </w:rPr>
              <w:t>。</w:t>
            </w:r>
          </w:p>
          <w:p w14:paraId="78610B89">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80" w:lineRule="exact"/>
              <w:ind w:left="0" w:leftChars="0" w:firstLine="518" w:firstLineChars="200"/>
              <w:jc w:val="both"/>
              <w:textAlignment w:val="auto"/>
              <w:outlineLvl w:val="9"/>
              <w:rPr>
                <w:rFonts w:hint="default" w:ascii="宋体" w:hAnsi="宋体" w:eastAsia="仿宋_GB2312" w:cs="Times New Roman Regular"/>
                <w:b/>
                <w:bCs/>
                <w:color w:val="auto"/>
                <w:sz w:val="28"/>
                <w:szCs w:val="28"/>
                <w:highlight w:val="none"/>
                <w:u w:val="none" w:color="auto"/>
                <w:lang w:val="en-US" w:eastAsia="zh-CN"/>
              </w:rPr>
            </w:pPr>
            <w:r>
              <w:rPr>
                <w:rFonts w:hint="eastAsia" w:ascii="宋体" w:hAnsi="宋体" w:eastAsia="仿宋_GB2312" w:cs="仿宋_GB2312"/>
                <w:b/>
                <w:bCs/>
                <w:color w:val="auto"/>
                <w:spacing w:val="-11"/>
                <w:sz w:val="28"/>
                <w:szCs w:val="28"/>
                <w:highlight w:val="none"/>
                <w:u w:val="none" w:color="auto"/>
                <w:lang w:val="en-US" w:eastAsia="zh-CN"/>
              </w:rPr>
              <w:t>河道治理工程。</w:t>
            </w:r>
            <w:r>
              <w:rPr>
                <w:rFonts w:hint="eastAsia" w:ascii="宋体" w:hAnsi="宋体" w:eastAsia="仿宋_GB2312" w:cs="仿宋_GB2312"/>
                <w:b w:val="0"/>
                <w:bCs w:val="0"/>
                <w:color w:val="auto"/>
                <w:spacing w:val="-11"/>
                <w:sz w:val="28"/>
                <w:szCs w:val="28"/>
                <w:highlight w:val="none"/>
                <w:u w:val="none" w:color="auto"/>
                <w:lang w:val="en-US" w:eastAsia="zh-CN"/>
              </w:rPr>
              <w:t>实施巴江河道治理工程，治理长度</w:t>
            </w:r>
            <w:r>
              <w:rPr>
                <w:rFonts w:hint="eastAsia" w:ascii="宋体" w:hAnsi="宋体" w:eastAsia="仿宋_GB2312" w:cs="宋体"/>
                <w:b w:val="0"/>
                <w:bCs w:val="0"/>
                <w:color w:val="auto"/>
                <w:spacing w:val="-11"/>
                <w:sz w:val="28"/>
                <w:szCs w:val="28"/>
                <w:highlight w:val="none"/>
                <w:u w:val="none" w:color="auto"/>
                <w:lang w:val="en-US" w:eastAsia="zh-CN"/>
              </w:rPr>
              <w:t>24.3</w:t>
            </w:r>
            <w:r>
              <w:rPr>
                <w:rFonts w:hint="eastAsia" w:ascii="宋体" w:hAnsi="宋体" w:eastAsia="仿宋_GB2312" w:cs="仿宋_GB2312"/>
                <w:b w:val="0"/>
                <w:bCs w:val="0"/>
                <w:color w:val="auto"/>
                <w:spacing w:val="-11"/>
                <w:sz w:val="28"/>
                <w:szCs w:val="28"/>
                <w:highlight w:val="none"/>
                <w:u w:val="none" w:color="auto"/>
                <w:lang w:val="en-US" w:eastAsia="zh-CN"/>
              </w:rPr>
              <w:t>公里；大可河河道治理工程，治理长度</w:t>
            </w:r>
            <w:r>
              <w:rPr>
                <w:rFonts w:hint="eastAsia" w:ascii="宋体" w:hAnsi="宋体" w:eastAsia="仿宋_GB2312" w:cs="宋体"/>
                <w:b w:val="0"/>
                <w:bCs w:val="0"/>
                <w:color w:val="auto"/>
                <w:spacing w:val="-11"/>
                <w:sz w:val="28"/>
                <w:szCs w:val="28"/>
                <w:highlight w:val="none"/>
                <w:u w:val="none" w:color="auto"/>
                <w:lang w:val="en-US" w:eastAsia="zh-CN"/>
              </w:rPr>
              <w:t>31.75</w:t>
            </w:r>
            <w:r>
              <w:rPr>
                <w:rFonts w:hint="eastAsia" w:ascii="宋体" w:hAnsi="宋体" w:eastAsia="仿宋_GB2312" w:cs="仿宋_GB2312"/>
                <w:b w:val="0"/>
                <w:bCs w:val="0"/>
                <w:color w:val="auto"/>
                <w:spacing w:val="-11"/>
                <w:sz w:val="28"/>
                <w:szCs w:val="28"/>
                <w:highlight w:val="none"/>
                <w:u w:val="none" w:color="auto"/>
                <w:lang w:val="en-US" w:eastAsia="zh-CN"/>
              </w:rPr>
              <w:t>公里；白马河河道治理工程，治理长度</w:t>
            </w:r>
            <w:r>
              <w:rPr>
                <w:rFonts w:hint="eastAsia" w:ascii="宋体" w:hAnsi="宋体" w:eastAsia="仿宋_GB2312" w:cs="宋体"/>
                <w:b w:val="0"/>
                <w:bCs w:val="0"/>
                <w:color w:val="auto"/>
                <w:spacing w:val="-11"/>
                <w:sz w:val="28"/>
                <w:szCs w:val="28"/>
                <w:highlight w:val="none"/>
                <w:u w:val="none" w:color="auto"/>
                <w:lang w:val="en-US" w:eastAsia="zh-CN"/>
              </w:rPr>
              <w:t>9.5</w:t>
            </w:r>
            <w:r>
              <w:rPr>
                <w:rFonts w:hint="eastAsia" w:ascii="宋体" w:hAnsi="宋体" w:eastAsia="仿宋_GB2312" w:cs="仿宋_GB2312"/>
                <w:b w:val="0"/>
                <w:bCs w:val="0"/>
                <w:color w:val="auto"/>
                <w:spacing w:val="-11"/>
                <w:sz w:val="28"/>
                <w:szCs w:val="28"/>
                <w:highlight w:val="none"/>
                <w:u w:val="none" w:color="auto"/>
                <w:lang w:val="en-US" w:eastAsia="zh-CN"/>
              </w:rPr>
              <w:t>公里。</w:t>
            </w:r>
          </w:p>
          <w:p w14:paraId="1EEF3B29">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80" w:lineRule="exact"/>
              <w:ind w:left="0" w:leftChars="0" w:firstLine="562" w:firstLineChars="200"/>
              <w:jc w:val="both"/>
              <w:textAlignment w:val="auto"/>
              <w:outlineLvl w:val="9"/>
              <w:rPr>
                <w:rFonts w:hint="eastAsia" w:ascii="宋体" w:hAnsi="宋体" w:eastAsia="仿宋_GB2312" w:cs="仿宋_GB2312"/>
                <w:b/>
                <w:bCs/>
                <w:color w:val="auto"/>
                <w:sz w:val="28"/>
                <w:szCs w:val="28"/>
                <w:highlight w:val="none"/>
                <w:u w:val="none" w:color="auto"/>
                <w:lang w:eastAsia="zh-CN"/>
              </w:rPr>
            </w:pPr>
            <w:r>
              <w:rPr>
                <w:rFonts w:hint="eastAsia" w:ascii="宋体" w:hAnsi="宋体" w:eastAsia="仿宋_GB2312" w:cs="仿宋_GB2312"/>
                <w:b/>
                <w:bCs/>
                <w:color w:val="auto"/>
                <w:sz w:val="28"/>
                <w:szCs w:val="28"/>
                <w:highlight w:val="none"/>
                <w:u w:val="none" w:color="auto"/>
              </w:rPr>
              <w:t>城乡供水一体化工程</w:t>
            </w:r>
            <w:r>
              <w:rPr>
                <w:rFonts w:hint="eastAsia" w:ascii="宋体" w:hAnsi="宋体" w:eastAsia="仿宋_GB2312" w:cs="仿宋_GB2312"/>
                <w:b/>
                <w:bCs/>
                <w:color w:val="auto"/>
                <w:sz w:val="28"/>
                <w:szCs w:val="28"/>
                <w:highlight w:val="none"/>
                <w:u w:val="none" w:color="auto"/>
                <w:lang w:eastAsia="zh-CN"/>
              </w:rPr>
              <w:t>。</w:t>
            </w:r>
            <w:r>
              <w:rPr>
                <w:rFonts w:hint="eastAsia" w:ascii="宋体" w:hAnsi="宋体" w:eastAsia="仿宋_GB2312" w:cs="仿宋_GB2312"/>
                <w:b w:val="0"/>
                <w:bCs w:val="0"/>
                <w:color w:val="auto"/>
                <w:sz w:val="28"/>
                <w:szCs w:val="28"/>
                <w:highlight w:val="none"/>
                <w:u w:val="none" w:color="auto"/>
                <w:lang w:val="en-US" w:eastAsia="zh-CN"/>
              </w:rPr>
              <w:t>推动</w:t>
            </w:r>
            <w:r>
              <w:rPr>
                <w:rFonts w:hint="eastAsia" w:ascii="宋体" w:hAnsi="宋体" w:eastAsia="仿宋_GB2312" w:cs="仿宋_GB2312"/>
                <w:b w:val="0"/>
                <w:bCs w:val="0"/>
                <w:color w:val="auto"/>
                <w:sz w:val="28"/>
                <w:szCs w:val="28"/>
                <w:highlight w:val="none"/>
                <w:u w:val="none" w:color="auto"/>
              </w:rPr>
              <w:t>板桥街道、大可乡、鹿阜街道阿怒山村、黑彝洞、风龙潭、石夹洞沿线覆盖六个区域的管网进行新建或提升改造，新建改造管网总长</w:t>
            </w:r>
            <w:r>
              <w:rPr>
                <w:rFonts w:hint="eastAsia" w:ascii="宋体" w:hAnsi="宋体" w:eastAsia="仿宋_GB2312" w:cs="宋体"/>
                <w:b w:val="0"/>
                <w:bCs w:val="0"/>
                <w:color w:val="auto"/>
                <w:sz w:val="28"/>
                <w:szCs w:val="28"/>
                <w:highlight w:val="none"/>
                <w:u w:val="none" w:color="auto"/>
              </w:rPr>
              <w:t>372.84</w:t>
            </w:r>
            <w:r>
              <w:rPr>
                <w:rFonts w:hint="eastAsia" w:ascii="宋体" w:hAnsi="宋体" w:eastAsia="仿宋_GB2312" w:cs="仿宋_GB2312"/>
                <w:b w:val="0"/>
                <w:bCs w:val="0"/>
                <w:color w:val="auto"/>
                <w:sz w:val="28"/>
                <w:szCs w:val="28"/>
                <w:highlight w:val="none"/>
                <w:u w:val="none" w:color="auto"/>
              </w:rPr>
              <w:t>公里，新建水池、提水泵站及其附属工程。</w:t>
            </w:r>
          </w:p>
          <w:p w14:paraId="6715B864">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380" w:lineRule="exact"/>
              <w:ind w:left="0" w:leftChars="0" w:firstLine="562" w:firstLineChars="200"/>
              <w:jc w:val="both"/>
              <w:textAlignment w:val="auto"/>
              <w:outlineLvl w:val="9"/>
              <w:rPr>
                <w:rFonts w:hint="default" w:ascii="宋体" w:hAnsi="宋体" w:eastAsia="方正黑体_GBK" w:cs="Times New Roman Regular"/>
                <w:color w:val="auto"/>
                <w:kern w:val="2"/>
                <w:sz w:val="28"/>
                <w:szCs w:val="28"/>
                <w:highlight w:val="none"/>
                <w:lang w:val="en-US" w:eastAsia="zh-CN" w:bidi="ar-SA"/>
              </w:rPr>
            </w:pPr>
            <w:r>
              <w:rPr>
                <w:rFonts w:hint="eastAsia" w:ascii="宋体" w:hAnsi="宋体" w:eastAsia="仿宋_GB2312" w:cs="仿宋_GB2312"/>
                <w:b/>
                <w:bCs/>
                <w:color w:val="auto"/>
                <w:sz w:val="28"/>
                <w:szCs w:val="28"/>
                <w:highlight w:val="none"/>
                <w:u w:val="none" w:color="auto"/>
              </w:rPr>
              <w:t>石林县农村饮水安全提升工程</w:t>
            </w:r>
            <w:r>
              <w:rPr>
                <w:rFonts w:hint="eastAsia" w:ascii="宋体" w:hAnsi="宋体" w:eastAsia="仿宋_GB2312" w:cs="仿宋_GB2312"/>
                <w:b/>
                <w:bCs/>
                <w:color w:val="auto"/>
                <w:sz w:val="28"/>
                <w:szCs w:val="28"/>
                <w:highlight w:val="none"/>
                <w:u w:val="none" w:color="auto"/>
                <w:lang w:eastAsia="zh-CN"/>
              </w:rPr>
              <w:t>。</w:t>
            </w:r>
            <w:r>
              <w:rPr>
                <w:rFonts w:hint="eastAsia" w:ascii="宋体" w:hAnsi="宋体" w:eastAsia="仿宋_GB2312" w:cs="仿宋_GB2312"/>
                <w:b w:val="0"/>
                <w:bCs w:val="0"/>
                <w:color w:val="auto"/>
                <w:sz w:val="28"/>
                <w:szCs w:val="28"/>
                <w:highlight w:val="none"/>
                <w:u w:val="none" w:color="auto"/>
                <w:lang w:eastAsia="zh-CN"/>
              </w:rPr>
              <w:t>实施“城乡管网一张网”</w:t>
            </w:r>
            <w:r>
              <w:rPr>
                <w:rFonts w:hint="eastAsia" w:ascii="宋体" w:hAnsi="宋体" w:eastAsia="仿宋_GB2312" w:cs="仿宋_GB2312"/>
                <w:b w:val="0"/>
                <w:bCs w:val="0"/>
                <w:color w:val="auto"/>
                <w:sz w:val="28"/>
                <w:szCs w:val="28"/>
                <w:highlight w:val="none"/>
                <w:u w:val="none" w:color="auto"/>
                <w:lang w:val="en-US" w:eastAsia="zh-CN"/>
              </w:rPr>
              <w:t>建设，推动主干管网延伸和</w:t>
            </w:r>
            <w:r>
              <w:rPr>
                <w:rFonts w:hint="eastAsia" w:ascii="宋体" w:hAnsi="宋体" w:eastAsia="仿宋_GB2312" w:cs="仿宋_GB2312"/>
                <w:color w:val="auto"/>
                <w:sz w:val="28"/>
                <w:szCs w:val="28"/>
                <w:highlight w:val="none"/>
                <w:u w:val="none" w:color="auto"/>
              </w:rPr>
              <w:t>输配水管道</w:t>
            </w:r>
            <w:r>
              <w:rPr>
                <w:rFonts w:hint="eastAsia" w:ascii="宋体" w:hAnsi="宋体" w:eastAsia="仿宋_GB2312" w:cs="仿宋_GB2312"/>
                <w:color w:val="auto"/>
                <w:sz w:val="28"/>
                <w:szCs w:val="28"/>
                <w:highlight w:val="none"/>
                <w:u w:val="none" w:color="auto"/>
                <w:lang w:val="en-US" w:eastAsia="zh-CN"/>
              </w:rPr>
              <w:t>建设，新建净水厂</w:t>
            </w:r>
            <w:r>
              <w:rPr>
                <w:rFonts w:hint="eastAsia" w:ascii="宋体" w:hAnsi="宋体" w:eastAsia="仿宋_GB2312" w:cs="宋体"/>
                <w:color w:val="auto"/>
                <w:sz w:val="28"/>
                <w:szCs w:val="28"/>
                <w:highlight w:val="none"/>
                <w:u w:val="none" w:color="auto"/>
              </w:rPr>
              <w:t>6</w:t>
            </w:r>
            <w:r>
              <w:rPr>
                <w:rFonts w:hint="eastAsia" w:ascii="宋体" w:hAnsi="宋体" w:eastAsia="仿宋_GB2312" w:cs="仿宋_GB2312"/>
                <w:color w:val="auto"/>
                <w:sz w:val="28"/>
                <w:szCs w:val="28"/>
                <w:highlight w:val="none"/>
                <w:u w:val="none" w:color="auto"/>
              </w:rPr>
              <w:t>座</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lang w:val="en-US" w:eastAsia="zh-CN"/>
              </w:rPr>
              <w:t>配套完善</w:t>
            </w:r>
            <w:r>
              <w:rPr>
                <w:rFonts w:hint="eastAsia" w:ascii="宋体" w:hAnsi="宋体" w:eastAsia="仿宋_GB2312" w:cs="仿宋_GB2312"/>
                <w:color w:val="auto"/>
                <w:sz w:val="28"/>
                <w:szCs w:val="28"/>
                <w:highlight w:val="none"/>
                <w:u w:val="none" w:color="auto"/>
              </w:rPr>
              <w:t>一体化净水设备</w:t>
            </w:r>
            <w:r>
              <w:rPr>
                <w:rFonts w:hint="eastAsia" w:ascii="宋体" w:hAnsi="宋体" w:eastAsia="仿宋_GB2312" w:cs="仿宋_GB2312"/>
                <w:color w:val="auto"/>
                <w:sz w:val="28"/>
                <w:szCs w:val="28"/>
                <w:highlight w:val="none"/>
                <w:u w:val="none" w:color="auto"/>
                <w:lang w:val="en-US" w:eastAsia="zh-CN"/>
              </w:rPr>
              <w:t>、</w:t>
            </w:r>
            <w:r>
              <w:rPr>
                <w:rFonts w:hint="eastAsia" w:ascii="宋体" w:hAnsi="宋体" w:eastAsia="仿宋_GB2312" w:cs="仿宋_GB2312"/>
                <w:color w:val="auto"/>
                <w:sz w:val="28"/>
                <w:szCs w:val="28"/>
                <w:highlight w:val="none"/>
                <w:u w:val="none" w:color="auto"/>
              </w:rPr>
              <w:t>水池</w:t>
            </w:r>
            <w:r>
              <w:rPr>
                <w:rFonts w:hint="eastAsia" w:ascii="宋体" w:hAnsi="宋体" w:eastAsia="仿宋_GB2312" w:cs="仿宋_GB2312"/>
                <w:color w:val="auto"/>
                <w:sz w:val="28"/>
                <w:szCs w:val="28"/>
                <w:highlight w:val="none"/>
                <w:u w:val="none" w:color="auto"/>
                <w:lang w:val="en-US" w:eastAsia="zh-CN"/>
              </w:rPr>
              <w:t>和</w:t>
            </w:r>
            <w:r>
              <w:rPr>
                <w:rFonts w:hint="eastAsia" w:ascii="宋体" w:hAnsi="宋体" w:eastAsia="仿宋_GB2312" w:cs="仿宋_GB2312"/>
                <w:color w:val="auto"/>
                <w:sz w:val="28"/>
                <w:szCs w:val="28"/>
                <w:highlight w:val="none"/>
                <w:u w:val="none" w:color="auto"/>
              </w:rPr>
              <w:t>计量设施，总供水量</w:t>
            </w:r>
            <w:r>
              <w:rPr>
                <w:rFonts w:hint="eastAsia" w:ascii="宋体" w:hAnsi="宋体" w:eastAsia="仿宋_GB2312" w:cs="宋体"/>
                <w:color w:val="auto"/>
                <w:sz w:val="28"/>
                <w:szCs w:val="28"/>
                <w:highlight w:val="none"/>
                <w:u w:val="none" w:color="auto"/>
              </w:rPr>
              <w:t>1274.49</w:t>
            </w:r>
            <w:r>
              <w:rPr>
                <w:rFonts w:hint="eastAsia" w:ascii="宋体" w:hAnsi="宋体" w:eastAsia="仿宋_GB2312" w:cs="仿宋_GB2312"/>
                <w:color w:val="auto"/>
                <w:sz w:val="28"/>
                <w:szCs w:val="28"/>
                <w:highlight w:val="none"/>
                <w:u w:val="none" w:color="auto"/>
              </w:rPr>
              <w:t>万立方米，受益人口</w:t>
            </w:r>
            <w:r>
              <w:rPr>
                <w:rFonts w:hint="eastAsia" w:ascii="宋体" w:hAnsi="宋体" w:eastAsia="仿宋_GB2312" w:cs="宋体"/>
                <w:color w:val="auto"/>
                <w:sz w:val="28"/>
                <w:szCs w:val="28"/>
                <w:highlight w:val="none"/>
                <w:u w:val="none" w:color="auto"/>
              </w:rPr>
              <w:t>20.81</w:t>
            </w:r>
            <w:r>
              <w:rPr>
                <w:rFonts w:hint="eastAsia" w:ascii="宋体" w:hAnsi="宋体" w:eastAsia="仿宋_GB2312" w:cs="仿宋_GB2312"/>
                <w:color w:val="auto"/>
                <w:sz w:val="28"/>
                <w:szCs w:val="28"/>
                <w:highlight w:val="none"/>
                <w:u w:val="none" w:color="auto"/>
              </w:rPr>
              <w:t>万</w:t>
            </w:r>
            <w:r>
              <w:rPr>
                <w:rFonts w:hint="eastAsia" w:ascii="宋体" w:hAnsi="宋体" w:eastAsia="仿宋_GB2312" w:cs="仿宋_GB2312"/>
                <w:color w:val="auto"/>
                <w:sz w:val="28"/>
                <w:szCs w:val="28"/>
                <w:highlight w:val="none"/>
                <w:u w:val="none" w:color="auto"/>
                <w:lang w:val="en-US" w:eastAsia="zh-CN"/>
              </w:rPr>
              <w:t>人</w:t>
            </w:r>
            <w:r>
              <w:rPr>
                <w:rFonts w:hint="eastAsia" w:ascii="宋体" w:hAnsi="宋体" w:eastAsia="仿宋_GB2312" w:cs="仿宋_GB2312"/>
                <w:color w:val="auto"/>
                <w:sz w:val="28"/>
                <w:szCs w:val="28"/>
                <w:highlight w:val="none"/>
                <w:u w:val="none" w:color="auto"/>
              </w:rPr>
              <w:t>。</w:t>
            </w:r>
          </w:p>
        </w:tc>
      </w:tr>
    </w:tbl>
    <w:p w14:paraId="30474AC1">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0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527" w:name="_Toc580237627"/>
      <w:bookmarkStart w:id="528" w:name="_Toc9755"/>
      <w:bookmarkStart w:id="529" w:name="_Toc1483533324"/>
      <w:bookmarkStart w:id="530" w:name="_Toc1120246823"/>
      <w:bookmarkStart w:id="531" w:name="_Toc384767400"/>
      <w:bookmarkStart w:id="532" w:name="_Toc4628"/>
      <w:bookmarkStart w:id="533" w:name="_Toc12856"/>
      <w:bookmarkStart w:id="534" w:name="_Toc2051064614"/>
      <w:bookmarkStart w:id="535" w:name="_Toc713604588"/>
      <w:bookmarkStart w:id="536" w:name="_Toc1164282900"/>
      <w:bookmarkStart w:id="537" w:name="_Toc1090252610"/>
      <w:r>
        <w:rPr>
          <w:rFonts w:hint="eastAsia" w:ascii="宋体" w:hAnsi="宋体" w:eastAsia="黑体" w:cs="黑体"/>
          <w:b w:val="0"/>
          <w:bCs/>
          <w:color w:val="auto"/>
          <w:kern w:val="2"/>
          <w:sz w:val="32"/>
          <w:szCs w:val="24"/>
          <w:highlight w:val="none"/>
          <w:u w:val="none"/>
          <w:lang w:val="en-US" w:eastAsia="zh-CN" w:bidi="ar-SA"/>
        </w:rPr>
        <w:t>第三节  打造绿色低碳能源网络</w:t>
      </w:r>
      <w:bookmarkEnd w:id="527"/>
      <w:bookmarkEnd w:id="528"/>
      <w:bookmarkEnd w:id="529"/>
      <w:bookmarkEnd w:id="530"/>
      <w:bookmarkEnd w:id="531"/>
      <w:bookmarkEnd w:id="532"/>
      <w:bookmarkEnd w:id="533"/>
      <w:bookmarkEnd w:id="534"/>
      <w:bookmarkEnd w:id="535"/>
      <w:bookmarkEnd w:id="536"/>
      <w:bookmarkEnd w:id="537"/>
    </w:p>
    <w:p w14:paraId="73D289DF">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00" w:lineRule="exact"/>
        <w:ind w:left="0" w:leftChars="0" w:firstLine="640" w:firstLineChars="200"/>
        <w:jc w:val="both"/>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统筹推进能源结构调整与多能互补，加快构建清洁低碳、安全高效、智慧创新的现代能源体系。优化完善配电网网架结构，加快建设石林产业园区110kV变电站和</w:t>
      </w:r>
      <w:r>
        <w:rPr>
          <w:rFonts w:hint="eastAsia" w:ascii="宋体" w:hAnsi="宋体" w:eastAsia="仿宋_GB2312" w:cs="Times New Roman Regular"/>
          <w:bCs w:val="0"/>
          <w:color w:val="auto"/>
          <w:sz w:val="32"/>
          <w:szCs w:val="32"/>
          <w:highlight w:val="none"/>
          <w:u w:val="none" w:color="auto"/>
          <w:lang w:bidi="ar"/>
        </w:rPr>
        <w:t>35千伏亩竹（亩竹箐）输变电工程</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Cs w:val="0"/>
          <w:color w:val="auto"/>
          <w:sz w:val="32"/>
          <w:szCs w:val="32"/>
          <w:highlight w:val="none"/>
          <w:u w:val="none" w:color="auto"/>
          <w:lang w:bidi="ar"/>
        </w:rPr>
        <w:t>35千伏台创园（螺蛳塘）输变电工程</w:t>
      </w:r>
      <w:r>
        <w:rPr>
          <w:rFonts w:hint="eastAsia" w:ascii="宋体" w:hAnsi="宋体" w:eastAsia="仿宋_GB2312" w:cs="Times New Roman Regular"/>
          <w:bCs w:val="0"/>
          <w:color w:val="auto"/>
          <w:sz w:val="32"/>
          <w:szCs w:val="32"/>
          <w:highlight w:val="none"/>
          <w:u w:val="none" w:color="auto"/>
          <w:lang w:eastAsia="zh-CN" w:bidi="ar"/>
        </w:rPr>
        <w:t>，</w:t>
      </w:r>
      <w:r>
        <w:rPr>
          <w:rFonts w:hint="eastAsia" w:ascii="宋体" w:hAnsi="宋体" w:eastAsia="仿宋_GB2312" w:cs="Times New Roman Regular"/>
          <w:b w:val="0"/>
          <w:bCs w:val="0"/>
          <w:color w:val="auto"/>
          <w:sz w:val="32"/>
          <w:szCs w:val="32"/>
          <w:highlight w:val="none"/>
          <w:u w:val="none" w:color="auto"/>
          <w:lang w:val="en-US" w:eastAsia="zh-CN" w:bidi="ar"/>
        </w:rPr>
        <w:t>推进城镇配电网和农网升级改造，加快智能电网建设步伐，提升电力保障能力。聚焦“源网荷储一体化”，协调推进新能源开发和消纳，加快推进华润清洁能源整体开发利用项目，推进支锅山、双龙箐、大莫古风电场扩建，推动新能源城市建设，探索发展绿电直连、“绿电+先进制造业”“绿电+智算”。依托原有电站基础及板桥水力资源条件，推动电站蓄能提质改造。加快油气基础设施建设，推动10座加油站新建或迁建，加快全县管道天然气项目建设，推动有条件的乡镇天然气能通尽通。按照“车桩相适、适度超前”原则，推进集中式充（换）电站、分散式充电桩等基础设施建设。</w:t>
      </w:r>
    </w:p>
    <w:tbl>
      <w:tblPr>
        <w:tblStyle w:val="18"/>
        <w:tblW w:w="8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5"/>
      </w:tblGrid>
      <w:tr w14:paraId="6177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945" w:type="dxa"/>
          </w:tcPr>
          <w:p w14:paraId="6381794F">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20" w:lineRule="exact"/>
              <w:ind w:left="0" w:leftChars="0" w:firstLine="0" w:firstLineChars="0"/>
              <w:jc w:val="center"/>
              <w:textAlignment w:val="auto"/>
              <w:outlineLvl w:val="9"/>
              <w:rPr>
                <w:rFonts w:hint="default" w:ascii="宋体" w:hAnsi="宋体" w:eastAsia="方正黑体_GBK" w:cs="Times New Roman Regular"/>
                <w:color w:val="auto"/>
                <w:kern w:val="0"/>
                <w:sz w:val="32"/>
                <w:szCs w:val="32"/>
                <w:highlight w:val="none"/>
                <w:vertAlign w:val="baseline"/>
                <w:lang w:val="en-US" w:eastAsia="zh-CN" w:bidi="ar-SA"/>
              </w:rPr>
            </w:pPr>
            <w:r>
              <w:rPr>
                <w:rFonts w:hint="eastAsia" w:ascii="黑体" w:hAnsi="黑体" w:eastAsia="黑体" w:cs="黑体"/>
                <w:color w:val="auto"/>
                <w:kern w:val="1"/>
                <w:sz w:val="28"/>
                <w:szCs w:val="28"/>
                <w:highlight w:val="none"/>
                <w:lang w:val="en-US" w:eastAsia="zh-CN" w:bidi="ar-SA"/>
              </w:rPr>
              <w:t>专栏11  能源基础设施建设重点工程</w:t>
            </w:r>
          </w:p>
        </w:tc>
      </w:tr>
      <w:tr w14:paraId="2C02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5" w:type="dxa"/>
          </w:tcPr>
          <w:p w14:paraId="53A33077">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40" w:lineRule="exact"/>
              <w:ind w:left="0" w:leftChars="0" w:firstLine="560"/>
              <w:jc w:val="both"/>
              <w:textAlignment w:val="auto"/>
              <w:outlineLvl w:val="9"/>
              <w:rPr>
                <w:rFonts w:hint="eastAsia" w:ascii="宋体" w:hAnsi="宋体" w:eastAsia="仿宋_GB2312" w:cs="仿宋_GB2312"/>
                <w:b w:val="0"/>
                <w:bCs w:val="0"/>
                <w:color w:val="auto"/>
                <w:sz w:val="28"/>
                <w:szCs w:val="28"/>
                <w:highlight w:val="none"/>
                <w:u w:val="none" w:color="auto"/>
                <w:vertAlign w:val="baseline"/>
                <w:lang w:val="en-US" w:eastAsia="zh-CN"/>
              </w:rPr>
            </w:pPr>
            <w:r>
              <w:rPr>
                <w:rFonts w:hint="eastAsia" w:ascii="宋体" w:hAnsi="宋体" w:eastAsia="仿宋_GB2312" w:cs="仿宋_GB2312"/>
                <w:b/>
                <w:bCs/>
                <w:color w:val="auto"/>
                <w:sz w:val="28"/>
                <w:szCs w:val="28"/>
                <w:highlight w:val="none"/>
                <w:u w:val="none" w:color="auto"/>
                <w:vertAlign w:val="baseline"/>
                <w:lang w:val="en-US" w:eastAsia="zh-CN"/>
              </w:rPr>
              <w:t>新能源城市建设工程。</w:t>
            </w:r>
            <w:r>
              <w:rPr>
                <w:rFonts w:hint="eastAsia" w:ascii="宋体" w:hAnsi="宋体" w:eastAsia="仿宋_GB2312" w:cs="仿宋_GB2312"/>
                <w:b w:val="0"/>
                <w:bCs w:val="0"/>
                <w:color w:val="auto"/>
                <w:sz w:val="28"/>
                <w:szCs w:val="28"/>
                <w:highlight w:val="none"/>
                <w:u w:val="none" w:color="auto"/>
                <w:vertAlign w:val="baseline"/>
                <w:lang w:val="en-US" w:eastAsia="zh-CN"/>
              </w:rPr>
              <w:t>以市场化方式，租赁石林县辖区内屋顶及其他可建设区域，建设工商业分布式光伏电站、户用分布式光伏电站、光储充超级充电站、储能电站等。</w:t>
            </w:r>
          </w:p>
          <w:p w14:paraId="3703466F">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40" w:lineRule="exact"/>
              <w:ind w:left="0" w:leftChars="0" w:firstLine="562" w:firstLineChars="200"/>
              <w:jc w:val="both"/>
              <w:textAlignment w:val="auto"/>
              <w:outlineLvl w:val="9"/>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vertAlign w:val="baseline"/>
                <w:lang w:val="en-US" w:eastAsia="zh-CN"/>
              </w:rPr>
              <w:t>风电设施建设工程。</w:t>
            </w:r>
            <w:r>
              <w:rPr>
                <w:rFonts w:hint="eastAsia" w:ascii="宋体" w:hAnsi="宋体" w:eastAsia="仿宋_GB2312" w:cs="仿宋_GB2312"/>
                <w:b w:val="0"/>
                <w:bCs w:val="0"/>
                <w:color w:val="auto"/>
                <w:sz w:val="28"/>
                <w:szCs w:val="28"/>
                <w:highlight w:val="none"/>
                <w:u w:val="none" w:color="auto"/>
                <w:vertAlign w:val="baseline"/>
                <w:lang w:val="en-US" w:eastAsia="zh-CN"/>
              </w:rPr>
              <w:t>推动舍波风电场、猫折山风电场、墩子山风电场建设，实施好大可板桥</w:t>
            </w:r>
            <w:r>
              <w:rPr>
                <w:rFonts w:hint="eastAsia" w:ascii="宋体" w:hAnsi="宋体" w:eastAsia="仿宋_GB2312" w:cs="宋体"/>
                <w:b w:val="0"/>
                <w:bCs w:val="0"/>
                <w:color w:val="auto"/>
                <w:sz w:val="28"/>
                <w:szCs w:val="28"/>
                <w:highlight w:val="none"/>
                <w:u w:val="none" w:color="auto"/>
                <w:vertAlign w:val="baseline"/>
                <w:lang w:val="en-US" w:eastAsia="zh-CN"/>
              </w:rPr>
              <w:t>200MW</w:t>
            </w:r>
            <w:r>
              <w:rPr>
                <w:rFonts w:hint="eastAsia" w:ascii="宋体" w:hAnsi="宋体" w:eastAsia="仿宋_GB2312" w:cs="仿宋_GB2312"/>
                <w:b w:val="0"/>
                <w:bCs w:val="0"/>
                <w:color w:val="auto"/>
                <w:sz w:val="28"/>
                <w:szCs w:val="28"/>
                <w:highlight w:val="none"/>
                <w:u w:val="none" w:color="auto"/>
                <w:vertAlign w:val="baseline"/>
                <w:lang w:val="en-US" w:eastAsia="zh-CN"/>
              </w:rPr>
              <w:t>风电项目、长湖</w:t>
            </w:r>
            <w:r>
              <w:rPr>
                <w:rFonts w:hint="eastAsia" w:ascii="宋体" w:hAnsi="宋体" w:eastAsia="仿宋_GB2312" w:cs="宋体"/>
                <w:b w:val="0"/>
                <w:bCs w:val="0"/>
                <w:color w:val="auto"/>
                <w:sz w:val="28"/>
                <w:szCs w:val="28"/>
                <w:highlight w:val="none"/>
                <w:u w:val="none" w:color="auto"/>
                <w:vertAlign w:val="baseline"/>
                <w:lang w:val="en-US" w:eastAsia="zh-CN"/>
              </w:rPr>
              <w:t>200MW</w:t>
            </w:r>
            <w:r>
              <w:rPr>
                <w:rFonts w:hint="eastAsia" w:ascii="宋体" w:hAnsi="宋体" w:eastAsia="仿宋_GB2312" w:cs="仿宋_GB2312"/>
                <w:b w:val="0"/>
                <w:bCs w:val="0"/>
                <w:color w:val="auto"/>
                <w:sz w:val="28"/>
                <w:szCs w:val="28"/>
                <w:highlight w:val="none"/>
                <w:u w:val="none" w:color="auto"/>
                <w:vertAlign w:val="baseline"/>
                <w:lang w:val="en-US" w:eastAsia="zh-CN"/>
              </w:rPr>
              <w:t>风力发电项目</w:t>
            </w:r>
            <w:r>
              <w:rPr>
                <w:rFonts w:hint="eastAsia" w:ascii="宋体" w:hAnsi="宋体" w:eastAsia="仿宋_GB2312" w:cs="仿宋_GB2312"/>
                <w:b w:val="0"/>
                <w:bCs w:val="0"/>
                <w:color w:val="auto"/>
                <w:sz w:val="28"/>
                <w:szCs w:val="28"/>
                <w:highlight w:val="none"/>
                <w:u w:val="none" w:color="auto"/>
              </w:rPr>
              <w:t>。</w:t>
            </w:r>
          </w:p>
          <w:p w14:paraId="05F5DA16">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340" w:lineRule="exact"/>
              <w:ind w:left="0" w:leftChars="0" w:firstLine="562" w:firstLineChars="200"/>
              <w:jc w:val="both"/>
              <w:textAlignment w:val="auto"/>
              <w:outlineLvl w:val="9"/>
              <w:rPr>
                <w:rFonts w:hint="default" w:ascii="宋体" w:hAnsi="宋体" w:eastAsia="方正楷体_GBK" w:cs="Times New Roman Regular"/>
                <w:b/>
                <w:bCs/>
                <w:color w:val="auto"/>
                <w:sz w:val="28"/>
                <w:szCs w:val="28"/>
                <w:highlight w:val="none"/>
                <w:vertAlign w:val="baseline"/>
                <w:lang w:val="en-US" w:eastAsia="zh-CN"/>
              </w:rPr>
            </w:pPr>
            <w:r>
              <w:rPr>
                <w:rFonts w:hint="eastAsia" w:ascii="宋体" w:hAnsi="宋体" w:eastAsia="仿宋_GB2312" w:cs="仿宋_GB2312"/>
                <w:b/>
                <w:bCs/>
                <w:color w:val="auto"/>
                <w:sz w:val="28"/>
                <w:szCs w:val="28"/>
                <w:highlight w:val="none"/>
                <w:u w:val="none" w:color="auto"/>
              </w:rPr>
              <w:t>加油站建设</w:t>
            </w:r>
            <w:r>
              <w:rPr>
                <w:rFonts w:hint="eastAsia" w:ascii="宋体" w:hAnsi="宋体" w:eastAsia="仿宋_GB2312" w:cs="仿宋_GB2312"/>
                <w:b/>
                <w:bCs/>
                <w:color w:val="auto"/>
                <w:sz w:val="28"/>
                <w:szCs w:val="28"/>
                <w:highlight w:val="none"/>
                <w:u w:val="none" w:color="auto"/>
                <w:lang w:val="en-US" w:eastAsia="zh-CN"/>
              </w:rPr>
              <w:t>工程。</w:t>
            </w:r>
            <w:r>
              <w:rPr>
                <w:rFonts w:hint="eastAsia" w:ascii="宋体" w:hAnsi="宋体" w:eastAsia="仿宋_GB2312" w:cs="仿宋_GB2312"/>
                <w:color w:val="auto"/>
                <w:sz w:val="28"/>
                <w:szCs w:val="28"/>
                <w:highlight w:val="none"/>
                <w:u w:val="none" w:color="auto"/>
              </w:rPr>
              <w:t>新建站点</w:t>
            </w:r>
            <w:r>
              <w:rPr>
                <w:rFonts w:hint="eastAsia" w:ascii="宋体" w:hAnsi="宋体" w:eastAsia="仿宋_GB2312" w:cs="宋体"/>
                <w:color w:val="auto"/>
                <w:sz w:val="28"/>
                <w:szCs w:val="28"/>
                <w:highlight w:val="none"/>
                <w:u w:val="none" w:color="auto"/>
              </w:rPr>
              <w:t>8</w:t>
            </w:r>
            <w:r>
              <w:rPr>
                <w:rFonts w:hint="eastAsia" w:ascii="宋体" w:hAnsi="宋体" w:eastAsia="仿宋_GB2312" w:cs="仿宋_GB2312"/>
                <w:color w:val="auto"/>
                <w:sz w:val="28"/>
                <w:szCs w:val="28"/>
                <w:highlight w:val="none"/>
                <w:u w:val="none" w:color="auto"/>
              </w:rPr>
              <w:t>个</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主要建设储油系统、加油系统、辅助设施、加气、充电设施、环保设施等</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rPr>
              <w:t>迁建调整站点</w:t>
            </w:r>
            <w:r>
              <w:rPr>
                <w:rFonts w:hint="eastAsia" w:ascii="宋体" w:hAnsi="宋体" w:eastAsia="仿宋_GB2312" w:cs="宋体"/>
                <w:color w:val="auto"/>
                <w:sz w:val="28"/>
                <w:szCs w:val="28"/>
                <w:highlight w:val="none"/>
                <w:u w:val="none" w:color="auto"/>
              </w:rPr>
              <w:t>2</w:t>
            </w:r>
            <w:r>
              <w:rPr>
                <w:rFonts w:hint="eastAsia" w:ascii="宋体" w:hAnsi="宋体" w:eastAsia="仿宋_GB2312" w:cs="仿宋_GB2312"/>
                <w:color w:val="auto"/>
                <w:sz w:val="28"/>
                <w:szCs w:val="28"/>
                <w:highlight w:val="none"/>
                <w:u w:val="none" w:color="auto"/>
              </w:rPr>
              <w:t>个，主要实施拆除原站点老旧设施、优化新址出入口设计、升级智慧化设备等。</w:t>
            </w:r>
          </w:p>
        </w:tc>
      </w:tr>
    </w:tbl>
    <w:p w14:paraId="721D35FF">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0" w:lineRule="atLeas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538" w:name="_Toc999220912"/>
      <w:bookmarkStart w:id="539" w:name="_Toc3662"/>
      <w:bookmarkStart w:id="540" w:name="_Toc231708836"/>
      <w:bookmarkStart w:id="541" w:name="_Toc4405"/>
      <w:bookmarkStart w:id="542" w:name="_Toc1545140066"/>
      <w:bookmarkStart w:id="543" w:name="_Toc2003625668"/>
      <w:bookmarkStart w:id="544" w:name="_Toc1459434798"/>
      <w:bookmarkStart w:id="545" w:name="_Toc835465854"/>
      <w:bookmarkStart w:id="546" w:name="_Toc712430683"/>
      <w:bookmarkStart w:id="547" w:name="_Toc3930"/>
      <w:bookmarkStart w:id="548" w:name="_Toc330555962"/>
      <w:r>
        <w:rPr>
          <w:rFonts w:hint="eastAsia" w:ascii="宋体" w:hAnsi="宋体" w:eastAsia="黑体" w:cs="黑体"/>
          <w:b w:val="0"/>
          <w:bCs/>
          <w:color w:val="auto"/>
          <w:kern w:val="2"/>
          <w:sz w:val="32"/>
          <w:szCs w:val="24"/>
          <w:highlight w:val="none"/>
          <w:u w:val="none"/>
          <w:lang w:val="en-US" w:eastAsia="zh-CN" w:bidi="ar-SA"/>
        </w:rPr>
        <w:t>第四节  加快新型信息基础设施建设</w:t>
      </w:r>
      <w:bookmarkEnd w:id="538"/>
      <w:bookmarkEnd w:id="539"/>
      <w:bookmarkEnd w:id="540"/>
      <w:bookmarkEnd w:id="541"/>
      <w:bookmarkEnd w:id="542"/>
      <w:bookmarkEnd w:id="543"/>
      <w:bookmarkEnd w:id="544"/>
      <w:bookmarkEnd w:id="545"/>
      <w:bookmarkEnd w:id="546"/>
      <w:bookmarkEnd w:id="547"/>
      <w:bookmarkEnd w:id="548"/>
    </w:p>
    <w:p w14:paraId="06735D2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10" w:lineRule="atLeast"/>
        <w:ind w:left="0" w:leftChars="0" w:firstLine="640" w:firstLineChars="200"/>
        <w:jc w:val="left"/>
        <w:textAlignment w:val="auto"/>
        <w:outlineLvl w:val="9"/>
        <w:rPr>
          <w:rFonts w:hint="eastAsia" w:ascii="宋体" w:hAnsi="宋体" w:eastAsia="仿宋_GB2312" w:cs="Times New Roman Regular"/>
          <w:bCs w:val="0"/>
          <w:color w:val="auto"/>
          <w:sz w:val="32"/>
          <w:szCs w:val="32"/>
          <w:highlight w:val="none"/>
          <w:u w:val="none" w:color="auto"/>
          <w:lang w:eastAsia="zh-CN" w:bidi="ar"/>
        </w:rPr>
      </w:pPr>
      <w:r>
        <w:rPr>
          <w:rFonts w:hint="eastAsia" w:ascii="宋体" w:hAnsi="宋体" w:eastAsia="仿宋_GB2312" w:cs="Times New Roman Regular"/>
          <w:bCs w:val="0"/>
          <w:color w:val="auto"/>
          <w:sz w:val="32"/>
          <w:szCs w:val="32"/>
          <w:highlight w:val="none"/>
          <w:u w:val="none" w:color="auto"/>
          <w:lang w:eastAsia="zh-CN" w:bidi="ar"/>
        </w:rPr>
        <w:t>聚焦数字经济发展、智慧城市建设等，加快完善数字基础设施、创新基础设施和融合基础设施，推动数实融合发展，打造数字石林。加快行政村5G网络补弱、自然村5G网络补盲工作，推进千兆光网和IPv6规模部署，力争实现重点场所5G网络通达率100%，5G用户占比达60%以上。</w:t>
      </w:r>
      <w:r>
        <w:rPr>
          <w:rFonts w:hint="eastAsia" w:ascii="宋体" w:hAnsi="宋体" w:eastAsia="仿宋_GB2312" w:cs="Times New Roman Regular"/>
          <w:color w:val="auto"/>
          <w:sz w:val="32"/>
          <w:szCs w:val="32"/>
          <w:highlight w:val="none"/>
          <w:u w:val="none" w:color="auto"/>
          <w:lang w:val="en-US" w:eastAsia="zh-CN"/>
        </w:rPr>
        <w:t>依托绿电资源优势，规划建设小型边缘数据中心，搭建县域数据共享平台，整合文旅、农业、工业等领域数据资源，推动数据要素高效利用。</w:t>
      </w:r>
      <w:r>
        <w:rPr>
          <w:rFonts w:hint="eastAsia" w:ascii="宋体" w:hAnsi="宋体" w:eastAsia="仿宋_GB2312" w:cs="Times New Roman Regular"/>
          <w:bCs w:val="0"/>
          <w:color w:val="auto"/>
          <w:sz w:val="32"/>
          <w:szCs w:val="32"/>
          <w:highlight w:val="none"/>
          <w:u w:val="none" w:color="auto"/>
          <w:lang w:eastAsia="zh-CN" w:bidi="ar"/>
        </w:rPr>
        <w:t>全面推进传统基础设施数字化改造，实施传统基础设施“数字+”“智能+”升级行动，</w:t>
      </w:r>
      <w:r>
        <w:rPr>
          <w:rFonts w:hint="eastAsia" w:ascii="宋体" w:hAnsi="宋体" w:eastAsia="仿宋_GB2312" w:cs="Times New Roman Regular"/>
          <w:bCs w:val="0"/>
          <w:color w:val="auto"/>
          <w:sz w:val="32"/>
          <w:szCs w:val="32"/>
          <w:highlight w:val="none"/>
          <w:u w:val="none" w:color="auto"/>
          <w:lang w:val="en-US" w:eastAsia="zh-CN" w:bidi="ar"/>
        </w:rPr>
        <w:t>推动</w:t>
      </w:r>
      <w:r>
        <w:rPr>
          <w:rFonts w:hint="eastAsia" w:ascii="宋体" w:hAnsi="宋体" w:eastAsia="仿宋_GB2312" w:cs="Times New Roman Regular"/>
          <w:bCs w:val="0"/>
          <w:color w:val="auto"/>
          <w:sz w:val="32"/>
          <w:szCs w:val="32"/>
          <w:highlight w:val="none"/>
          <w:u w:val="none" w:color="auto"/>
          <w:lang w:eastAsia="zh-CN" w:bidi="ar"/>
        </w:rPr>
        <w:t>重点公共区域和道路视频监控等安防设备智能化改造。加强新型基础设施在教育、医疗、文化等公共服务领域的融合应用，发展智慧医疗、智慧教育、智慧文旅、智慧住区等服务，培育数字生活新业态。</w:t>
      </w:r>
    </w:p>
    <w:tbl>
      <w:tblPr>
        <w:tblStyle w:val="18"/>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14:paraId="2347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031" w:type="dxa"/>
          </w:tcPr>
          <w:p w14:paraId="3E04E840">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20" w:lineRule="exact"/>
              <w:ind w:left="0" w:leftChars="0" w:firstLine="0" w:firstLineChars="0"/>
              <w:jc w:val="center"/>
              <w:textAlignment w:val="auto"/>
              <w:outlineLvl w:val="9"/>
              <w:rPr>
                <w:rFonts w:hint="default" w:ascii="宋体" w:hAnsi="宋体" w:eastAsia="方正黑体_GBK" w:cs="Times New Roman Regular"/>
                <w:bCs/>
                <w:color w:val="auto"/>
                <w:kern w:val="1"/>
                <w:sz w:val="32"/>
                <w:szCs w:val="32"/>
                <w:highlight w:val="none"/>
                <w:vertAlign w:val="baseline"/>
                <w:lang w:val="en-US" w:eastAsia="zh-CN" w:bidi="ar-SA"/>
              </w:rPr>
            </w:pPr>
            <w:r>
              <w:rPr>
                <w:rFonts w:hint="eastAsia" w:ascii="黑体" w:hAnsi="黑体" w:eastAsia="黑体" w:cs="黑体"/>
                <w:color w:val="auto"/>
                <w:kern w:val="1"/>
                <w:sz w:val="28"/>
                <w:szCs w:val="28"/>
                <w:highlight w:val="none"/>
                <w:lang w:val="en-US" w:eastAsia="zh-CN" w:bidi="ar-SA"/>
              </w:rPr>
              <w:t>专栏12  数字石林建设重点工程</w:t>
            </w:r>
          </w:p>
        </w:tc>
      </w:tr>
      <w:tr w14:paraId="6A69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1" w:type="dxa"/>
          </w:tcPr>
          <w:p w14:paraId="17032481">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380" w:lineRule="exact"/>
              <w:ind w:left="0" w:leftChars="0" w:firstLine="562" w:firstLineChars="200"/>
              <w:jc w:val="both"/>
              <w:textAlignment w:val="auto"/>
              <w:outlineLvl w:val="9"/>
              <w:rPr>
                <w:rFonts w:hint="eastAsia" w:ascii="宋体" w:hAnsi="宋体" w:eastAsia="仿宋_GB2312" w:cs="仿宋_GB2312"/>
                <w:b w:val="0"/>
                <w:bCs w:val="0"/>
                <w:color w:val="auto"/>
                <w:kern w:val="2"/>
                <w:sz w:val="28"/>
                <w:szCs w:val="28"/>
                <w:highlight w:val="none"/>
                <w:vertAlign w:val="baseline"/>
                <w:lang w:val="en-US" w:eastAsia="zh-CN" w:bidi="ar-SA"/>
              </w:rPr>
            </w:pPr>
            <w:r>
              <w:rPr>
                <w:rFonts w:hint="eastAsia" w:ascii="宋体" w:hAnsi="宋体" w:eastAsia="仿宋_GB2312" w:cs="仿宋_GB2312"/>
                <w:b/>
                <w:bCs/>
                <w:color w:val="auto"/>
                <w:kern w:val="2"/>
                <w:sz w:val="28"/>
                <w:szCs w:val="28"/>
                <w:highlight w:val="none"/>
                <w:vertAlign w:val="baseline"/>
                <w:lang w:val="en-US" w:eastAsia="zh-CN" w:bidi="ar-SA"/>
              </w:rPr>
              <w:t>智慧农业示范工程。</w:t>
            </w:r>
            <w:r>
              <w:rPr>
                <w:rFonts w:hint="eastAsia" w:ascii="宋体" w:hAnsi="宋体" w:eastAsia="仿宋_GB2312" w:cs="仿宋_GB2312"/>
                <w:b w:val="0"/>
                <w:bCs w:val="0"/>
                <w:color w:val="auto"/>
                <w:kern w:val="2"/>
                <w:sz w:val="28"/>
                <w:szCs w:val="28"/>
                <w:highlight w:val="none"/>
                <w:vertAlign w:val="baseline"/>
                <w:lang w:val="en-US" w:eastAsia="zh-CN" w:bidi="ar-SA"/>
              </w:rPr>
              <w:t>建设</w:t>
            </w:r>
            <w:r>
              <w:rPr>
                <w:rFonts w:hint="eastAsia" w:ascii="宋体" w:hAnsi="宋体" w:eastAsia="仿宋_GB2312" w:cs="宋体"/>
                <w:b w:val="0"/>
                <w:bCs w:val="0"/>
                <w:color w:val="auto"/>
                <w:kern w:val="2"/>
                <w:sz w:val="28"/>
                <w:szCs w:val="28"/>
                <w:highlight w:val="none"/>
                <w:vertAlign w:val="baseline"/>
                <w:lang w:val="en-US" w:eastAsia="zh-CN" w:bidi="ar-SA"/>
              </w:rPr>
              <w:t>10</w:t>
            </w:r>
            <w:r>
              <w:rPr>
                <w:rFonts w:hint="eastAsia" w:ascii="宋体" w:hAnsi="宋体" w:eastAsia="仿宋_GB2312" w:cs="仿宋_GB2312"/>
                <w:b w:val="0"/>
                <w:bCs w:val="0"/>
                <w:color w:val="auto"/>
                <w:kern w:val="2"/>
                <w:sz w:val="28"/>
                <w:szCs w:val="28"/>
                <w:highlight w:val="none"/>
                <w:vertAlign w:val="baseline"/>
                <w:lang w:val="en-US" w:eastAsia="zh-CN" w:bidi="ar-SA"/>
              </w:rPr>
              <w:t>个以上智慧农业示范基地，覆盖蔬菜、花卉、水果等主导产业，通过物联网传感器实时监测土壤湿度、气象数据，结合</w:t>
            </w:r>
            <w:r>
              <w:rPr>
                <w:rFonts w:hint="eastAsia" w:ascii="宋体" w:hAnsi="宋体" w:eastAsia="仿宋_GB2312" w:cs="宋体"/>
                <w:b w:val="0"/>
                <w:bCs w:val="0"/>
                <w:color w:val="auto"/>
                <w:kern w:val="2"/>
                <w:sz w:val="28"/>
                <w:szCs w:val="28"/>
                <w:highlight w:val="none"/>
                <w:vertAlign w:val="baseline"/>
                <w:lang w:val="en-US" w:eastAsia="zh-CN" w:bidi="ar-SA"/>
              </w:rPr>
              <w:t>AI</w:t>
            </w:r>
            <w:r>
              <w:rPr>
                <w:rFonts w:hint="eastAsia" w:ascii="宋体" w:hAnsi="宋体" w:eastAsia="仿宋_GB2312" w:cs="仿宋_GB2312"/>
                <w:b w:val="0"/>
                <w:bCs w:val="0"/>
                <w:color w:val="auto"/>
                <w:kern w:val="2"/>
                <w:sz w:val="28"/>
                <w:szCs w:val="28"/>
                <w:highlight w:val="none"/>
                <w:vertAlign w:val="baseline"/>
                <w:lang w:val="en-US" w:eastAsia="zh-CN" w:bidi="ar-SA"/>
              </w:rPr>
              <w:t>算法优化种植方案，实现精准灌溉、病虫害预警和产量预测。</w:t>
            </w:r>
          </w:p>
          <w:p w14:paraId="67CFFAD0">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380" w:lineRule="exact"/>
              <w:ind w:left="0" w:leftChars="0" w:firstLine="562" w:firstLineChars="200"/>
              <w:jc w:val="both"/>
              <w:textAlignment w:val="auto"/>
              <w:outlineLvl w:val="9"/>
              <w:rPr>
                <w:rFonts w:hint="eastAsia" w:ascii="宋体" w:hAnsi="宋体" w:eastAsia="方正楷体_GBK" w:cs="Times New Roman Regular"/>
                <w:bCs/>
                <w:color w:val="auto"/>
                <w:kern w:val="2"/>
                <w:sz w:val="18"/>
                <w:szCs w:val="32"/>
                <w:highlight w:val="none"/>
                <w:lang w:val="en-US" w:eastAsia="zh-CN" w:bidi="ar-SA"/>
              </w:rPr>
            </w:pPr>
            <w:r>
              <w:rPr>
                <w:rFonts w:hint="eastAsia" w:ascii="宋体" w:hAnsi="宋体" w:eastAsia="仿宋_GB2312" w:cs="仿宋_GB2312"/>
                <w:b/>
                <w:bCs/>
                <w:color w:val="auto"/>
                <w:kern w:val="2"/>
                <w:sz w:val="28"/>
                <w:szCs w:val="28"/>
                <w:highlight w:val="none"/>
                <w:lang w:val="en-US" w:eastAsia="zh-CN" w:bidi="ar-SA"/>
              </w:rPr>
              <w:t>石林县智慧旅游公共服务平台开发建设工程。</w:t>
            </w:r>
            <w:r>
              <w:rPr>
                <w:rFonts w:hint="eastAsia" w:ascii="宋体" w:hAnsi="宋体" w:eastAsia="仿宋_GB2312" w:cs="仿宋_GB2312"/>
                <w:b w:val="0"/>
                <w:bCs w:val="0"/>
                <w:color w:val="auto"/>
                <w:kern w:val="2"/>
                <w:sz w:val="28"/>
                <w:szCs w:val="28"/>
                <w:highlight w:val="none"/>
                <w:lang w:val="en-US" w:eastAsia="zh-CN" w:bidi="ar-SA"/>
              </w:rPr>
              <w:t>建设一体化智慧旅游信息平台，集成旅游资讯、线路推荐、门票预订、住宿预订、交通查询、投诉处理、智慧导览等功能，为游客提供“一站式”信息服务；平台支持</w:t>
            </w:r>
            <w:r>
              <w:rPr>
                <w:rFonts w:hint="eastAsia" w:ascii="宋体" w:hAnsi="宋体" w:eastAsia="仿宋_GB2312" w:cs="宋体"/>
                <w:b w:val="0"/>
                <w:bCs w:val="0"/>
                <w:color w:val="auto"/>
                <w:kern w:val="2"/>
                <w:sz w:val="28"/>
                <w:szCs w:val="28"/>
                <w:highlight w:val="none"/>
                <w:lang w:val="en-US" w:eastAsia="zh-CN" w:bidi="ar-SA"/>
              </w:rPr>
              <w:t>PC</w:t>
            </w:r>
            <w:r>
              <w:rPr>
                <w:rFonts w:hint="eastAsia" w:ascii="宋体" w:hAnsi="宋体" w:eastAsia="仿宋_GB2312" w:cs="仿宋_GB2312"/>
                <w:b w:val="0"/>
                <w:bCs w:val="0"/>
                <w:color w:val="auto"/>
                <w:kern w:val="2"/>
                <w:sz w:val="28"/>
                <w:szCs w:val="28"/>
                <w:highlight w:val="none"/>
                <w:lang w:val="en-US" w:eastAsia="zh-CN" w:bidi="ar-SA"/>
              </w:rPr>
              <w:t>端、移动端（</w:t>
            </w:r>
            <w:r>
              <w:rPr>
                <w:rFonts w:hint="eastAsia" w:ascii="宋体" w:hAnsi="宋体" w:eastAsia="仿宋_GB2312" w:cs="宋体"/>
                <w:b w:val="0"/>
                <w:bCs w:val="0"/>
                <w:color w:val="auto"/>
                <w:kern w:val="2"/>
                <w:sz w:val="28"/>
                <w:szCs w:val="28"/>
                <w:highlight w:val="none"/>
                <w:lang w:val="en-US" w:eastAsia="zh-CN" w:bidi="ar-SA"/>
              </w:rPr>
              <w:t>APP</w:t>
            </w:r>
            <w:r>
              <w:rPr>
                <w:rFonts w:hint="eastAsia" w:ascii="宋体" w:hAnsi="宋体" w:eastAsia="仿宋_GB2312" w:cs="仿宋_GB2312"/>
                <w:b w:val="0"/>
                <w:bCs w:val="0"/>
                <w:color w:val="auto"/>
                <w:kern w:val="2"/>
                <w:sz w:val="28"/>
                <w:szCs w:val="28"/>
                <w:highlight w:val="none"/>
                <w:lang w:val="en-US" w:eastAsia="zh-CN" w:bidi="ar-SA"/>
              </w:rPr>
              <w:t>、小程序）访问，方便游客随时随地获取信息；整合石林县文旅资源信息（如景区、酒店、旅行社、旅游商品、节庆活动）、交通信息（如航班、高铁、公交、自驾路线）、气象信息、安全信息等；利用大数据分析游客需求与偏好，为游客提供个性化信息推荐；开发智能客服系统，通过语音、文字等方式为游客解答疑问，提供实时服务。</w:t>
            </w:r>
          </w:p>
        </w:tc>
      </w:tr>
    </w:tbl>
    <w:p w14:paraId="58C4F1A8">
      <w:pPr>
        <w:keepNext w:val="0"/>
        <w:keepLines w:val="0"/>
        <w:pageBreakBefore w:val="0"/>
        <w:numPr>
          <w:ilvl w:val="-1"/>
          <w:numId w:val="0"/>
        </w:numPr>
        <w:kinsoku/>
        <w:wordWrap/>
        <w:overflowPunct/>
        <w:topLinePunct w:val="0"/>
        <w:autoSpaceDE/>
        <w:autoSpaceDN/>
        <w:bidi w:val="0"/>
        <w:adjustRightInd/>
        <w:snapToGrid w:val="0"/>
        <w:spacing w:beforeLines="0" w:afterLines="0"/>
        <w:jc w:val="left"/>
        <w:textAlignment w:val="auto"/>
        <w:outlineLvl w:val="9"/>
        <w:rPr>
          <w:rFonts w:hint="default" w:ascii="宋体" w:hAnsi="宋体"/>
          <w:color w:val="auto"/>
          <w:lang w:val="en-US" w:eastAsia="zh-CN"/>
        </w:rPr>
      </w:pPr>
      <w:bookmarkStart w:id="549" w:name="_Toc583748444"/>
      <w:bookmarkStart w:id="550" w:name="_Toc162433952"/>
      <w:bookmarkStart w:id="551" w:name="_Toc942554641"/>
      <w:bookmarkStart w:id="552" w:name="_Toc113858545"/>
      <w:bookmarkStart w:id="553" w:name="_Toc20129"/>
      <w:bookmarkStart w:id="554" w:name="_Toc1796829738"/>
    </w:p>
    <w:p w14:paraId="16C3FFE5">
      <w:pPr>
        <w:keepNext w:val="0"/>
        <w:keepLines w:val="0"/>
        <w:pageBreakBefore w:val="0"/>
        <w:widowControl w:val="0"/>
        <w:numPr>
          <w:ilvl w:val="0"/>
          <w:numId w:val="0"/>
        </w:numPr>
        <w:kinsoku/>
        <w:wordWrap/>
        <w:overflowPunct/>
        <w:topLinePunct w:val="0"/>
        <w:autoSpaceDE/>
        <w:autoSpaceDN/>
        <w:bidi w:val="0"/>
        <w:adjustRightInd/>
        <w:snapToGrid w:val="0"/>
        <w:spacing w:before="157" w:beforeLines="50" w:beforeAutospacing="0" w:after="0" w:afterLines="0" w:afterAutospacing="0" w:line="52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kern w:val="44"/>
          <w:sz w:val="36"/>
          <w:szCs w:val="36"/>
          <w:highlight w:val="none"/>
          <w:lang w:val="en-US" w:eastAsia="zh-CN" w:bidi="ar-SA"/>
        </w:rPr>
      </w:pPr>
      <w:bookmarkStart w:id="555" w:name="_Toc16655"/>
      <w:bookmarkStart w:id="556" w:name="_Toc1601157156"/>
      <w:bookmarkStart w:id="557" w:name="_Toc1426524092"/>
      <w:bookmarkStart w:id="558" w:name="_Toc28414"/>
      <w:bookmarkStart w:id="559" w:name="_Toc245533469"/>
      <w:r>
        <w:rPr>
          <w:rFonts w:hint="eastAsia" w:ascii="方正小标宋简体" w:hAnsi="方正小标宋简体" w:eastAsia="方正小标宋简体" w:cs="方正小标宋简体"/>
          <w:b w:val="0"/>
          <w:bCs/>
          <w:color w:val="auto"/>
          <w:kern w:val="44"/>
          <w:sz w:val="36"/>
          <w:szCs w:val="36"/>
          <w:highlight w:val="none"/>
          <w:lang w:val="en-US" w:eastAsia="zh-CN" w:bidi="ar-SA"/>
        </w:rPr>
        <w:t>第九章  贯彻创新驱动发展战略，培育发展新质生产力</w:t>
      </w:r>
      <w:bookmarkEnd w:id="549"/>
      <w:bookmarkEnd w:id="550"/>
      <w:bookmarkEnd w:id="551"/>
      <w:bookmarkEnd w:id="552"/>
      <w:bookmarkEnd w:id="553"/>
      <w:bookmarkEnd w:id="554"/>
      <w:bookmarkEnd w:id="555"/>
      <w:bookmarkEnd w:id="556"/>
      <w:bookmarkEnd w:id="557"/>
      <w:bookmarkEnd w:id="558"/>
      <w:bookmarkEnd w:id="559"/>
    </w:p>
    <w:p w14:paraId="3A7765BA">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b w:val="0"/>
          <w:bCs w:val="0"/>
          <w:color w:val="auto"/>
          <w:spacing w:val="0"/>
          <w:kern w:val="2"/>
          <w:sz w:val="32"/>
          <w:szCs w:val="32"/>
          <w:highlight w:val="none"/>
          <w:u w:val="none" w:color="auto"/>
          <w:lang w:val="en-US" w:eastAsia="zh-CN" w:bidi="ar"/>
        </w:rPr>
        <w:t>发展新质生产力是推动高质量发展的内在要求和重要着力点，深入实施创新驱动发展战略，围绕产业链部署创新链，全力壮大创新主体、扩大创新平台、优化创新生态，促进科技创新和产业创新深度融合，助力发展新质生产力。</w:t>
      </w:r>
    </w:p>
    <w:p w14:paraId="7F4DF3A4">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560" w:name="_Toc1364927596"/>
      <w:bookmarkStart w:id="561" w:name="_Toc575715927"/>
      <w:bookmarkStart w:id="562" w:name="_Toc212636338"/>
      <w:bookmarkStart w:id="563" w:name="_Toc23578"/>
      <w:bookmarkStart w:id="564" w:name="_Toc29295"/>
      <w:bookmarkStart w:id="565" w:name="_Toc1354798812"/>
      <w:bookmarkStart w:id="566" w:name="_Toc530740335"/>
      <w:bookmarkStart w:id="567" w:name="_Toc1082979136"/>
      <w:bookmarkStart w:id="568" w:name="_Toc1676471015"/>
      <w:bookmarkStart w:id="569" w:name="_Toc1402362452"/>
      <w:bookmarkStart w:id="570" w:name="_Toc17955"/>
      <w:r>
        <w:rPr>
          <w:rFonts w:hint="eastAsia" w:ascii="宋体" w:hAnsi="宋体" w:eastAsia="黑体" w:cs="黑体"/>
          <w:b w:val="0"/>
          <w:bCs/>
          <w:color w:val="auto"/>
          <w:kern w:val="2"/>
          <w:sz w:val="32"/>
          <w:szCs w:val="24"/>
          <w:highlight w:val="none"/>
          <w:u w:val="none"/>
          <w:lang w:val="en-US" w:eastAsia="zh-CN" w:bidi="ar-SA"/>
        </w:rPr>
        <w:t>第一节  加强科技创新平台建设</w:t>
      </w:r>
      <w:bookmarkEnd w:id="560"/>
      <w:bookmarkEnd w:id="561"/>
      <w:bookmarkEnd w:id="562"/>
      <w:bookmarkEnd w:id="563"/>
      <w:bookmarkEnd w:id="564"/>
      <w:bookmarkEnd w:id="565"/>
      <w:bookmarkEnd w:id="566"/>
      <w:bookmarkEnd w:id="567"/>
      <w:bookmarkEnd w:id="568"/>
      <w:bookmarkEnd w:id="569"/>
      <w:bookmarkEnd w:id="570"/>
    </w:p>
    <w:p w14:paraId="28115756">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20" w:lineRule="exact"/>
        <w:ind w:left="0" w:leftChars="0" w:firstLine="640" w:firstLineChars="200"/>
        <w:jc w:val="left"/>
        <w:textAlignment w:val="auto"/>
        <w:outlineLvl w:val="9"/>
        <w:rPr>
          <w:rFonts w:hint="eastAsia" w:ascii="宋体" w:hAnsi="宋体" w:eastAsia="仿宋_GB2312" w:cs="Times New Roman Regular"/>
          <w:color w:val="auto"/>
          <w:sz w:val="32"/>
          <w:szCs w:val="32"/>
          <w:highlight w:val="none"/>
          <w:u w:val="none" w:color="auto"/>
          <w:lang w:eastAsia="zh-CN" w:bidi="ar"/>
        </w:rPr>
      </w:pPr>
      <w:r>
        <w:rPr>
          <w:rFonts w:hint="eastAsia" w:ascii="宋体" w:hAnsi="宋体" w:eastAsia="仿宋_GB2312" w:cs="Times New Roman Regular"/>
          <w:color w:val="auto"/>
          <w:sz w:val="32"/>
          <w:szCs w:val="32"/>
          <w:highlight w:val="none"/>
          <w:u w:val="none" w:color="auto"/>
          <w:lang w:bidi="ar"/>
        </w:rPr>
        <w:t>围绕</w:t>
      </w:r>
      <w:r>
        <w:rPr>
          <w:rFonts w:hint="eastAsia" w:ascii="宋体" w:hAnsi="宋体" w:eastAsia="仿宋_GB2312" w:cs="Times New Roman Regular"/>
          <w:color w:val="auto"/>
          <w:sz w:val="32"/>
          <w:szCs w:val="32"/>
          <w:highlight w:val="none"/>
          <w:u w:val="none" w:color="auto"/>
          <w:lang w:val="en-US" w:eastAsia="zh-CN" w:bidi="ar"/>
        </w:rPr>
        <w:t>雨生红球藻、碳酸钙</w:t>
      </w:r>
      <w:r>
        <w:rPr>
          <w:rFonts w:hint="eastAsia" w:ascii="宋体" w:hAnsi="宋体" w:eastAsia="仿宋_GB2312" w:cs="Times New Roman Regular"/>
          <w:color w:val="auto"/>
          <w:sz w:val="32"/>
          <w:szCs w:val="32"/>
          <w:highlight w:val="none"/>
          <w:u w:val="none" w:color="auto"/>
          <w:lang w:bidi="ar"/>
        </w:rPr>
        <w:t>等重点产业，强化与</w:t>
      </w:r>
      <w:r>
        <w:rPr>
          <w:rFonts w:hint="eastAsia" w:ascii="宋体" w:hAnsi="宋体" w:eastAsia="仿宋_GB2312" w:cs="Times New Roman Regular"/>
          <w:color w:val="auto"/>
          <w:sz w:val="32"/>
          <w:szCs w:val="32"/>
          <w:highlight w:val="none"/>
          <w:u w:val="none" w:color="auto"/>
          <w:lang w:val="en-US" w:eastAsia="zh-CN" w:bidi="ar"/>
        </w:rPr>
        <w:t>昆明市主城区</w:t>
      </w:r>
      <w:r>
        <w:rPr>
          <w:rFonts w:hint="eastAsia" w:ascii="宋体" w:hAnsi="宋体" w:eastAsia="仿宋_GB2312" w:cs="Times New Roman Regular"/>
          <w:color w:val="auto"/>
          <w:sz w:val="32"/>
          <w:szCs w:val="32"/>
          <w:highlight w:val="none"/>
          <w:u w:val="none" w:color="auto"/>
          <w:lang w:bidi="ar"/>
        </w:rPr>
        <w:t>联合发展，积极争取省、市级创新平台落地</w:t>
      </w:r>
      <w:r>
        <w:rPr>
          <w:rFonts w:hint="eastAsia" w:ascii="宋体" w:hAnsi="宋体" w:eastAsia="仿宋_GB2312" w:cs="Times New Roman Regular"/>
          <w:color w:val="auto"/>
          <w:sz w:val="32"/>
          <w:szCs w:val="32"/>
          <w:highlight w:val="none"/>
          <w:u w:val="none" w:color="auto"/>
          <w:lang w:val="en-US" w:eastAsia="zh-CN" w:bidi="ar"/>
        </w:rPr>
        <w:t>石林</w:t>
      </w:r>
      <w:r>
        <w:rPr>
          <w:rFonts w:hint="eastAsia" w:ascii="宋体" w:hAnsi="宋体" w:eastAsia="仿宋_GB2312" w:cs="Times New Roman Regular"/>
          <w:color w:val="auto"/>
          <w:sz w:val="32"/>
          <w:szCs w:val="32"/>
          <w:highlight w:val="none"/>
          <w:u w:val="none" w:color="auto"/>
          <w:lang w:bidi="ar"/>
        </w:rPr>
        <w:t>，加快重点实验室、产业技术研究院、院士专家工作站等创新平台建设。按照“投资主体多元化、管理体制现代化、用人机制灵活化、运营机制市场化”的原则，强化校企合作、校地合作，探索搭建产学研合作平台</w:t>
      </w:r>
      <w:r>
        <w:rPr>
          <w:rFonts w:hint="eastAsia" w:ascii="宋体" w:hAnsi="宋体" w:eastAsia="仿宋_GB2312" w:cs="Times New Roman Regular"/>
          <w:color w:val="auto"/>
          <w:sz w:val="32"/>
          <w:szCs w:val="32"/>
          <w:highlight w:val="none"/>
          <w:u w:val="none" w:color="auto"/>
          <w:lang w:eastAsia="zh-CN" w:bidi="ar"/>
        </w:rPr>
        <w:t>，</w:t>
      </w:r>
      <w:r>
        <w:rPr>
          <w:rFonts w:hint="eastAsia" w:ascii="宋体" w:hAnsi="宋体" w:eastAsia="仿宋_GB2312" w:cs="Times New Roman Regular"/>
          <w:color w:val="auto"/>
          <w:sz w:val="32"/>
          <w:szCs w:val="32"/>
          <w:highlight w:val="none"/>
          <w:u w:val="none" w:color="auto"/>
          <w:lang w:bidi="ar"/>
        </w:rPr>
        <w:t>支持企业牵头组建省级工程技术研究中心、企业技术中心、制造业创新中心等科技创新平台</w:t>
      </w:r>
      <w:r>
        <w:rPr>
          <w:rFonts w:hint="eastAsia" w:ascii="宋体" w:hAnsi="宋体" w:eastAsia="仿宋_GB2312" w:cs="Times New Roman Regular"/>
          <w:color w:val="auto"/>
          <w:sz w:val="32"/>
          <w:szCs w:val="32"/>
          <w:highlight w:val="none"/>
          <w:u w:val="none" w:color="auto"/>
          <w:lang w:eastAsia="zh-CN" w:bidi="ar"/>
        </w:rPr>
        <w:t>。</w:t>
      </w:r>
    </w:p>
    <w:p w14:paraId="1DA52ED6">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571" w:name="_Toc334524143"/>
      <w:bookmarkStart w:id="572" w:name="_Toc872704939"/>
      <w:bookmarkStart w:id="573" w:name="_Toc1653224354"/>
      <w:bookmarkStart w:id="574" w:name="_Toc21368"/>
      <w:bookmarkStart w:id="575" w:name="_Toc1462900465"/>
      <w:bookmarkStart w:id="576" w:name="_Toc5655"/>
      <w:bookmarkStart w:id="577" w:name="_Toc1706430427"/>
      <w:bookmarkStart w:id="578" w:name="_Toc917788718"/>
      <w:bookmarkStart w:id="579" w:name="_Toc1643755354"/>
      <w:bookmarkStart w:id="580" w:name="_Toc366144158"/>
      <w:bookmarkStart w:id="581" w:name="_Toc407"/>
      <w:r>
        <w:rPr>
          <w:rFonts w:hint="eastAsia" w:ascii="宋体" w:hAnsi="宋体" w:eastAsia="黑体" w:cs="黑体"/>
          <w:b w:val="0"/>
          <w:bCs/>
          <w:color w:val="auto"/>
          <w:kern w:val="2"/>
          <w:sz w:val="32"/>
          <w:szCs w:val="24"/>
          <w:highlight w:val="none"/>
          <w:u w:val="none"/>
          <w:lang w:val="en-US" w:eastAsia="zh-CN" w:bidi="ar-SA"/>
        </w:rPr>
        <w:t>第二节  强化企业创新主体</w:t>
      </w:r>
      <w:bookmarkEnd w:id="571"/>
      <w:bookmarkEnd w:id="572"/>
      <w:bookmarkEnd w:id="573"/>
      <w:bookmarkEnd w:id="574"/>
      <w:bookmarkEnd w:id="575"/>
      <w:bookmarkEnd w:id="576"/>
      <w:bookmarkEnd w:id="577"/>
      <w:bookmarkEnd w:id="578"/>
      <w:bookmarkEnd w:id="579"/>
      <w:bookmarkEnd w:id="580"/>
      <w:r>
        <w:rPr>
          <w:rFonts w:hint="eastAsia" w:ascii="宋体" w:hAnsi="宋体" w:eastAsia="黑体" w:cs="黑体"/>
          <w:b w:val="0"/>
          <w:bCs/>
          <w:color w:val="auto"/>
          <w:kern w:val="2"/>
          <w:sz w:val="32"/>
          <w:szCs w:val="24"/>
          <w:highlight w:val="none"/>
          <w:u w:val="none"/>
          <w:lang w:val="en-US" w:eastAsia="zh-CN" w:bidi="ar-SA"/>
        </w:rPr>
        <w:t>地位</w:t>
      </w:r>
      <w:bookmarkEnd w:id="581"/>
    </w:p>
    <w:p w14:paraId="1998775F">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22" w:lineRule="exact"/>
        <w:ind w:left="0" w:leftChars="0" w:firstLine="640" w:firstLineChars="200"/>
        <w:jc w:val="left"/>
        <w:textAlignment w:val="auto"/>
        <w:outlineLvl w:val="9"/>
        <w:rPr>
          <w:rFonts w:hint="eastAsia" w:ascii="宋体" w:hAnsi="宋体" w:eastAsia="仿宋_GB2312" w:cs="Times New Roman Regular"/>
          <w:color w:val="auto"/>
          <w:sz w:val="32"/>
          <w:szCs w:val="32"/>
          <w:highlight w:val="none"/>
          <w:u w:val="none" w:color="auto"/>
          <w:lang w:val="en-US" w:eastAsia="zh-CN" w:bidi="ar"/>
        </w:rPr>
      </w:pPr>
      <w:r>
        <w:rPr>
          <w:rFonts w:hint="eastAsia" w:ascii="宋体" w:hAnsi="宋体" w:eastAsia="仿宋_GB2312" w:cs="Times New Roman Regular"/>
          <w:color w:val="auto"/>
          <w:sz w:val="32"/>
          <w:szCs w:val="32"/>
          <w:highlight w:val="none"/>
          <w:u w:val="none" w:color="auto"/>
          <w:lang w:val="en-US" w:eastAsia="zh-CN" w:bidi="ar"/>
        </w:rPr>
        <w:t>实施高新技术企业倍增行动，按照“储备一批、培育一批、入库一批、提升一批”的工作路径，</w:t>
      </w:r>
      <w:r>
        <w:rPr>
          <w:rFonts w:hint="eastAsia" w:ascii="宋体" w:hAnsi="宋体" w:eastAsia="仿宋_GB2312" w:cs="Times New Roman Regular"/>
          <w:b w:val="0"/>
          <w:bCs w:val="0"/>
          <w:color w:val="auto"/>
          <w:spacing w:val="0"/>
          <w:kern w:val="2"/>
          <w:sz w:val="32"/>
          <w:szCs w:val="32"/>
          <w:highlight w:val="none"/>
          <w:u w:val="none" w:color="auto"/>
          <w:lang w:val="en-US" w:eastAsia="zh-CN" w:bidi="ar"/>
        </w:rPr>
        <w:t>“一企一策”精准制定培育计划，强化“有进有出”动态管理，加强国家级、省级科技型企业和高新技术企业培育。</w:t>
      </w:r>
      <w:r>
        <w:rPr>
          <w:rFonts w:hint="eastAsia" w:ascii="宋体" w:hAnsi="宋体" w:eastAsia="仿宋_GB2312" w:cs="Times New Roman Regular"/>
          <w:color w:val="auto"/>
          <w:sz w:val="32"/>
          <w:szCs w:val="32"/>
          <w:highlight w:val="none"/>
          <w:u w:val="none" w:color="auto"/>
          <w:lang w:val="en-US" w:eastAsia="zh-CN" w:bidi="ar"/>
        </w:rPr>
        <w:t>遵循科技创新与企业成长规律，搭建“</w:t>
      </w:r>
      <w:r>
        <w:rPr>
          <w:rFonts w:hint="eastAsia" w:ascii="宋体" w:hAnsi="宋体" w:eastAsia="仿宋_GB2312" w:cs="Times New Roman Regular"/>
          <w:b w:val="0"/>
          <w:bCs w:val="0"/>
          <w:color w:val="auto"/>
          <w:spacing w:val="0"/>
          <w:kern w:val="2"/>
          <w:sz w:val="32"/>
          <w:szCs w:val="32"/>
          <w:highlight w:val="none"/>
          <w:u w:val="none" w:color="auto"/>
          <w:lang w:val="en-US" w:eastAsia="zh-CN" w:bidi="ar"/>
        </w:rPr>
        <w:t>小微企业—</w:t>
      </w:r>
      <w:r>
        <w:rPr>
          <w:rFonts w:hint="eastAsia" w:ascii="宋体" w:hAnsi="宋体" w:eastAsia="仿宋_GB2312" w:cs="Times New Roman Regular"/>
          <w:color w:val="auto"/>
          <w:sz w:val="32"/>
          <w:szCs w:val="32"/>
          <w:highlight w:val="none"/>
          <w:u w:val="none" w:color="auto"/>
          <w:lang w:val="en-US" w:eastAsia="zh-CN" w:bidi="ar"/>
        </w:rPr>
        <w:t>种子企业—科技型中小企业—高新技术企业—科技领军企业”梯度培育体系，力争“十五五”时期，累计新增高新技术企业15户以上。</w:t>
      </w:r>
      <w:r>
        <w:rPr>
          <w:rFonts w:hint="eastAsia" w:ascii="宋体" w:hAnsi="宋体" w:eastAsia="仿宋_GB2312" w:cs="Times New Roman Regular"/>
          <w:b w:val="0"/>
          <w:bCs w:val="0"/>
          <w:color w:val="auto"/>
          <w:spacing w:val="0"/>
          <w:kern w:val="2"/>
          <w:sz w:val="32"/>
          <w:szCs w:val="32"/>
          <w:highlight w:val="none"/>
          <w:u w:val="none" w:color="auto"/>
          <w:lang w:val="en-US" w:eastAsia="zh-CN" w:bidi="ar"/>
        </w:rPr>
        <w:t>引导中小企业走专精特新发展道路，</w:t>
      </w:r>
      <w:r>
        <w:rPr>
          <w:rFonts w:hint="eastAsia" w:ascii="宋体" w:hAnsi="宋体" w:eastAsia="仿宋_GB2312" w:cs="Times New Roman Regular"/>
          <w:color w:val="auto"/>
          <w:sz w:val="32"/>
          <w:szCs w:val="32"/>
          <w:highlight w:val="none"/>
          <w:u w:val="none" w:color="auto"/>
          <w:lang w:bidi="ar"/>
        </w:rPr>
        <w:t>支持科技型中小企业开展新技术、新工艺、新产品创新，发展新服务、新模式、新业态</w:t>
      </w:r>
      <w:r>
        <w:rPr>
          <w:rFonts w:hint="eastAsia" w:ascii="宋体" w:hAnsi="宋体" w:eastAsia="仿宋_GB2312" w:cs="Times New Roman Regular"/>
          <w:color w:val="auto"/>
          <w:sz w:val="32"/>
          <w:szCs w:val="32"/>
          <w:highlight w:val="none"/>
          <w:u w:val="none" w:color="auto"/>
          <w:lang w:eastAsia="zh-CN" w:bidi="ar"/>
        </w:rPr>
        <w:t>。</w:t>
      </w:r>
      <w:r>
        <w:rPr>
          <w:rFonts w:hint="eastAsia" w:ascii="宋体" w:hAnsi="宋体" w:eastAsia="仿宋_GB2312" w:cs="Times New Roman Regular"/>
          <w:color w:val="auto"/>
          <w:sz w:val="32"/>
          <w:szCs w:val="32"/>
          <w:highlight w:val="none"/>
          <w:u w:val="none" w:color="auto"/>
          <w:lang w:val="en-US" w:eastAsia="zh-CN" w:bidi="ar"/>
        </w:rPr>
        <w:t>用好省级激励企业加大研发经费投入补助资金等支持政策，引导企业加大创新投入，鼓励企业聚焦“一主三辅”工业产业体系申报科技项目，持续加大新产品、新技术、新工艺的创新研发力度。</w:t>
      </w:r>
    </w:p>
    <w:p w14:paraId="36FECBA7">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582" w:name="_Toc13281"/>
      <w:bookmarkStart w:id="583" w:name="_Toc235083555"/>
      <w:bookmarkStart w:id="584" w:name="_Toc1244214851"/>
      <w:bookmarkStart w:id="585" w:name="_Toc2047430672"/>
      <w:bookmarkStart w:id="586" w:name="_Toc1626"/>
      <w:bookmarkStart w:id="587" w:name="_Toc1598292792"/>
      <w:bookmarkStart w:id="588" w:name="_Toc10678"/>
      <w:bookmarkStart w:id="589" w:name="_Toc238600763"/>
      <w:bookmarkStart w:id="590" w:name="_Toc427840752"/>
      <w:bookmarkStart w:id="591" w:name="_Toc1366599670"/>
      <w:bookmarkStart w:id="592" w:name="_Toc332080904"/>
      <w:r>
        <w:rPr>
          <w:rFonts w:hint="eastAsia" w:ascii="宋体" w:hAnsi="宋体" w:eastAsia="黑体" w:cs="黑体"/>
          <w:b w:val="0"/>
          <w:bCs/>
          <w:color w:val="auto"/>
          <w:kern w:val="2"/>
          <w:sz w:val="32"/>
          <w:szCs w:val="24"/>
          <w:highlight w:val="none"/>
          <w:u w:val="none"/>
          <w:lang w:val="en-US" w:eastAsia="zh-CN" w:bidi="ar-SA"/>
        </w:rPr>
        <w:t>第三节  推进科技创新与产业创新深度融合</w:t>
      </w:r>
      <w:bookmarkEnd w:id="582"/>
      <w:bookmarkEnd w:id="583"/>
      <w:bookmarkEnd w:id="584"/>
      <w:bookmarkEnd w:id="585"/>
      <w:bookmarkEnd w:id="586"/>
      <w:bookmarkEnd w:id="587"/>
      <w:bookmarkEnd w:id="588"/>
      <w:bookmarkEnd w:id="589"/>
      <w:bookmarkEnd w:id="590"/>
      <w:bookmarkEnd w:id="591"/>
      <w:bookmarkEnd w:id="592"/>
    </w:p>
    <w:p w14:paraId="36A9E74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color w:val="auto"/>
          <w:sz w:val="32"/>
          <w:szCs w:val="32"/>
          <w:highlight w:val="none"/>
          <w:u w:val="none" w:color="auto"/>
          <w:lang w:val="en-US" w:eastAsia="zh-CN" w:bidi="ar"/>
        </w:rPr>
      </w:pPr>
      <w:r>
        <w:rPr>
          <w:rFonts w:hint="eastAsia" w:ascii="宋体" w:hAnsi="宋体" w:eastAsia="仿宋_GB2312" w:cs="Times New Roman Regular"/>
          <w:color w:val="auto"/>
          <w:sz w:val="32"/>
          <w:szCs w:val="32"/>
          <w:highlight w:val="none"/>
          <w:u w:val="none" w:color="auto"/>
          <w:lang w:val="en-US" w:eastAsia="zh-CN" w:bidi="ar"/>
        </w:rPr>
        <w:t>聚焦重点产业，强化关键核心技术攻关，推动更高水平科技成果转化，</w:t>
      </w:r>
      <w:r>
        <w:rPr>
          <w:rFonts w:hint="eastAsia" w:ascii="宋体" w:hAnsi="宋体" w:eastAsia="仿宋_GB2312" w:cs="Times New Roman Regular"/>
          <w:color w:val="auto"/>
          <w:sz w:val="32"/>
          <w:szCs w:val="32"/>
          <w:highlight w:val="none"/>
          <w:u w:val="none" w:color="auto"/>
          <w:lang w:bidi="ar"/>
        </w:rPr>
        <w:t>以科技创新赋能产业高质量发展。</w:t>
      </w:r>
    </w:p>
    <w:p w14:paraId="777E239A">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color w:val="auto"/>
          <w:kern w:val="2"/>
          <w:sz w:val="32"/>
          <w:szCs w:val="22"/>
          <w:highlight w:val="none"/>
          <w:lang w:val="en-US" w:eastAsia="zh-CN" w:bidi="ar-SA"/>
        </w:rPr>
      </w:pPr>
      <w:r>
        <w:rPr>
          <w:rFonts w:hint="eastAsia" w:ascii="楷体_GB2312" w:hAnsi="楷体_GB2312" w:eastAsia="楷体_GB2312" w:cs="楷体_GB2312"/>
          <w:b w:val="0"/>
          <w:color w:val="auto"/>
          <w:kern w:val="2"/>
          <w:sz w:val="32"/>
          <w:szCs w:val="22"/>
          <w:highlight w:val="none"/>
          <w:lang w:val="en-US" w:eastAsia="zh-CN" w:bidi="ar-SA"/>
        </w:rPr>
        <w:t>一、强化关键核心技术攻关</w:t>
      </w:r>
    </w:p>
    <w:p w14:paraId="34343ED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2" w:lineRule="exact"/>
        <w:ind w:left="0" w:leftChars="0" w:firstLine="640" w:firstLineChars="200"/>
        <w:jc w:val="left"/>
        <w:textAlignment w:val="auto"/>
        <w:outlineLvl w:val="9"/>
        <w:rPr>
          <w:rFonts w:hint="default" w:ascii="宋体" w:hAnsi="宋体" w:eastAsia="仿宋_GB2312" w:cs="Times New Roman Regular"/>
          <w:color w:val="auto"/>
          <w:sz w:val="32"/>
          <w:szCs w:val="32"/>
          <w:highlight w:val="none"/>
          <w:lang w:val="en-US" w:eastAsia="zh-CN"/>
        </w:rPr>
      </w:pPr>
      <w:r>
        <w:rPr>
          <w:rFonts w:hint="eastAsia" w:ascii="宋体" w:hAnsi="宋体" w:eastAsia="仿宋_GB2312" w:cs="Times New Roman Regular"/>
          <w:color w:val="auto"/>
          <w:sz w:val="32"/>
          <w:szCs w:val="32"/>
          <w:highlight w:val="none"/>
          <w:u w:val="none" w:color="auto"/>
          <w:lang w:eastAsia="zh-CN" w:bidi="ar"/>
        </w:rPr>
        <w:t>围绕新材料、生物医药、现代种业等重点领域，选聘科技副总、科技特派员（团）等，灵活采取“揭榜挂帅”“赛马制”“军令状”等方式，加强联合攻关，助力产业核心技术攻关。聚焦雨生红球藻养殖及虾青素提取核心技术攻关，拓展延伸藻产业应用领域。支持重点石材企业聚焦矿山绿色开采技术、新型碳酸钙粉体制备技术和产品、高端装备制造关键技术、碳酸钙固废综合利用技术、碳酸钙下游应用产品技术等开展攻关。发挥好石林县科技成果转化中心作用，深化与云南农业大学、云南省农业科学院等科研院校合作，培育农业新质生产力，推动“联合实验室”“科技小院”扎根田间，聚焦以人参果、优势单品花卉、蓝莓、圭山山羊等高原特色农业新品种培育、新技术试验示范和应用推广，将藤蔓高效种植、精准配肥、水土监测等创新技术转化为生产力。</w:t>
      </w:r>
    </w:p>
    <w:p w14:paraId="5F73839E">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color w:val="auto"/>
          <w:kern w:val="2"/>
          <w:sz w:val="32"/>
          <w:szCs w:val="24"/>
          <w:highlight w:val="none"/>
          <w:lang w:val="en-US" w:eastAsia="zh-CN" w:bidi="ar-SA"/>
        </w:rPr>
      </w:pPr>
      <w:r>
        <w:rPr>
          <w:rFonts w:hint="eastAsia" w:ascii="楷体_GB2312" w:hAnsi="楷体_GB2312" w:eastAsia="楷体_GB2312" w:cs="楷体_GB2312"/>
          <w:b w:val="0"/>
          <w:color w:val="auto"/>
          <w:kern w:val="2"/>
          <w:sz w:val="32"/>
          <w:szCs w:val="24"/>
          <w:highlight w:val="none"/>
          <w:lang w:val="en-US" w:eastAsia="zh-CN" w:bidi="ar-SA"/>
        </w:rPr>
        <w:t>二、加强科技创新投入</w:t>
      </w:r>
    </w:p>
    <w:p w14:paraId="5C753E8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color w:val="auto"/>
          <w:sz w:val="32"/>
          <w:szCs w:val="32"/>
          <w:highlight w:val="none"/>
          <w:u w:val="none" w:color="auto"/>
          <w:lang w:val="en-US" w:eastAsia="zh-CN" w:bidi="ar"/>
        </w:rPr>
      </w:pPr>
      <w:r>
        <w:rPr>
          <w:rFonts w:hint="eastAsia" w:ascii="宋体" w:hAnsi="宋体" w:eastAsia="仿宋_GB2312" w:cs="Times New Roman Regular"/>
          <w:color w:val="auto"/>
          <w:sz w:val="32"/>
          <w:szCs w:val="32"/>
          <w:highlight w:val="none"/>
          <w:u w:val="none" w:color="auto"/>
          <w:lang w:val="en-US" w:eastAsia="zh-CN" w:bidi="ar"/>
        </w:rPr>
        <w:t>建立健全科技投入机制，围绕生物医药、绿色食品、石材精深加工等方向系统推进项目谋划，积极争取国家、省科技计划项目、成果转化引导基金、科技型中小企业创新资金等政策资金。鼓励金融机构创新科技金融产品，推广“科技贷”“成果贷”“知识产权质押贷”“绿色科创贷”等专属产品。探索设立县级科技创新引导基金，撬动社会资本参与，支持科技型中小企业和成果转化。严格落实研发费用加计扣除、高新技术企业税收优惠、技术转让所得减免等普惠性政策，做到“应享尽享、直达快享”。到2030年，力争全社会研发投入强度达2%以上。</w:t>
      </w:r>
    </w:p>
    <w:p w14:paraId="62143A52">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593" w:name="_Toc31174"/>
      <w:bookmarkStart w:id="594" w:name="_Toc18485"/>
      <w:bookmarkStart w:id="595" w:name="_Toc1470729918"/>
      <w:bookmarkStart w:id="596" w:name="_Toc1103049025"/>
      <w:bookmarkStart w:id="597" w:name="_Toc944268708"/>
      <w:bookmarkStart w:id="598" w:name="_Toc2036828423"/>
      <w:bookmarkStart w:id="599" w:name="_Toc2121238622"/>
      <w:bookmarkStart w:id="600" w:name="_Toc1781498468"/>
      <w:bookmarkStart w:id="601" w:name="_Toc1826882052"/>
      <w:bookmarkStart w:id="602" w:name="_Toc811054792"/>
      <w:bookmarkStart w:id="603" w:name="_Toc12874"/>
      <w:r>
        <w:rPr>
          <w:rFonts w:hint="eastAsia" w:ascii="宋体" w:hAnsi="宋体" w:eastAsia="黑体" w:cs="黑体"/>
          <w:b w:val="0"/>
          <w:bCs/>
          <w:color w:val="auto"/>
          <w:kern w:val="2"/>
          <w:sz w:val="32"/>
          <w:szCs w:val="24"/>
          <w:highlight w:val="none"/>
          <w:u w:val="none"/>
          <w:lang w:val="en-US" w:eastAsia="zh-CN" w:bidi="ar-SA"/>
        </w:rPr>
        <w:t>第四节  加强高质量人才队伍建设</w:t>
      </w:r>
      <w:bookmarkEnd w:id="593"/>
      <w:bookmarkEnd w:id="594"/>
      <w:bookmarkEnd w:id="595"/>
      <w:bookmarkEnd w:id="596"/>
      <w:bookmarkEnd w:id="597"/>
      <w:bookmarkEnd w:id="598"/>
      <w:bookmarkEnd w:id="599"/>
      <w:bookmarkEnd w:id="600"/>
      <w:bookmarkEnd w:id="601"/>
      <w:bookmarkEnd w:id="602"/>
      <w:bookmarkEnd w:id="603"/>
    </w:p>
    <w:p w14:paraId="73A8EFA6">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color w:val="auto"/>
          <w:sz w:val="32"/>
          <w:szCs w:val="32"/>
          <w:highlight w:val="none"/>
          <w:u w:val="none" w:color="auto"/>
          <w:lang w:val="en-US" w:eastAsia="zh-CN" w:bidi="ar"/>
        </w:rPr>
      </w:pPr>
      <w:r>
        <w:rPr>
          <w:rFonts w:hint="eastAsia" w:ascii="宋体" w:hAnsi="宋体" w:eastAsia="仿宋_GB2312" w:cs="Times New Roman Regular"/>
          <w:color w:val="auto"/>
          <w:sz w:val="32"/>
          <w:szCs w:val="32"/>
          <w:highlight w:val="none"/>
          <w:u w:val="none" w:color="auto"/>
          <w:lang w:val="en-US" w:eastAsia="zh-CN" w:bidi="ar"/>
        </w:rPr>
        <w:t>坚持引培结合、科学管用，加强人才自主培养，刚柔并济引进人才，科学精准管用人才，推动高质量人才队伍建设。围绕专业人才、技能人才总量扩大、素质提升，健全完善人才配套政策和工作机制，实行重点人才、创新团队等“一事一议”“一人一策”，在平台搭建、科研启动、团队组建等方面给予定制化支持。支持龙头企业柔性吸引一批国内外专家、学者和创新团队，为关键产业提供技术指导。深化产业工人队伍建设改革行动，建设知识型技能型创新型队伍。持续开展“春城人才—石林汇”高校引才系列活动，支持企业与高校联合培养产业人才。</w:t>
      </w:r>
      <w:r>
        <w:rPr>
          <w:rFonts w:hint="eastAsia" w:ascii="宋体" w:hAnsi="宋体" w:eastAsia="仿宋_GB2312" w:cs="方正仿宋_GBK"/>
          <w:spacing w:val="4"/>
          <w:sz w:val="31"/>
          <w:szCs w:val="31"/>
          <w:lang w:val="en-US" w:eastAsia="zh-CN"/>
        </w:rPr>
        <w:t>加大对青年人才的支持力度</w:t>
      </w:r>
      <w:r>
        <w:rPr>
          <w:rFonts w:ascii="宋体" w:hAnsi="宋体" w:eastAsia="仿宋_GB2312" w:cs="方正仿宋_GBK"/>
          <w:spacing w:val="4"/>
          <w:sz w:val="31"/>
          <w:szCs w:val="31"/>
        </w:rPr>
        <w:t>。</w:t>
      </w:r>
      <w:r>
        <w:rPr>
          <w:rFonts w:hint="eastAsia" w:ascii="宋体" w:hAnsi="宋体" w:eastAsia="仿宋_GB2312" w:cs="Times New Roman Regular"/>
          <w:color w:val="auto"/>
          <w:sz w:val="32"/>
          <w:szCs w:val="32"/>
          <w:highlight w:val="none"/>
          <w:u w:val="none" w:color="auto"/>
          <w:lang w:val="en-US" w:eastAsia="zh-CN" w:bidi="ar"/>
        </w:rPr>
        <w:t>完善人才评价与激励机制，重点突出创新价值、能力、贡献导向。全面落实高层次人才安家补贴、科研项目配套、薪酬奖励等支持政策，健全涵盖子女入学、医疗保障、住房安居、配偶就业等全链条服务保障体系，持续优化人才发展生态。</w:t>
      </w:r>
    </w:p>
    <w:p w14:paraId="1DB19245">
      <w:pPr>
        <w:keepNext w:val="0"/>
        <w:keepLines w:val="0"/>
        <w:pageBreakBefore w:val="0"/>
        <w:widowControl w:val="0"/>
        <w:numPr>
          <w:ilvl w:val="0"/>
          <w:numId w:val="0"/>
        </w:numPr>
        <w:kinsoku/>
        <w:wordWrap/>
        <w:overflowPunct/>
        <w:topLinePunct w:val="0"/>
        <w:autoSpaceDE/>
        <w:autoSpaceDN/>
        <w:bidi w:val="0"/>
        <w:adjustRightInd/>
        <w:snapToGrid w:val="0"/>
        <w:spacing w:before="400" w:beforeLines="0" w:beforeAutospacing="0" w:after="200" w:afterLines="0" w:afterAutospacing="0" w:line="52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kern w:val="44"/>
          <w:sz w:val="36"/>
          <w:szCs w:val="36"/>
          <w:highlight w:val="none"/>
          <w:lang w:val="en-US" w:eastAsia="zh-CN" w:bidi="ar-SA"/>
        </w:rPr>
      </w:pPr>
      <w:bookmarkStart w:id="604" w:name="_Toc20647"/>
      <w:bookmarkStart w:id="605" w:name="_Toc1281496107"/>
      <w:bookmarkStart w:id="606" w:name="_Toc2085972181"/>
      <w:bookmarkStart w:id="607" w:name="_Toc3924"/>
      <w:bookmarkStart w:id="608" w:name="_Toc1427745202"/>
      <w:bookmarkStart w:id="609" w:name="_Toc25917"/>
      <w:bookmarkStart w:id="610" w:name="_Toc1319181635"/>
      <w:bookmarkStart w:id="611" w:name="_Toc420024026"/>
      <w:bookmarkStart w:id="612" w:name="_Toc1020954856"/>
      <w:bookmarkStart w:id="613" w:name="_Toc1832946805"/>
      <w:bookmarkStart w:id="614" w:name="_Toc1866122271"/>
      <w:r>
        <w:rPr>
          <w:rFonts w:hint="eastAsia" w:ascii="方正小标宋简体" w:hAnsi="方正小标宋简体" w:eastAsia="方正小标宋简体" w:cs="方正小标宋简体"/>
          <w:b w:val="0"/>
          <w:bCs/>
          <w:color w:val="auto"/>
          <w:kern w:val="44"/>
          <w:sz w:val="36"/>
          <w:szCs w:val="36"/>
          <w:highlight w:val="none"/>
          <w:lang w:val="en-US" w:eastAsia="zh-CN" w:bidi="ar-SA"/>
        </w:rPr>
        <w:t>第十章  持续增进民生福祉，满足人民美好生活新期待</w:t>
      </w:r>
      <w:bookmarkEnd w:id="604"/>
      <w:bookmarkEnd w:id="605"/>
      <w:bookmarkEnd w:id="606"/>
      <w:bookmarkEnd w:id="607"/>
      <w:bookmarkEnd w:id="608"/>
    </w:p>
    <w:p w14:paraId="0452FF2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14" w:lineRule="exact"/>
        <w:ind w:left="0" w:leftChars="0" w:firstLine="640" w:firstLineChars="200"/>
        <w:jc w:val="left"/>
        <w:textAlignment w:val="auto"/>
        <w:outlineLvl w:val="9"/>
        <w:rPr>
          <w:rFonts w:hint="eastAsia" w:ascii="仿宋_GB2312" w:hAnsi="仿宋_GB2312" w:eastAsia="仿宋_GB2312" w:cs="仿宋_GB2312"/>
          <w:b w:val="0"/>
          <w:bCs w:val="0"/>
          <w:i w:val="0"/>
          <w:iCs w:val="0"/>
          <w:caps w:val="0"/>
          <w:color w:val="auto"/>
          <w:spacing w:val="0"/>
          <w:sz w:val="32"/>
          <w:szCs w:val="32"/>
          <w:highlight w:val="none"/>
          <w:u w:val="none" w:color="auto"/>
          <w:shd w:val="clear" w:fill="auto"/>
          <w:lang w:bidi="ar"/>
        </w:rPr>
      </w:pPr>
      <w:r>
        <w:rPr>
          <w:rFonts w:hint="eastAsia" w:ascii="仿宋_GB2312" w:hAnsi="仿宋_GB2312" w:eastAsia="仿宋_GB2312" w:cs="仿宋_GB2312"/>
          <w:b w:val="0"/>
          <w:bCs w:val="0"/>
          <w:i w:val="0"/>
          <w:iCs w:val="0"/>
          <w:caps w:val="0"/>
          <w:color w:val="auto"/>
          <w:spacing w:val="0"/>
          <w:sz w:val="32"/>
          <w:szCs w:val="32"/>
          <w:highlight w:val="none"/>
          <w:u w:val="none" w:color="auto"/>
          <w:shd w:val="clear" w:fill="auto"/>
          <w:lang w:bidi="ar"/>
        </w:rPr>
        <w:t>聚焦群众急难愁盼问题，</w:t>
      </w:r>
      <w:r>
        <w:rPr>
          <w:rFonts w:hint="eastAsia" w:ascii="仿宋_GB2312" w:hAnsi="仿宋_GB2312" w:eastAsia="仿宋_GB2312" w:cs="仿宋_GB2312"/>
          <w:b w:val="0"/>
          <w:bCs w:val="0"/>
          <w:i w:val="0"/>
          <w:iCs w:val="0"/>
          <w:caps w:val="0"/>
          <w:color w:val="auto"/>
          <w:spacing w:val="0"/>
          <w:sz w:val="32"/>
          <w:szCs w:val="32"/>
          <w:highlight w:val="none"/>
          <w:u w:val="none" w:color="auto"/>
          <w:shd w:val="clear" w:fill="auto"/>
          <w:lang w:val="en-US" w:eastAsia="zh-CN" w:bidi="ar"/>
        </w:rPr>
        <w:t>落实好“投资于人”理念，</w:t>
      </w:r>
      <w:r>
        <w:rPr>
          <w:rFonts w:hint="eastAsia" w:ascii="仿宋_GB2312" w:hAnsi="仿宋_GB2312" w:eastAsia="仿宋_GB2312" w:cs="仿宋_GB2312"/>
          <w:b w:val="0"/>
          <w:bCs w:val="0"/>
          <w:i w:val="0"/>
          <w:iCs w:val="0"/>
          <w:caps w:val="0"/>
          <w:color w:val="auto"/>
          <w:spacing w:val="0"/>
          <w:sz w:val="32"/>
          <w:szCs w:val="32"/>
          <w:highlight w:val="none"/>
          <w:u w:val="none" w:color="auto"/>
          <w:shd w:val="clear" w:fill="auto"/>
          <w:lang w:bidi="ar"/>
        </w:rPr>
        <w:t>秉持“尽力而为、量力而行”的务实原则，集中优势资源</w:t>
      </w:r>
      <w:r>
        <w:rPr>
          <w:rFonts w:hint="eastAsia" w:ascii="仿宋_GB2312" w:hAnsi="仿宋_GB2312" w:eastAsia="仿宋_GB2312" w:cs="仿宋_GB2312"/>
          <w:b w:val="0"/>
          <w:bCs w:val="0"/>
          <w:i w:val="0"/>
          <w:iCs w:val="0"/>
          <w:caps w:val="0"/>
          <w:color w:val="auto"/>
          <w:spacing w:val="0"/>
          <w:sz w:val="32"/>
          <w:szCs w:val="32"/>
          <w:highlight w:val="none"/>
          <w:u w:val="none" w:color="auto"/>
          <w:shd w:val="clear" w:fill="auto"/>
          <w:lang w:eastAsia="zh-CN" w:bidi="ar"/>
        </w:rPr>
        <w:t>、</w:t>
      </w:r>
      <w:r>
        <w:rPr>
          <w:rFonts w:hint="eastAsia" w:ascii="仿宋_GB2312" w:hAnsi="仿宋_GB2312" w:eastAsia="仿宋_GB2312" w:cs="仿宋_GB2312"/>
          <w:b w:val="0"/>
          <w:bCs w:val="0"/>
          <w:i w:val="0"/>
          <w:iCs w:val="0"/>
          <w:caps w:val="0"/>
          <w:color w:val="auto"/>
          <w:spacing w:val="0"/>
          <w:sz w:val="32"/>
          <w:szCs w:val="32"/>
          <w:highlight w:val="none"/>
          <w:u w:val="none" w:color="auto"/>
          <w:shd w:val="clear" w:fill="auto"/>
          <w:lang w:bidi="ar"/>
        </w:rPr>
        <w:t>精准施策推动民生保障从“有没有”向“好不好”“优不优”升级，让民生建设更具公平性、均衡性、普惠性与可及性。</w:t>
      </w:r>
    </w:p>
    <w:p w14:paraId="05515474">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6"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15" w:name="_Toc991574586"/>
      <w:bookmarkStart w:id="616" w:name="_Toc23665"/>
      <w:bookmarkStart w:id="617" w:name="_Toc131338436"/>
      <w:bookmarkStart w:id="618" w:name="_Toc1557"/>
      <w:bookmarkStart w:id="619" w:name="_Toc1263908792"/>
      <w:r>
        <w:rPr>
          <w:rFonts w:hint="eastAsia" w:ascii="宋体" w:hAnsi="宋体" w:eastAsia="黑体" w:cs="黑体"/>
          <w:b w:val="0"/>
          <w:bCs/>
          <w:color w:val="auto"/>
          <w:kern w:val="2"/>
          <w:sz w:val="32"/>
          <w:szCs w:val="24"/>
          <w:highlight w:val="none"/>
          <w:u w:val="none"/>
          <w:lang w:val="en-US" w:eastAsia="zh-CN" w:bidi="ar-SA"/>
        </w:rPr>
        <w:t>第一节  推进高质量充分就业</w:t>
      </w:r>
      <w:bookmarkEnd w:id="615"/>
      <w:bookmarkEnd w:id="616"/>
      <w:bookmarkEnd w:id="617"/>
      <w:bookmarkEnd w:id="618"/>
      <w:bookmarkEnd w:id="619"/>
    </w:p>
    <w:p w14:paraId="4FC117FA">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16" w:lineRule="exact"/>
        <w:ind w:left="0" w:leftChars="0" w:firstLine="640" w:firstLineChars="200"/>
        <w:jc w:val="left"/>
        <w:textAlignment w:val="auto"/>
        <w:outlineLvl w:val="9"/>
        <w:rPr>
          <w:rFonts w:hint="eastAsia" w:ascii="仿宋_GB2312" w:hAnsi="仿宋_GB2312" w:eastAsia="仿宋_GB2312" w:cs="仿宋_GB2312"/>
          <w:b w:val="0"/>
          <w:bCs/>
          <w:color w:val="auto"/>
          <w:spacing w:val="0"/>
          <w:kern w:val="2"/>
          <w:sz w:val="32"/>
          <w:szCs w:val="32"/>
          <w:highlight w:val="none"/>
          <w:shd w:val="clear" w:fill="FFFFFF"/>
          <w:lang w:val="en-US" w:eastAsia="zh-CN" w:bidi="ar-SA"/>
        </w:rPr>
      </w:pPr>
      <w:r>
        <w:rPr>
          <w:rFonts w:hint="eastAsia" w:ascii="仿宋_GB2312" w:hAnsi="仿宋_GB2312" w:eastAsia="仿宋_GB2312" w:cs="仿宋_GB2312"/>
          <w:b w:val="0"/>
          <w:bCs w:val="0"/>
          <w:color w:val="auto"/>
          <w:spacing w:val="0"/>
          <w:kern w:val="2"/>
          <w:sz w:val="32"/>
          <w:szCs w:val="32"/>
          <w:highlight w:val="none"/>
          <w:u w:val="none" w:color="auto"/>
          <w:shd w:val="clear" w:fill="auto"/>
          <w:lang w:val="en-US" w:eastAsia="zh-CN" w:bidi="ar"/>
        </w:rPr>
        <w:t>千方百计稳定和扩大就业，促进充分就业，提高就业质量，维护劳动者合法权益。完善分配制度，优化收入结构，推动实现共同富裕。</w:t>
      </w:r>
    </w:p>
    <w:p w14:paraId="3B85096B">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一、促进多渠道就业创业</w:t>
      </w:r>
    </w:p>
    <w:p w14:paraId="06F982D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spacing w:val="0"/>
          <w:kern w:val="2"/>
          <w:sz w:val="32"/>
          <w:szCs w:val="32"/>
          <w:highlight w:val="none"/>
          <w:u w:val="none" w:color="auto"/>
          <w:shd w:val="clear" w:fill="auto"/>
          <w:lang w:val="en-US" w:eastAsia="zh-CN" w:bidi="ar"/>
        </w:rPr>
      </w:pPr>
      <w:r>
        <w:rPr>
          <w:rFonts w:hint="eastAsia" w:ascii="宋体" w:hAnsi="宋体" w:eastAsia="仿宋_GB2312" w:cs="Times New Roman Regular"/>
          <w:b w:val="0"/>
          <w:bCs w:val="0"/>
          <w:color w:val="auto"/>
          <w:spacing w:val="0"/>
          <w:kern w:val="2"/>
          <w:sz w:val="32"/>
          <w:szCs w:val="32"/>
          <w:highlight w:val="none"/>
          <w:u w:val="none" w:color="auto"/>
          <w:shd w:val="clear" w:fill="auto"/>
          <w:lang w:val="en-US" w:eastAsia="zh-CN" w:bidi="ar"/>
        </w:rPr>
        <w:t>强化宏观调控就业优先导向，坚持“就地就近就业”和“外出就业”并重，促进多渠道就业创业。推进就业与产业发展协同，抢抓传统产业改造提升、新兴产业培育壮大和新质生产力培育契机，加强招商引资，积极拓展就业岗位和季节性用工岗位，催生新就业增长点。全力打造“撒尼绣娘”“石林人参果产业工人”等劳务品牌。统筹用好公益性岗位，帮扶残疾人、零就业家庭成员就业。突出重点群体就业帮扶，促进高校毕业生、退役军人、农村劳动力、就业困难人员等群体就业。</w:t>
      </w:r>
      <w:r>
        <w:rPr>
          <w:rFonts w:hint="eastAsia" w:ascii="宋体" w:hAnsi="宋体" w:eastAsia="仿宋_GB2312" w:cs="Times New Roman Regular"/>
          <w:bCs w:val="0"/>
          <w:color w:val="auto"/>
          <w:spacing w:val="0"/>
          <w:sz w:val="32"/>
          <w:szCs w:val="32"/>
          <w:highlight w:val="none"/>
          <w:u w:val="none" w:color="auto"/>
          <w:shd w:val="clear" w:fill="auto"/>
          <w:lang w:val="en-US" w:eastAsia="zh-CN" w:bidi="ar"/>
        </w:rPr>
        <w:t>聚焦解决结构性就业矛盾，科学研判人力资源发展趋势，</w:t>
      </w:r>
      <w:r>
        <w:rPr>
          <w:rFonts w:hint="eastAsia" w:ascii="宋体" w:hAnsi="宋体" w:eastAsia="仿宋_GB2312" w:cs="Times New Roman Regular"/>
          <w:bCs w:val="0"/>
          <w:color w:val="auto"/>
          <w:sz w:val="32"/>
          <w:szCs w:val="32"/>
          <w:highlight w:val="none"/>
          <w:u w:val="none" w:color="auto"/>
          <w:shd w:val="clear" w:fill="auto"/>
          <w:lang w:bidi="ar"/>
        </w:rPr>
        <w:t>实施技能</w:t>
      </w:r>
      <w:r>
        <w:rPr>
          <w:rFonts w:hint="eastAsia" w:ascii="宋体" w:hAnsi="宋体" w:eastAsia="仿宋_GB2312" w:cs="Times New Roman Regular"/>
          <w:bCs w:val="0"/>
          <w:color w:val="auto"/>
          <w:sz w:val="32"/>
          <w:szCs w:val="32"/>
          <w:highlight w:val="none"/>
          <w:u w:val="none" w:color="auto"/>
          <w:shd w:val="clear" w:fill="auto"/>
          <w:lang w:val="en-US" w:eastAsia="zh-CN" w:bidi="ar"/>
        </w:rPr>
        <w:t>石林</w:t>
      </w:r>
      <w:r>
        <w:rPr>
          <w:rFonts w:hint="eastAsia" w:ascii="宋体" w:hAnsi="宋体" w:eastAsia="仿宋_GB2312" w:cs="Times New Roman Regular"/>
          <w:bCs w:val="0"/>
          <w:color w:val="auto"/>
          <w:sz w:val="32"/>
          <w:szCs w:val="32"/>
          <w:highlight w:val="none"/>
          <w:u w:val="none" w:color="auto"/>
          <w:shd w:val="clear" w:fill="auto"/>
          <w:lang w:bidi="ar"/>
        </w:rPr>
        <w:t>行动</w:t>
      </w:r>
      <w:r>
        <w:rPr>
          <w:rFonts w:hint="eastAsia" w:ascii="宋体" w:hAnsi="宋体" w:eastAsia="仿宋_GB2312" w:cs="Times New Roman Regular"/>
          <w:bCs w:val="0"/>
          <w:color w:val="auto"/>
          <w:sz w:val="32"/>
          <w:szCs w:val="32"/>
          <w:highlight w:val="none"/>
          <w:u w:val="none" w:color="auto"/>
          <w:shd w:val="clear" w:fill="auto"/>
          <w:lang w:eastAsia="zh-CN" w:bidi="ar"/>
        </w:rPr>
        <w:t>，</w:t>
      </w:r>
      <w:r>
        <w:rPr>
          <w:rFonts w:hint="eastAsia" w:ascii="宋体" w:hAnsi="宋体" w:eastAsia="仿宋_GB2312" w:cs="Times New Roman Regular"/>
          <w:bCs w:val="0"/>
          <w:color w:val="auto"/>
          <w:spacing w:val="0"/>
          <w:sz w:val="32"/>
          <w:szCs w:val="32"/>
          <w:highlight w:val="none"/>
          <w:u w:val="none" w:color="auto"/>
          <w:shd w:val="clear" w:fill="auto"/>
          <w:lang w:val="en-US" w:eastAsia="zh-CN" w:bidi="ar"/>
        </w:rPr>
        <w:t>健全终身职业技能培训制度，统筹抓好教育、培训和就业</w:t>
      </w:r>
      <w:r>
        <w:rPr>
          <w:rFonts w:hint="eastAsia" w:ascii="宋体" w:hAnsi="宋体" w:eastAsia="仿宋_GB2312" w:cs="Times New Roman Regular"/>
          <w:bCs w:val="0"/>
          <w:color w:val="auto"/>
          <w:spacing w:val="0"/>
          <w:sz w:val="32"/>
          <w:szCs w:val="32"/>
          <w:highlight w:val="none"/>
          <w:u w:val="none" w:color="auto"/>
          <w:shd w:val="clear" w:fill="auto"/>
          <w:lang w:bidi="ar"/>
        </w:rPr>
        <w:t>。</w:t>
      </w:r>
      <w:r>
        <w:rPr>
          <w:rFonts w:hint="eastAsia" w:ascii="宋体" w:hAnsi="宋体" w:eastAsia="仿宋_GB2312" w:cs="Times New Roman Regular"/>
          <w:b w:val="0"/>
          <w:bCs w:val="0"/>
          <w:color w:val="auto"/>
          <w:spacing w:val="0"/>
          <w:kern w:val="2"/>
          <w:sz w:val="32"/>
          <w:szCs w:val="32"/>
          <w:highlight w:val="none"/>
          <w:u w:val="none" w:color="auto"/>
          <w:shd w:val="clear" w:fill="auto"/>
          <w:lang w:val="en-US" w:eastAsia="zh-CN" w:bidi="ar"/>
        </w:rPr>
        <w:t>落实国家和省市创业扶持政策，全面推广“云岭创业贷”、创业担保贷款等优惠政策，以台创园、青年（大学生）创业园等为主，建设一批创业街区。“十五五”时期，累计新增城镇就业1.5万人左右。</w:t>
      </w:r>
    </w:p>
    <w:p w14:paraId="33F47CCA">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2" w:lineRule="exac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二、完善公共就业服务体系</w:t>
      </w:r>
    </w:p>
    <w:p w14:paraId="14E2868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2" w:lineRule="exact"/>
        <w:ind w:left="0" w:leftChars="0" w:firstLine="640" w:firstLineChars="200"/>
        <w:jc w:val="left"/>
        <w:textAlignment w:val="auto"/>
        <w:outlineLvl w:val="9"/>
        <w:rPr>
          <w:rFonts w:hint="eastAsia" w:ascii="宋体" w:hAnsi="宋体" w:eastAsia="仿宋_GB2312" w:cs="Times New Roman Regular"/>
          <w:b w:val="0"/>
          <w:bCs w:val="0"/>
          <w:color w:val="auto"/>
          <w:spacing w:val="0"/>
          <w:kern w:val="2"/>
          <w:sz w:val="32"/>
          <w:szCs w:val="32"/>
          <w:highlight w:val="none"/>
          <w:u w:val="none" w:color="auto"/>
          <w:shd w:val="clear" w:fill="auto"/>
          <w:lang w:val="en-US" w:eastAsia="zh-CN" w:bidi="ar"/>
        </w:rPr>
      </w:pPr>
      <w:r>
        <w:rPr>
          <w:rFonts w:hint="eastAsia" w:ascii="宋体" w:hAnsi="宋体" w:eastAsia="仿宋_GB2312" w:cs="Times New Roman Regular"/>
          <w:b w:val="0"/>
          <w:bCs w:val="0"/>
          <w:color w:val="auto"/>
          <w:spacing w:val="0"/>
          <w:kern w:val="2"/>
          <w:sz w:val="32"/>
          <w:szCs w:val="32"/>
          <w:highlight w:val="none"/>
          <w:u w:val="none" w:color="auto"/>
          <w:shd w:val="clear" w:fill="auto"/>
          <w:lang w:val="en-US" w:eastAsia="zh-CN" w:bidi="ar"/>
        </w:rPr>
        <w:t>完善公共就业服务体系，优化全县公共就业服务。完善石林县公共就业和人才服务中心功能，推动“零工市场”优化升级。加强重点企业跟踪服务和登记失业人员分级分类服务，大力推行“就业服务包”，精准开展职业介绍；定期组织召开“小而专”现场招聘会，开展直播带岗、远程面试等网络招聘活动。依托政务服务大厅、基层网点等各类服务载体，开展就业创业、劳动用工法律法规和政策宣传、咨询和解读，推行“直补快办”“政策计算器”等模式高效落实就业政策。加强劳动者权益保障，健全劳动关系协商协调机制、劳动人事争议仲裁案件多元处理机制，持续开展欠薪专项整治，完善就业失业管理。</w:t>
      </w:r>
    </w:p>
    <w:p w14:paraId="0C1CD305">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20" w:name="_Toc920966182"/>
      <w:bookmarkStart w:id="621" w:name="_Toc1939388383"/>
      <w:bookmarkStart w:id="622" w:name="_Toc1754314667"/>
      <w:bookmarkStart w:id="623" w:name="_Toc29734"/>
      <w:bookmarkStart w:id="624" w:name="_Toc5853"/>
      <w:r>
        <w:rPr>
          <w:rFonts w:hint="eastAsia" w:ascii="宋体" w:hAnsi="宋体" w:eastAsia="黑体" w:cs="黑体"/>
          <w:b w:val="0"/>
          <w:bCs/>
          <w:color w:val="auto"/>
          <w:kern w:val="2"/>
          <w:sz w:val="32"/>
          <w:szCs w:val="24"/>
          <w:highlight w:val="none"/>
          <w:u w:val="none"/>
          <w:lang w:val="en-US" w:eastAsia="zh-CN" w:bidi="ar-SA"/>
        </w:rPr>
        <w:t>第二节  推动教育扩优提质</w:t>
      </w:r>
      <w:bookmarkEnd w:id="620"/>
      <w:bookmarkEnd w:id="621"/>
      <w:bookmarkEnd w:id="622"/>
      <w:bookmarkEnd w:id="623"/>
      <w:bookmarkEnd w:id="624"/>
    </w:p>
    <w:p w14:paraId="647071DF">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20" w:lineRule="exact"/>
        <w:ind w:left="0" w:leftChars="0" w:firstLine="640" w:firstLineChars="200"/>
        <w:jc w:val="left"/>
        <w:textAlignment w:val="auto"/>
        <w:outlineLvl w:val="9"/>
        <w:rPr>
          <w:rFonts w:hint="default" w:ascii="宋体" w:hAnsi="宋体" w:eastAsia="仿宋_GB2312" w:cs="Times New Roman Regular"/>
          <w:b w:val="0"/>
          <w:bCs/>
          <w:color w:val="auto"/>
          <w:kern w:val="2"/>
          <w:sz w:val="32"/>
          <w:szCs w:val="32"/>
          <w:highlight w:val="none"/>
          <w:lang w:val="en-US" w:eastAsia="zh-CN" w:bidi="ar-SA"/>
        </w:rPr>
      </w:pPr>
      <w:r>
        <w:rPr>
          <w:rFonts w:hint="eastAsia" w:ascii="宋体" w:hAnsi="宋体" w:eastAsia="仿宋_GB2312" w:cs="Times New Roman Regular"/>
          <w:b w:val="0"/>
          <w:bCs w:val="0"/>
          <w:color w:val="auto"/>
          <w:kern w:val="2"/>
          <w:sz w:val="32"/>
          <w:szCs w:val="32"/>
          <w:highlight w:val="none"/>
          <w:u w:val="none" w:color="auto"/>
          <w:lang w:val="en-US" w:eastAsia="zh-CN" w:bidi="ar"/>
        </w:rPr>
        <w:t>聚焦“办好人民满意的教育”主题，实施新时代立德树人工程，加强师德师风建设，结合人口分布优化教育设施布局，优化区域教育资源配置，推动教育扩优提质。</w:t>
      </w:r>
    </w:p>
    <w:p w14:paraId="7FFF3FAB">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一、实施新时代立德树人工程</w:t>
      </w:r>
    </w:p>
    <w:p w14:paraId="22BFC661">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kern w:val="2"/>
          <w:sz w:val="32"/>
          <w:szCs w:val="32"/>
          <w:highlight w:val="none"/>
          <w:u w:val="none" w:color="auto"/>
          <w:lang w:val="en-US" w:eastAsia="zh-CN" w:bidi="ar"/>
        </w:rPr>
      </w:pPr>
      <w:r>
        <w:rPr>
          <w:rFonts w:hint="eastAsia" w:ascii="宋体" w:hAnsi="宋体" w:eastAsia="仿宋_GB2312" w:cs="Times New Roman Regular"/>
          <w:b w:val="0"/>
          <w:bCs w:val="0"/>
          <w:color w:val="auto"/>
          <w:kern w:val="2"/>
          <w:sz w:val="32"/>
          <w:szCs w:val="32"/>
          <w:highlight w:val="none"/>
          <w:u w:val="none" w:color="auto"/>
          <w:lang w:val="en-US" w:eastAsia="zh-CN" w:bidi="ar"/>
        </w:rPr>
        <w:t>坚持立德树人根本任务，全面推进中小学思想政治教育一体化建设，将石林优秀传统文化、革命传统教育和爱国主义教育融入教育教学全过程，建立健全“幼小初高”一体化教学课程研究。健全德智体美劳全面培养体系，深入实施学生体质强健计划、学校美育提升行动、青少年学生读书行动，建设劳动教育实践基地和开设特色美育课程。强化师德师风建设长效机制，建立师德失范行为负面清单制度。深化教育评价改革，建立以立德树人成效为核心的评价体系，改进学生发展评价、教师育人评价和学校办学质量评价，巩固拓展“双减”工作成果。</w:t>
      </w:r>
    </w:p>
    <w:p w14:paraId="5FCC7F8B">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二、推进基础教育扩优提质</w:t>
      </w:r>
    </w:p>
    <w:p w14:paraId="0E4B652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both"/>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color w:val="auto"/>
          <w:sz w:val="32"/>
          <w:szCs w:val="32"/>
          <w:highlight w:val="none"/>
          <w:u w:val="none" w:color="auto"/>
          <w:lang w:val="en-US" w:eastAsia="zh-CN" w:bidi="ar"/>
        </w:rPr>
        <w:t>统筹城乡教育资源均衡配置，建立中小学布点规划动态调整机制，做强中心校、做优直属校，实现每个乡镇街道保留1－2所小学、1－3所幼儿园。深入实施基础教育扩优提质工程，加强学校标准化建设，推动学前教育优质普惠发展和城乡一体化发展。加大公办幼儿园学位供给力度，推动石林街道办第一中心、第二中心幼儿园建设，扩大普惠性幼儿园覆盖面，落实逐步推行免费学前教育政策，科学推进幼小科学衔接。到2030年，学前三年毛入园率保持在99%以上，公办在园幼儿人数占比达75%。巩固义务教育均衡发展成效，推进巴江小学、石林县第一中学、民族中学改扩建，办好寄宿制学校和必要的乡村小规模学校；深化“九年一贯制”改革，抓强集团化办学一体化发展，探索建立城乡教育集团，推动城区中小学教育集团托管帮扶乡镇学校。</w:t>
      </w:r>
    </w:p>
    <w:p w14:paraId="3CDC3542">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三、推动普通高中优质发展</w:t>
      </w:r>
    </w:p>
    <w:p w14:paraId="34C30EF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default" w:ascii="宋体" w:hAnsi="宋体" w:eastAsia="仿宋_GB2312" w:cs="Times New Roman Regular"/>
          <w:b w:val="0"/>
          <w:bCs/>
          <w:color w:val="auto"/>
          <w:sz w:val="32"/>
          <w:szCs w:val="32"/>
          <w:highlight w:val="none"/>
          <w:lang w:val="en-US" w:eastAsia="zh-CN"/>
        </w:rPr>
      </w:pPr>
      <w:r>
        <w:rPr>
          <w:rFonts w:hint="eastAsia" w:ascii="宋体" w:hAnsi="宋体" w:eastAsia="仿宋_GB2312" w:cs="Times New Roman Regular"/>
          <w:b w:val="0"/>
          <w:bCs w:val="0"/>
          <w:color w:val="auto"/>
          <w:sz w:val="32"/>
          <w:szCs w:val="32"/>
          <w:highlight w:val="none"/>
          <w:u w:val="none" w:color="auto"/>
          <w:lang w:val="en-US" w:eastAsia="zh-CN" w:bidi="ar"/>
        </w:rPr>
        <w:t>实施县域普通高中振兴计划，推进石林县第一中学改扩建工程，持续增加普通高中学位供给。通过集团化办学、托管、联合办学等方式，积极引入省内外名校先进教育理念、教学方法，提升教学质量。推进普通高中与石林民族职业高级中学同步、协调发展，建立职普教育互通机制。引导高中学校特色办学，</w:t>
      </w:r>
      <w:r>
        <w:rPr>
          <w:rFonts w:hint="eastAsia" w:ascii="宋体" w:hAnsi="宋体" w:eastAsia="仿宋_GB2312" w:cs="Times New Roman Regular"/>
          <w:color w:val="auto"/>
          <w:kern w:val="2"/>
          <w:sz w:val="32"/>
          <w:szCs w:val="32"/>
          <w:highlight w:val="none"/>
          <w:u w:val="none" w:color="auto"/>
          <w:lang w:val="en-US" w:eastAsia="zh-CN" w:bidi="ar"/>
        </w:rPr>
        <w:t>培</w:t>
      </w:r>
      <w:r>
        <w:rPr>
          <w:rFonts w:hint="eastAsia" w:ascii="宋体" w:hAnsi="宋体" w:eastAsia="仿宋_GB2312" w:cs="Times New Roman Regular"/>
          <w:b w:val="0"/>
          <w:bCs w:val="0"/>
          <w:color w:val="auto"/>
          <w:sz w:val="32"/>
          <w:szCs w:val="32"/>
          <w:highlight w:val="none"/>
          <w:u w:val="none" w:color="auto"/>
          <w:lang w:val="en-US" w:eastAsia="zh-CN" w:bidi="ar"/>
        </w:rPr>
        <w:t>养艺术特长生和体育特长生，促进学生全面个性发展。统筹调配全县高中师资力量，通过定期轮岗交流等方式，促进优质师资均衡分布。加大对招生政策的宣传力度，鼓励优秀学生留在县域高中就读。“十五五”期间，高中阶段教育毛入学率保持在98%以上。</w:t>
      </w:r>
    </w:p>
    <w:p w14:paraId="46E5814B">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四、推动职业教育产教融合</w:t>
      </w:r>
    </w:p>
    <w:p w14:paraId="7C68024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color w:val="auto"/>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统筹职业教育、继续教育协同创新，持续深化职普融通、产教融合、科教融汇</w:t>
      </w:r>
      <w:r>
        <w:rPr>
          <w:rFonts w:hint="eastAsia" w:ascii="宋体" w:hAnsi="宋体" w:eastAsia="仿宋_GB2312" w:cs="Times New Roman Regular"/>
          <w:bCs w:val="0"/>
          <w:snapToGrid/>
          <w:color w:val="auto"/>
          <w:spacing w:val="0"/>
          <w:sz w:val="32"/>
          <w:szCs w:val="32"/>
          <w:highlight w:val="none"/>
          <w:u w:val="none" w:color="auto"/>
          <w:lang w:val="en-US" w:eastAsia="zh-CN" w:bidi="ar"/>
        </w:rPr>
        <w:t>，为县域经济高质量发展培养高技能人才。</w:t>
      </w:r>
      <w:r>
        <w:rPr>
          <w:rFonts w:hint="eastAsia" w:ascii="宋体" w:hAnsi="宋体" w:eastAsia="仿宋_GB2312" w:cs="Times New Roman Regular"/>
          <w:bCs w:val="0"/>
          <w:color w:val="auto"/>
          <w:sz w:val="32"/>
          <w:szCs w:val="32"/>
          <w:highlight w:val="none"/>
          <w:u w:val="none" w:color="auto"/>
          <w:lang w:val="en-US" w:eastAsia="zh-CN" w:bidi="ar"/>
        </w:rPr>
        <w:t>加快完善云南林业职业技术学院石林校区基础设施建设，推动云南省旅游职业学院、昆明艺术职业学院石林校区建设和民族职业高级中学扩建，积极对接石林产业园区、台创园等，优化调整专业设置和课程体系，推动职业教育从“供给导向”向“需求导向”转型。深化与西南林业大学、云南艺术学院等高职院校合作，健全学籍流动机制，畅通成才路径。</w:t>
      </w:r>
    </w:p>
    <w:p w14:paraId="3C601249">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4" w:lineRule="exact"/>
        <w:ind w:left="0" w:leftChars="0" w:firstLine="640" w:firstLineChars="200"/>
        <w:jc w:val="both"/>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五、促进特色教育多元发展</w:t>
      </w:r>
    </w:p>
    <w:p w14:paraId="5F4B70C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4" w:lineRule="exact"/>
        <w:ind w:left="0" w:leftChars="0" w:firstLine="640" w:firstLineChars="200"/>
        <w:jc w:val="both"/>
        <w:textAlignment w:val="auto"/>
        <w:outlineLvl w:val="9"/>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u w:val="none" w:color="auto"/>
          <w:lang w:val="en-US" w:eastAsia="zh-CN" w:bidi="ar"/>
        </w:rPr>
        <w:t>挖掘石林彝族文化特色，将彝族优秀传统文化融入课程体系，开发具有民族特色的校本课程，培养非物质文化遗产传承人才。探索“普通学校随班就读+特殊教育学校教育康复”融合模式，推动特殊教育和普通教育融合办学。加快建设老年教育体系，办好家门口的老年教育。推进教育数字化发展，加快建设智慧校园，更新配套信息化设施设备，探索数字赋能大规模因材施教、创新性教学的有效途径，深度推进城乡学校网上结对、优质发展。</w:t>
      </w:r>
    </w:p>
    <w:p w14:paraId="2CADB29A">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bCs/>
          <w:color w:val="auto"/>
          <w:spacing w:val="0"/>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六</w:t>
      </w:r>
      <w:r>
        <w:rPr>
          <w:rFonts w:hint="eastAsia" w:ascii="楷体_GB2312" w:hAnsi="楷体_GB2312" w:eastAsia="楷体_GB2312" w:cs="楷体_GB2312"/>
          <w:b w:val="0"/>
          <w:bCs/>
          <w:color w:val="auto"/>
          <w:spacing w:val="0"/>
          <w:kern w:val="2"/>
          <w:sz w:val="32"/>
          <w:szCs w:val="32"/>
          <w:highlight w:val="none"/>
          <w:lang w:val="en-US" w:eastAsia="zh-CN" w:bidi="ar-SA"/>
        </w:rPr>
        <w:t>、全面加强新时代教师队伍建设</w:t>
      </w:r>
    </w:p>
    <w:p w14:paraId="461EBD19">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仿宋_GB2312" w:hAnsi="仿宋_GB2312" w:eastAsia="仿宋_GB2312" w:cs="仿宋_GB2312"/>
          <w:b w:val="0"/>
          <w:bCs w:val="0"/>
          <w:color w:val="auto"/>
          <w:sz w:val="32"/>
          <w:szCs w:val="32"/>
          <w:highlight w:val="none"/>
          <w:u w:val="none" w:color="auto"/>
          <w:lang w:val="en-US" w:eastAsia="zh-CN" w:bidi="ar"/>
        </w:rPr>
      </w:pPr>
      <w:r>
        <w:rPr>
          <w:rFonts w:hint="eastAsia" w:ascii="仿宋_GB2312" w:hAnsi="仿宋_GB2312" w:eastAsia="仿宋_GB2312" w:cs="仿宋_GB2312"/>
          <w:b w:val="0"/>
          <w:bCs w:val="0"/>
          <w:color w:val="auto"/>
          <w:sz w:val="32"/>
          <w:szCs w:val="32"/>
          <w:highlight w:val="none"/>
          <w:u w:val="none" w:color="auto"/>
          <w:lang w:val="en-US" w:eastAsia="zh-CN" w:bidi="ar"/>
        </w:rPr>
        <w:t>实施教育家精神铸魂强师行动，大力弘扬新时代教育家精神，深入实施教师专业梯队培养工程，打造一支高素质、专业化的教师队伍。加强教师思想政治建设，推动教师深入学习党的教育方针政策，践行“为党育人、为国育才”使命，筑牢育人根基。组织教师参与教研、新课改研究与专项培训，提高德育管理与育人能力。优化绩效工资分配，保障教师权益。优化“县管校聘”管理机制，促进教师科学、合理流动，建立编制动态调整和紧缺学科教师“走教”制度，实施银龄教师支援乡村教育计划。</w:t>
      </w:r>
    </w:p>
    <w:p w14:paraId="7C94DB9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Lines="0" w:beforeAutospacing="0" w:after="0" w:afterLines="0" w:afterAutospacing="0" w:line="520" w:lineRule="exact"/>
        <w:ind w:left="0" w:leftChars="0" w:right="0" w:firstLine="640" w:firstLineChars="200"/>
        <w:jc w:val="left"/>
        <w:textAlignment w:val="auto"/>
        <w:outlineLvl w:val="2"/>
        <w:rPr>
          <w:rFonts w:hint="eastAsia" w:ascii="楷体_GB2312" w:hAnsi="楷体_GB2312" w:eastAsia="楷体_GB2312" w:cs="楷体_GB2312"/>
          <w:b w:val="0"/>
          <w:bCs/>
          <w:snapToGrid/>
          <w:color w:val="auto"/>
          <w:spacing w:val="0"/>
          <w:kern w:val="2"/>
          <w:sz w:val="32"/>
          <w:szCs w:val="32"/>
          <w:highlight w:val="none"/>
          <w:lang w:val="en-US" w:eastAsia="zh-CN" w:bidi="ar-SA"/>
        </w:rPr>
      </w:pPr>
      <w:r>
        <w:rPr>
          <w:rFonts w:hint="eastAsia" w:ascii="楷体_GB2312" w:hAnsi="楷体_GB2312" w:eastAsia="楷体_GB2312" w:cs="楷体_GB2312"/>
          <w:b w:val="0"/>
          <w:bCs/>
          <w:snapToGrid/>
          <w:color w:val="auto"/>
          <w:spacing w:val="0"/>
          <w:kern w:val="2"/>
          <w:sz w:val="32"/>
          <w:szCs w:val="32"/>
          <w:highlight w:val="none"/>
          <w:lang w:val="en-US" w:eastAsia="zh-CN" w:bidi="ar-SA"/>
        </w:rPr>
        <w:t>七、加强校园安全建设</w:t>
      </w:r>
    </w:p>
    <w:p w14:paraId="07160795">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left"/>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强化校园安全“三防”建设，确保高质量达到“四个100%”。持续巩固提升校园食品安全，优化集采集配，实现安全、品质、价格“三保障”目标。加强消防、交通、防溺水等安全防范，强化心理健康、预防未成年人犯罪等安全教育和防范治理，守住校园安全底线。</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5092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061" w:type="dxa"/>
          </w:tcPr>
          <w:p w14:paraId="2AE96232">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520" w:lineRule="exact"/>
              <w:ind w:left="0" w:leftChars="0" w:firstLine="0" w:firstLineChars="0"/>
              <w:jc w:val="center"/>
              <w:textAlignment w:val="auto"/>
              <w:outlineLvl w:val="9"/>
              <w:rPr>
                <w:rFonts w:hint="default" w:ascii="宋体" w:hAnsi="宋体" w:eastAsia="方正楷体_GBK" w:cs="Times New Roman Regular"/>
                <w:b/>
                <w:bCs/>
                <w:color w:val="auto"/>
                <w:kern w:val="2"/>
                <w:sz w:val="28"/>
                <w:szCs w:val="28"/>
                <w:highlight w:val="none"/>
                <w:u w:val="none" w:color="auto"/>
                <w:lang w:val="en-US" w:eastAsia="zh-CN" w:bidi="ar-SA"/>
              </w:rPr>
            </w:pPr>
            <w:r>
              <w:rPr>
                <w:rFonts w:hint="eastAsia" w:ascii="黑体" w:hAnsi="黑体" w:eastAsia="黑体" w:cs="黑体"/>
                <w:color w:val="auto"/>
                <w:kern w:val="2"/>
                <w:sz w:val="28"/>
                <w:szCs w:val="28"/>
                <w:highlight w:val="none"/>
                <w:lang w:val="en-US" w:eastAsia="zh-CN" w:bidi="ar-SA"/>
              </w:rPr>
              <w:t>专栏13  教育扩优提质工程</w:t>
            </w:r>
          </w:p>
        </w:tc>
      </w:tr>
      <w:tr w14:paraId="5658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061" w:type="dxa"/>
          </w:tcPr>
          <w:p w14:paraId="5512DF89">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20" w:lineRule="exact"/>
              <w:ind w:left="0" w:leftChars="0" w:firstLine="562" w:firstLineChars="200"/>
              <w:jc w:val="both"/>
              <w:textAlignment w:val="auto"/>
              <w:outlineLvl w:val="9"/>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义务教育学校标准化建设工程。</w:t>
            </w:r>
            <w:r>
              <w:rPr>
                <w:rFonts w:hint="eastAsia" w:ascii="宋体" w:hAnsi="宋体" w:eastAsia="仿宋_GB2312" w:cs="仿宋_GB2312"/>
                <w:b w:val="0"/>
                <w:bCs w:val="0"/>
                <w:color w:val="auto"/>
                <w:sz w:val="28"/>
                <w:szCs w:val="28"/>
                <w:highlight w:val="none"/>
                <w:u w:val="none" w:color="auto"/>
                <w:lang w:val="en-US" w:eastAsia="zh-CN"/>
              </w:rPr>
              <w:t>统筹实施义务教育薄弱环节改善与能力提升，推动义务教育学校校舍建设、安全防范建设、教学仪器装备、数字化基础环境、学校班额、教师配备等办学条件达到规定标准。到</w:t>
            </w:r>
            <w:r>
              <w:rPr>
                <w:rFonts w:hint="eastAsia" w:ascii="宋体" w:hAnsi="宋体" w:eastAsia="仿宋_GB2312" w:cs="宋体"/>
                <w:b w:val="0"/>
                <w:bCs w:val="0"/>
                <w:color w:val="auto"/>
                <w:sz w:val="28"/>
                <w:szCs w:val="28"/>
                <w:highlight w:val="none"/>
                <w:u w:val="none" w:color="auto"/>
                <w:lang w:val="en-US" w:eastAsia="zh-CN"/>
              </w:rPr>
              <w:t>2030</w:t>
            </w:r>
            <w:r>
              <w:rPr>
                <w:rFonts w:hint="eastAsia" w:ascii="宋体" w:hAnsi="宋体" w:eastAsia="仿宋_GB2312" w:cs="仿宋_GB2312"/>
                <w:b w:val="0"/>
                <w:bCs w:val="0"/>
                <w:color w:val="auto"/>
                <w:sz w:val="28"/>
                <w:szCs w:val="28"/>
                <w:highlight w:val="none"/>
                <w:u w:val="none" w:color="auto"/>
                <w:lang w:val="en-US" w:eastAsia="zh-CN"/>
              </w:rPr>
              <w:t>年，全县中小学班级教室实现多媒体教学设备、音响视频设备全覆盖，满足基本数字化课堂教学及交互需求。</w:t>
            </w:r>
          </w:p>
          <w:p w14:paraId="0C8A6AB4">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00" w:lineRule="exact"/>
              <w:ind w:left="0" w:leftChars="0" w:firstLine="562" w:firstLineChars="200"/>
              <w:jc w:val="left"/>
              <w:textAlignment w:val="auto"/>
              <w:outlineLvl w:val="9"/>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县中振兴工程。</w:t>
            </w:r>
            <w:r>
              <w:rPr>
                <w:rFonts w:hint="eastAsia" w:ascii="宋体" w:hAnsi="宋体" w:eastAsia="仿宋_GB2312" w:cs="仿宋_GB2312"/>
                <w:b w:val="0"/>
                <w:bCs w:val="0"/>
                <w:color w:val="auto"/>
                <w:sz w:val="28"/>
                <w:szCs w:val="28"/>
                <w:highlight w:val="none"/>
                <w:u w:val="none" w:color="auto"/>
                <w:lang w:val="en-US" w:eastAsia="zh-CN"/>
              </w:rPr>
              <w:t>谋划实施石林县第一中学教学楼、宿舍楼建设项目和石林彝族自治县民族中学综合楼建设项目，改善县中办学条件。</w:t>
            </w:r>
          </w:p>
          <w:p w14:paraId="67C7572C">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00" w:lineRule="exact"/>
              <w:ind w:left="0" w:leftChars="0" w:firstLine="562" w:firstLineChars="200"/>
              <w:jc w:val="left"/>
              <w:textAlignment w:val="auto"/>
              <w:outlineLvl w:val="9"/>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职业教育建设工程。</w:t>
            </w:r>
            <w:r>
              <w:rPr>
                <w:rFonts w:hint="eastAsia" w:ascii="宋体" w:hAnsi="宋体" w:eastAsia="仿宋_GB2312" w:cs="仿宋_GB2312"/>
                <w:b w:val="0"/>
                <w:bCs w:val="0"/>
                <w:color w:val="auto"/>
                <w:sz w:val="28"/>
                <w:szCs w:val="28"/>
                <w:highlight w:val="none"/>
                <w:u w:val="none" w:color="auto"/>
              </w:rPr>
              <w:t>完善云南林业职业技术学院石林校区基础设施建设，推动云南省旅游职业学院、昆明艺术职业学院石林校区建设和民族职业高级中学扩建</w:t>
            </w:r>
            <w:r>
              <w:rPr>
                <w:rFonts w:hint="eastAsia" w:ascii="宋体" w:hAnsi="宋体" w:eastAsia="仿宋_GB2312" w:cs="仿宋_GB2312"/>
                <w:b w:val="0"/>
                <w:bCs w:val="0"/>
                <w:color w:val="auto"/>
                <w:sz w:val="28"/>
                <w:szCs w:val="28"/>
                <w:highlight w:val="none"/>
                <w:u w:val="none" w:color="auto"/>
                <w:lang w:eastAsia="zh-CN"/>
              </w:rPr>
              <w:t>。</w:t>
            </w:r>
          </w:p>
          <w:p w14:paraId="2DC1BFC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00" w:lineRule="exact"/>
              <w:ind w:left="0" w:leftChars="0" w:firstLine="562" w:firstLineChars="200"/>
              <w:jc w:val="left"/>
              <w:textAlignment w:val="auto"/>
              <w:outlineLvl w:val="9"/>
              <w:rPr>
                <w:rFonts w:hint="eastAsia" w:ascii="宋体" w:hAnsi="宋体" w:eastAsia="仿宋_GB2312" w:cs="仿宋_GB2312"/>
                <w:color w:val="auto"/>
                <w:sz w:val="28"/>
                <w:szCs w:val="28"/>
              </w:rPr>
            </w:pPr>
            <w:r>
              <w:rPr>
                <w:rFonts w:hint="eastAsia" w:ascii="宋体" w:hAnsi="宋体" w:eastAsia="仿宋_GB2312" w:cs="仿宋_GB2312"/>
                <w:b/>
                <w:bCs/>
                <w:color w:val="auto"/>
                <w:sz w:val="28"/>
                <w:szCs w:val="28"/>
              </w:rPr>
              <w:t>教师引进和培育工程。</w:t>
            </w:r>
            <w:r>
              <w:rPr>
                <w:rFonts w:hint="eastAsia" w:ascii="宋体" w:hAnsi="宋体" w:eastAsia="仿宋_GB2312" w:cs="仿宋_GB2312"/>
                <w:color w:val="auto"/>
                <w:sz w:val="28"/>
                <w:szCs w:val="28"/>
              </w:rPr>
              <w:t>创新教师引进及培育模式，完善名特优退休教师、教研员、特级教师、高级教师、校（园）长聘任制度，发挥优秀退休教师、“银龄”学科带头人引领示范作用，提升全县教学质量。</w:t>
            </w:r>
          </w:p>
          <w:p w14:paraId="1F8938DB">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00" w:lineRule="exact"/>
              <w:ind w:left="0" w:leftChars="0" w:firstLine="562" w:firstLineChars="200"/>
              <w:jc w:val="left"/>
              <w:textAlignment w:val="auto"/>
              <w:outlineLvl w:val="9"/>
              <w:rPr>
                <w:rFonts w:hint="default" w:ascii="宋体" w:hAnsi="宋体" w:eastAsia="方正楷体_GBK" w:cs="Times New Roman Regular"/>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rPr>
              <w:t>数字校园</w:t>
            </w:r>
            <w:r>
              <w:rPr>
                <w:rFonts w:hint="eastAsia" w:ascii="宋体" w:hAnsi="宋体" w:eastAsia="仿宋_GB2312" w:cs="仿宋_GB2312"/>
                <w:b/>
                <w:bCs/>
                <w:color w:val="auto"/>
                <w:sz w:val="28"/>
                <w:szCs w:val="28"/>
                <w:lang w:val="en-US" w:eastAsia="zh-CN"/>
              </w:rPr>
              <w:t>建设工程。</w:t>
            </w:r>
            <w:r>
              <w:rPr>
                <w:rFonts w:hint="eastAsia" w:ascii="宋体" w:hAnsi="宋体" w:eastAsia="仿宋_GB2312" w:cs="仿宋_GB2312"/>
                <w:color w:val="auto"/>
                <w:sz w:val="28"/>
                <w:szCs w:val="28"/>
                <w:lang w:val="en-US" w:eastAsia="zh-CN"/>
              </w:rPr>
              <w:t>推进全县</w:t>
            </w:r>
            <w:r>
              <w:rPr>
                <w:rFonts w:hint="eastAsia" w:ascii="宋体" w:hAnsi="宋体" w:eastAsia="仿宋_GB2312" w:cs="宋体"/>
                <w:color w:val="auto"/>
                <w:sz w:val="28"/>
                <w:szCs w:val="28"/>
                <w:lang w:val="en-US" w:eastAsia="zh-CN"/>
              </w:rPr>
              <w:t>80</w:t>
            </w:r>
            <w:r>
              <w:rPr>
                <w:rFonts w:hint="eastAsia" w:ascii="宋体" w:hAnsi="宋体" w:eastAsia="仿宋_GB2312" w:cs="仿宋_GB2312"/>
                <w:color w:val="auto"/>
                <w:sz w:val="28"/>
                <w:szCs w:val="28"/>
                <w:lang w:val="en-US" w:eastAsia="zh-CN"/>
              </w:rPr>
              <w:t>所中小学学校配置网络基础配套设施、信息网络有线校园网、无线校园网、网络安全防护、数据安全备份、数字教室、数字终端。</w:t>
            </w:r>
          </w:p>
        </w:tc>
      </w:tr>
    </w:tbl>
    <w:p w14:paraId="1DCB6496">
      <w:pPr>
        <w:keepNext w:val="0"/>
        <w:keepLines w:val="0"/>
        <w:pageBreakBefore w:val="0"/>
        <w:widowControl w:val="0"/>
        <w:numPr>
          <w:ilvl w:val="-1"/>
          <w:numId w:val="0"/>
        </w:numPr>
        <w:kinsoku/>
        <w:wordWrap/>
        <w:overflowPunct/>
        <w:topLinePunct w:val="0"/>
        <w:autoSpaceDE/>
        <w:autoSpaceDN/>
        <w:bidi w:val="0"/>
        <w:adjustRightInd/>
        <w:snapToGrid w:val="0"/>
        <w:spacing w:before="47" w:beforeLines="10" w:beforeAutospacing="0" w:after="92" w:afterLines="20" w:afterAutospacing="0" w:line="520" w:lineRule="atLeas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25" w:name="_Toc1763976945"/>
      <w:bookmarkStart w:id="626" w:name="_Toc22251"/>
      <w:bookmarkStart w:id="627" w:name="_Toc1963618606"/>
      <w:bookmarkStart w:id="628" w:name="_Toc793758915"/>
      <w:bookmarkStart w:id="629" w:name="_Toc20193"/>
      <w:r>
        <w:rPr>
          <w:rFonts w:hint="eastAsia" w:ascii="宋体" w:hAnsi="宋体" w:eastAsia="黑体" w:cs="黑体"/>
          <w:b w:val="0"/>
          <w:bCs/>
          <w:color w:val="auto"/>
          <w:kern w:val="2"/>
          <w:sz w:val="32"/>
          <w:szCs w:val="24"/>
          <w:highlight w:val="none"/>
          <w:u w:val="none"/>
          <w:lang w:val="en-US" w:eastAsia="zh-CN" w:bidi="ar-SA"/>
        </w:rPr>
        <w:t>第三节  全力建设健康石林</w:t>
      </w:r>
      <w:bookmarkEnd w:id="625"/>
      <w:bookmarkEnd w:id="626"/>
      <w:bookmarkEnd w:id="627"/>
      <w:bookmarkEnd w:id="628"/>
      <w:bookmarkEnd w:id="629"/>
    </w:p>
    <w:p w14:paraId="7EEFFBB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atLeast"/>
        <w:ind w:left="0" w:leftChars="0" w:firstLine="640" w:firstLineChars="200"/>
        <w:jc w:val="left"/>
        <w:textAlignment w:val="auto"/>
        <w:outlineLvl w:val="9"/>
        <w:rPr>
          <w:rFonts w:hint="eastAsia" w:ascii="仿宋_GB2312" w:hAnsi="仿宋_GB2312" w:eastAsia="仿宋_GB2312" w:cs="仿宋_GB2312"/>
          <w:b w:val="0"/>
          <w:bCs w:val="0"/>
          <w:color w:val="auto"/>
          <w:sz w:val="32"/>
          <w:szCs w:val="32"/>
          <w:highlight w:val="none"/>
          <w:u w:val="none" w:color="auto"/>
          <w:lang w:val="en-US" w:eastAsia="zh-CN" w:bidi="ar"/>
        </w:rPr>
      </w:pPr>
      <w:r>
        <w:rPr>
          <w:rFonts w:hint="eastAsia" w:ascii="仿宋_GB2312" w:hAnsi="仿宋_GB2312" w:eastAsia="仿宋_GB2312" w:cs="仿宋_GB2312"/>
          <w:b w:val="0"/>
          <w:bCs w:val="0"/>
          <w:color w:val="auto"/>
          <w:sz w:val="32"/>
          <w:szCs w:val="32"/>
          <w:highlight w:val="none"/>
          <w:u w:val="none" w:color="auto"/>
          <w:lang w:val="en-US" w:eastAsia="zh-CN" w:bidi="ar"/>
        </w:rPr>
        <w:t>坚持把保障人民健康放在优先发展的战略位置，健全公共卫生管理体系，实施医疗卫生“强基工程”，深入推进新时代爱国卫生运动，高质量建设健康县城，不断满足人民群众多样化健康需求。</w:t>
      </w:r>
    </w:p>
    <w:p w14:paraId="11DEE29D">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atLeast"/>
        <w:ind w:left="0" w:leftChars="0" w:firstLine="640" w:firstLineChars="200"/>
        <w:jc w:val="left"/>
        <w:textAlignment w:val="auto"/>
        <w:outlineLvl w:val="2"/>
        <w:rPr>
          <w:rFonts w:hint="eastAsia" w:ascii="楷体_GB2312" w:hAnsi="楷体_GB2312" w:eastAsia="楷体_GB2312" w:cs="楷体_GB2312"/>
          <w:b w:val="0"/>
          <w:bCs/>
          <w:color w:val="auto"/>
          <w:spacing w:val="0"/>
          <w:kern w:val="2"/>
          <w:sz w:val="32"/>
          <w:szCs w:val="32"/>
          <w:highlight w:val="none"/>
          <w:lang w:val="en-US" w:eastAsia="zh-CN" w:bidi="ar-SA"/>
        </w:rPr>
      </w:pPr>
      <w:r>
        <w:rPr>
          <w:rFonts w:hint="eastAsia" w:ascii="楷体_GB2312" w:hAnsi="楷体_GB2312" w:eastAsia="楷体_GB2312" w:cs="楷体_GB2312"/>
          <w:b w:val="0"/>
          <w:bCs/>
          <w:color w:val="auto"/>
          <w:spacing w:val="0"/>
          <w:kern w:val="2"/>
          <w:sz w:val="32"/>
          <w:szCs w:val="32"/>
          <w:highlight w:val="none"/>
          <w:lang w:val="en-US" w:eastAsia="zh-CN" w:bidi="ar-SA"/>
        </w:rPr>
        <w:t>一、</w:t>
      </w:r>
      <w:r>
        <w:rPr>
          <w:rFonts w:hint="eastAsia" w:ascii="楷体_GB2312" w:hAnsi="楷体_GB2312" w:eastAsia="楷体_GB2312" w:cs="楷体_GB2312"/>
          <w:b w:val="0"/>
          <w:bCs/>
          <w:color w:val="auto"/>
          <w:kern w:val="2"/>
          <w:sz w:val="32"/>
          <w:szCs w:val="32"/>
          <w:highlight w:val="none"/>
          <w:lang w:val="en-US" w:eastAsia="zh-CN" w:bidi="ar-SA"/>
        </w:rPr>
        <w:t>强化覆盖全民的公共卫生服务</w:t>
      </w:r>
    </w:p>
    <w:p w14:paraId="1AF70719">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8" w:lineRule="atLeast"/>
        <w:ind w:left="0" w:leftChars="0" w:firstLine="640" w:firstLineChars="200"/>
        <w:jc w:val="left"/>
        <w:textAlignment w:val="auto"/>
        <w:outlineLvl w:val="9"/>
        <w:rPr>
          <w:rFonts w:hint="eastAsia" w:ascii="仿宋_GB2312" w:hAnsi="仿宋_GB2312" w:eastAsia="仿宋_GB2312" w:cs="仿宋_GB2312"/>
          <w:b w:val="0"/>
          <w:bCs w:val="0"/>
          <w:color w:val="auto"/>
          <w:sz w:val="32"/>
          <w:szCs w:val="32"/>
          <w:highlight w:val="none"/>
          <w:u w:val="none" w:color="auto"/>
          <w:lang w:val="en-US" w:eastAsia="zh-CN" w:bidi="ar"/>
        </w:rPr>
      </w:pPr>
      <w:r>
        <w:rPr>
          <w:rFonts w:hint="eastAsia" w:ascii="仿宋_GB2312" w:hAnsi="仿宋_GB2312" w:eastAsia="仿宋_GB2312" w:cs="仿宋_GB2312"/>
          <w:b w:val="0"/>
          <w:bCs w:val="0"/>
          <w:color w:val="auto"/>
          <w:sz w:val="32"/>
          <w:szCs w:val="32"/>
          <w:highlight w:val="none"/>
          <w:u w:val="none" w:color="auto"/>
          <w:lang w:val="en-US" w:eastAsia="zh-CN" w:bidi="ar"/>
        </w:rPr>
        <w:t>坚持“预防为主、医防协同、平急结合”原则，推进县级疾病预防控制中心搬迁新建，提高重大突发疫情防控和应急处置能力。持续优化院前医疗急救网络，提升县人民医院急诊急救能力，强化胸痛、卒中、创伤、危重孕产妇及危重新生儿和儿童救治等中心建设，推动乡镇（街道）标准化急救工作站建设，提升重大急性疾病救治效率。巩固省级慢性病综合防控示范区建设成果，强化慢性病筛查和早期发现，推动高血压、糖尿病患者管理干预全覆盖，积极争创国家慢性病综合防控示范区。精准防控艾滋病、性病、丙肝等重大传染病，完善传染病监测预警机制。</w:t>
      </w:r>
    </w:p>
    <w:p w14:paraId="213F0083">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atLeas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二、完善医疗卫生服务体系</w:t>
      </w:r>
    </w:p>
    <w:p w14:paraId="01051DB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atLeast"/>
        <w:ind w:left="0" w:leftChars="0" w:firstLine="640" w:firstLineChars="200"/>
        <w:jc w:val="left"/>
        <w:textAlignment w:val="auto"/>
        <w:outlineLvl w:val="9"/>
        <w:rPr>
          <w:rFonts w:hint="eastAsia" w:ascii="宋体" w:hAnsi="宋体" w:eastAsia="仿宋_GB2312" w:cs="Times New Roman Regular"/>
          <w:b w:val="0"/>
          <w:bCs w:val="0"/>
          <w:color w:val="auto"/>
          <w:sz w:val="32"/>
          <w:szCs w:val="32"/>
          <w:highlight w:val="none"/>
          <w:u w:val="none" w:color="auto"/>
          <w:lang w:val="en-US" w:eastAsia="zh-CN" w:bidi="ar"/>
        </w:rPr>
      </w:pPr>
      <w:r>
        <w:rPr>
          <w:rFonts w:hint="eastAsia" w:ascii="宋体" w:hAnsi="宋体" w:eastAsia="仿宋_GB2312" w:cs="Times New Roman Regular"/>
          <w:b w:val="0"/>
          <w:bCs w:val="0"/>
          <w:color w:val="auto"/>
          <w:sz w:val="32"/>
          <w:szCs w:val="32"/>
          <w:highlight w:val="none"/>
          <w:u w:val="none" w:color="auto"/>
          <w:lang w:val="en-US" w:eastAsia="zh-CN" w:bidi="ar"/>
        </w:rPr>
        <w:t>深入实施医疗卫生“强基工程”，建强综合和专科医院、基层医疗卫生机构，推动</w:t>
      </w:r>
      <w:r>
        <w:rPr>
          <w:rFonts w:hint="eastAsia" w:ascii="宋体" w:hAnsi="宋体" w:eastAsia="仿宋_GB2312" w:cs="Times New Roman Regular"/>
          <w:bCs w:val="0"/>
          <w:color w:val="auto"/>
          <w:sz w:val="32"/>
          <w:szCs w:val="32"/>
          <w:highlight w:val="none"/>
          <w:u w:val="none" w:color="auto"/>
          <w:lang w:bidi="ar"/>
        </w:rPr>
        <w:t>县域医共体建设</w:t>
      </w:r>
      <w:r>
        <w:rPr>
          <w:rFonts w:hint="eastAsia" w:ascii="宋体" w:hAnsi="宋体" w:eastAsia="仿宋_GB2312" w:cs="Times New Roman Regular"/>
          <w:b w:val="0"/>
          <w:bCs w:val="0"/>
          <w:color w:val="auto"/>
          <w:sz w:val="32"/>
          <w:szCs w:val="32"/>
          <w:highlight w:val="none"/>
          <w:u w:val="none" w:color="auto"/>
          <w:lang w:val="en-US" w:eastAsia="zh-CN" w:bidi="ar"/>
        </w:rPr>
        <w:t>县域，探索医疗联合体、医院集团等多种分工协作模式，推动医疗卫生工作重心下移、资源下沉。实施石林县人民医院、县中医医院、县妇幼保健计划生育服务中心能力提升工程，抓好县级医院重点专科建设，全面提高医疗卫生服务能力。改善乡镇卫生院与村卫生室条件，着力补齐基层医疗短板，到2030年，全部乡镇卫生院（社区卫生服务中心）服务能力基本达到国家标准。加强医疗人才队伍建设，强化乡村医生与全科医师转岗培训，提高基层医疗人才医护水平。</w:t>
      </w:r>
    </w:p>
    <w:p w14:paraId="5D7F94BB">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atLeast"/>
        <w:ind w:left="0" w:leftChars="0" w:firstLine="640" w:firstLineChars="200"/>
        <w:jc w:val="left"/>
        <w:textAlignment w:val="auto"/>
        <w:outlineLvl w:val="2"/>
        <w:rPr>
          <w:rFonts w:hint="eastAsia" w:ascii="楷体_GB2312" w:hAnsi="楷体_GB2312" w:eastAsia="楷体_GB2312" w:cs="楷体_GB2312"/>
          <w:b w:val="0"/>
          <w:bCs/>
          <w:color w:val="auto"/>
          <w:spacing w:val="0"/>
          <w:kern w:val="2"/>
          <w:sz w:val="32"/>
          <w:szCs w:val="32"/>
          <w:highlight w:val="none"/>
          <w:lang w:val="en-US" w:eastAsia="zh-CN" w:bidi="ar-SA"/>
        </w:rPr>
      </w:pPr>
      <w:r>
        <w:rPr>
          <w:rFonts w:hint="eastAsia" w:ascii="楷体_GB2312" w:hAnsi="楷体_GB2312" w:eastAsia="楷体_GB2312" w:cs="楷体_GB2312"/>
          <w:b w:val="0"/>
          <w:bCs/>
          <w:color w:val="auto"/>
          <w:spacing w:val="0"/>
          <w:kern w:val="2"/>
          <w:sz w:val="32"/>
          <w:szCs w:val="32"/>
          <w:highlight w:val="none"/>
          <w:lang w:val="en-US" w:eastAsia="zh-CN" w:bidi="ar-SA"/>
        </w:rPr>
        <w:t>三、大力发展中医药服务</w:t>
      </w:r>
    </w:p>
    <w:p w14:paraId="4507C5B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atLeast"/>
        <w:ind w:left="0" w:leftChars="0" w:firstLine="640" w:firstLineChars="200"/>
        <w:jc w:val="left"/>
        <w:textAlignment w:val="auto"/>
        <w:outlineLvl w:val="9"/>
        <w:rPr>
          <w:rFonts w:hint="eastAsia" w:ascii="仿宋_GB2312" w:hAnsi="仿宋_GB2312" w:eastAsia="仿宋_GB2312" w:cs="仿宋_GB2312"/>
          <w:b w:val="0"/>
          <w:bCs w:val="0"/>
          <w:color w:val="auto"/>
          <w:spacing w:val="0"/>
          <w:kern w:val="2"/>
          <w:sz w:val="32"/>
          <w:szCs w:val="32"/>
          <w:highlight w:val="none"/>
          <w:u w:val="none" w:color="auto"/>
          <w:lang w:val="en-US" w:eastAsia="zh-CN" w:bidi="ar"/>
        </w:rPr>
      </w:pPr>
      <w:r>
        <w:rPr>
          <w:rFonts w:hint="eastAsia" w:ascii="仿宋_GB2312" w:hAnsi="仿宋_GB2312" w:eastAsia="仿宋_GB2312" w:cs="仿宋_GB2312"/>
          <w:bCs w:val="0"/>
          <w:color w:val="auto"/>
          <w:sz w:val="32"/>
          <w:szCs w:val="32"/>
          <w:highlight w:val="none"/>
          <w:u w:val="none" w:color="auto"/>
          <w:lang w:bidi="ar"/>
        </w:rPr>
        <w:t>构建县域</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color w:val="auto"/>
          <w:sz w:val="32"/>
          <w:szCs w:val="32"/>
          <w:highlight w:val="none"/>
          <w:u w:val="none" w:color="auto"/>
          <w:lang w:bidi="ar"/>
        </w:rPr>
        <w:t>大中医</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color w:val="auto"/>
          <w:sz w:val="32"/>
          <w:szCs w:val="32"/>
          <w:highlight w:val="none"/>
          <w:u w:val="none" w:color="auto"/>
          <w:lang w:bidi="ar"/>
        </w:rPr>
        <w:t>服务模式，推动中医药全方位融入卫生健康服务各环节。强化县中医医院龙头作用</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color w:val="auto"/>
          <w:sz w:val="32"/>
          <w:szCs w:val="32"/>
          <w:highlight w:val="none"/>
          <w:u w:val="none" w:color="auto"/>
          <w:lang w:bidi="ar"/>
        </w:rPr>
        <w:t>升级改造针灸推拿、肛肠科、老年病科、康复理疗等中医药特色专科，推广中医药经典诊疗方案。推进乡镇卫生院中医馆、村卫生室中医室标准化建设，鼓励基层医务人员推广针灸、艾灸、拔罐等简便廉价的中医药适宜技术。加强中医药人才队伍建设</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color w:val="auto"/>
          <w:sz w:val="32"/>
          <w:szCs w:val="32"/>
          <w:highlight w:val="none"/>
          <w:u w:val="none" w:color="auto"/>
          <w:lang w:bidi="ar"/>
        </w:rPr>
        <w:t>通过</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color w:val="auto"/>
          <w:sz w:val="32"/>
          <w:szCs w:val="32"/>
          <w:highlight w:val="none"/>
          <w:u w:val="none" w:color="auto"/>
          <w:lang w:bidi="ar"/>
        </w:rPr>
        <w:t>师带徒</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color w:val="auto"/>
          <w:sz w:val="32"/>
          <w:szCs w:val="32"/>
          <w:highlight w:val="none"/>
          <w:u w:val="none" w:color="auto"/>
          <w:lang w:bidi="ar"/>
        </w:rPr>
        <w:t>、外出培训、引进人才等方式提升中医药从业人员专业水平。推动中医药深度融合</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color w:val="auto"/>
          <w:sz w:val="32"/>
          <w:szCs w:val="32"/>
          <w:highlight w:val="none"/>
          <w:u w:val="none" w:color="auto"/>
          <w:lang w:bidi="ar"/>
        </w:rPr>
        <w:t>推动中医药与预防保健、疾病治疗、康复护理、养老服务深度融合</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color w:val="auto"/>
          <w:sz w:val="32"/>
          <w:szCs w:val="32"/>
          <w:highlight w:val="none"/>
          <w:u w:val="none" w:color="auto"/>
          <w:lang w:bidi="ar"/>
        </w:rPr>
        <w:t>加强中医药文化宣传普及</w:t>
      </w:r>
      <w:r>
        <w:rPr>
          <w:rFonts w:hint="eastAsia" w:ascii="仿宋_GB2312" w:hAnsi="仿宋_GB2312" w:eastAsia="仿宋_GB2312" w:cs="仿宋_GB2312"/>
          <w:bCs w:val="0"/>
          <w:color w:val="auto"/>
          <w:sz w:val="32"/>
          <w:szCs w:val="32"/>
          <w:highlight w:val="none"/>
          <w:u w:val="none" w:color="auto"/>
          <w:lang w:eastAsia="zh-CN" w:bidi="ar"/>
        </w:rPr>
        <w:t>，</w:t>
      </w:r>
      <w:r>
        <w:rPr>
          <w:rFonts w:hint="eastAsia" w:ascii="仿宋_GB2312" w:hAnsi="仿宋_GB2312" w:eastAsia="仿宋_GB2312" w:cs="仿宋_GB2312"/>
          <w:bCs w:val="0"/>
          <w:snapToGrid/>
          <w:color w:val="auto"/>
          <w:spacing w:val="0"/>
          <w:sz w:val="32"/>
          <w:szCs w:val="32"/>
          <w:highlight w:val="none"/>
          <w:u w:val="none" w:color="auto"/>
          <w:lang w:val="en-US" w:eastAsia="zh-CN" w:bidi="ar"/>
        </w:rPr>
        <w:t>推动中医药与康养、旅游等产业融合发展。</w:t>
      </w:r>
    </w:p>
    <w:p w14:paraId="361E9954">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atLeast"/>
        <w:ind w:left="0" w:leftChars="0" w:firstLine="640" w:firstLineChars="200"/>
        <w:jc w:val="left"/>
        <w:textAlignment w:val="auto"/>
        <w:outlineLvl w:val="2"/>
        <w:rPr>
          <w:rFonts w:hint="eastAsia" w:ascii="楷体_GB2312" w:hAnsi="楷体_GB2312" w:eastAsia="楷体_GB2312" w:cs="楷体_GB2312"/>
          <w:b w:val="0"/>
          <w:bCs/>
          <w:color w:val="auto"/>
          <w:spacing w:val="0"/>
          <w:kern w:val="2"/>
          <w:sz w:val="32"/>
          <w:szCs w:val="32"/>
          <w:highlight w:val="none"/>
          <w:lang w:val="en-US" w:eastAsia="zh-CN" w:bidi="ar-SA"/>
        </w:rPr>
      </w:pPr>
      <w:r>
        <w:rPr>
          <w:rFonts w:hint="eastAsia" w:ascii="楷体_GB2312" w:hAnsi="楷体_GB2312" w:eastAsia="楷体_GB2312" w:cs="楷体_GB2312"/>
          <w:b w:val="0"/>
          <w:bCs/>
          <w:color w:val="auto"/>
          <w:spacing w:val="0"/>
          <w:kern w:val="2"/>
          <w:sz w:val="32"/>
          <w:szCs w:val="32"/>
          <w:highlight w:val="none"/>
          <w:lang w:val="en-US" w:eastAsia="zh-CN" w:bidi="ar-SA"/>
        </w:rPr>
        <w:t>四、深化医疗卫生体制改革</w:t>
      </w:r>
    </w:p>
    <w:p w14:paraId="1C94FA3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Lines="0" w:beforeAutospacing="0" w:after="0" w:afterLines="0" w:afterAutospacing="0" w:line="520" w:lineRule="atLeast"/>
        <w:ind w:left="0" w:leftChars="0" w:right="0" w:firstLine="640" w:firstLineChars="200"/>
        <w:jc w:val="both"/>
        <w:textAlignment w:val="auto"/>
        <w:outlineLvl w:val="9"/>
        <w:rPr>
          <w:rFonts w:hint="eastAsia" w:ascii="宋体" w:hAnsi="宋体" w:eastAsia="仿宋_GB2312" w:cs="Times New Roman Regular"/>
          <w:bCs w:val="0"/>
          <w:snapToGrid/>
          <w:color w:val="auto"/>
          <w:spacing w:val="0"/>
          <w:sz w:val="32"/>
          <w:szCs w:val="32"/>
          <w:highlight w:val="none"/>
          <w:u w:val="none" w:color="auto"/>
          <w:lang w:val="en-US" w:eastAsia="zh-CN" w:bidi="ar"/>
        </w:rPr>
      </w:pPr>
      <w:r>
        <w:rPr>
          <w:rFonts w:hint="eastAsia" w:ascii="宋体" w:hAnsi="宋体" w:eastAsia="仿宋_GB2312" w:cs="Times New Roman Regular"/>
          <w:bCs w:val="0"/>
          <w:snapToGrid/>
          <w:color w:val="auto"/>
          <w:spacing w:val="0"/>
          <w:sz w:val="32"/>
          <w:szCs w:val="32"/>
          <w:highlight w:val="none"/>
          <w:u w:val="none" w:color="auto"/>
          <w:lang w:val="en-US" w:eastAsia="zh-CN" w:bidi="ar"/>
        </w:rPr>
        <w:t>深化以公益性和高质量发展为导向的公立医院改革，促进“三医”协同发展和治理。推动医保支付方式改革，全面推行以按病种分值付费（DIP）为主的多元复合式医保支付方式改革。巩固完善国家基本药物制度，落实药品和医用耗材集中带量采购常态化机制，减轻群众用药负担；加强临床合理用药管理。深化公立医院编制和薪酬制度改革，激发医务人员内生动力。</w:t>
      </w:r>
    </w:p>
    <w:p w14:paraId="61B8593D">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0" w:lineRule="atLeast"/>
        <w:ind w:left="0" w:leftChars="0" w:firstLine="640" w:firstLineChars="200"/>
        <w:jc w:val="left"/>
        <w:textAlignment w:val="auto"/>
        <w:outlineLvl w:val="2"/>
        <w:rPr>
          <w:rFonts w:hint="eastAsia" w:ascii="楷体_GB2312" w:hAnsi="楷体_GB2312" w:eastAsia="楷体_GB2312" w:cs="楷体_GB2312"/>
          <w:b w:val="0"/>
          <w:bCs/>
          <w:color w:val="auto"/>
          <w:spacing w:val="0"/>
          <w:kern w:val="2"/>
          <w:sz w:val="32"/>
          <w:szCs w:val="32"/>
          <w:highlight w:val="none"/>
          <w:lang w:val="en-US" w:eastAsia="zh-CN" w:bidi="ar-SA"/>
        </w:rPr>
      </w:pPr>
      <w:r>
        <w:rPr>
          <w:rFonts w:hint="eastAsia" w:ascii="楷体_GB2312" w:hAnsi="楷体_GB2312" w:eastAsia="楷体_GB2312" w:cs="楷体_GB2312"/>
          <w:b w:val="0"/>
          <w:bCs/>
          <w:color w:val="auto"/>
          <w:spacing w:val="0"/>
          <w:kern w:val="2"/>
          <w:sz w:val="32"/>
          <w:szCs w:val="32"/>
          <w:highlight w:val="none"/>
          <w:lang w:val="en-US" w:eastAsia="zh-CN" w:bidi="ar-SA"/>
        </w:rPr>
        <w:t>五、持续优化健康环境</w:t>
      </w:r>
    </w:p>
    <w:p w14:paraId="5C4DDCA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Lines="0" w:beforeAutospacing="0" w:after="0" w:afterLines="0" w:afterAutospacing="0" w:line="510" w:lineRule="atLeast"/>
        <w:ind w:left="0" w:leftChars="0" w:right="0" w:firstLine="640" w:firstLineChars="200"/>
        <w:jc w:val="both"/>
        <w:textAlignment w:val="auto"/>
        <w:outlineLvl w:val="9"/>
        <w:rPr>
          <w:rFonts w:hint="eastAsia" w:ascii="宋体" w:hAnsi="宋体" w:eastAsia="仿宋_GB2312" w:cs="Times New Roman Regular"/>
          <w:bCs w:val="0"/>
          <w:color w:val="auto"/>
          <w:sz w:val="32"/>
          <w:szCs w:val="32"/>
          <w:highlight w:val="none"/>
          <w:u w:val="none" w:color="auto"/>
          <w:lang w:bidi="ar"/>
        </w:rPr>
      </w:pPr>
      <w:r>
        <w:rPr>
          <w:rFonts w:hint="default" w:ascii="宋体" w:hAnsi="宋体" w:eastAsia="仿宋_GB2312" w:cs="Times New Roman Regular"/>
          <w:bCs w:val="0"/>
          <w:color w:val="auto"/>
          <w:sz w:val="32"/>
          <w:szCs w:val="32"/>
          <w:highlight w:val="none"/>
          <w:u w:val="none" w:color="auto"/>
          <w:lang w:bidi="ar"/>
        </w:rPr>
        <w:t>深化实施第三轮爱国卫生“7个专项行动”，推进人居环境整治与生态环境质量优化，</w:t>
      </w:r>
      <w:r>
        <w:rPr>
          <w:rFonts w:hint="eastAsia" w:ascii="宋体" w:hAnsi="宋体" w:eastAsia="仿宋_GB2312" w:cs="Times New Roman Regular"/>
          <w:snapToGrid/>
          <w:color w:val="auto"/>
          <w:spacing w:val="0"/>
          <w:sz w:val="32"/>
          <w:szCs w:val="32"/>
          <w:highlight w:val="none"/>
          <w:u w:val="none" w:color="auto"/>
          <w:lang w:val="en-US" w:eastAsia="zh-CN" w:bidi="ar"/>
        </w:rPr>
        <w:t>广泛开展健康社区、健康村镇、健康单位、健康家庭等建设，</w:t>
      </w:r>
      <w:r>
        <w:rPr>
          <w:rFonts w:hint="eastAsia" w:ascii="宋体" w:hAnsi="宋体" w:eastAsia="仿宋_GB2312" w:cs="Times New Roman Regular"/>
          <w:bCs w:val="0"/>
          <w:color w:val="auto"/>
          <w:sz w:val="32"/>
          <w:szCs w:val="32"/>
          <w:highlight w:val="none"/>
          <w:u w:val="none" w:color="auto"/>
          <w:lang w:val="en-US" w:eastAsia="zh-CN" w:bidi="ar"/>
        </w:rPr>
        <w:t>打造高</w:t>
      </w:r>
      <w:r>
        <w:rPr>
          <w:rFonts w:hint="default" w:ascii="宋体" w:hAnsi="宋体" w:eastAsia="仿宋_GB2312" w:cs="Times New Roman Regular"/>
          <w:bCs w:val="0"/>
          <w:color w:val="auto"/>
          <w:sz w:val="32"/>
          <w:szCs w:val="32"/>
          <w:highlight w:val="none"/>
          <w:u w:val="none" w:color="auto"/>
          <w:lang w:bidi="ar"/>
        </w:rPr>
        <w:t>质量健康县城</w:t>
      </w:r>
      <w:r>
        <w:rPr>
          <w:rFonts w:hint="eastAsia" w:ascii="宋体" w:hAnsi="宋体" w:eastAsia="仿宋_GB2312" w:cs="Times New Roman Regular"/>
          <w:bCs w:val="0"/>
          <w:snapToGrid/>
          <w:color w:val="auto"/>
          <w:spacing w:val="0"/>
          <w:sz w:val="32"/>
          <w:szCs w:val="32"/>
          <w:highlight w:val="none"/>
          <w:u w:val="none" w:color="auto"/>
          <w:lang w:val="en-US" w:eastAsia="zh-CN" w:bidi="ar"/>
        </w:rPr>
        <w:t>。</w:t>
      </w:r>
      <w:r>
        <w:rPr>
          <w:rFonts w:hint="eastAsia" w:ascii="宋体" w:hAnsi="宋体" w:eastAsia="仿宋_GB2312" w:cs="Times New Roman Regular"/>
          <w:snapToGrid/>
          <w:color w:val="auto"/>
          <w:spacing w:val="0"/>
          <w:sz w:val="32"/>
          <w:szCs w:val="32"/>
          <w:highlight w:val="none"/>
          <w:u w:val="none" w:color="auto"/>
          <w:lang w:val="en-US" w:eastAsia="zh-CN" w:bidi="ar"/>
        </w:rPr>
        <w:t>普及健康生活方式，深入开展健康科普，倡导文明健康、绿色环保生活习惯。</w:t>
      </w:r>
      <w:r>
        <w:rPr>
          <w:rFonts w:hint="eastAsia" w:ascii="宋体" w:hAnsi="宋体" w:eastAsia="仿宋_GB2312" w:cs="Times New Roman Regular"/>
          <w:bCs w:val="0"/>
          <w:color w:val="auto"/>
          <w:sz w:val="32"/>
          <w:szCs w:val="32"/>
          <w:highlight w:val="none"/>
          <w:u w:val="none" w:color="auto"/>
          <w:lang w:bidi="ar"/>
        </w:rPr>
        <w:t>实施全民健身普及行动</w:t>
      </w:r>
      <w:r>
        <w:rPr>
          <w:rFonts w:hint="eastAsia" w:ascii="宋体" w:hAnsi="宋体" w:eastAsia="仿宋_GB2312" w:cs="Times New Roman Regular"/>
          <w:bCs w:val="0"/>
          <w:snapToGrid/>
          <w:color w:val="auto"/>
          <w:spacing w:val="0"/>
          <w:sz w:val="32"/>
          <w:szCs w:val="32"/>
          <w:highlight w:val="none"/>
          <w:u w:val="none" w:color="auto"/>
          <w:lang w:val="en-US" w:eastAsia="zh-CN" w:bidi="ar"/>
        </w:rPr>
        <w:t>，推进石林县体育公园建设，加快补齐乡镇（街道）全民健身场地及器材短板，建设“15分钟健身圈”。积极举办</w:t>
      </w:r>
      <w:r>
        <w:rPr>
          <w:rFonts w:hint="eastAsia" w:ascii="宋体" w:hAnsi="宋体" w:eastAsia="仿宋_GB2312" w:cs="Times New Roman Regular"/>
          <w:b w:val="0"/>
          <w:bCs w:val="0"/>
          <w:color w:val="auto"/>
          <w:kern w:val="2"/>
          <w:sz w:val="32"/>
          <w:szCs w:val="32"/>
          <w:highlight w:val="none"/>
          <w:u w:val="none" w:color="auto"/>
          <w:lang w:val="en-US" w:eastAsia="zh-CN" w:bidi="ar"/>
        </w:rPr>
        <w:t>昆明石林国际原野射箭、石林彝族摔跤公开赛、山地马拉松等特色品牌赛事活动，力争引进并争取承办具有国际影响力和高水平的体育赛事，促进体育事业稳步发展。</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3ED8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061" w:type="dxa"/>
          </w:tcPr>
          <w:p w14:paraId="326081AA">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520" w:lineRule="exact"/>
              <w:ind w:left="0" w:leftChars="0" w:firstLine="0" w:firstLineChars="0"/>
              <w:jc w:val="center"/>
              <w:textAlignment w:val="auto"/>
              <w:outlineLvl w:val="9"/>
              <w:rPr>
                <w:rFonts w:hint="default" w:ascii="宋体" w:hAnsi="宋体" w:eastAsia="方正楷体_GBK" w:cs="Times New Roman Regular"/>
                <w:b/>
                <w:bCs/>
                <w:color w:val="auto"/>
                <w:kern w:val="2"/>
                <w:sz w:val="28"/>
                <w:szCs w:val="28"/>
                <w:highlight w:val="none"/>
                <w:u w:val="none" w:color="auto"/>
                <w:lang w:val="en-US" w:eastAsia="zh-CN" w:bidi="ar-SA"/>
              </w:rPr>
            </w:pPr>
            <w:r>
              <w:rPr>
                <w:rFonts w:hint="eastAsia" w:ascii="黑体" w:hAnsi="黑体" w:eastAsia="黑体" w:cs="黑体"/>
                <w:color w:val="auto"/>
                <w:kern w:val="2"/>
                <w:sz w:val="28"/>
                <w:szCs w:val="28"/>
                <w:highlight w:val="none"/>
                <w:lang w:val="en-US" w:eastAsia="zh-CN" w:bidi="ar-SA"/>
              </w:rPr>
              <w:t>专栏14  健康石林建设重点工程</w:t>
            </w:r>
          </w:p>
        </w:tc>
      </w:tr>
      <w:tr w14:paraId="1C52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061" w:type="dxa"/>
          </w:tcPr>
          <w:p w14:paraId="68BC1DB9">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2" w:firstLineChars="200"/>
              <w:jc w:val="both"/>
              <w:textAlignment w:val="auto"/>
              <w:outlineLvl w:val="9"/>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石林县疾病预防控制综合能力提升工程。</w:t>
            </w:r>
            <w:r>
              <w:rPr>
                <w:rFonts w:hint="eastAsia" w:ascii="宋体" w:hAnsi="宋体" w:eastAsia="仿宋_GB2312" w:cs="仿宋_GB2312"/>
                <w:b w:val="0"/>
                <w:bCs w:val="0"/>
                <w:color w:val="auto"/>
                <w:sz w:val="28"/>
                <w:szCs w:val="28"/>
                <w:highlight w:val="none"/>
                <w:u w:val="none" w:color="auto"/>
                <w:lang w:val="en-US" w:eastAsia="zh-CN"/>
              </w:rPr>
              <w:t>推进县疾病预防控制搬迁新建，配套建设业务楼、实验楼、防疫应急物资储存库，县公共应急指挥中心用房及备勤用房。</w:t>
            </w:r>
          </w:p>
          <w:p w14:paraId="08475181">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2" w:firstLineChars="200"/>
              <w:jc w:val="both"/>
              <w:textAlignment w:val="auto"/>
              <w:outlineLvl w:val="9"/>
              <w:rPr>
                <w:rFonts w:hint="eastAsia" w:ascii="宋体" w:hAnsi="宋体" w:eastAsia="仿宋_GB2312" w:cs="仿宋_GB2312"/>
                <w:b/>
                <w:bCs/>
                <w:color w:val="auto"/>
                <w:sz w:val="28"/>
                <w:szCs w:val="28"/>
                <w:lang w:val="en-US" w:eastAsia="zh-CN"/>
              </w:rPr>
            </w:pPr>
            <w:r>
              <w:rPr>
                <w:rFonts w:hint="eastAsia" w:ascii="宋体" w:hAnsi="宋体" w:eastAsia="仿宋_GB2312" w:cs="仿宋_GB2312"/>
                <w:b/>
                <w:bCs/>
                <w:color w:val="auto"/>
                <w:sz w:val="28"/>
                <w:szCs w:val="28"/>
              </w:rPr>
              <w:t>石林县县域医共体建设</w:t>
            </w:r>
            <w:r>
              <w:rPr>
                <w:rFonts w:hint="eastAsia" w:ascii="宋体" w:hAnsi="宋体" w:eastAsia="仿宋_GB2312" w:cs="仿宋_GB2312"/>
                <w:b/>
                <w:bCs/>
                <w:color w:val="auto"/>
                <w:sz w:val="28"/>
                <w:szCs w:val="28"/>
                <w:lang w:val="en-US" w:eastAsia="zh-CN"/>
              </w:rPr>
              <w:t>工程。</w:t>
            </w:r>
            <w:r>
              <w:rPr>
                <w:rFonts w:hint="eastAsia" w:ascii="宋体" w:hAnsi="宋体" w:eastAsia="仿宋_GB2312" w:cs="仿宋_GB2312"/>
                <w:b w:val="0"/>
                <w:bCs w:val="0"/>
                <w:color w:val="auto"/>
                <w:sz w:val="28"/>
                <w:szCs w:val="28"/>
                <w:lang w:val="en-US" w:eastAsia="zh-CN"/>
              </w:rPr>
              <w:t>推进</w:t>
            </w:r>
            <w:r>
              <w:rPr>
                <w:rFonts w:hint="eastAsia" w:ascii="宋体" w:hAnsi="宋体" w:eastAsia="仿宋_GB2312" w:cs="仿宋_GB2312"/>
                <w:b w:val="0"/>
                <w:bCs w:val="0"/>
                <w:color w:val="auto"/>
                <w:sz w:val="28"/>
                <w:szCs w:val="28"/>
              </w:rPr>
              <w:t>县域医共体资源共享中心</w:t>
            </w:r>
            <w:r>
              <w:rPr>
                <w:rFonts w:hint="eastAsia" w:ascii="宋体" w:hAnsi="宋体" w:eastAsia="仿宋_GB2312" w:cs="仿宋_GB2312"/>
                <w:b w:val="0"/>
                <w:bCs w:val="0"/>
                <w:color w:val="auto"/>
                <w:sz w:val="28"/>
                <w:szCs w:val="28"/>
                <w:lang w:eastAsia="zh-CN"/>
              </w:rPr>
              <w:t>、</w:t>
            </w:r>
            <w:r>
              <w:rPr>
                <w:rFonts w:hint="eastAsia" w:ascii="宋体" w:hAnsi="宋体" w:eastAsia="仿宋_GB2312" w:cs="仿宋_GB2312"/>
                <w:b w:val="0"/>
                <w:bCs w:val="0"/>
                <w:color w:val="auto"/>
                <w:sz w:val="28"/>
                <w:szCs w:val="28"/>
                <w:lang w:val="en-US" w:eastAsia="zh-CN"/>
              </w:rPr>
              <w:t>县</w:t>
            </w:r>
            <w:r>
              <w:rPr>
                <w:rFonts w:hint="eastAsia" w:ascii="宋体" w:hAnsi="宋体" w:eastAsia="仿宋_GB2312" w:cs="仿宋_GB2312"/>
                <w:b w:val="0"/>
                <w:bCs w:val="0"/>
                <w:color w:val="auto"/>
                <w:sz w:val="28"/>
                <w:szCs w:val="28"/>
              </w:rPr>
              <w:t>域医共体中心药房建设</w:t>
            </w:r>
            <w:r>
              <w:rPr>
                <w:rFonts w:hint="eastAsia" w:ascii="宋体" w:hAnsi="宋体" w:eastAsia="仿宋_GB2312" w:cs="仿宋_GB2312"/>
                <w:b w:val="0"/>
                <w:bCs w:val="0"/>
                <w:color w:val="auto"/>
                <w:sz w:val="28"/>
                <w:szCs w:val="28"/>
                <w:lang w:eastAsia="zh-CN"/>
              </w:rPr>
              <w:t>，</w:t>
            </w:r>
            <w:r>
              <w:rPr>
                <w:rFonts w:hint="eastAsia" w:ascii="宋体" w:hAnsi="宋体" w:eastAsia="仿宋_GB2312" w:cs="仿宋_GB2312"/>
                <w:b w:val="0"/>
                <w:bCs w:val="0"/>
                <w:color w:val="auto"/>
                <w:sz w:val="28"/>
                <w:szCs w:val="28"/>
              </w:rPr>
              <w:t>补齐医共体各成员单位资源共享所需的业务用房，配齐相应的医疗设备和信息化系统。</w:t>
            </w:r>
          </w:p>
          <w:p w14:paraId="6CF0C782">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2" w:firstLineChars="200"/>
              <w:jc w:val="both"/>
              <w:textAlignment w:val="auto"/>
              <w:outlineLvl w:val="9"/>
              <w:rPr>
                <w:rFonts w:hint="eastAsia" w:ascii="宋体" w:hAnsi="宋体" w:eastAsia="仿宋_GB2312" w:cs="仿宋_GB2312"/>
                <w:color w:val="auto"/>
                <w:sz w:val="28"/>
                <w:szCs w:val="28"/>
                <w:lang w:val="en-US" w:eastAsia="zh-CN"/>
              </w:rPr>
            </w:pPr>
            <w:r>
              <w:rPr>
                <w:rFonts w:hint="eastAsia" w:ascii="宋体" w:hAnsi="宋体" w:eastAsia="仿宋_GB2312" w:cs="仿宋_GB2312"/>
                <w:b/>
                <w:bCs/>
                <w:color w:val="auto"/>
                <w:sz w:val="28"/>
                <w:szCs w:val="28"/>
                <w:lang w:val="en-US" w:eastAsia="zh-CN"/>
              </w:rPr>
              <w:t>新时代爱国卫生运动。</w:t>
            </w:r>
            <w:r>
              <w:rPr>
                <w:rFonts w:hint="eastAsia" w:ascii="宋体" w:hAnsi="宋体" w:eastAsia="仿宋_GB2312" w:cs="仿宋_GB2312"/>
                <w:color w:val="auto"/>
                <w:sz w:val="28"/>
                <w:szCs w:val="28"/>
                <w:lang w:val="en-US" w:eastAsia="zh-CN"/>
              </w:rPr>
              <w:t>实施“饮净水、控噪声、防近视、护老人、食安康、强体魄、约家医”第三轮爱国卫生“</w:t>
            </w:r>
            <w:r>
              <w:rPr>
                <w:rFonts w:hint="eastAsia" w:ascii="宋体" w:hAnsi="宋体" w:eastAsia="仿宋_GB2312" w:cs="宋体"/>
                <w:color w:val="auto"/>
                <w:sz w:val="28"/>
                <w:szCs w:val="28"/>
                <w:lang w:val="en-US" w:eastAsia="zh-CN"/>
              </w:rPr>
              <w:t>7</w:t>
            </w:r>
            <w:r>
              <w:rPr>
                <w:rFonts w:hint="eastAsia" w:ascii="宋体" w:hAnsi="宋体" w:eastAsia="仿宋_GB2312" w:cs="仿宋_GB2312"/>
                <w:color w:val="auto"/>
                <w:sz w:val="28"/>
                <w:szCs w:val="28"/>
                <w:lang w:val="en-US" w:eastAsia="zh-CN"/>
              </w:rPr>
              <w:t>个专项行动”，以城带乡，城乡联动，消除健康危害因素，不断缩小城乡、区域、人群健康差距。</w:t>
            </w:r>
          </w:p>
          <w:p w14:paraId="68BBDF46">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2" w:firstLineChars="200"/>
              <w:jc w:val="both"/>
              <w:textAlignment w:val="auto"/>
              <w:outlineLvl w:val="9"/>
              <w:rPr>
                <w:rFonts w:hint="default" w:ascii="宋体" w:hAnsi="宋体" w:eastAsia="方正楷体_GBK" w:cs="Times New Roman Regular"/>
                <w:color w:val="auto"/>
                <w:sz w:val="28"/>
                <w:szCs w:val="28"/>
                <w:lang w:val="en-US" w:eastAsia="zh-CN"/>
              </w:rPr>
            </w:pPr>
            <w:r>
              <w:rPr>
                <w:rFonts w:hint="eastAsia" w:ascii="宋体" w:hAnsi="宋体" w:eastAsia="仿宋_GB2312" w:cs="仿宋_GB2312"/>
                <w:b/>
                <w:bCs/>
                <w:color w:val="auto"/>
                <w:sz w:val="28"/>
                <w:szCs w:val="28"/>
                <w:highlight w:val="none"/>
                <w:u w:val="none" w:color="auto"/>
                <w:lang w:val="en-US" w:eastAsia="zh-CN"/>
              </w:rPr>
              <w:t>体育赛事打造工程。</w:t>
            </w:r>
            <w:r>
              <w:rPr>
                <w:rFonts w:hint="eastAsia" w:ascii="宋体" w:hAnsi="宋体" w:eastAsia="仿宋_GB2312" w:cs="仿宋_GB2312"/>
                <w:b w:val="0"/>
                <w:bCs w:val="0"/>
                <w:color w:val="auto"/>
                <w:sz w:val="28"/>
                <w:szCs w:val="28"/>
                <w:highlight w:val="none"/>
                <w:u w:val="none" w:color="auto"/>
                <w:lang w:val="en-US" w:eastAsia="zh-CN"/>
              </w:rPr>
              <w:t>举办石林原野射箭公开赛、航模飞行比赛、石林县“篮协杯”篮球比赛、“石林杯”草根气排球比赛、“阿诗玛”杯乒乓球比赛、</w:t>
            </w:r>
            <w:r>
              <w:rPr>
                <w:rFonts w:hint="eastAsia" w:ascii="宋体" w:hAnsi="宋体" w:eastAsia="仿宋_GB2312" w:cs="仿宋_GB2312"/>
                <w:b w:val="0"/>
                <w:bCs w:val="0"/>
                <w:color w:val="auto"/>
                <w:spacing w:val="-11"/>
                <w:sz w:val="28"/>
                <w:szCs w:val="28"/>
                <w:highlight w:val="none"/>
                <w:u w:val="none" w:color="auto"/>
                <w:lang w:val="en-US" w:eastAsia="zh-CN"/>
              </w:rPr>
              <w:t>石林县“政法杯”篮球比赛、石林县“城古楼夜市杯”篮球联赛等。</w:t>
            </w:r>
          </w:p>
        </w:tc>
      </w:tr>
    </w:tbl>
    <w:p w14:paraId="398695F2">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10" w:lineRule="atLeas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30" w:name="_Toc1148767780"/>
      <w:bookmarkStart w:id="631" w:name="_Toc9223946"/>
      <w:bookmarkStart w:id="632" w:name="_Toc15385"/>
      <w:bookmarkStart w:id="633" w:name="_Toc28352"/>
      <w:bookmarkStart w:id="634" w:name="_Toc537669241"/>
      <w:r>
        <w:rPr>
          <w:rFonts w:hint="eastAsia" w:ascii="宋体" w:hAnsi="宋体" w:eastAsia="黑体" w:cs="黑体"/>
          <w:b w:val="0"/>
          <w:bCs/>
          <w:color w:val="auto"/>
          <w:kern w:val="2"/>
          <w:sz w:val="32"/>
          <w:szCs w:val="24"/>
          <w:highlight w:val="none"/>
          <w:u w:val="none"/>
          <w:lang w:val="en-US" w:eastAsia="zh-CN" w:bidi="ar-SA"/>
        </w:rPr>
        <w:t>第四节  完善社会保障体系</w:t>
      </w:r>
      <w:bookmarkEnd w:id="630"/>
      <w:bookmarkEnd w:id="631"/>
      <w:bookmarkEnd w:id="632"/>
      <w:bookmarkEnd w:id="633"/>
      <w:bookmarkEnd w:id="634"/>
    </w:p>
    <w:p w14:paraId="63CC546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10" w:lineRule="atLeast"/>
        <w:ind w:left="0" w:leftChars="0" w:firstLine="640" w:firstLineChars="200"/>
        <w:jc w:val="left"/>
        <w:textAlignment w:val="auto"/>
        <w:outlineLvl w:val="9"/>
        <w:rPr>
          <w:rFonts w:hint="eastAsia" w:ascii="仿宋_GB2312" w:hAnsi="仿宋_GB2312" w:eastAsia="仿宋_GB2312" w:cs="仿宋_GB2312"/>
          <w:b w:val="0"/>
          <w:bCs w:val="0"/>
          <w:color w:val="auto"/>
          <w:kern w:val="2"/>
          <w:sz w:val="32"/>
          <w:szCs w:val="32"/>
          <w:highlight w:val="none"/>
          <w:u w:val="none" w:color="auto"/>
          <w:lang w:val="en-US" w:eastAsia="zh-CN" w:bidi="ar"/>
        </w:rPr>
      </w:pPr>
      <w:r>
        <w:rPr>
          <w:rFonts w:hint="eastAsia" w:ascii="仿宋_GB2312" w:hAnsi="仿宋_GB2312" w:eastAsia="仿宋_GB2312" w:cs="仿宋_GB2312"/>
          <w:b w:val="0"/>
          <w:bCs w:val="0"/>
          <w:color w:val="auto"/>
          <w:kern w:val="2"/>
          <w:sz w:val="32"/>
          <w:szCs w:val="32"/>
          <w:highlight w:val="none"/>
          <w:u w:val="none" w:color="auto"/>
          <w:lang w:val="en-US" w:eastAsia="zh-CN" w:bidi="ar"/>
        </w:rPr>
        <w:t>坚持公平普惠、精准可持续原则，将基本财力向民生领域倾斜，推动公共服务均衡优质发展，构建更加公平、更可持续、更高质量的社会保障体系。</w:t>
      </w:r>
    </w:p>
    <w:p w14:paraId="6336D12C">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18" w:lineRule="atLeas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一、实施全民参保计划</w:t>
      </w:r>
    </w:p>
    <w:p w14:paraId="7B609DC9">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18" w:lineRule="atLeast"/>
        <w:ind w:left="0" w:leftChars="0" w:firstLine="640" w:firstLineChars="200"/>
        <w:jc w:val="left"/>
        <w:textAlignment w:val="auto"/>
        <w:outlineLvl w:val="9"/>
        <w:rPr>
          <w:rFonts w:hint="eastAsia" w:ascii="仿宋_GB2312" w:hAnsi="仿宋_GB2312" w:eastAsia="仿宋_GB2312" w:cs="仿宋_GB2312"/>
          <w:b w:val="0"/>
          <w:bCs w:val="0"/>
          <w:color w:val="auto"/>
          <w:spacing w:val="-6"/>
          <w:sz w:val="32"/>
          <w:szCs w:val="32"/>
          <w:highlight w:val="none"/>
          <w:u w:val="none" w:color="auto"/>
          <w:lang w:val="en-US" w:eastAsia="zh-CN" w:bidi="ar"/>
        </w:rPr>
      </w:pPr>
      <w:r>
        <w:rPr>
          <w:rFonts w:hint="eastAsia" w:ascii="仿宋_GB2312" w:hAnsi="仿宋_GB2312" w:eastAsia="仿宋_GB2312" w:cs="仿宋_GB2312"/>
          <w:b w:val="0"/>
          <w:bCs w:val="0"/>
          <w:color w:val="auto"/>
          <w:kern w:val="2"/>
          <w:sz w:val="32"/>
          <w:szCs w:val="32"/>
          <w:highlight w:val="none"/>
          <w:u w:val="none" w:color="auto"/>
          <w:lang w:val="en-US" w:eastAsia="zh-CN" w:bidi="ar"/>
        </w:rPr>
        <w:t>持续开展“社保服务进万家活动”，通过加强宣传引导、优化参保服务、精准定位目标人群等措施，积极推动各类人群参加社会保险。深化养老保险制度改革，推进企业职工基本养老保险全国统筹，完善城乡居民养老保险制度。积极推广适用于职业群体的企业年金、职业年金和适用于所有参保者的个人养老金制度，加快构建多层次、多支柱养老保险体系。重点关注灵活就业人员、农民工、新就业形态人员等群体，扩大失业、工伤、生育保险覆盖面，全面取消在就业地参保户籍限制，落实社保关系转移接续</w:t>
      </w:r>
      <w:r>
        <w:rPr>
          <w:rFonts w:hint="eastAsia" w:ascii="仿宋_GB2312" w:hAnsi="仿宋_GB2312" w:eastAsia="仿宋_GB2312" w:cs="仿宋_GB2312"/>
          <w:b w:val="0"/>
          <w:bCs w:val="0"/>
          <w:color w:val="auto"/>
          <w:spacing w:val="-6"/>
          <w:kern w:val="2"/>
          <w:sz w:val="32"/>
          <w:szCs w:val="32"/>
          <w:highlight w:val="none"/>
          <w:u w:val="none" w:color="auto"/>
          <w:lang w:val="en-US" w:eastAsia="zh-CN" w:bidi="ar"/>
        </w:rPr>
        <w:t>政策。对符合参保条件的困难群体实施分类施策，做到“应保尽保”。</w:t>
      </w:r>
    </w:p>
    <w:p w14:paraId="1B2C8240">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atLeas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二、强化社会救助保障</w:t>
      </w:r>
    </w:p>
    <w:p w14:paraId="50A235E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atLeast"/>
        <w:ind w:left="0" w:leftChars="0" w:firstLine="640" w:firstLineChars="200"/>
        <w:jc w:val="left"/>
        <w:textAlignment w:val="auto"/>
        <w:outlineLvl w:val="9"/>
        <w:rPr>
          <w:rFonts w:hint="eastAsia" w:ascii="仿宋_GB2312" w:hAnsi="仿宋_GB2312" w:eastAsia="仿宋_GB2312" w:cs="仿宋_GB2312"/>
          <w:b w:val="0"/>
          <w:bCs w:val="0"/>
          <w:color w:val="auto"/>
          <w:kern w:val="2"/>
          <w:sz w:val="32"/>
          <w:szCs w:val="32"/>
          <w:highlight w:val="none"/>
          <w:u w:val="none" w:color="auto"/>
          <w:lang w:val="en-US" w:eastAsia="zh-CN" w:bidi="ar"/>
        </w:rPr>
      </w:pPr>
      <w:r>
        <w:rPr>
          <w:rFonts w:hint="eastAsia" w:ascii="仿宋_GB2312" w:hAnsi="仿宋_GB2312" w:eastAsia="仿宋_GB2312" w:cs="仿宋_GB2312"/>
          <w:b w:val="0"/>
          <w:bCs w:val="0"/>
          <w:color w:val="auto"/>
          <w:kern w:val="2"/>
          <w:sz w:val="32"/>
          <w:szCs w:val="32"/>
          <w:highlight w:val="none"/>
          <w:u w:val="none" w:color="auto"/>
          <w:lang w:val="en-US" w:eastAsia="zh-CN" w:bidi="ar"/>
        </w:rPr>
        <w:t>健全社会救助体系，加强低收入人口动态监测预警，扎实做好低收入人口基本生活救助、专项社会救助、急难社会救助。完善最低生活保障制度、特困人员救助供养制度、临时救助制度等，提高救助标准和水平。加大医疗、教育、住房、就业等专项救助力度，促进社会力量参与社会救助，创新社会救助方式，加快社会救助信息化建设，运用大数据精准识别困难群体，动态调整救助标准，推进社会救助制度城乡统筹。</w:t>
      </w:r>
    </w:p>
    <w:p w14:paraId="60732C70">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atLeas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三、完善社会福利制度</w:t>
      </w:r>
    </w:p>
    <w:p w14:paraId="440DC61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atLeast"/>
        <w:ind w:left="0" w:leftChars="0"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u w:val="none" w:color="auto"/>
          <w:lang w:val="en-US" w:eastAsia="zh-CN" w:bidi="ar"/>
        </w:rPr>
      </w:pPr>
      <w:r>
        <w:rPr>
          <w:rFonts w:hint="eastAsia" w:ascii="仿宋_GB2312" w:hAnsi="仿宋_GB2312" w:eastAsia="仿宋_GB2312" w:cs="仿宋_GB2312"/>
          <w:color w:val="auto"/>
          <w:spacing w:val="0"/>
          <w:sz w:val="32"/>
          <w:szCs w:val="32"/>
          <w:highlight w:val="none"/>
          <w:u w:val="none" w:color="auto"/>
          <w:lang w:val="en-US" w:eastAsia="zh-CN" w:bidi="ar"/>
        </w:rPr>
        <w:t>大力发展社会福利事业，</w:t>
      </w:r>
      <w:r>
        <w:rPr>
          <w:rFonts w:hint="eastAsia" w:ascii="仿宋_GB2312" w:hAnsi="仿宋_GB2312" w:eastAsia="仿宋_GB2312" w:cs="仿宋_GB2312"/>
          <w:b w:val="0"/>
          <w:bCs w:val="0"/>
          <w:color w:val="auto"/>
          <w:kern w:val="2"/>
          <w:sz w:val="32"/>
          <w:szCs w:val="32"/>
          <w:highlight w:val="none"/>
          <w:u w:val="none" w:color="auto"/>
          <w:lang w:val="en-US" w:eastAsia="zh-CN" w:bidi="ar"/>
        </w:rPr>
        <w:t>落实“爱心助老”“护苗行动”，</w:t>
      </w:r>
      <w:r>
        <w:rPr>
          <w:rFonts w:hint="eastAsia" w:ascii="仿宋_GB2312" w:hAnsi="仿宋_GB2312" w:eastAsia="仿宋_GB2312" w:cs="仿宋_GB2312"/>
          <w:color w:val="auto"/>
          <w:spacing w:val="0"/>
          <w:sz w:val="32"/>
          <w:szCs w:val="32"/>
          <w:highlight w:val="none"/>
          <w:u w:val="none" w:color="auto"/>
          <w:lang w:val="en-US" w:eastAsia="zh-CN" w:bidi="ar"/>
        </w:rPr>
        <w:t>建立健全以老年人、儿童、残疾人等特殊群体为重点的福利保障体系，规范社会组织管理，积极发展慈善事业。聚焦“一老一小”重点群体，实施老年人关爱服务工程，落实高龄补助标准，稳妥扩大农村留守、失能、空巢老人补助范围。推动儿童之家服务提质升级，实施好未成年人关爱行动。</w:t>
      </w:r>
      <w:r>
        <w:rPr>
          <w:rFonts w:hint="eastAsia" w:ascii="仿宋_GB2312" w:hAnsi="仿宋_GB2312" w:eastAsia="仿宋_GB2312" w:cs="仿宋_GB2312"/>
          <w:b w:val="0"/>
          <w:bCs w:val="0"/>
          <w:color w:val="auto"/>
          <w:kern w:val="2"/>
          <w:sz w:val="32"/>
          <w:szCs w:val="32"/>
          <w:highlight w:val="none"/>
          <w:u w:val="none" w:color="auto"/>
          <w:lang w:val="en-US" w:eastAsia="zh-CN" w:bidi="ar"/>
        </w:rPr>
        <w:t>落实残疾人康复救助制度，加强残疾人就业帮扶。创新救助方式，持续完善“物质+服务”的多元保障格局。引导社会组织、志愿者等积极参与特殊群体关爱服务，广泛开展结对帮扶，形成政府主导、社会协同、全民参与的特殊群体关爱服务格局。</w:t>
      </w:r>
    </w:p>
    <w:p w14:paraId="03398D82">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520" w:lineRule="atLeas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四、推动社会事务高质量发展</w:t>
      </w:r>
    </w:p>
    <w:p w14:paraId="7056A5E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atLeas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u w:val="none" w:color="auto"/>
          <w:lang w:val="en-US" w:eastAsia="zh-CN" w:bidi="ar"/>
        </w:rPr>
      </w:pPr>
      <w:r>
        <w:rPr>
          <w:rFonts w:hint="eastAsia" w:ascii="仿宋_GB2312" w:hAnsi="仿宋_GB2312" w:eastAsia="仿宋_GB2312" w:cs="仿宋_GB2312"/>
          <w:b w:val="0"/>
          <w:bCs w:val="0"/>
          <w:color w:val="auto"/>
          <w:kern w:val="2"/>
          <w:sz w:val="32"/>
          <w:szCs w:val="32"/>
          <w:highlight w:val="none"/>
          <w:u w:val="none" w:color="auto"/>
          <w:lang w:val="en-US" w:eastAsia="zh-CN" w:bidi="ar"/>
        </w:rPr>
        <w:t>落实军地互办实事“双清单”制度，逐步提高退役军人服务各类保障标准和困难帮扶力度。</w:t>
      </w:r>
      <w:r>
        <w:rPr>
          <w:rFonts w:hint="eastAsia" w:ascii="仿宋_GB2312" w:hAnsi="仿宋_GB2312" w:eastAsia="仿宋_GB2312" w:cs="仿宋_GB2312"/>
          <w:b w:val="0"/>
          <w:bCs w:val="0"/>
          <w:color w:val="auto"/>
          <w:spacing w:val="0"/>
          <w:kern w:val="2"/>
          <w:sz w:val="32"/>
          <w:szCs w:val="32"/>
          <w:highlight w:val="none"/>
          <w:u w:val="none" w:color="auto"/>
          <w:lang w:val="en-US" w:eastAsia="zh-CN" w:bidi="ar"/>
        </w:rPr>
        <w:t>加大对退役军人就业创业的扶持力度，鼓励退役军人积极创业、就业。健全退役军人权益维护机制，依法保障合法权益。加强和改进殡葬服务管理工作，加快制定《石林县加强和改进殡葬服务管理实施意见》，强化殡葬服务公益属性，持续提升殡葬服务管理水平。有序推进狮山殡仪馆收回运营，实施现有殡仪馆设施设备提升改造工程，推进公益性安葬（放）设施供给增加。推广节地生态安葬，推进林地草地和墓地复合利用，推行墓位和墓碑小型化。加强殡葬行业综合监管，规范文明治丧、节地生态安葬的现代化殡葬新风。</w:t>
      </w:r>
      <w:r>
        <w:rPr>
          <w:rFonts w:hint="eastAsia" w:ascii="仿宋_GB2312" w:hAnsi="仿宋_GB2312" w:eastAsia="仿宋_GB2312" w:cs="仿宋_GB2312"/>
          <w:b w:val="0"/>
          <w:bCs w:val="0"/>
          <w:color w:val="auto"/>
          <w:kern w:val="2"/>
          <w:sz w:val="32"/>
          <w:szCs w:val="32"/>
          <w:highlight w:val="none"/>
          <w:u w:val="none" w:color="auto"/>
          <w:lang w:val="en-US" w:eastAsia="zh-CN" w:bidi="ar"/>
        </w:rPr>
        <w:t>深化社会组织参与社会事务模式，引入专业社工机构，提供标准化、专业化服务，推动社会事务管理提质增效。</w:t>
      </w:r>
    </w:p>
    <w:p w14:paraId="161F2F23">
      <w:pPr>
        <w:keepNext w:val="0"/>
        <w:keepLines w:val="0"/>
        <w:pageBreakBefore w:val="0"/>
        <w:widowControl w:val="0"/>
        <w:numPr>
          <w:ilvl w:val="-1"/>
          <w:numId w:val="0"/>
        </w:numPr>
        <w:kinsoku/>
        <w:wordWrap/>
        <w:overflowPunct/>
        <w:topLinePunct w:val="0"/>
        <w:autoSpaceDE/>
        <w:autoSpaceDN/>
        <w:bidi w:val="0"/>
        <w:adjustRightInd/>
        <w:snapToGrid w:val="0"/>
        <w:spacing w:before="0" w:beforeLines="0" w:beforeAutospacing="0" w:after="0" w:afterLines="0" w:afterAutospacing="0" w:line="520" w:lineRule="atLeas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35" w:name="_Toc1462091930"/>
      <w:bookmarkStart w:id="636" w:name="_Toc30632"/>
      <w:bookmarkStart w:id="637" w:name="_Toc28022"/>
      <w:bookmarkStart w:id="638" w:name="_Toc2143230558"/>
      <w:bookmarkStart w:id="639" w:name="_Toc408037838"/>
      <w:r>
        <w:rPr>
          <w:rFonts w:hint="eastAsia" w:ascii="宋体" w:hAnsi="宋体" w:eastAsia="黑体" w:cs="黑体"/>
          <w:b w:val="0"/>
          <w:bCs/>
          <w:color w:val="auto"/>
          <w:kern w:val="2"/>
          <w:sz w:val="32"/>
          <w:szCs w:val="24"/>
          <w:highlight w:val="none"/>
          <w:u w:val="none"/>
          <w:lang w:val="en-US" w:eastAsia="zh-CN" w:bidi="ar-SA"/>
        </w:rPr>
        <w:t>第五节  健全人口发展支持和服务体系</w:t>
      </w:r>
      <w:bookmarkEnd w:id="635"/>
      <w:bookmarkEnd w:id="636"/>
      <w:bookmarkEnd w:id="637"/>
      <w:bookmarkEnd w:id="638"/>
      <w:bookmarkEnd w:id="639"/>
    </w:p>
    <w:p w14:paraId="19BDFE1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atLeas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u w:val="none" w:color="auto"/>
          <w:lang w:eastAsia="zh-CN" w:bidi="ar"/>
        </w:rPr>
      </w:pPr>
      <w:r>
        <w:rPr>
          <w:rFonts w:hint="eastAsia" w:ascii="仿宋_GB2312" w:hAnsi="仿宋_GB2312" w:eastAsia="仿宋_GB2312" w:cs="仿宋_GB2312"/>
          <w:color w:val="auto"/>
          <w:sz w:val="32"/>
          <w:szCs w:val="32"/>
          <w:highlight w:val="none"/>
          <w:u w:val="none" w:color="auto"/>
          <w:lang w:eastAsia="zh-CN" w:bidi="ar"/>
        </w:rPr>
        <w:t>以“一老一小”为重点，</w:t>
      </w:r>
      <w:r>
        <w:rPr>
          <w:rFonts w:hint="eastAsia" w:ascii="仿宋_GB2312" w:hAnsi="仿宋_GB2312" w:eastAsia="仿宋_GB2312" w:cs="仿宋_GB2312"/>
          <w:color w:val="auto"/>
          <w:sz w:val="32"/>
          <w:szCs w:val="32"/>
          <w:highlight w:val="none"/>
          <w:u w:val="none" w:color="auto"/>
          <w:lang w:bidi="ar"/>
        </w:rPr>
        <w:t>实施养老托育服务提质行动</w:t>
      </w:r>
      <w:r>
        <w:rPr>
          <w:rFonts w:hint="eastAsia" w:ascii="仿宋_GB2312" w:hAnsi="仿宋_GB2312" w:eastAsia="仿宋_GB2312" w:cs="仿宋_GB2312"/>
          <w:color w:val="auto"/>
          <w:sz w:val="32"/>
          <w:szCs w:val="32"/>
          <w:highlight w:val="none"/>
          <w:u w:val="none" w:color="auto"/>
          <w:lang w:eastAsia="zh-CN" w:bidi="ar"/>
        </w:rPr>
        <w:t>，</w:t>
      </w:r>
      <w:r>
        <w:rPr>
          <w:rFonts w:hint="eastAsia" w:ascii="仿宋_GB2312" w:hAnsi="仿宋_GB2312" w:eastAsia="仿宋_GB2312" w:cs="仿宋_GB2312"/>
          <w:color w:val="auto"/>
          <w:sz w:val="32"/>
          <w:szCs w:val="32"/>
          <w:highlight w:val="none"/>
          <w:u w:val="none" w:color="auto"/>
          <w:lang w:val="en-US" w:eastAsia="zh-CN" w:bidi="ar"/>
        </w:rPr>
        <w:t>推动“儿童友好城市”“青年发展型城市”“老年友好型城市”同步建设，</w:t>
      </w:r>
      <w:r>
        <w:rPr>
          <w:rFonts w:hint="eastAsia" w:ascii="仿宋_GB2312" w:hAnsi="仿宋_GB2312" w:eastAsia="仿宋_GB2312" w:cs="仿宋_GB2312"/>
          <w:color w:val="auto"/>
          <w:sz w:val="32"/>
          <w:szCs w:val="32"/>
          <w:highlight w:val="none"/>
          <w:u w:val="none" w:color="auto"/>
          <w:lang w:eastAsia="zh-CN" w:bidi="ar"/>
        </w:rPr>
        <w:t>促进全县人口长期均衡发展。</w:t>
      </w:r>
    </w:p>
    <w:p w14:paraId="248E18EB">
      <w:pPr>
        <w:keepNext w:val="0"/>
        <w:keepLines w:val="0"/>
        <w:pageBreakBefore w:val="0"/>
        <w:widowControl w:val="0"/>
        <w:numPr>
          <w:ilvl w:val="0"/>
          <w:numId w:val="0"/>
        </w:numPr>
        <w:tabs>
          <w:tab w:val="left" w:pos="586"/>
        </w:tabs>
        <w:kinsoku/>
        <w:wordWrap/>
        <w:overflowPunct/>
        <w:topLinePunct w:val="0"/>
        <w:autoSpaceDE/>
        <w:autoSpaceDN/>
        <w:bidi w:val="0"/>
        <w:adjustRightInd/>
        <w:snapToGrid w:val="0"/>
        <w:spacing w:before="0" w:beforeLines="0" w:beforeAutospacing="0" w:after="0" w:afterLines="0" w:afterAutospacing="0" w:line="520" w:lineRule="atLeas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一、建设生育友好型社会</w:t>
      </w:r>
    </w:p>
    <w:p w14:paraId="6398A345">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atLeas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u w:val="none" w:color="auto"/>
          <w:lang w:eastAsia="zh-CN" w:bidi="ar"/>
        </w:rPr>
      </w:pPr>
      <w:r>
        <w:rPr>
          <w:rFonts w:hint="eastAsia" w:ascii="仿宋_GB2312" w:hAnsi="仿宋_GB2312" w:eastAsia="仿宋_GB2312" w:cs="仿宋_GB2312"/>
          <w:color w:val="auto"/>
          <w:sz w:val="32"/>
          <w:szCs w:val="32"/>
          <w:highlight w:val="none"/>
          <w:u w:val="none" w:color="auto"/>
          <w:lang w:eastAsia="zh-CN" w:bidi="ar"/>
        </w:rPr>
        <w:t>平稳有序实施三孩生育政策，落实生育补贴、生育休假等支持政策，加快构建生育友好环境。实施早孕关爱行动、儿童青少年“五健”促进行动，开展生育友好医院、儿童友好医院创建工作，提升县妇幼保健院服务能力，持续推进妇女常见病普查普治，健全出生缺陷综合防治网络，</w:t>
      </w:r>
      <w:r>
        <w:rPr>
          <w:rFonts w:hint="eastAsia" w:ascii="仿宋_GB2312" w:hAnsi="仿宋_GB2312" w:eastAsia="仿宋_GB2312" w:cs="仿宋_GB2312"/>
          <w:color w:val="auto"/>
          <w:sz w:val="32"/>
          <w:szCs w:val="32"/>
          <w:highlight w:val="none"/>
          <w:u w:val="none" w:color="auto"/>
          <w:lang w:val="en-US" w:eastAsia="zh-CN" w:bidi="ar"/>
        </w:rPr>
        <w:t>提升优生优育服务水平</w:t>
      </w:r>
      <w:r>
        <w:rPr>
          <w:rFonts w:hint="eastAsia" w:ascii="仿宋_GB2312" w:hAnsi="仿宋_GB2312" w:eastAsia="仿宋_GB2312" w:cs="仿宋_GB2312"/>
          <w:color w:val="auto"/>
          <w:sz w:val="32"/>
          <w:szCs w:val="32"/>
          <w:highlight w:val="none"/>
          <w:u w:val="none" w:color="auto"/>
          <w:lang w:eastAsia="zh-CN" w:bidi="ar"/>
        </w:rPr>
        <w:t>。实施普惠托育服务行动，多渠道增加公建托位供给，推动普惠托育服务机构建设，</w:t>
      </w:r>
      <w:r>
        <w:rPr>
          <w:rFonts w:hint="eastAsia" w:ascii="仿宋_GB2312" w:hAnsi="仿宋_GB2312" w:eastAsia="仿宋_GB2312" w:cs="仿宋_GB2312"/>
          <w:color w:val="auto"/>
          <w:sz w:val="32"/>
          <w:szCs w:val="32"/>
          <w:highlight w:val="none"/>
          <w:u w:val="none" w:color="auto"/>
          <w:lang w:val="en-US" w:eastAsia="zh-CN" w:bidi="ar"/>
        </w:rPr>
        <w:t>积极</w:t>
      </w:r>
      <w:r>
        <w:rPr>
          <w:rFonts w:hint="eastAsia" w:ascii="仿宋_GB2312" w:hAnsi="仿宋_GB2312" w:eastAsia="仿宋_GB2312" w:cs="仿宋_GB2312"/>
          <w:color w:val="auto"/>
          <w:sz w:val="32"/>
          <w:szCs w:val="32"/>
          <w:highlight w:val="none"/>
          <w:u w:val="none" w:color="auto"/>
          <w:lang w:eastAsia="zh-CN" w:bidi="ar"/>
        </w:rPr>
        <w:t>发展社区嵌入式托育和家庭托育点，支持有条件的幼儿园延伸发展托育服务，探索医育结合照护服务。</w:t>
      </w:r>
    </w:p>
    <w:p w14:paraId="3C67DA47">
      <w:pPr>
        <w:keepNext w:val="0"/>
        <w:keepLines w:val="0"/>
        <w:pageBreakBefore w:val="0"/>
        <w:widowControl w:val="0"/>
        <w:numPr>
          <w:ilvl w:val="0"/>
          <w:numId w:val="0"/>
        </w:numPr>
        <w:tabs>
          <w:tab w:val="left" w:pos="586"/>
        </w:tabs>
        <w:kinsoku/>
        <w:wordWrap/>
        <w:overflowPunct/>
        <w:topLinePunct w:val="0"/>
        <w:autoSpaceDE/>
        <w:autoSpaceDN/>
        <w:bidi w:val="0"/>
        <w:adjustRightInd/>
        <w:snapToGrid w:val="0"/>
        <w:spacing w:before="0" w:beforeLines="0" w:beforeAutospacing="0" w:after="0" w:afterLines="0" w:afterAutospacing="0" w:line="520" w:lineRule="exact"/>
        <w:ind w:left="0" w:leftChars="0" w:firstLine="640" w:firstLineChars="200"/>
        <w:jc w:val="left"/>
        <w:textAlignment w:val="auto"/>
        <w:outlineLvl w:val="2"/>
        <w:rPr>
          <w:rFonts w:hint="eastAsia" w:ascii="楷体_GB2312" w:hAnsi="楷体_GB2312" w:eastAsia="楷体_GB2312" w:cs="楷体_GB2312"/>
          <w:b w:val="0"/>
          <w:bCs/>
          <w:color w:val="auto"/>
          <w:kern w:val="2"/>
          <w:sz w:val="32"/>
          <w:szCs w:val="32"/>
          <w:highlight w:val="none"/>
          <w:lang w:val="en-US" w:eastAsia="zh-CN" w:bidi="ar-SA"/>
        </w:rPr>
      </w:pPr>
      <w:r>
        <w:rPr>
          <w:rFonts w:hint="eastAsia" w:ascii="楷体_GB2312" w:hAnsi="楷体_GB2312" w:eastAsia="楷体_GB2312" w:cs="楷体_GB2312"/>
          <w:b w:val="0"/>
          <w:bCs/>
          <w:color w:val="auto"/>
          <w:kern w:val="2"/>
          <w:sz w:val="32"/>
          <w:szCs w:val="32"/>
          <w:highlight w:val="none"/>
          <w:lang w:val="en-US" w:eastAsia="zh-CN" w:bidi="ar-SA"/>
        </w:rPr>
        <w:t>二、完善养老服务体系</w:t>
      </w:r>
    </w:p>
    <w:p w14:paraId="123497DF">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20" w:lineRule="exact"/>
        <w:ind w:left="0" w:leftChars="0" w:firstLine="640" w:firstLineChars="200"/>
        <w:jc w:val="both"/>
        <w:textAlignment w:val="auto"/>
        <w:outlineLvl w:val="9"/>
        <w:rPr>
          <w:rFonts w:hint="eastAsia" w:ascii="仿宋_GB2312" w:hAnsi="仿宋_GB2312" w:eastAsia="仿宋_GB2312" w:cs="仿宋_GB2312"/>
          <w:b w:val="0"/>
          <w:bCs w:val="0"/>
          <w:color w:val="auto"/>
          <w:spacing w:val="0"/>
          <w:kern w:val="2"/>
          <w:sz w:val="32"/>
          <w:szCs w:val="32"/>
          <w:highlight w:val="none"/>
          <w:u w:val="none" w:color="auto"/>
          <w:lang w:val="en-US" w:eastAsia="zh-CN" w:bidi="ar"/>
        </w:rPr>
      </w:pPr>
      <w:r>
        <w:rPr>
          <w:rFonts w:hint="eastAsia" w:ascii="仿宋_GB2312" w:hAnsi="仿宋_GB2312" w:eastAsia="仿宋_GB2312" w:cs="仿宋_GB2312"/>
          <w:color w:val="auto"/>
          <w:spacing w:val="0"/>
          <w:sz w:val="32"/>
          <w:szCs w:val="32"/>
          <w:highlight w:val="none"/>
          <w:u w:val="none" w:color="auto"/>
          <w:lang w:val="en-US" w:eastAsia="zh-CN" w:bidi="ar"/>
        </w:rPr>
        <w:t>聚焦积极应对人口老龄化，</w:t>
      </w:r>
      <w:r>
        <w:rPr>
          <w:rFonts w:hint="eastAsia" w:ascii="仿宋_GB2312" w:hAnsi="仿宋_GB2312" w:eastAsia="仿宋_GB2312" w:cs="仿宋_GB2312"/>
          <w:color w:val="auto"/>
          <w:sz w:val="32"/>
          <w:szCs w:val="32"/>
          <w:highlight w:val="none"/>
          <w:u w:val="none" w:color="auto"/>
          <w:lang w:bidi="ar"/>
        </w:rPr>
        <w:t>深化养老服务改革发展，</w:t>
      </w:r>
      <w:r>
        <w:rPr>
          <w:rFonts w:hint="eastAsia" w:ascii="仿宋_GB2312" w:hAnsi="仿宋_GB2312" w:eastAsia="仿宋_GB2312" w:cs="仿宋_GB2312"/>
          <w:color w:val="auto"/>
          <w:sz w:val="32"/>
          <w:szCs w:val="32"/>
          <w:highlight w:val="none"/>
          <w:u w:val="none" w:color="auto"/>
          <w:lang w:val="en-US" w:eastAsia="zh-CN" w:bidi="ar"/>
        </w:rPr>
        <w:t>推动鹿阜街道、石林街道综合养老服务中心提质改造，完善其他乡镇街道养老基础设施，</w:t>
      </w:r>
      <w:r>
        <w:rPr>
          <w:rFonts w:hint="eastAsia" w:ascii="仿宋_GB2312" w:hAnsi="仿宋_GB2312" w:eastAsia="仿宋_GB2312" w:cs="仿宋_GB2312"/>
          <w:color w:val="auto"/>
          <w:sz w:val="32"/>
          <w:szCs w:val="32"/>
          <w:highlight w:val="none"/>
          <w:u w:val="none" w:color="auto"/>
          <w:lang w:bidi="ar"/>
        </w:rPr>
        <w:t>健全覆盖城乡</w:t>
      </w:r>
      <w:r>
        <w:rPr>
          <w:rFonts w:hint="eastAsia" w:ascii="仿宋_GB2312" w:hAnsi="仿宋_GB2312" w:eastAsia="仿宋_GB2312" w:cs="仿宋_GB2312"/>
          <w:color w:val="auto"/>
          <w:sz w:val="32"/>
          <w:szCs w:val="32"/>
          <w:highlight w:val="none"/>
          <w:u w:val="none" w:color="auto"/>
          <w:lang w:eastAsia="zh-CN" w:bidi="ar"/>
        </w:rPr>
        <w:t>“</w:t>
      </w:r>
      <w:r>
        <w:rPr>
          <w:rFonts w:hint="eastAsia" w:ascii="仿宋_GB2312" w:hAnsi="仿宋_GB2312" w:eastAsia="仿宋_GB2312" w:cs="仿宋_GB2312"/>
          <w:color w:val="auto"/>
          <w:sz w:val="32"/>
          <w:szCs w:val="32"/>
          <w:highlight w:val="none"/>
          <w:u w:val="none" w:color="auto"/>
          <w:lang w:val="en-US" w:eastAsia="zh-CN" w:bidi="ar"/>
        </w:rPr>
        <w:t>三级一有”</w:t>
      </w:r>
      <w:r>
        <w:rPr>
          <w:rFonts w:hint="eastAsia" w:ascii="仿宋_GB2312" w:hAnsi="仿宋_GB2312" w:eastAsia="仿宋_GB2312" w:cs="仿宋_GB2312"/>
          <w:color w:val="auto"/>
          <w:sz w:val="32"/>
          <w:szCs w:val="32"/>
          <w:highlight w:val="none"/>
          <w:u w:val="none" w:color="auto"/>
          <w:lang w:bidi="ar"/>
        </w:rPr>
        <w:t>养老服务网络</w:t>
      </w:r>
      <w:r>
        <w:rPr>
          <w:rFonts w:hint="eastAsia" w:ascii="仿宋_GB2312" w:hAnsi="仿宋_GB2312" w:eastAsia="仿宋_GB2312" w:cs="仿宋_GB2312"/>
          <w:color w:val="auto"/>
          <w:spacing w:val="0"/>
          <w:sz w:val="32"/>
          <w:szCs w:val="32"/>
          <w:highlight w:val="none"/>
          <w:u w:val="none" w:color="auto"/>
          <w:lang w:val="en-US" w:eastAsia="zh-CN" w:bidi="ar"/>
        </w:rPr>
        <w:t>。构建以“居家社区机构相协调、医养康养相结合”养老服务体系</w:t>
      </w:r>
      <w:r>
        <w:rPr>
          <w:rFonts w:hint="eastAsia" w:ascii="仿宋_GB2312" w:hAnsi="仿宋_GB2312" w:eastAsia="仿宋_GB2312" w:cs="仿宋_GB2312"/>
          <w:color w:val="auto"/>
          <w:sz w:val="32"/>
          <w:szCs w:val="32"/>
          <w:highlight w:val="none"/>
          <w:u w:val="none" w:color="auto"/>
          <w:lang w:bidi="ar"/>
        </w:rPr>
        <w:t>，</w:t>
      </w:r>
      <w:r>
        <w:rPr>
          <w:rFonts w:hint="eastAsia" w:ascii="仿宋_GB2312" w:hAnsi="仿宋_GB2312" w:eastAsia="仿宋_GB2312" w:cs="仿宋_GB2312"/>
          <w:color w:val="auto"/>
          <w:spacing w:val="0"/>
          <w:sz w:val="32"/>
          <w:szCs w:val="32"/>
          <w:highlight w:val="none"/>
          <w:u w:val="none" w:color="auto"/>
          <w:lang w:val="en-US" w:eastAsia="zh-CN" w:bidi="ar"/>
        </w:rPr>
        <w:t>巩固家庭养老基础地位，支持家庭适老化改造；强化社区养老功能，探索“社区+物业+养老服务”模式，引导社会力量参与养老服务。推进</w:t>
      </w:r>
      <w:r>
        <w:rPr>
          <w:rFonts w:hint="eastAsia" w:ascii="仿宋_GB2312" w:hAnsi="仿宋_GB2312" w:eastAsia="仿宋_GB2312" w:cs="仿宋_GB2312"/>
          <w:color w:val="auto"/>
          <w:sz w:val="32"/>
          <w:szCs w:val="32"/>
          <w:highlight w:val="none"/>
          <w:u w:val="none" w:color="auto"/>
          <w:lang w:bidi="ar"/>
        </w:rPr>
        <w:t>长湖镇舍色村居家养老服务中心</w:t>
      </w:r>
      <w:r>
        <w:rPr>
          <w:rFonts w:hint="eastAsia" w:ascii="仿宋_GB2312" w:hAnsi="仿宋_GB2312" w:eastAsia="仿宋_GB2312" w:cs="仿宋_GB2312"/>
          <w:color w:val="auto"/>
          <w:sz w:val="32"/>
          <w:szCs w:val="32"/>
          <w:highlight w:val="none"/>
          <w:u w:val="none" w:color="auto"/>
          <w:lang w:eastAsia="zh-CN" w:bidi="ar"/>
        </w:rPr>
        <w:t>、</w:t>
      </w:r>
      <w:r>
        <w:rPr>
          <w:rFonts w:hint="eastAsia" w:ascii="仿宋_GB2312" w:hAnsi="仿宋_GB2312" w:eastAsia="仿宋_GB2312" w:cs="仿宋_GB2312"/>
          <w:color w:val="auto"/>
          <w:sz w:val="32"/>
          <w:szCs w:val="32"/>
          <w:highlight w:val="none"/>
          <w:u w:val="none" w:color="auto"/>
          <w:lang w:bidi="ar"/>
        </w:rPr>
        <w:t>板桥街道矣马伴老年幸福食堂</w:t>
      </w:r>
      <w:r>
        <w:rPr>
          <w:rFonts w:hint="eastAsia" w:ascii="仿宋_GB2312" w:hAnsi="仿宋_GB2312" w:eastAsia="仿宋_GB2312" w:cs="仿宋_GB2312"/>
          <w:color w:val="auto"/>
          <w:sz w:val="32"/>
          <w:szCs w:val="32"/>
          <w:highlight w:val="none"/>
          <w:u w:val="none" w:color="auto"/>
          <w:lang w:val="en-US" w:eastAsia="zh-CN" w:bidi="ar"/>
        </w:rPr>
        <w:t>等</w:t>
      </w:r>
      <w:r>
        <w:rPr>
          <w:rFonts w:hint="eastAsia" w:ascii="仿宋_GB2312" w:hAnsi="仿宋_GB2312" w:eastAsia="仿宋_GB2312" w:cs="仿宋_GB2312"/>
          <w:color w:val="auto"/>
          <w:spacing w:val="0"/>
          <w:sz w:val="32"/>
          <w:szCs w:val="32"/>
          <w:highlight w:val="none"/>
          <w:u w:val="none" w:color="auto"/>
          <w:lang w:val="en-US" w:eastAsia="zh-CN" w:bidi="ar"/>
        </w:rPr>
        <w:t>建设。深入推进医养结合，鼓励医疗机构开展养老服务，提供健康保健、康复护理服务。加强失能失智老年人长期照护服务。</w:t>
      </w:r>
      <w:r>
        <w:rPr>
          <w:rFonts w:hint="eastAsia" w:ascii="仿宋_GB2312" w:hAnsi="仿宋_GB2312" w:eastAsia="仿宋_GB2312" w:cs="仿宋_GB2312"/>
          <w:b w:val="0"/>
          <w:bCs w:val="0"/>
          <w:color w:val="auto"/>
          <w:spacing w:val="0"/>
          <w:kern w:val="2"/>
          <w:sz w:val="32"/>
          <w:szCs w:val="32"/>
          <w:highlight w:val="none"/>
          <w:u w:val="none" w:color="auto"/>
          <w:lang w:val="en-US" w:eastAsia="zh-CN" w:bidi="ar"/>
        </w:rPr>
        <w:t>大力发展银发经济，支持“养老服务+行业”模式，促进养老产业与其他产业融合发展，丰富养老服务供给类型。</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1DAC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3" w:hRule="atLeast"/>
        </w:trPr>
        <w:tc>
          <w:tcPr>
            <w:tcW w:w="9061" w:type="dxa"/>
          </w:tcPr>
          <w:p w14:paraId="30D7D110">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520" w:lineRule="exact"/>
              <w:ind w:left="0" w:leftChars="0" w:firstLine="0" w:firstLineChars="0"/>
              <w:jc w:val="center"/>
              <w:textAlignment w:val="auto"/>
              <w:outlineLvl w:val="9"/>
              <w:rPr>
                <w:rFonts w:hint="default" w:ascii="宋体" w:hAnsi="宋体" w:eastAsia="方正楷体_GBK" w:cs="Times New Roman Regular"/>
                <w:b w:val="0"/>
                <w:bCs w:val="0"/>
                <w:color w:val="auto"/>
                <w:spacing w:val="0"/>
                <w:kern w:val="2"/>
                <w:sz w:val="28"/>
                <w:szCs w:val="28"/>
                <w:highlight w:val="none"/>
                <w:vertAlign w:val="baseline"/>
                <w:lang w:val="en-US" w:eastAsia="zh-CN" w:bidi="ar-SA"/>
              </w:rPr>
            </w:pPr>
            <w:r>
              <w:rPr>
                <w:rFonts w:hint="eastAsia" w:ascii="黑体" w:hAnsi="黑体" w:eastAsia="黑体" w:cs="黑体"/>
                <w:b w:val="0"/>
                <w:bCs w:val="0"/>
                <w:color w:val="auto"/>
                <w:spacing w:val="0"/>
                <w:kern w:val="2"/>
                <w:sz w:val="28"/>
                <w:szCs w:val="28"/>
                <w:highlight w:val="none"/>
                <w:vertAlign w:val="baseline"/>
                <w:lang w:val="en-US" w:eastAsia="zh-CN" w:bidi="ar-SA"/>
              </w:rPr>
              <w:t>专栏15  养老托育服务重点工程</w:t>
            </w:r>
          </w:p>
        </w:tc>
      </w:tr>
      <w:tr w14:paraId="6B5F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39F21BD">
            <w:pPr>
              <w:keepNext w:val="0"/>
              <w:keepLines w:val="0"/>
              <w:pageBreakBefore w:val="0"/>
              <w:widowControl w:val="0"/>
              <w:numPr>
                <w:ilvl w:val="-1"/>
                <w:numId w:val="0"/>
              </w:numPr>
              <w:kinsoku/>
              <w:wordWrap/>
              <w:overflowPunct/>
              <w:topLinePunct w:val="0"/>
              <w:autoSpaceDE/>
              <w:autoSpaceDN/>
              <w:bidi w:val="0"/>
              <w:adjustRightInd w:val="0"/>
              <w:snapToGrid w:val="0"/>
              <w:spacing w:beforeLines="0" w:afterLines="0" w:line="400" w:lineRule="exact"/>
              <w:ind w:left="0" w:leftChars="0" w:firstLine="562" w:firstLineChars="200"/>
              <w:jc w:val="left"/>
              <w:textAlignment w:val="auto"/>
              <w:outlineLvl w:val="9"/>
              <w:rPr>
                <w:rFonts w:hint="eastAsia" w:ascii="宋体" w:hAnsi="宋体" w:eastAsia="仿宋_GB2312" w:cs="仿宋_GB2312"/>
                <w:b/>
                <w:bCs/>
                <w:color w:val="auto"/>
                <w:spacing w:val="0"/>
                <w:kern w:val="2"/>
                <w:sz w:val="28"/>
                <w:szCs w:val="28"/>
                <w:highlight w:val="none"/>
                <w:vertAlign w:val="baseline"/>
                <w:lang w:val="en-US" w:eastAsia="zh-CN" w:bidi="ar-SA"/>
              </w:rPr>
            </w:pPr>
            <w:r>
              <w:rPr>
                <w:rFonts w:hint="eastAsia" w:ascii="宋体" w:hAnsi="宋体" w:eastAsia="仿宋_GB2312" w:cs="仿宋_GB2312"/>
                <w:b/>
                <w:bCs/>
                <w:color w:val="auto"/>
                <w:spacing w:val="0"/>
                <w:kern w:val="2"/>
                <w:sz w:val="28"/>
                <w:szCs w:val="28"/>
                <w:highlight w:val="none"/>
                <w:vertAlign w:val="baseline"/>
                <w:lang w:val="en-US" w:eastAsia="zh-CN" w:bidi="ar-SA"/>
              </w:rPr>
              <w:t>殡仪馆设施设备提升改造工程。</w:t>
            </w:r>
            <w:r>
              <w:rPr>
                <w:rFonts w:hint="eastAsia" w:ascii="宋体" w:hAnsi="宋体" w:eastAsia="仿宋_GB2312" w:cs="仿宋_GB2312"/>
                <w:b w:val="0"/>
                <w:bCs w:val="0"/>
                <w:color w:val="auto"/>
                <w:spacing w:val="0"/>
                <w:kern w:val="2"/>
                <w:sz w:val="28"/>
                <w:szCs w:val="28"/>
                <w:highlight w:val="none"/>
                <w:vertAlign w:val="baseline"/>
                <w:lang w:val="en-US" w:eastAsia="zh-CN" w:bidi="ar-SA"/>
              </w:rPr>
              <w:t>对石林峡殡仪馆现有火化设备、环保</w:t>
            </w:r>
            <w:r>
              <w:rPr>
                <w:rFonts w:hint="eastAsia" w:ascii="宋体" w:hAnsi="宋体" w:eastAsia="仿宋_GB2312" w:cs="仿宋_GB2312"/>
                <w:b w:val="0"/>
                <w:bCs w:val="0"/>
                <w:color w:val="auto"/>
                <w:spacing w:val="-8"/>
                <w:kern w:val="2"/>
                <w:sz w:val="28"/>
                <w:szCs w:val="28"/>
                <w:highlight w:val="none"/>
                <w:vertAlign w:val="baseline"/>
                <w:lang w:val="en-US" w:eastAsia="zh-CN" w:bidi="ar-SA"/>
              </w:rPr>
              <w:t>设备进行提升改造，更新火化炉</w:t>
            </w:r>
            <w:r>
              <w:rPr>
                <w:rFonts w:hint="eastAsia" w:ascii="宋体" w:hAnsi="宋体" w:eastAsia="仿宋_GB2312" w:cs="宋体"/>
                <w:b w:val="0"/>
                <w:bCs w:val="0"/>
                <w:color w:val="auto"/>
                <w:spacing w:val="-8"/>
                <w:kern w:val="2"/>
                <w:sz w:val="28"/>
                <w:szCs w:val="28"/>
                <w:highlight w:val="none"/>
                <w:vertAlign w:val="baseline"/>
                <w:lang w:val="en-US" w:eastAsia="zh-CN" w:bidi="ar-SA"/>
              </w:rPr>
              <w:t>4</w:t>
            </w:r>
            <w:r>
              <w:rPr>
                <w:rFonts w:hint="eastAsia" w:ascii="宋体" w:hAnsi="宋体" w:eastAsia="仿宋_GB2312" w:cs="仿宋_GB2312"/>
                <w:b w:val="0"/>
                <w:bCs w:val="0"/>
                <w:color w:val="auto"/>
                <w:spacing w:val="-8"/>
                <w:kern w:val="2"/>
                <w:sz w:val="28"/>
                <w:szCs w:val="28"/>
                <w:highlight w:val="none"/>
                <w:vertAlign w:val="baseline"/>
                <w:lang w:val="en-US" w:eastAsia="zh-CN" w:bidi="ar-SA"/>
              </w:rPr>
              <w:t>个，新购焚烧炉</w:t>
            </w:r>
            <w:r>
              <w:rPr>
                <w:rFonts w:hint="eastAsia" w:ascii="宋体" w:hAnsi="宋体" w:eastAsia="仿宋_GB2312" w:cs="宋体"/>
                <w:b w:val="0"/>
                <w:bCs w:val="0"/>
                <w:color w:val="auto"/>
                <w:spacing w:val="-8"/>
                <w:kern w:val="2"/>
                <w:sz w:val="28"/>
                <w:szCs w:val="28"/>
                <w:highlight w:val="none"/>
                <w:vertAlign w:val="baseline"/>
                <w:lang w:val="en-US" w:eastAsia="zh-CN" w:bidi="ar-SA"/>
              </w:rPr>
              <w:t>1</w:t>
            </w:r>
            <w:r>
              <w:rPr>
                <w:rFonts w:hint="eastAsia" w:ascii="宋体" w:hAnsi="宋体" w:eastAsia="仿宋_GB2312" w:cs="仿宋_GB2312"/>
                <w:b w:val="0"/>
                <w:bCs w:val="0"/>
                <w:color w:val="auto"/>
                <w:spacing w:val="-8"/>
                <w:kern w:val="2"/>
                <w:sz w:val="28"/>
                <w:szCs w:val="28"/>
                <w:highlight w:val="none"/>
                <w:vertAlign w:val="baseline"/>
                <w:lang w:val="en-US" w:eastAsia="zh-CN" w:bidi="ar-SA"/>
              </w:rPr>
              <w:t>个，新购除尘设备</w:t>
            </w:r>
            <w:r>
              <w:rPr>
                <w:rFonts w:hint="eastAsia" w:ascii="宋体" w:hAnsi="宋体" w:eastAsia="仿宋_GB2312" w:cs="宋体"/>
                <w:b w:val="0"/>
                <w:bCs w:val="0"/>
                <w:color w:val="auto"/>
                <w:spacing w:val="-8"/>
                <w:kern w:val="2"/>
                <w:sz w:val="28"/>
                <w:szCs w:val="28"/>
                <w:highlight w:val="none"/>
                <w:vertAlign w:val="baseline"/>
                <w:lang w:val="en-US" w:eastAsia="zh-CN" w:bidi="ar-SA"/>
              </w:rPr>
              <w:t>1</w:t>
            </w:r>
            <w:r>
              <w:rPr>
                <w:rFonts w:hint="eastAsia" w:ascii="宋体" w:hAnsi="宋体" w:eastAsia="仿宋_GB2312" w:cs="仿宋_GB2312"/>
                <w:b w:val="0"/>
                <w:bCs w:val="0"/>
                <w:color w:val="auto"/>
                <w:spacing w:val="-8"/>
                <w:kern w:val="2"/>
                <w:sz w:val="28"/>
                <w:szCs w:val="28"/>
                <w:highlight w:val="none"/>
                <w:vertAlign w:val="baseline"/>
                <w:lang w:val="en-US" w:eastAsia="zh-CN" w:bidi="ar-SA"/>
              </w:rPr>
              <w:t>个。</w:t>
            </w:r>
          </w:p>
          <w:p w14:paraId="7E54F00B">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2" w:firstLineChars="200"/>
              <w:jc w:val="left"/>
              <w:textAlignment w:val="auto"/>
              <w:outlineLvl w:val="9"/>
              <w:rPr>
                <w:rFonts w:hint="eastAsia" w:ascii="宋体" w:hAnsi="宋体" w:eastAsia="仿宋_GB2312" w:cs="仿宋_GB2312"/>
                <w:b/>
                <w:bCs/>
                <w:color w:val="auto"/>
                <w:spacing w:val="0"/>
                <w:kern w:val="2"/>
                <w:sz w:val="28"/>
                <w:szCs w:val="28"/>
                <w:highlight w:val="none"/>
                <w:vertAlign w:val="baseline"/>
                <w:lang w:val="en-US" w:eastAsia="zh-CN" w:bidi="ar-SA"/>
              </w:rPr>
            </w:pPr>
            <w:r>
              <w:rPr>
                <w:rFonts w:hint="eastAsia" w:ascii="宋体" w:hAnsi="宋体" w:eastAsia="仿宋_GB2312" w:cs="仿宋_GB2312"/>
                <w:b/>
                <w:bCs/>
                <w:color w:val="auto"/>
                <w:spacing w:val="0"/>
                <w:kern w:val="2"/>
                <w:sz w:val="28"/>
                <w:szCs w:val="28"/>
                <w:highlight w:val="none"/>
                <w:vertAlign w:val="baseline"/>
                <w:lang w:val="en-US" w:eastAsia="zh-CN" w:bidi="ar-SA"/>
              </w:rPr>
              <w:t>公益性安葬（放）设施供给工程。</w:t>
            </w:r>
            <w:r>
              <w:rPr>
                <w:rFonts w:hint="eastAsia" w:ascii="宋体" w:hAnsi="宋体" w:eastAsia="仿宋_GB2312" w:cs="仿宋_GB2312"/>
                <w:b w:val="0"/>
                <w:bCs w:val="0"/>
                <w:color w:val="auto"/>
                <w:spacing w:val="0"/>
                <w:kern w:val="2"/>
                <w:sz w:val="28"/>
                <w:szCs w:val="28"/>
                <w:highlight w:val="none"/>
                <w:vertAlign w:val="baseline"/>
                <w:lang w:val="en-US" w:eastAsia="zh-CN" w:bidi="ar-SA"/>
              </w:rPr>
              <w:t>保留石林狮山生态陵园，完成原经营性公墓违法用地部分向城镇公益性公墓转型；新建</w:t>
            </w:r>
            <w:r>
              <w:rPr>
                <w:rFonts w:hint="eastAsia" w:ascii="宋体" w:hAnsi="宋体" w:eastAsia="仿宋_GB2312" w:cs="宋体"/>
                <w:b w:val="0"/>
                <w:bCs w:val="0"/>
                <w:color w:val="auto"/>
                <w:spacing w:val="0"/>
                <w:kern w:val="2"/>
                <w:sz w:val="28"/>
                <w:szCs w:val="28"/>
                <w:highlight w:val="none"/>
                <w:vertAlign w:val="baseline"/>
                <w:lang w:val="en-US" w:eastAsia="zh-CN" w:bidi="ar-SA"/>
              </w:rPr>
              <w:t>1</w:t>
            </w:r>
            <w:r>
              <w:rPr>
                <w:rFonts w:hint="eastAsia" w:ascii="宋体" w:hAnsi="宋体" w:eastAsia="仿宋_GB2312" w:cs="仿宋_GB2312"/>
                <w:b w:val="0"/>
                <w:bCs w:val="0"/>
                <w:color w:val="auto"/>
                <w:spacing w:val="0"/>
                <w:kern w:val="2"/>
                <w:sz w:val="28"/>
                <w:szCs w:val="28"/>
                <w:highlight w:val="none"/>
                <w:vertAlign w:val="baseline"/>
                <w:lang w:val="en-US" w:eastAsia="zh-CN" w:bidi="ar-SA"/>
              </w:rPr>
              <w:t>处城镇公益性骨灰堂；升级改造</w:t>
            </w:r>
            <w:r>
              <w:rPr>
                <w:rFonts w:hint="eastAsia" w:ascii="宋体" w:hAnsi="宋体" w:eastAsia="仿宋_GB2312" w:cs="宋体"/>
                <w:b w:val="0"/>
                <w:bCs w:val="0"/>
                <w:color w:val="auto"/>
                <w:spacing w:val="0"/>
                <w:kern w:val="2"/>
                <w:sz w:val="28"/>
                <w:szCs w:val="28"/>
                <w:highlight w:val="none"/>
                <w:vertAlign w:val="baseline"/>
                <w:lang w:val="en-US" w:eastAsia="zh-CN" w:bidi="ar-SA"/>
              </w:rPr>
              <w:t>5</w:t>
            </w:r>
            <w:r>
              <w:rPr>
                <w:rFonts w:hint="eastAsia" w:ascii="宋体" w:hAnsi="宋体" w:eastAsia="仿宋_GB2312" w:cs="仿宋_GB2312"/>
                <w:b w:val="0"/>
                <w:bCs w:val="0"/>
                <w:color w:val="auto"/>
                <w:spacing w:val="0"/>
                <w:kern w:val="2"/>
                <w:sz w:val="28"/>
                <w:szCs w:val="28"/>
                <w:highlight w:val="none"/>
                <w:vertAlign w:val="baseline"/>
                <w:lang w:val="en-US" w:eastAsia="zh-CN" w:bidi="ar-SA"/>
              </w:rPr>
              <w:t>个农村公益性公墓。</w:t>
            </w:r>
          </w:p>
          <w:p w14:paraId="1D2D398B">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2" w:firstLineChars="200"/>
              <w:jc w:val="left"/>
              <w:textAlignment w:val="auto"/>
              <w:outlineLvl w:val="9"/>
              <w:rPr>
                <w:rFonts w:hint="eastAsia" w:ascii="宋体" w:hAnsi="宋体" w:eastAsia="仿宋_GB2312" w:cs="仿宋_GB2312"/>
                <w:b w:val="0"/>
                <w:bCs w:val="0"/>
                <w:color w:val="auto"/>
                <w:spacing w:val="0"/>
                <w:kern w:val="2"/>
                <w:sz w:val="28"/>
                <w:szCs w:val="28"/>
                <w:highlight w:val="none"/>
                <w:vertAlign w:val="baseline"/>
                <w:lang w:val="en-US" w:eastAsia="zh-CN" w:bidi="ar-SA"/>
              </w:rPr>
            </w:pPr>
            <w:r>
              <w:rPr>
                <w:rFonts w:hint="eastAsia" w:ascii="宋体" w:hAnsi="宋体" w:eastAsia="仿宋_GB2312" w:cs="仿宋_GB2312"/>
                <w:b/>
                <w:bCs/>
                <w:color w:val="auto"/>
                <w:spacing w:val="0"/>
                <w:kern w:val="2"/>
                <w:sz w:val="28"/>
                <w:szCs w:val="28"/>
                <w:highlight w:val="none"/>
                <w:vertAlign w:val="baseline"/>
                <w:lang w:val="en-US" w:eastAsia="zh-CN" w:bidi="ar-SA"/>
              </w:rPr>
              <w:t>养老服务体系建设工程。</w:t>
            </w:r>
            <w:r>
              <w:rPr>
                <w:rFonts w:hint="eastAsia" w:ascii="宋体" w:hAnsi="宋体" w:eastAsia="仿宋_GB2312" w:cs="仿宋_GB2312"/>
                <w:b w:val="0"/>
                <w:bCs w:val="0"/>
                <w:color w:val="auto"/>
                <w:spacing w:val="0"/>
                <w:kern w:val="2"/>
                <w:sz w:val="28"/>
                <w:szCs w:val="28"/>
                <w:highlight w:val="none"/>
                <w:vertAlign w:val="baseline"/>
                <w:lang w:val="en-US" w:eastAsia="zh-CN" w:bidi="ar-SA"/>
              </w:rPr>
              <w:t>对全县</w:t>
            </w:r>
            <w:r>
              <w:rPr>
                <w:rFonts w:hint="eastAsia" w:ascii="宋体" w:hAnsi="宋体" w:eastAsia="仿宋_GB2312" w:cs="宋体"/>
                <w:b w:val="0"/>
                <w:bCs w:val="0"/>
                <w:color w:val="auto"/>
                <w:spacing w:val="0"/>
                <w:kern w:val="2"/>
                <w:sz w:val="28"/>
                <w:szCs w:val="28"/>
                <w:highlight w:val="none"/>
                <w:vertAlign w:val="baseline"/>
                <w:lang w:val="en-US" w:eastAsia="zh-CN" w:bidi="ar-SA"/>
              </w:rPr>
              <w:t>7</w:t>
            </w:r>
            <w:r>
              <w:rPr>
                <w:rFonts w:hint="eastAsia" w:ascii="宋体" w:hAnsi="宋体" w:eastAsia="仿宋_GB2312" w:cs="仿宋_GB2312"/>
                <w:b w:val="0"/>
                <w:bCs w:val="0"/>
                <w:color w:val="auto"/>
                <w:spacing w:val="0"/>
                <w:kern w:val="2"/>
                <w:sz w:val="28"/>
                <w:szCs w:val="28"/>
                <w:highlight w:val="none"/>
                <w:vertAlign w:val="baseline"/>
                <w:lang w:val="en-US" w:eastAsia="zh-CN" w:bidi="ar-SA"/>
              </w:rPr>
              <w:t>个乡镇（街道）的养老基础设施改扩建或新建，实施适老化改造</w:t>
            </w:r>
            <w:r>
              <w:rPr>
                <w:rFonts w:hint="eastAsia" w:ascii="宋体" w:hAnsi="宋体" w:eastAsia="仿宋_GB2312" w:cs="宋体"/>
                <w:b w:val="0"/>
                <w:bCs w:val="0"/>
                <w:color w:val="auto"/>
                <w:spacing w:val="0"/>
                <w:kern w:val="2"/>
                <w:sz w:val="28"/>
                <w:szCs w:val="28"/>
                <w:highlight w:val="none"/>
                <w:vertAlign w:val="baseline"/>
                <w:lang w:val="en-US" w:eastAsia="zh-CN" w:bidi="ar-SA"/>
              </w:rPr>
              <w:t>500</w:t>
            </w:r>
            <w:r>
              <w:rPr>
                <w:rFonts w:hint="eastAsia" w:ascii="宋体" w:hAnsi="宋体" w:eastAsia="仿宋_GB2312" w:cs="仿宋_GB2312"/>
                <w:b w:val="0"/>
                <w:bCs w:val="0"/>
                <w:color w:val="auto"/>
                <w:spacing w:val="0"/>
                <w:kern w:val="2"/>
                <w:sz w:val="28"/>
                <w:szCs w:val="28"/>
                <w:highlight w:val="none"/>
                <w:vertAlign w:val="baseline"/>
                <w:lang w:val="en-US" w:eastAsia="zh-CN" w:bidi="ar-SA"/>
              </w:rPr>
              <w:t>户、新建居家养老服务中心</w:t>
            </w:r>
            <w:r>
              <w:rPr>
                <w:rFonts w:hint="eastAsia" w:ascii="宋体" w:hAnsi="宋体" w:eastAsia="仿宋_GB2312" w:cs="宋体"/>
                <w:b w:val="0"/>
                <w:bCs w:val="0"/>
                <w:color w:val="auto"/>
                <w:spacing w:val="0"/>
                <w:kern w:val="2"/>
                <w:sz w:val="28"/>
                <w:szCs w:val="28"/>
                <w:highlight w:val="none"/>
                <w:vertAlign w:val="baseline"/>
                <w:lang w:val="en-US" w:eastAsia="zh-CN" w:bidi="ar-SA"/>
              </w:rPr>
              <w:t>20</w:t>
            </w:r>
            <w:r>
              <w:rPr>
                <w:rFonts w:hint="eastAsia" w:ascii="宋体" w:hAnsi="宋体" w:eastAsia="仿宋_GB2312" w:cs="仿宋_GB2312"/>
                <w:b w:val="0"/>
                <w:bCs w:val="0"/>
                <w:color w:val="auto"/>
                <w:spacing w:val="0"/>
                <w:kern w:val="2"/>
                <w:sz w:val="28"/>
                <w:szCs w:val="28"/>
                <w:highlight w:val="none"/>
                <w:vertAlign w:val="baseline"/>
                <w:lang w:val="en-US" w:eastAsia="zh-CN" w:bidi="ar-SA"/>
              </w:rPr>
              <w:t>个、新建（改造）老年幸福食堂</w:t>
            </w:r>
            <w:r>
              <w:rPr>
                <w:rFonts w:hint="eastAsia" w:ascii="宋体" w:hAnsi="宋体" w:eastAsia="仿宋_GB2312" w:cs="宋体"/>
                <w:b w:val="0"/>
                <w:bCs w:val="0"/>
                <w:color w:val="auto"/>
                <w:spacing w:val="0"/>
                <w:kern w:val="2"/>
                <w:sz w:val="28"/>
                <w:szCs w:val="28"/>
                <w:highlight w:val="none"/>
                <w:vertAlign w:val="baseline"/>
                <w:lang w:val="en-US" w:eastAsia="zh-CN" w:bidi="ar-SA"/>
              </w:rPr>
              <w:t>10</w:t>
            </w:r>
            <w:r>
              <w:rPr>
                <w:rFonts w:hint="eastAsia" w:ascii="宋体" w:hAnsi="宋体" w:eastAsia="仿宋_GB2312" w:cs="仿宋_GB2312"/>
                <w:b w:val="0"/>
                <w:bCs w:val="0"/>
                <w:color w:val="auto"/>
                <w:spacing w:val="0"/>
                <w:kern w:val="2"/>
                <w:sz w:val="28"/>
                <w:szCs w:val="28"/>
                <w:highlight w:val="none"/>
                <w:vertAlign w:val="baseline"/>
                <w:lang w:val="en-US" w:eastAsia="zh-CN" w:bidi="ar-SA"/>
              </w:rPr>
              <w:t>个。</w:t>
            </w:r>
          </w:p>
          <w:p w14:paraId="75313164">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2" w:firstLineChars="200"/>
              <w:jc w:val="left"/>
              <w:textAlignment w:val="auto"/>
              <w:outlineLvl w:val="9"/>
              <w:rPr>
                <w:rFonts w:hint="eastAsia" w:ascii="宋体" w:hAnsi="宋体" w:eastAsia="仿宋_GB2312" w:cs="仿宋_GB2312"/>
                <w:color w:val="auto"/>
                <w:sz w:val="28"/>
                <w:szCs w:val="28"/>
                <w:highlight w:val="none"/>
              </w:rPr>
            </w:pPr>
            <w:r>
              <w:rPr>
                <w:rFonts w:hint="eastAsia" w:ascii="宋体" w:hAnsi="宋体" w:eastAsia="仿宋_GB2312" w:cs="仿宋_GB2312"/>
                <w:b/>
                <w:bCs/>
                <w:color w:val="auto"/>
                <w:sz w:val="28"/>
                <w:szCs w:val="28"/>
                <w:highlight w:val="none"/>
              </w:rPr>
              <w:t>石林县公办养老机构提质改造</w:t>
            </w:r>
            <w:r>
              <w:rPr>
                <w:rFonts w:hint="eastAsia" w:ascii="宋体" w:hAnsi="宋体" w:eastAsia="仿宋_GB2312" w:cs="仿宋_GB2312"/>
                <w:b/>
                <w:bCs/>
                <w:color w:val="auto"/>
                <w:sz w:val="28"/>
                <w:szCs w:val="28"/>
                <w:highlight w:val="none"/>
                <w:lang w:val="en-US" w:eastAsia="zh-CN"/>
              </w:rPr>
              <w:t>工程。</w:t>
            </w:r>
            <w:r>
              <w:rPr>
                <w:rFonts w:hint="eastAsia" w:ascii="宋体" w:hAnsi="宋体" w:eastAsia="仿宋_GB2312" w:cs="仿宋_GB2312"/>
                <w:color w:val="auto"/>
                <w:sz w:val="28"/>
                <w:szCs w:val="28"/>
                <w:highlight w:val="none"/>
              </w:rPr>
              <w:t>对县内</w:t>
            </w:r>
            <w:r>
              <w:rPr>
                <w:rFonts w:hint="eastAsia" w:ascii="宋体" w:hAnsi="宋体" w:eastAsia="仿宋_GB2312" w:cs="宋体"/>
                <w:color w:val="auto"/>
                <w:sz w:val="28"/>
                <w:szCs w:val="28"/>
                <w:highlight w:val="none"/>
              </w:rPr>
              <w:t>2</w:t>
            </w:r>
            <w:r>
              <w:rPr>
                <w:rFonts w:hint="eastAsia" w:ascii="宋体" w:hAnsi="宋体" w:eastAsia="仿宋_GB2312" w:cs="仿宋_GB2312"/>
                <w:color w:val="auto"/>
                <w:sz w:val="28"/>
                <w:szCs w:val="28"/>
                <w:highlight w:val="none"/>
              </w:rPr>
              <w:t>个街道级综合养老服务中心提质改造，</w:t>
            </w:r>
            <w:r>
              <w:rPr>
                <w:rFonts w:hint="eastAsia" w:ascii="宋体" w:hAnsi="宋体" w:eastAsia="仿宋_GB2312" w:cs="仿宋_GB2312"/>
                <w:color w:val="auto"/>
                <w:sz w:val="28"/>
                <w:szCs w:val="28"/>
                <w:highlight w:val="none"/>
                <w:lang w:val="en-US" w:eastAsia="zh-CN"/>
              </w:rPr>
              <w:t>推动</w:t>
            </w:r>
            <w:r>
              <w:rPr>
                <w:rFonts w:hint="eastAsia" w:ascii="宋体" w:hAnsi="宋体" w:eastAsia="仿宋_GB2312" w:cs="宋体"/>
                <w:color w:val="auto"/>
                <w:sz w:val="28"/>
                <w:szCs w:val="28"/>
                <w:highlight w:val="none"/>
              </w:rPr>
              <w:t>4</w:t>
            </w:r>
            <w:r>
              <w:rPr>
                <w:rFonts w:hint="eastAsia" w:ascii="宋体" w:hAnsi="宋体" w:eastAsia="仿宋_GB2312" w:cs="仿宋_GB2312"/>
                <w:color w:val="auto"/>
                <w:sz w:val="28"/>
                <w:szCs w:val="28"/>
                <w:highlight w:val="none"/>
              </w:rPr>
              <w:t>个公办养老机构消防设施改造</w:t>
            </w:r>
            <w:r>
              <w:rPr>
                <w:rFonts w:hint="eastAsia" w:ascii="宋体" w:hAnsi="宋体" w:eastAsia="仿宋_GB2312" w:cs="仿宋_GB2312"/>
                <w:color w:val="auto"/>
                <w:sz w:val="28"/>
                <w:szCs w:val="28"/>
                <w:highlight w:val="none"/>
                <w:lang w:val="en-US" w:eastAsia="zh-CN"/>
              </w:rPr>
              <w:t>提升</w:t>
            </w:r>
            <w:r>
              <w:rPr>
                <w:rFonts w:hint="eastAsia" w:ascii="宋体" w:hAnsi="宋体" w:eastAsia="仿宋_GB2312" w:cs="仿宋_GB2312"/>
                <w:color w:val="auto"/>
                <w:sz w:val="28"/>
                <w:szCs w:val="28"/>
                <w:highlight w:val="none"/>
              </w:rPr>
              <w:t>，强化对失能失智特困老人的兜底保障。</w:t>
            </w:r>
          </w:p>
          <w:p w14:paraId="45C5BD36">
            <w:pPr>
              <w:keepNext w:val="0"/>
              <w:keepLines w:val="0"/>
              <w:pageBreakBefore w:val="0"/>
              <w:widowControl w:val="0"/>
              <w:numPr>
                <w:ilvl w:val="-1"/>
                <w:numId w:val="0"/>
              </w:numPr>
              <w:kinsoku/>
              <w:wordWrap/>
              <w:overflowPunct/>
              <w:topLinePunct w:val="0"/>
              <w:autoSpaceDE/>
              <w:autoSpaceDN/>
              <w:bidi w:val="0"/>
              <w:adjustRightInd/>
              <w:snapToGrid w:val="0"/>
              <w:spacing w:beforeLines="0" w:afterLines="0" w:line="400" w:lineRule="exact"/>
              <w:ind w:left="0" w:leftChars="0" w:firstLine="562" w:firstLineChars="200"/>
              <w:jc w:val="left"/>
              <w:textAlignment w:val="auto"/>
              <w:outlineLvl w:val="9"/>
              <w:rPr>
                <w:rFonts w:hint="default" w:ascii="宋体" w:hAnsi="宋体" w:eastAsia="方正楷体_GBK" w:cs="Times New Roman Regular"/>
                <w:color w:val="auto"/>
                <w:sz w:val="28"/>
                <w:szCs w:val="28"/>
                <w:lang w:val="en-US" w:eastAsia="zh-CN"/>
              </w:rPr>
            </w:pPr>
            <w:r>
              <w:rPr>
                <w:rFonts w:hint="eastAsia" w:ascii="宋体" w:hAnsi="宋体" w:eastAsia="仿宋_GB2312" w:cs="仿宋_GB2312"/>
                <w:b/>
                <w:bCs/>
                <w:color w:val="auto"/>
                <w:sz w:val="28"/>
                <w:szCs w:val="28"/>
                <w:highlight w:val="none"/>
                <w:lang w:val="en-US" w:eastAsia="zh-CN"/>
              </w:rPr>
              <w:t>托幼服务中心建设工程</w:t>
            </w:r>
            <w:r>
              <w:rPr>
                <w:rFonts w:hint="eastAsia" w:ascii="宋体" w:hAnsi="宋体" w:eastAsia="仿宋_GB2312" w:cs="仿宋_GB2312"/>
                <w:color w:val="auto"/>
                <w:sz w:val="28"/>
                <w:szCs w:val="28"/>
                <w:highlight w:val="none"/>
                <w:lang w:val="en-US" w:eastAsia="zh-CN"/>
              </w:rPr>
              <w:t>。新建石林县托幼服务中心，配套</w:t>
            </w:r>
            <w:r>
              <w:rPr>
                <w:rFonts w:hint="eastAsia" w:ascii="宋体" w:hAnsi="宋体" w:eastAsia="仿宋_GB2312" w:cs="仿宋_GB2312"/>
                <w:color w:val="auto"/>
                <w:sz w:val="28"/>
                <w:szCs w:val="28"/>
                <w:highlight w:val="none"/>
              </w:rPr>
              <w:t>设置幼儿寝室、活动室</w:t>
            </w:r>
            <w:r>
              <w:rPr>
                <w:rFonts w:hint="eastAsia" w:ascii="宋体" w:hAnsi="宋体" w:eastAsia="仿宋_GB2312" w:cs="仿宋_GB2312"/>
                <w:color w:val="auto"/>
                <w:sz w:val="28"/>
                <w:szCs w:val="28"/>
                <w:highlight w:val="none"/>
                <w:lang w:eastAsia="zh-CN"/>
              </w:rPr>
              <w:t>、</w:t>
            </w:r>
            <w:r>
              <w:rPr>
                <w:rFonts w:hint="eastAsia" w:ascii="宋体" w:hAnsi="宋体" w:eastAsia="仿宋_GB2312" w:cs="仿宋_GB2312"/>
                <w:color w:val="auto"/>
                <w:sz w:val="28"/>
                <w:szCs w:val="28"/>
                <w:highlight w:val="none"/>
              </w:rPr>
              <w:t>保健室等基础用房</w:t>
            </w:r>
            <w:r>
              <w:rPr>
                <w:rFonts w:hint="eastAsia" w:ascii="宋体" w:hAnsi="宋体" w:eastAsia="仿宋_GB2312" w:cs="仿宋_GB2312"/>
                <w:color w:val="auto"/>
                <w:sz w:val="28"/>
                <w:szCs w:val="28"/>
                <w:highlight w:val="none"/>
                <w:lang w:eastAsia="zh-CN"/>
              </w:rPr>
              <w:t>，</w:t>
            </w:r>
            <w:r>
              <w:rPr>
                <w:rFonts w:hint="eastAsia" w:ascii="宋体" w:hAnsi="宋体" w:eastAsia="仿宋_GB2312" w:cs="仿宋_GB2312"/>
                <w:color w:val="auto"/>
                <w:sz w:val="28"/>
                <w:szCs w:val="28"/>
                <w:highlight w:val="none"/>
                <w:lang w:val="en-US" w:eastAsia="zh-CN"/>
              </w:rPr>
              <w:t>至少满足</w:t>
            </w:r>
            <w:r>
              <w:rPr>
                <w:rFonts w:hint="eastAsia" w:ascii="宋体" w:hAnsi="宋体" w:eastAsia="仿宋_GB2312" w:cs="宋体"/>
                <w:color w:val="auto"/>
                <w:sz w:val="28"/>
                <w:szCs w:val="28"/>
                <w:highlight w:val="none"/>
                <w:lang w:val="en-US" w:eastAsia="zh-CN"/>
              </w:rPr>
              <w:t>300</w:t>
            </w:r>
            <w:r>
              <w:rPr>
                <w:rFonts w:hint="eastAsia" w:ascii="宋体" w:hAnsi="宋体" w:eastAsia="仿宋_GB2312" w:cs="仿宋_GB2312"/>
                <w:color w:val="auto"/>
                <w:sz w:val="28"/>
                <w:szCs w:val="28"/>
                <w:highlight w:val="none"/>
                <w:lang w:val="en-US" w:eastAsia="zh-CN"/>
              </w:rPr>
              <w:t>余名适龄儿童的入园需求。</w:t>
            </w:r>
          </w:p>
        </w:tc>
      </w:tr>
      <w:bookmarkEnd w:id="423"/>
      <w:bookmarkEnd w:id="424"/>
      <w:bookmarkEnd w:id="425"/>
      <w:bookmarkEnd w:id="426"/>
      <w:bookmarkEnd w:id="427"/>
      <w:bookmarkEnd w:id="428"/>
      <w:bookmarkEnd w:id="609"/>
      <w:bookmarkEnd w:id="610"/>
      <w:bookmarkEnd w:id="611"/>
      <w:bookmarkEnd w:id="612"/>
      <w:bookmarkEnd w:id="613"/>
      <w:bookmarkEnd w:id="614"/>
    </w:tbl>
    <w:p w14:paraId="7AD66D1C">
      <w:pPr>
        <w:keepNext/>
        <w:keepLines/>
        <w:pageBreakBefore w:val="0"/>
        <w:widowControl w:val="0"/>
        <w:numPr>
          <w:ilvl w:val="0"/>
          <w:numId w:val="0"/>
        </w:numPr>
        <w:kinsoku/>
        <w:wordWrap/>
        <w:overflowPunct/>
        <w:topLinePunct w:val="0"/>
        <w:autoSpaceDE/>
        <w:autoSpaceDN/>
        <w:bidi w:val="0"/>
        <w:adjustRightInd/>
        <w:snapToGrid/>
        <w:spacing w:before="400" w:beforeLines="0" w:beforeAutospacing="0" w:after="200" w:afterLines="0" w:afterAutospacing="0" w:line="52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kern w:val="44"/>
          <w:sz w:val="36"/>
          <w:szCs w:val="36"/>
          <w:highlight w:val="none"/>
          <w:lang w:val="en-US" w:eastAsia="zh-CN" w:bidi="ar-SA"/>
        </w:rPr>
      </w:pPr>
      <w:bookmarkStart w:id="640" w:name="_Toc1871178536"/>
      <w:bookmarkStart w:id="641" w:name="_Toc1532777175"/>
      <w:bookmarkStart w:id="642" w:name="_Toc976658395"/>
      <w:bookmarkStart w:id="643" w:name="_Toc29728"/>
      <w:bookmarkStart w:id="644" w:name="_Toc2308"/>
      <w:r>
        <w:rPr>
          <w:rFonts w:hint="eastAsia" w:ascii="方正小标宋简体" w:hAnsi="方正小标宋简体" w:eastAsia="方正小标宋简体" w:cs="方正小标宋简体"/>
          <w:b w:val="0"/>
          <w:bCs/>
          <w:color w:val="auto"/>
          <w:kern w:val="44"/>
          <w:sz w:val="36"/>
          <w:szCs w:val="36"/>
          <w:highlight w:val="none"/>
          <w:lang w:val="en-US" w:eastAsia="zh-CN" w:bidi="ar-SA"/>
        </w:rPr>
        <w:t>第十一章  推动绿色低碳发展，厚植高质量发展生态本底</w:t>
      </w:r>
      <w:bookmarkEnd w:id="640"/>
      <w:bookmarkEnd w:id="641"/>
      <w:bookmarkEnd w:id="642"/>
      <w:bookmarkEnd w:id="643"/>
      <w:bookmarkEnd w:id="644"/>
    </w:p>
    <w:p w14:paraId="0E4F2556">
      <w:pPr>
        <w:keepNext/>
        <w:keepLines w:val="0"/>
        <w:pageBreakBefore w:val="0"/>
        <w:widowControl w:val="0"/>
        <w:kinsoku/>
        <w:wordWrap/>
        <w:overflowPunct/>
        <w:topLinePunct w:val="0"/>
        <w:autoSpaceDE/>
        <w:autoSpaceDN/>
        <w:bidi w:val="0"/>
        <w:adjustRightInd/>
        <w:snapToGrid/>
        <w:spacing w:line="516" w:lineRule="exact"/>
        <w:textAlignment w:val="auto"/>
        <w:rPr>
          <w:rFonts w:hint="eastAsia"/>
          <w:lang w:val="en-US" w:eastAsia="zh-CN"/>
        </w:rPr>
      </w:pPr>
      <w:r>
        <w:rPr>
          <w:rFonts w:hint="eastAsia"/>
          <w:lang w:val="en-US" w:eastAsia="zh-CN"/>
        </w:rPr>
        <w:t>贯彻落实习近平生态文明思想，实施生态美县战略，统筹推进山水林田湖草沙一体化保护和系统治理，协同推进降碳、减污、扩绿、增长，如期实现碳达峰目标，加快形成以实现人与自然和谐共生的现代化为导向的美丽石林新格局。</w:t>
      </w:r>
    </w:p>
    <w:p w14:paraId="4625BAB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45" w:name="_Toc340122198"/>
      <w:bookmarkStart w:id="646" w:name="_Toc5998"/>
      <w:bookmarkStart w:id="647" w:name="_Toc1242771508"/>
      <w:bookmarkStart w:id="648" w:name="_Toc363070398"/>
      <w:bookmarkStart w:id="649" w:name="_Toc747207747"/>
      <w:bookmarkStart w:id="650" w:name="_Toc29005"/>
      <w:bookmarkStart w:id="651" w:name="_Toc16100"/>
      <w:bookmarkStart w:id="652" w:name="_Toc1063831215"/>
      <w:bookmarkStart w:id="653" w:name="_Toc1480130744"/>
      <w:bookmarkStart w:id="654" w:name="_Toc1963795954"/>
      <w:bookmarkStart w:id="655" w:name="_Toc1791607190"/>
      <w:bookmarkStart w:id="656" w:name="_Toc11901"/>
      <w:bookmarkStart w:id="657" w:name="_Toc678241582"/>
      <w:bookmarkStart w:id="658" w:name="_Toc745236417"/>
      <w:bookmarkStart w:id="659" w:name="_Toc1103341549"/>
      <w:bookmarkStart w:id="660" w:name="_Toc916944717"/>
      <w:bookmarkStart w:id="661" w:name="_Toc1185979623"/>
      <w:bookmarkStart w:id="662" w:name="_Toc1817647269"/>
      <w:bookmarkStart w:id="663" w:name="_Toc2001545514"/>
      <w:bookmarkStart w:id="664" w:name="_Toc30257"/>
      <w:r>
        <w:rPr>
          <w:rFonts w:hint="eastAsia" w:ascii="宋体" w:hAnsi="宋体" w:eastAsia="黑体" w:cs="黑体"/>
          <w:b w:val="0"/>
          <w:bCs/>
          <w:color w:val="auto"/>
          <w:kern w:val="2"/>
          <w:sz w:val="32"/>
          <w:szCs w:val="24"/>
          <w:highlight w:val="none"/>
          <w:u w:val="none"/>
          <w:lang w:val="en-US" w:eastAsia="zh-CN" w:bidi="ar-SA"/>
        </w:rPr>
        <w:t>第一节  深入打好污染防治攻坚战</w:t>
      </w:r>
      <w:bookmarkEnd w:id="645"/>
      <w:bookmarkEnd w:id="646"/>
      <w:bookmarkEnd w:id="647"/>
      <w:bookmarkEnd w:id="648"/>
      <w:bookmarkEnd w:id="649"/>
      <w:bookmarkEnd w:id="650"/>
      <w:bookmarkEnd w:id="651"/>
      <w:bookmarkEnd w:id="652"/>
      <w:bookmarkEnd w:id="653"/>
      <w:bookmarkEnd w:id="654"/>
      <w:bookmarkEnd w:id="655"/>
    </w:p>
    <w:p w14:paraId="10E1BB45">
      <w:pPr>
        <w:keepLines w:val="0"/>
        <w:pageBreakBefore w:val="0"/>
        <w:widowControl w:val="0"/>
        <w:kinsoku/>
        <w:wordWrap/>
        <w:overflowPunct/>
        <w:topLinePunct w:val="0"/>
        <w:autoSpaceDE/>
        <w:autoSpaceDN/>
        <w:bidi w:val="0"/>
        <w:adjustRightInd/>
        <w:snapToGrid/>
        <w:spacing w:line="516" w:lineRule="exact"/>
        <w:textAlignment w:val="auto"/>
        <w:rPr>
          <w:rFonts w:hint="eastAsia"/>
          <w:lang w:val="en-US" w:eastAsia="zh-CN"/>
        </w:rPr>
      </w:pPr>
      <w:r>
        <w:rPr>
          <w:rFonts w:hint="eastAsia"/>
          <w:lang w:val="en-US" w:eastAsia="zh-CN"/>
        </w:rPr>
        <w:t>坚持保护为先、治污为重、扩绿为基、转型为要、发展为本，深入打好污染防治攻坚战，守护好绿水青山、蓝天白云，夯实高质量发展的鲜明底色。</w:t>
      </w:r>
    </w:p>
    <w:p w14:paraId="143FF92B">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16"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一、持续深入打好蓝天保卫战</w:t>
      </w:r>
    </w:p>
    <w:p w14:paraId="436033C2">
      <w:pPr>
        <w:keepLines w:val="0"/>
        <w:pageBreakBefore w:val="0"/>
        <w:widowControl w:val="0"/>
        <w:kinsoku/>
        <w:wordWrap/>
        <w:overflowPunct/>
        <w:topLinePunct w:val="0"/>
        <w:autoSpaceDE/>
        <w:autoSpaceDN/>
        <w:bidi w:val="0"/>
        <w:adjustRightInd/>
        <w:snapToGrid/>
        <w:spacing w:line="516" w:lineRule="exact"/>
        <w:textAlignment w:val="auto"/>
        <w:rPr>
          <w:rFonts w:hint="eastAsia"/>
          <w:lang w:val="en-US" w:eastAsia="zh-CN"/>
        </w:rPr>
      </w:pPr>
      <w:r>
        <w:rPr>
          <w:rFonts w:hint="eastAsia"/>
          <w:lang w:val="en-US" w:eastAsia="zh-CN"/>
        </w:rPr>
        <w:t>以持续改善空气质量为核心，强化多污染物协同控制和区域协同治理。全域推进餐饮油烟净化、施工扬尘智能监控及秸秆禁烧精细化管控，杜绝露天焚烧。创新交通治理，加速柴油货车新能源替代，完善物流园区、景区等重点区域非道路移动机械登记管理，推广新能源公交覆盖全域景区接驳体系。</w:t>
      </w:r>
    </w:p>
    <w:p w14:paraId="7237884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16"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二、持续深入打好碧水保卫战</w:t>
      </w:r>
    </w:p>
    <w:p w14:paraId="5038EAAC">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lang w:val="en-US" w:eastAsia="zh-CN"/>
        </w:rPr>
        <w:t>坚持精准、科学、依法治水，深化河（湖）长+检察长协作机制，强化西河、巴江、普拉河等重点流域“一河一策一图”精准治理。推进雨污分流改造全覆盖，完善集镇污水管网及智能监测设施，推广“厂网河一体化”模式，鼓励企业中水回用、减少工业用水量。严格饮用水源地保护，推进“千吨万人”和乡镇级饮用水水源地规范化建设，巩固黑龙潭水库等水源地隔离防护与生态修复成果，确保水质100%达标。严控地下水污染风险，推进园区、重点企业等重点区域地下水环境状况调查评估，实施分区分类管控。以南盘江流域为重点，深化跨区域联防联治，探索以水质、水量为核心的流域横向补偿机制，打造“有河有水、有鱼有草、人水和谐”的美丽河湖典范。</w:t>
      </w:r>
    </w:p>
    <w:p w14:paraId="7215DF41">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三、持续深入打好净土保卫战</w:t>
      </w:r>
    </w:p>
    <w:p w14:paraId="64963E6B">
      <w:pPr>
        <w:keepNext w:val="0"/>
        <w:keepLines w:val="0"/>
        <w:pageBreakBefore w:val="0"/>
        <w:widowControl w:val="0"/>
        <w:kinsoku/>
        <w:wordWrap/>
        <w:overflowPunct/>
        <w:topLinePunct w:val="0"/>
        <w:autoSpaceDE/>
        <w:autoSpaceDN/>
        <w:bidi w:val="0"/>
        <w:adjustRightInd/>
        <w:snapToGrid/>
        <w:spacing w:line="524" w:lineRule="exact"/>
        <w:textAlignment w:val="auto"/>
        <w:rPr>
          <w:rFonts w:hint="eastAsia"/>
          <w:lang w:val="en-US" w:eastAsia="zh-CN"/>
        </w:rPr>
      </w:pPr>
      <w:r>
        <w:rPr>
          <w:rFonts w:hint="eastAsia"/>
          <w:lang w:val="en-US" w:eastAsia="zh-CN"/>
        </w:rPr>
        <w:t>全面推进土壤污染防治，加强土壤污染源头防控，严格建设用地准入管理，全面落实调查评估制度，完善污染地块名录并动态更新，推进重点污染地块风险管控与修复，提高建设用地土壤环境质量。开展重点区域土壤污染详查，建立土壤环境质量动态监测网络，针对受污染耕地实施安全利用、严格管控等分类治理措施。推广绿色农业生产方式，减少农药化肥使用量，加强果蔬废弃物全流程管理收集处置，推进畜禽养殖废弃物无害化处理和资源化利用，严控农业面源污染。</w:t>
      </w:r>
    </w:p>
    <w:p w14:paraId="288E3052">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4"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四、强化固体废物和新污染物治理</w:t>
      </w:r>
    </w:p>
    <w:p w14:paraId="35EF7175">
      <w:pPr>
        <w:keepNext w:val="0"/>
        <w:keepLines w:val="0"/>
        <w:pageBreakBefore w:val="0"/>
        <w:widowControl w:val="0"/>
        <w:kinsoku/>
        <w:wordWrap/>
        <w:overflowPunct/>
        <w:topLinePunct w:val="0"/>
        <w:autoSpaceDE/>
        <w:autoSpaceDN/>
        <w:bidi w:val="0"/>
        <w:adjustRightInd/>
        <w:snapToGrid/>
        <w:spacing w:line="524" w:lineRule="exact"/>
        <w:textAlignment w:val="auto"/>
        <w:rPr>
          <w:rFonts w:hint="eastAsia"/>
          <w:lang w:val="en-US" w:eastAsia="zh-CN"/>
        </w:rPr>
      </w:pPr>
      <w:r>
        <w:rPr>
          <w:rFonts w:hint="eastAsia"/>
          <w:lang w:val="en-US" w:eastAsia="zh-CN"/>
        </w:rPr>
        <w:t>深化“无废城市”建设，构建与城市发展需求相匹配的建筑垃圾处理体系，提高建筑垃圾源头减量及资源化利用水平。大力推进生活垃圾分类，构建“回收点—中转站—分拣中心”再生资源体系。持续推进城镇污水处理污泥稳定化、无害化和资源化。加强石材加工废渣、尾矿等全流程跟踪管理，推动资源化综合利用。强化农业固废治理，推广地膜“以旧换新”循环机制。建立县域新污染物清单，强化农药、抗生素等污染物风险筛查，严格管控微塑料、持久性有机污染物生产和使用。加强危险废物监管，提升医疗废物处置能力，确保医疗废物无害化处置率达到100%。</w:t>
      </w:r>
    </w:p>
    <w:p w14:paraId="694B2C80">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4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65" w:name="_Toc106847560"/>
      <w:bookmarkStart w:id="666" w:name="_Toc2195"/>
      <w:r>
        <w:rPr>
          <w:rFonts w:hint="eastAsia" w:ascii="宋体" w:hAnsi="宋体" w:eastAsia="黑体" w:cs="黑体"/>
          <w:b w:val="0"/>
          <w:bCs/>
          <w:color w:val="auto"/>
          <w:kern w:val="2"/>
          <w:sz w:val="32"/>
          <w:szCs w:val="24"/>
          <w:highlight w:val="none"/>
          <w:u w:val="none"/>
          <w:lang w:val="en-US" w:eastAsia="zh-CN" w:bidi="ar-SA"/>
        </w:rPr>
        <w:t>第二节  加强生态系统保护和修复</w:t>
      </w:r>
      <w:bookmarkEnd w:id="656"/>
      <w:bookmarkEnd w:id="657"/>
      <w:bookmarkEnd w:id="658"/>
      <w:bookmarkEnd w:id="659"/>
      <w:bookmarkEnd w:id="660"/>
      <w:bookmarkEnd w:id="661"/>
      <w:bookmarkEnd w:id="662"/>
      <w:bookmarkEnd w:id="663"/>
      <w:bookmarkEnd w:id="664"/>
      <w:bookmarkEnd w:id="665"/>
      <w:bookmarkEnd w:id="666"/>
    </w:p>
    <w:p w14:paraId="34EBE023">
      <w:pPr>
        <w:bidi w:val="0"/>
        <w:rPr>
          <w:rFonts w:hint="eastAsia"/>
          <w:lang w:val="en-US" w:eastAsia="zh-CN"/>
        </w:rPr>
      </w:pPr>
      <w:r>
        <w:rPr>
          <w:rFonts w:hint="eastAsia"/>
          <w:lang w:val="en-US" w:eastAsia="zh-CN"/>
        </w:rPr>
        <w:t>坚持底线思维和系统观念，统筹推进山水林田湖草沙一体化保护和系统修复，着力推动生态系统保护修复从“局部攻坚”向“全域提升”拓展，不断筑牢石林生态安全屏障。</w:t>
      </w:r>
    </w:p>
    <w:p w14:paraId="760CB2FD">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一、加强重要生态系统保护和修复</w:t>
      </w:r>
    </w:p>
    <w:p w14:paraId="063D4A84">
      <w:pPr>
        <w:bidi w:val="0"/>
        <w:rPr>
          <w:rFonts w:hint="eastAsia"/>
          <w:lang w:eastAsia="zh-CN"/>
        </w:rPr>
      </w:pPr>
      <w:r>
        <w:rPr>
          <w:rFonts w:hint="eastAsia"/>
          <w:lang w:val="en-US" w:eastAsia="zh-CN"/>
        </w:rPr>
        <w:t>坚持山水林田湖草沙一体化保护和系统治理，</w:t>
      </w:r>
      <w:r>
        <w:rPr>
          <w:rFonts w:hint="eastAsia"/>
        </w:rPr>
        <w:t>按照“整体保护、系统修复、区域统筹、综合治理”的要求，加强重要生态系统保护和修复</w:t>
      </w:r>
      <w:r>
        <w:rPr>
          <w:rFonts w:hint="eastAsia"/>
          <w:lang w:eastAsia="zh-CN"/>
        </w:rPr>
        <w:t>。</w:t>
      </w:r>
      <w:r>
        <w:rPr>
          <w:rFonts w:hint="eastAsia"/>
        </w:rPr>
        <w:t>强化石林风景名胜区、世界地质公园、世界自然遗产地、圭山森林公园、水源涵养区等自然保护地、生态重要和敏感地区，明确水土保持生态系统主导服务功能，构建全域重要生态屏障、廊道和网络。</w:t>
      </w:r>
      <w:r>
        <w:rPr>
          <w:rFonts w:hint="eastAsia"/>
          <w:lang w:val="en-US" w:eastAsia="zh-CN"/>
        </w:rPr>
        <w:t>以沿路、沿河湖、沿集镇为重点，开展大规模国土绿化行动，全面压实林长制工作机制，实施好天然林停伐保护、重点公益林保护工程和国家森林抚育项目。完善湿地保护体系，加强巴江河、普拉河湿地生态修复。</w:t>
      </w:r>
    </w:p>
    <w:p w14:paraId="51EA641E">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二、加强石漠化和矿山生态治理</w:t>
      </w:r>
    </w:p>
    <w:p w14:paraId="51ECB657">
      <w:pPr>
        <w:bidi w:val="0"/>
        <w:rPr>
          <w:rFonts w:hint="eastAsia"/>
          <w:lang w:val="en-US" w:eastAsia="zh-CN"/>
        </w:rPr>
      </w:pPr>
      <w:r>
        <w:rPr>
          <w:rFonts w:hint="eastAsia"/>
          <w:lang w:val="en-US" w:eastAsia="zh-CN"/>
        </w:rPr>
        <w:t>深化石漠化综合治理，加大资金投入，积极争取国家和省级生态修复专项资金支持，全力推进昆明市滇东南山地石漠化综合治理人工造林和小型水利水保设施建设。按照“关闭一批、保留一批、提升一批、适当新建一批”的要求，加快推动矿山整合，力争达标保留11个、转型升级12个、整合重组2个、淘汰关闭10个。强化矿山生态修复监管，严格推行“边开采、边修复”模式，压实在产企业主体责任。推进尾矿库磷石膏回填及历史遗留矿山修复，积极引入社会资本参与生态治理。</w:t>
      </w:r>
    </w:p>
    <w:p w14:paraId="323740A3">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三、持续加强生物多样性保护</w:t>
      </w:r>
    </w:p>
    <w:p w14:paraId="2BBC7AAF">
      <w:pPr>
        <w:bidi w:val="0"/>
        <w:rPr>
          <w:rFonts w:hint="eastAsia"/>
          <w:lang w:val="en-US" w:eastAsia="zh-CN"/>
        </w:rPr>
      </w:pPr>
      <w:r>
        <w:rPr>
          <w:rFonts w:hint="eastAsia"/>
          <w:lang w:val="en-US" w:eastAsia="zh-CN"/>
        </w:rPr>
        <w:t>持续推进自然保护地整合优化，构建以</w:t>
      </w:r>
      <w:r>
        <w:rPr>
          <w:rFonts w:hint="eastAsia"/>
        </w:rPr>
        <w:t>云南石林岩溶峰林</w:t>
      </w:r>
      <w:r>
        <w:rPr>
          <w:rFonts w:hint="eastAsia"/>
          <w:lang w:val="en-US" w:eastAsia="zh-CN"/>
        </w:rPr>
        <w:t>国家</w:t>
      </w:r>
      <w:r>
        <w:rPr>
          <w:rFonts w:hint="eastAsia"/>
        </w:rPr>
        <w:t>地质公园、云南圭山国家森林公园和云南石林国家级风景名胜区</w:t>
      </w:r>
      <w:r>
        <w:rPr>
          <w:rFonts w:hint="eastAsia"/>
          <w:lang w:val="en-US" w:eastAsia="zh-CN"/>
        </w:rPr>
        <w:t>为主的自然保护地体系。严格落实长江“十年禁渔”，严禁天然水域及与其连通沟渠、库汊等重点区域捕捞行为。建立珍稀动植物栖息地修复示范区，实施水晶兰、灰林鸮等濒危物种保护专项行动，加强进境动植物检疫和外来入侵物种防控。</w:t>
      </w:r>
    </w:p>
    <w:p w14:paraId="4E9E0178">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4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67" w:name="_Toc172150813"/>
      <w:bookmarkStart w:id="668" w:name="_Toc21462"/>
      <w:bookmarkStart w:id="669" w:name="_Toc793925262"/>
      <w:bookmarkStart w:id="670" w:name="_Toc864567817"/>
      <w:bookmarkStart w:id="671" w:name="_Toc565057293"/>
      <w:bookmarkStart w:id="672" w:name="_Toc24875"/>
      <w:bookmarkStart w:id="673" w:name="_Toc490612028"/>
      <w:bookmarkStart w:id="674" w:name="_Toc684035420"/>
      <w:bookmarkStart w:id="675" w:name="_Toc24518"/>
      <w:bookmarkStart w:id="676" w:name="_Toc1147127884"/>
      <w:bookmarkStart w:id="677" w:name="_Toc2065827909"/>
      <w:bookmarkStart w:id="678" w:name="_Toc1673827743"/>
      <w:bookmarkStart w:id="679" w:name="_Toc1123138059"/>
      <w:bookmarkStart w:id="680" w:name="_Toc1979797119"/>
      <w:bookmarkStart w:id="681" w:name="_Toc834784234"/>
      <w:bookmarkStart w:id="682" w:name="_Toc842428135"/>
      <w:bookmarkStart w:id="683" w:name="_Toc2009869230"/>
      <w:bookmarkStart w:id="684" w:name="_Toc1983719820"/>
      <w:bookmarkStart w:id="685" w:name="_Toc12681"/>
      <w:bookmarkStart w:id="686" w:name="_Toc22929"/>
      <w:r>
        <w:rPr>
          <w:rFonts w:hint="eastAsia" w:ascii="宋体" w:hAnsi="宋体" w:eastAsia="黑体" w:cs="黑体"/>
          <w:b w:val="0"/>
          <w:bCs/>
          <w:color w:val="auto"/>
          <w:kern w:val="2"/>
          <w:sz w:val="32"/>
          <w:szCs w:val="24"/>
          <w:highlight w:val="none"/>
          <w:u w:val="none"/>
          <w:lang w:val="en-US" w:eastAsia="zh-CN" w:bidi="ar-SA"/>
        </w:rPr>
        <w:t>第三节  全面推动经济社会绿色低碳发展</w:t>
      </w:r>
      <w:bookmarkEnd w:id="667"/>
      <w:bookmarkEnd w:id="668"/>
      <w:bookmarkEnd w:id="669"/>
      <w:bookmarkEnd w:id="670"/>
      <w:bookmarkEnd w:id="671"/>
      <w:bookmarkEnd w:id="672"/>
      <w:bookmarkEnd w:id="673"/>
      <w:bookmarkEnd w:id="674"/>
      <w:bookmarkEnd w:id="675"/>
      <w:bookmarkEnd w:id="676"/>
      <w:bookmarkEnd w:id="677"/>
    </w:p>
    <w:p w14:paraId="4E185C3D">
      <w:pPr>
        <w:bidi w:val="0"/>
        <w:rPr>
          <w:rFonts w:hint="eastAsia"/>
          <w:lang w:val="en-US" w:eastAsia="zh-CN"/>
        </w:rPr>
      </w:pPr>
      <w:r>
        <w:rPr>
          <w:rFonts w:hint="eastAsia"/>
          <w:lang w:val="en-US" w:eastAsia="zh-CN"/>
        </w:rPr>
        <w:t>以“双碳”目标为引领，推动形成绿色低碳生产生活方式，促进经济社会发展绿色低碳全面转型。</w:t>
      </w:r>
    </w:p>
    <w:p w14:paraId="1F11AF56">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一、落实碳排放双控制度</w:t>
      </w:r>
    </w:p>
    <w:p w14:paraId="014D9126">
      <w:pPr>
        <w:bidi w:val="0"/>
        <w:rPr>
          <w:rFonts w:hint="eastAsia"/>
          <w:lang w:val="en-US" w:eastAsia="zh-CN"/>
        </w:rPr>
      </w:pPr>
      <w:r>
        <w:rPr>
          <w:rFonts w:hint="eastAsia"/>
          <w:lang w:val="en-US" w:eastAsia="zh-CN"/>
        </w:rPr>
        <w:t>严格落实昆明市碳达峰行动方案，积极稳妥推进碳达峰行动，将碳达峰贯穿于全县经济社会发展全过程和各方面，力争与全国、全省、全市同步实现碳达峰。严格合理控制煤炭消费增长，构建“风光水储”多能互补能源体系，推进能源清洁低碳转型。将温室气体管控纳入环评管理，实施碳排放总量和强度双控制度。按照市级统一安排部署，积极配合省级有关部门参与碳排放权交易市场建设，鼓励企业购买绿证、使用绿电，支持和鼓励企业参与碳排放权、用能权等交易。</w:t>
      </w:r>
    </w:p>
    <w:p w14:paraId="2CF4C991">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二、推进生产方式绿色低碳发展</w:t>
      </w:r>
    </w:p>
    <w:p w14:paraId="792BF93B">
      <w:pPr>
        <w:bidi w:val="0"/>
        <w:rPr>
          <w:rFonts w:hint="eastAsia"/>
          <w:lang w:val="en-US" w:eastAsia="zh-CN"/>
        </w:rPr>
      </w:pPr>
      <w:r>
        <w:rPr>
          <w:rFonts w:hint="eastAsia"/>
          <w:lang w:val="en-US" w:eastAsia="zh-CN"/>
        </w:rPr>
        <w:t>坚决遏制“两高一低”项目盲目发展，淘汰关停落后产能，推动</w:t>
      </w:r>
      <w:r>
        <w:rPr>
          <w:rFonts w:hint="eastAsia"/>
          <w:lang w:eastAsia="zh-CN"/>
        </w:rPr>
        <w:t>石</w:t>
      </w:r>
      <w:r>
        <w:rPr>
          <w:rFonts w:hint="eastAsia"/>
          <w:lang w:val="en-US" w:eastAsia="zh-CN"/>
        </w:rPr>
        <w:t>材、食品加工等重点行业超低排放改造。加快绿色科技创新和先进绿色技术推广应用，全力推动绿色食品加工、新型建材全产业链集聚集约发展，积极建设一批绿色工厂。推动石林产业园区循环化改造，积极创建绿色低碳园区。推进农业绿色发展，推广优良作物畜禽品种和绿色高效栽培养殖技术，推进化肥、农药等农业投入品减量增效。推进交通运输绿色转型，大力发展多式联运“一单制”“一箱制”，推动配送方式绿色智能转型。</w:t>
      </w:r>
    </w:p>
    <w:p w14:paraId="6CA63331">
      <w:pPr>
        <w:keepNext/>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三、全面推进生活方式绿色低碳转型</w:t>
      </w:r>
    </w:p>
    <w:p w14:paraId="41E7C3C9">
      <w:pPr>
        <w:keepNext/>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大力倡导简约适度、绿色低碳、文明健康的生活理念和消费方式，增强全民节约意识、环保意识、生态意识。广泛开展绿色生活创建行动，引导公众节约用水用电、反对铺张浪费、推广“光盘行动”、抵制过度包装、减少一次性用品使用。鼓励和支持公众提高新能源交通运输工具使用率，引导公众优先选择公共交通、步行、自行车等绿色出行方式。加快既有建筑和市政基础设施节能节水降碳改造，推进建筑光伏一体化建设，推动绿色新型建材、绿色建筑、装配式建筑增幅稳步提升。</w:t>
      </w:r>
    </w:p>
    <w:p w14:paraId="087F2AB6">
      <w:pPr>
        <w:keepNext/>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四、加强资源节约集约利用</w:t>
      </w:r>
    </w:p>
    <w:p w14:paraId="3E0644FE">
      <w:pPr>
        <w:keepNext/>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实施全面节约战略，加强节能减排约束性指标管理推进各类资源高效集约节约利用。坚持节约集约用地，加大低效用地、闲置用地再开发，有效盘活石林产业园区、台创园等闲置土地资源资产。实施节水行动，建立水资源刚性约束制度，扩大人参果、烤烟等高效作物滴灌覆盖，推进节水型社会达标建设。大力发展循环经济，强化退役风电光伏、动力电池等废弃物分类处置和回收能力，加大农作物秸秆和畜禽粪污资源化利用，普遍实行垃圾分类和资源化利用，提升再生利用规模化、规范化、精细化水平。</w:t>
      </w:r>
    </w:p>
    <w:p w14:paraId="58A9CB86">
      <w:pPr>
        <w:keepNext/>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20" w:lineRule="exact"/>
        <w:ind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87" w:name="_Toc1526633763"/>
      <w:bookmarkStart w:id="688" w:name="_Toc23486"/>
      <w:r>
        <w:rPr>
          <w:rFonts w:hint="eastAsia" w:ascii="宋体" w:hAnsi="宋体" w:eastAsia="黑体" w:cs="黑体"/>
          <w:b w:val="0"/>
          <w:bCs/>
          <w:color w:val="auto"/>
          <w:kern w:val="2"/>
          <w:sz w:val="32"/>
          <w:szCs w:val="24"/>
          <w:highlight w:val="none"/>
          <w:u w:val="none"/>
          <w:lang w:val="en-US" w:eastAsia="zh-CN" w:bidi="ar-SA"/>
        </w:rPr>
        <w:t xml:space="preserve">第四节  </w:t>
      </w:r>
      <w:bookmarkEnd w:id="678"/>
      <w:bookmarkEnd w:id="679"/>
      <w:bookmarkEnd w:id="680"/>
      <w:bookmarkEnd w:id="681"/>
      <w:bookmarkEnd w:id="682"/>
      <w:bookmarkEnd w:id="683"/>
      <w:bookmarkEnd w:id="684"/>
      <w:bookmarkEnd w:id="685"/>
      <w:bookmarkEnd w:id="686"/>
      <w:bookmarkEnd w:id="687"/>
      <w:r>
        <w:rPr>
          <w:rFonts w:hint="eastAsia" w:ascii="宋体" w:hAnsi="宋体" w:eastAsia="黑体" w:cs="黑体"/>
          <w:b w:val="0"/>
          <w:bCs/>
          <w:color w:val="auto"/>
          <w:kern w:val="2"/>
          <w:sz w:val="32"/>
          <w:szCs w:val="24"/>
          <w:highlight w:val="none"/>
          <w:u w:val="none"/>
          <w:lang w:val="en-US" w:eastAsia="zh-CN" w:bidi="ar-SA"/>
        </w:rPr>
        <w:t>推进生态产品价值实现</w:t>
      </w:r>
      <w:bookmarkEnd w:id="688"/>
    </w:p>
    <w:p w14:paraId="0659D618">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发挥石林生态优势、自然资源优势，充分运用碳汇交易政策，健全生态产品价值实现机制，加快打通“绿水青山”向“金山银山”转化通道，促进生态保护与绿色发展协同共赢。</w:t>
      </w:r>
    </w:p>
    <w:p w14:paraId="0D246D69">
      <w:pPr>
        <w:keepNext/>
        <w:keepLines w:val="0"/>
        <w:pageBreakBefore w:val="0"/>
        <w:widowControl w:val="0"/>
        <w:numPr>
          <w:ilvl w:val="0"/>
          <w:numId w:val="0"/>
        </w:numPr>
        <w:kinsoku/>
        <w:wordWrap/>
        <w:overflowPunct/>
        <w:topLinePunct w:val="0"/>
        <w:autoSpaceDE/>
        <w:autoSpaceDN/>
        <w:bidi w:val="0"/>
        <w:adjustRightInd/>
        <w:snapToGrid/>
        <w:spacing w:before="32" w:beforeLines="10" w:beforeAutospacing="0" w:after="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一、推动生态产品价值核算应用</w:t>
      </w:r>
    </w:p>
    <w:p w14:paraId="0FD8C730">
      <w:pPr>
        <w:bidi w:val="0"/>
        <w:rPr>
          <w:rFonts w:hint="eastAsia"/>
          <w:lang w:val="en-US" w:eastAsia="zh-CN"/>
        </w:rPr>
      </w:pPr>
      <w:r>
        <w:rPr>
          <w:rFonts w:hint="eastAsia"/>
          <w:lang w:val="en-US" w:eastAsia="zh-CN"/>
        </w:rPr>
        <w:t>严格落实“归属清晰、权责明确、保护严格、流转顺畅、监管有效”的自然资源资产产权制度，加快推进自然资源统一确权登记，明确水流、森林、山岭、荒地、滩涂等自然资源的产权主体和权责边界。加强林地、园地管理，合理推动集体林地、湿地、水域等生态资源依法依规进入市场流转。全面开展县域范围内森林、湿地、农田、水域、草地等生态系统服务功能本底调查与动态监测，科学评估物质供给、调节服务、文化服务等生态产品价值，逐步建立覆盖全域、分类清晰、动态更新的生态产品目录清单和动态数据库。加快构建“核算—应用—转化”全链条生态产品价值实现体系，强化核算结果在生态补偿、考核决策、绿色金融等方面应用。</w:t>
      </w:r>
    </w:p>
    <w:p w14:paraId="3950CC3F">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二、健全生态产品价值实现机制</w:t>
      </w:r>
    </w:p>
    <w:p w14:paraId="24EA5DB2">
      <w:pPr>
        <w:bidi w:val="0"/>
        <w:rPr>
          <w:rFonts w:hint="eastAsia"/>
          <w:lang w:val="en-US" w:eastAsia="zh-CN"/>
        </w:rPr>
      </w:pPr>
      <w:r>
        <w:rPr>
          <w:rFonts w:hint="eastAsia"/>
          <w:lang w:val="en-US" w:eastAsia="zh-CN"/>
        </w:rPr>
        <w:t>围绕人参果、蔬菜、花卉等特色农产品，强化绿色、有机和地理标志农产品认证和管理，大力发展绿色有机蔬菜、精品花卉等高附加值生态农产品。创新生态文旅融合模式，在严格保护前提下，科学布局慢行系统与低碳驿站，发展以生态研学、乡村旅居等低碳文旅产业，推动小箐村、大糯黑村等打造零碳文旅示范村。拓展生态产品市场化路径，结合国土绿化项目开展碳汇储备，积极推动林业碳汇项目开发交易。鼓励金融机构开发“生态贷”“GEP贷”“碳汇质押贷”等绿色金融产品，支持开展生态农业、生态文旅、碳汇项目。积极争取国家重点生态功能区转移支付、省级生态补偿等专项资金，聚焦“受益者付费、保护者获偿”原则，探索与飞地经济、流域上下游等相关地区建立横向补偿机制。</w:t>
      </w:r>
    </w:p>
    <w:p w14:paraId="5EE8550E">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40" w:lineRule="exact"/>
        <w:ind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689" w:name="_Toc1446"/>
      <w:bookmarkStart w:id="690" w:name="_Toc200100483"/>
      <w:bookmarkStart w:id="691" w:name="_Toc695395065"/>
      <w:bookmarkStart w:id="692" w:name="_Toc2146524032"/>
      <w:bookmarkStart w:id="693" w:name="_Toc2134584548"/>
      <w:bookmarkStart w:id="694" w:name="_Toc707954987"/>
      <w:bookmarkStart w:id="695" w:name="_Toc2101864947"/>
      <w:bookmarkStart w:id="696" w:name="_Toc329980274"/>
      <w:bookmarkStart w:id="697" w:name="_Toc7995"/>
      <w:bookmarkStart w:id="698" w:name="_Toc5612"/>
      <w:bookmarkStart w:id="699" w:name="_Toc1338552415"/>
      <w:r>
        <w:rPr>
          <w:rFonts w:hint="eastAsia" w:ascii="宋体" w:hAnsi="宋体" w:eastAsia="黑体" w:cs="黑体"/>
          <w:b w:val="0"/>
          <w:bCs/>
          <w:color w:val="auto"/>
          <w:kern w:val="2"/>
          <w:sz w:val="32"/>
          <w:szCs w:val="24"/>
          <w:highlight w:val="none"/>
          <w:u w:val="none"/>
          <w:lang w:val="en-US" w:eastAsia="zh-CN" w:bidi="ar-SA"/>
        </w:rPr>
        <w:t>第五节  加快健全现代环境治理体系</w:t>
      </w:r>
      <w:bookmarkEnd w:id="689"/>
      <w:bookmarkEnd w:id="690"/>
      <w:bookmarkEnd w:id="691"/>
      <w:bookmarkEnd w:id="692"/>
      <w:bookmarkEnd w:id="693"/>
      <w:bookmarkEnd w:id="694"/>
      <w:bookmarkEnd w:id="695"/>
      <w:bookmarkEnd w:id="696"/>
      <w:bookmarkEnd w:id="697"/>
      <w:bookmarkEnd w:id="698"/>
      <w:bookmarkEnd w:id="699"/>
    </w:p>
    <w:p w14:paraId="765A513C">
      <w:pPr>
        <w:bidi w:val="0"/>
        <w:rPr>
          <w:rFonts w:hint="eastAsia"/>
          <w:lang w:val="en-US" w:eastAsia="zh-CN"/>
        </w:rPr>
      </w:pPr>
      <w:r>
        <w:rPr>
          <w:rFonts w:hint="eastAsia"/>
          <w:lang w:val="en-US" w:eastAsia="zh-CN"/>
        </w:rPr>
        <w:t>健全责任和考核制度，严格落实河湖长制、林长制和领导干部自然资源资产离任审计、自然资源督察等制度。合力抓好中央生态环境保护督察反馈问题整改，巩固提升生态环境质量。推进生态环境损害赔偿，有序推进生态环境健康风险评估。加快落实以排污许可制为核心的固定污染源监管制度。健全生态安全协同监管机制，强化生态环境、林草、水务、应急等相关部门的协同联动，推动建立跨部门联席会商和联合执法制度。推进执法设施设备现代化建设，推广应用遥感监测、大数据分析、无人机巡查等技术手段，持续提升生态环境风险研判、监测预警和应急响应能力。完善生态环境保护宣传引导和公众参与机制，加强环境信息公开和社会监督。</w:t>
      </w:r>
    </w:p>
    <w:p w14:paraId="5F42FD68">
      <w:pPr>
        <w:keepNext/>
        <w:keepLines/>
        <w:pageBreakBefore w:val="0"/>
        <w:widowControl w:val="0"/>
        <w:numPr>
          <w:ilvl w:val="0"/>
          <w:numId w:val="0"/>
        </w:numPr>
        <w:kinsoku/>
        <w:wordWrap/>
        <w:overflowPunct/>
        <w:topLinePunct w:val="0"/>
        <w:autoSpaceDE/>
        <w:autoSpaceDN/>
        <w:bidi w:val="0"/>
        <w:adjustRightInd/>
        <w:snapToGrid/>
        <w:spacing w:before="400" w:beforeLines="0" w:beforeAutospacing="0" w:after="200" w:afterLines="0" w:afterAutospacing="0" w:line="520" w:lineRule="exact"/>
        <w:ind w:left="0" w:leftChars="0" w:firstLine="0" w:firstLineChars="0"/>
        <w:jc w:val="center"/>
        <w:textAlignment w:val="auto"/>
        <w:outlineLvl w:val="0"/>
        <w:rPr>
          <w:rFonts w:hint="default" w:ascii="宋体" w:hAnsi="宋体" w:eastAsia="方正仿宋_GBK" w:cs="Times New Roman Regular"/>
          <w:b w:val="0"/>
          <w:bCs/>
          <w:color w:val="auto"/>
          <w:kern w:val="44"/>
          <w:sz w:val="36"/>
          <w:szCs w:val="36"/>
          <w:highlight w:val="none"/>
          <w:lang w:val="en-US" w:eastAsia="zh-CN" w:bidi="ar-SA"/>
        </w:rPr>
      </w:pPr>
      <w:bookmarkStart w:id="700" w:name="_Toc1799660742"/>
      <w:bookmarkStart w:id="701" w:name="_Toc12564"/>
      <w:bookmarkStart w:id="702" w:name="_Toc15250"/>
      <w:bookmarkStart w:id="703" w:name="_Toc538249619"/>
      <w:bookmarkStart w:id="704" w:name="_Toc1782"/>
      <w:bookmarkStart w:id="705" w:name="_Toc232281207"/>
      <w:bookmarkStart w:id="706" w:name="_Toc1645608605"/>
      <w:bookmarkStart w:id="707" w:name="_Toc2040909689"/>
      <w:bookmarkStart w:id="708" w:name="_Toc12185"/>
      <w:bookmarkStart w:id="709" w:name="_Toc1540062129"/>
      <w:bookmarkStart w:id="710" w:name="_Toc1847961893"/>
      <w:bookmarkStart w:id="711" w:name="_Toc1051619871"/>
      <w:bookmarkStart w:id="712" w:name="_Toc1857027053"/>
      <w:bookmarkStart w:id="713" w:name="_Toc3999"/>
      <w:bookmarkStart w:id="714" w:name="_Toc25766"/>
      <w:bookmarkStart w:id="715" w:name="_Toc22826"/>
      <w:bookmarkStart w:id="716" w:name="_Toc15315"/>
      <w:bookmarkStart w:id="717" w:name="_Toc1388667212"/>
      <w:bookmarkStart w:id="718" w:name="_Toc129426579"/>
      <w:bookmarkStart w:id="719" w:name="_Toc748786691"/>
      <w:bookmarkStart w:id="720" w:name="_Toc824869656"/>
      <w:r>
        <w:rPr>
          <w:rFonts w:hint="default" w:ascii="宋体" w:hAnsi="宋体" w:eastAsia="方正小标宋_GBK" w:cs="Times New Roman Regular"/>
          <w:b w:val="0"/>
          <w:bCs/>
          <w:color w:val="auto"/>
          <w:kern w:val="44"/>
          <w:sz w:val="36"/>
          <w:szCs w:val="36"/>
          <w:highlight w:val="none"/>
          <w:lang w:val="en-US" w:eastAsia="zh-CN" w:bidi="ar-SA"/>
        </w:rPr>
        <w:t>第十</w:t>
      </w:r>
      <w:r>
        <w:rPr>
          <w:rFonts w:hint="eastAsia" w:ascii="宋体" w:hAnsi="宋体" w:eastAsia="方正小标宋_GBK" w:cs="Times New Roman Regular"/>
          <w:b w:val="0"/>
          <w:bCs/>
          <w:color w:val="auto"/>
          <w:kern w:val="44"/>
          <w:sz w:val="36"/>
          <w:szCs w:val="36"/>
          <w:highlight w:val="none"/>
          <w:lang w:val="en-US" w:eastAsia="zh-CN" w:bidi="ar-SA"/>
        </w:rPr>
        <w:t>二</w:t>
      </w:r>
      <w:r>
        <w:rPr>
          <w:rFonts w:hint="default" w:ascii="宋体" w:hAnsi="宋体" w:eastAsia="方正小标宋_GBK" w:cs="Times New Roman Regular"/>
          <w:b w:val="0"/>
          <w:bCs/>
          <w:color w:val="auto"/>
          <w:kern w:val="44"/>
          <w:sz w:val="36"/>
          <w:szCs w:val="36"/>
          <w:highlight w:val="none"/>
          <w:lang w:val="en-US" w:eastAsia="zh-CN" w:bidi="ar-SA"/>
        </w:rPr>
        <w:t>章</w:t>
      </w:r>
      <w:r>
        <w:rPr>
          <w:rFonts w:hint="eastAsia" w:ascii="宋体" w:hAnsi="宋体" w:eastAsia="方正小标宋_GBK" w:cs="Times New Roman Regular"/>
          <w:b w:val="0"/>
          <w:bCs/>
          <w:color w:val="auto"/>
          <w:kern w:val="44"/>
          <w:sz w:val="36"/>
          <w:szCs w:val="36"/>
          <w:highlight w:val="none"/>
          <w:lang w:val="en-US" w:eastAsia="zh-CN" w:bidi="ar-SA"/>
        </w:rPr>
        <w:t xml:space="preserve">  </w:t>
      </w:r>
      <w:r>
        <w:rPr>
          <w:rFonts w:hint="default" w:ascii="宋体" w:hAnsi="宋体" w:eastAsia="方正小标宋_GBK" w:cs="Times New Roman Regular"/>
          <w:b w:val="0"/>
          <w:bCs/>
          <w:color w:val="auto"/>
          <w:kern w:val="44"/>
          <w:sz w:val="36"/>
          <w:szCs w:val="36"/>
          <w:highlight w:val="none"/>
          <w:lang w:val="en-US" w:eastAsia="zh-CN" w:bidi="ar-SA"/>
        </w:rPr>
        <w:t>全面深化改革开放，激发高质量发展新动能</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4EC3321F">
      <w:pPr>
        <w:keepLines w:val="0"/>
        <w:pageBreakBefore w:val="0"/>
        <w:kinsoku/>
        <w:wordWrap/>
        <w:overflowPunct/>
        <w:topLinePunct w:val="0"/>
        <w:autoSpaceDE/>
        <w:autoSpaceDN/>
        <w:bidi w:val="0"/>
        <w:adjustRightInd/>
        <w:snapToGrid/>
        <w:spacing w:line="516" w:lineRule="exact"/>
        <w:textAlignment w:val="auto"/>
        <w:rPr>
          <w:rFonts w:hint="eastAsia"/>
          <w:lang w:val="en-US" w:eastAsia="zh-CN"/>
        </w:rPr>
      </w:pPr>
      <w:r>
        <w:rPr>
          <w:rFonts w:hint="eastAsia"/>
          <w:lang w:val="en-US" w:eastAsia="zh-CN"/>
        </w:rPr>
        <w:t>坚定改革方向，坚持系统集成，勇于探索创新，推进深层次改革和高水平对内对外开放，为石林高质量发展注入新活力、增添新动能。</w:t>
      </w:r>
    </w:p>
    <w:p w14:paraId="351D939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16"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721" w:name="_Toc203804812"/>
      <w:bookmarkStart w:id="722" w:name="_Toc17559"/>
      <w:bookmarkStart w:id="723" w:name="_Toc1160225369"/>
      <w:bookmarkStart w:id="724" w:name="_Toc29014"/>
      <w:bookmarkStart w:id="725" w:name="_Toc477556488"/>
      <w:bookmarkStart w:id="726" w:name="_Toc1787032737"/>
      <w:bookmarkStart w:id="727" w:name="_Toc1738406446"/>
      <w:bookmarkStart w:id="728" w:name="_Toc784757087"/>
      <w:bookmarkStart w:id="729" w:name="_Toc301934522"/>
      <w:bookmarkStart w:id="730" w:name="_Toc22756"/>
      <w:bookmarkStart w:id="731" w:name="_Toc603744217"/>
      <w:bookmarkStart w:id="732" w:name="_Toc1972459450"/>
      <w:bookmarkStart w:id="733" w:name="_Toc2019062489"/>
      <w:bookmarkStart w:id="734" w:name="_Toc1577367007"/>
      <w:bookmarkStart w:id="735" w:name="_Toc1673837920"/>
      <w:bookmarkStart w:id="736" w:name="_Toc25116"/>
      <w:bookmarkStart w:id="737" w:name="_Toc30575"/>
      <w:bookmarkStart w:id="738" w:name="_Toc1960333139"/>
      <w:bookmarkStart w:id="739" w:name="_Toc6907"/>
      <w:bookmarkStart w:id="740" w:name="_Toc29434"/>
      <w:bookmarkStart w:id="741" w:name="_Toc19440"/>
      <w:r>
        <w:rPr>
          <w:rFonts w:hint="eastAsia" w:ascii="宋体" w:hAnsi="宋体" w:eastAsia="黑体" w:cs="黑体"/>
          <w:b w:val="0"/>
          <w:bCs/>
          <w:color w:val="auto"/>
          <w:kern w:val="2"/>
          <w:sz w:val="32"/>
          <w:szCs w:val="24"/>
          <w:highlight w:val="none"/>
          <w:u w:val="none"/>
          <w:lang w:val="en-US" w:eastAsia="zh-CN" w:bidi="ar-SA"/>
        </w:rPr>
        <w:t>第一节  激发多层次市场主体活力</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304456DF">
      <w:pPr>
        <w:keepLines w:val="0"/>
        <w:pageBreakBefore w:val="0"/>
        <w:kinsoku/>
        <w:wordWrap/>
        <w:overflowPunct/>
        <w:topLinePunct w:val="0"/>
        <w:autoSpaceDE/>
        <w:autoSpaceDN/>
        <w:bidi w:val="0"/>
        <w:adjustRightInd/>
        <w:snapToGrid/>
        <w:spacing w:line="516" w:lineRule="exact"/>
        <w:textAlignment w:val="auto"/>
        <w:rPr>
          <w:rFonts w:hint="eastAsia"/>
          <w:lang w:val="en-US" w:eastAsia="zh-CN"/>
        </w:rPr>
      </w:pPr>
      <w:r>
        <w:rPr>
          <w:rFonts w:hint="eastAsia"/>
          <w:lang w:val="en-US" w:eastAsia="zh-CN"/>
        </w:rPr>
        <w:t>毫不动摇巩固和发展公有制经济，毫不动摇鼓励、支持、引导非公有制经济发展，促进各种所有制经济优势互补、共同发展。</w:t>
      </w:r>
    </w:p>
    <w:p w14:paraId="71CB3A9B">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16"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一、深化国资国企改革</w:t>
      </w:r>
    </w:p>
    <w:p w14:paraId="2E49F27E">
      <w:pPr>
        <w:keepLines w:val="0"/>
        <w:pageBreakBefore w:val="0"/>
        <w:kinsoku/>
        <w:wordWrap/>
        <w:overflowPunct/>
        <w:topLinePunct w:val="0"/>
        <w:autoSpaceDE/>
        <w:autoSpaceDN/>
        <w:bidi w:val="0"/>
        <w:adjustRightInd/>
        <w:snapToGrid/>
        <w:spacing w:line="516" w:lineRule="exact"/>
        <w:textAlignment w:val="auto"/>
        <w:rPr>
          <w:rFonts w:hint="eastAsia"/>
          <w:lang w:val="en-US" w:eastAsia="zh-CN"/>
        </w:rPr>
      </w:pPr>
      <w:r>
        <w:rPr>
          <w:rFonts w:hint="eastAsia"/>
          <w:lang w:val="en-US" w:eastAsia="zh-CN"/>
        </w:rPr>
        <w:t>聚焦管理、发展、脱困、改革四大方向，推进县属企业由“1+2+X”架构体系向“1+N+X”改革发展，实现做实一级、做强二级、做优三级的发展目标。加快实施国企集团化管控，推动县属企业市场化经营，建立现代企业制度。以经营业绩为导向，注重企业内在价值与长期价值，完善县属国有企业负责人差异化综合考核体系和薪酬兑现机制，健全人才培养、选拔、任用、考核及评价机制。健全国资国企运行机制，提升国有企业治理效能，持续实施国有资源资产盘活工程，推动实现国有资产保值增值。优化国有资本在生物医药、新能源、文化旅游等领域的布局。完善国有资产监管体系，创新推动债务重组和不良资产处置，提高融资保链能力，加强债务管理，有序推动债务化解。</w:t>
      </w:r>
    </w:p>
    <w:p w14:paraId="2DA6F58F">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二、推进产业工人队伍建设改革</w:t>
      </w:r>
    </w:p>
    <w:p w14:paraId="28CA4E04">
      <w:pPr>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强化思想政治引领与精神引领，加强思想理论武装，大力弘扬劳模精神、劳动精神、工匠精神。构建技能形成与终身职业技能培训制度，强化产教融合、校企合作。健全职业发展与人才评价体系，畅通技能人才与工程技术人才职业发展的双向通道。完善权益保障和激励分配制度，提高劳动报酬在初次分配中的比重，指导企业建立基于技能、贡献的薪酬分配制度。</w:t>
      </w:r>
    </w:p>
    <w:p w14:paraId="0B7065C7">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三、</w:t>
      </w:r>
      <w:r>
        <w:rPr>
          <w:rFonts w:hint="default" w:ascii="宋体" w:hAnsi="宋体" w:eastAsia="楷体_GB2312" w:cs="楷体_GB2312"/>
          <w:b w:val="0"/>
          <w:bCs/>
          <w:color w:val="auto"/>
          <w:kern w:val="2"/>
          <w:sz w:val="32"/>
          <w:szCs w:val="32"/>
          <w:highlight w:val="none"/>
          <w:lang w:val="en-US" w:eastAsia="zh-CN" w:bidi="ar-SA"/>
        </w:rPr>
        <w:t>促进民营经济高质量发展</w:t>
      </w:r>
    </w:p>
    <w:p w14:paraId="3BE5C364">
      <w:pPr>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严格落实“全国一张清单”管理模式，全面破除限制市场准入的显性和隐性壁垒，促进民营企业依法平等使用生产要素、公平参与市场竞争。健全企业家参与涉企政策制定机制，规范实施政府和社会资本合作新机制。开展民营企业培优扶强专项行动，支持中小微企业和个体工商户发展。构建亲清政商关系，培育和弘扬企业家精神，实施民营企业家孵化培育计划。鼓励和支持民营企业参与新型城镇化、交通、水利、能源等领域重大工程和补短板项目建设。深化融信服平台建设运用，持续增强对民营企业融资、创新创业等的支持力度。依法维护民营企业和民营企业家合法权益，健全政策精准直达、诉求闭环解决、涉企收费监管和拖欠企业账款清偿等长效机制，激发民营经济活力。</w:t>
      </w:r>
    </w:p>
    <w:p w14:paraId="7DFF44C4">
      <w:pPr>
        <w:keepNext w:val="0"/>
        <w:keepLines w:val="0"/>
        <w:pageBreakBefore w:val="0"/>
        <w:widowControl/>
        <w:numPr>
          <w:ilvl w:val="0"/>
          <w:numId w:val="0"/>
        </w:numPr>
        <w:kinsoku/>
        <w:wordWrap/>
        <w:overflowPunct/>
        <w:topLinePunct w:val="0"/>
        <w:autoSpaceDE/>
        <w:autoSpaceDN/>
        <w:bidi w:val="0"/>
        <w:adjustRightInd/>
        <w:snapToGrid/>
        <w:spacing w:before="32" w:beforeLines="10" w:beforeAutospacing="0" w:after="0" w:afterLines="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742" w:name="_Toc24284"/>
      <w:bookmarkStart w:id="743" w:name="_Toc1145504977"/>
      <w:bookmarkStart w:id="744" w:name="_Toc624954899"/>
      <w:bookmarkStart w:id="745" w:name="_Toc8857"/>
      <w:bookmarkStart w:id="746" w:name="_Toc29944"/>
      <w:bookmarkStart w:id="747" w:name="_Toc1715284982"/>
      <w:bookmarkStart w:id="748" w:name="_Toc756262023"/>
      <w:bookmarkStart w:id="749" w:name="_Toc121664434"/>
      <w:bookmarkStart w:id="750" w:name="_Toc158145740"/>
      <w:bookmarkStart w:id="751" w:name="_Toc23813"/>
      <w:bookmarkStart w:id="752" w:name="_Toc111058319"/>
      <w:bookmarkStart w:id="753" w:name="_Toc872"/>
      <w:bookmarkStart w:id="754" w:name="_Toc12623"/>
      <w:bookmarkStart w:id="755" w:name="_Toc420917411"/>
      <w:bookmarkStart w:id="756" w:name="_Toc4872"/>
      <w:bookmarkStart w:id="757" w:name="_Toc882120487"/>
      <w:bookmarkStart w:id="758" w:name="_Toc109653393"/>
      <w:bookmarkStart w:id="759" w:name="_Toc11568"/>
      <w:bookmarkStart w:id="760" w:name="_Toc1994146376"/>
      <w:bookmarkStart w:id="761" w:name="_Toc268823044"/>
      <w:bookmarkStart w:id="762" w:name="_Toc2100407464"/>
      <w:r>
        <w:rPr>
          <w:rFonts w:hint="eastAsia" w:ascii="宋体" w:hAnsi="宋体" w:eastAsia="黑体" w:cs="黑体"/>
          <w:b w:val="0"/>
          <w:bCs/>
          <w:color w:val="auto"/>
          <w:kern w:val="2"/>
          <w:sz w:val="32"/>
          <w:szCs w:val="24"/>
          <w:highlight w:val="none"/>
          <w:u w:val="none"/>
          <w:lang w:val="en-US" w:eastAsia="zh-CN" w:bidi="ar-SA"/>
        </w:rPr>
        <w:t>第二节  深化财税金融改革</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53444BDE">
      <w:pPr>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统筹推进财税、金融等重点领域改革，增强宏观政策取向一致性，提升财税、金融更好促进经济高质量发展的效能。</w:t>
      </w:r>
    </w:p>
    <w:p w14:paraId="7BE0F6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一、深化财税体制改革</w:t>
      </w:r>
    </w:p>
    <w:p w14:paraId="127BA9CC">
      <w:pPr>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围绕建设健康财政、安全财政、发展财政、民生财政、质效财政“五个财政”目标，持续深化全县财税体制改革，推动财政高质量可持续发展。加强和规范收入征管，规范重点税源管理，深化非税收入收缴改革。坚持“量入为出”原则，加强投资年度计划与财政预算有效衔接，强化政府投资预算约束。建立健全债务监管监测体系和防范化解隐性债务风险长效机制，强化源头治理，全力化解隐性债务，坚决遏制新增隐性债务。兜牢“三保”底线，有效解决政府拖欠企业账款问题。重视产业培育、招商引资、园区发展等，多措并举培植财源。加大教育、医疗等领域民生投入，确保民生投入占比不低于80%。严格落实零基预算改革措施，建立重点保障事项清单，加强基本支出标准化动态管理。</w:t>
      </w:r>
    </w:p>
    <w:p w14:paraId="7C7BA2BF">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二、深化金融体制改革</w:t>
      </w:r>
    </w:p>
    <w:p w14:paraId="110B5578">
      <w:pPr>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持续深化金融体制改革，全力做好科技金融、绿色金融、普惠金融、养老金融、数字金融“五篇大文章”，提升金融服务县域经济高质量发展能力。深化政银企协同联动，建立健全常态化对接机制，合力破解融资难题。持续金融产品创新、金融服务模式创新，围绕旅居石林、绿美石林等建设，加大专项金融债券、贷款等支持力度，推进公司债、不动产投资信托基金（REITs）发行，鼓励保险机构为科技研发、绿色产业等领域开发多样化保险产品。持续实施“千企万户大走访”活动，促进金融服务“送上门”，满足实体经济和人民群众多层次多样化的金融服务需求。</w:t>
      </w:r>
    </w:p>
    <w:p w14:paraId="69620022">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763" w:name="_Toc24837"/>
      <w:bookmarkStart w:id="764" w:name="_Toc974215146"/>
      <w:bookmarkStart w:id="765" w:name="_Toc403607025"/>
      <w:bookmarkStart w:id="766" w:name="_Toc18057"/>
      <w:bookmarkStart w:id="767" w:name="_Toc1719409768"/>
      <w:bookmarkStart w:id="768" w:name="_Toc17347"/>
      <w:bookmarkStart w:id="769" w:name="_Toc274470016"/>
      <w:bookmarkStart w:id="770" w:name="_Toc1518180841"/>
      <w:bookmarkStart w:id="771" w:name="_Toc2387"/>
      <w:bookmarkStart w:id="772" w:name="_Toc393878190"/>
      <w:bookmarkStart w:id="773" w:name="_Toc547793459"/>
      <w:bookmarkStart w:id="774" w:name="_Toc1950790867"/>
      <w:bookmarkStart w:id="775" w:name="_Toc1988346350"/>
      <w:bookmarkStart w:id="776" w:name="_Toc4525"/>
      <w:bookmarkStart w:id="777" w:name="_Toc9285"/>
      <w:bookmarkStart w:id="778" w:name="_Toc31666"/>
      <w:bookmarkStart w:id="779" w:name="_Toc21314"/>
      <w:bookmarkStart w:id="780" w:name="_Toc311253084"/>
      <w:bookmarkStart w:id="781" w:name="_Toc409710294"/>
      <w:bookmarkStart w:id="782" w:name="_Toc1212058062"/>
      <w:bookmarkStart w:id="783" w:name="_Toc1687597615"/>
      <w:r>
        <w:rPr>
          <w:rFonts w:hint="eastAsia" w:ascii="宋体" w:hAnsi="宋体" w:eastAsia="黑体" w:cs="黑体"/>
          <w:b w:val="0"/>
          <w:bCs/>
          <w:color w:val="auto"/>
          <w:kern w:val="2"/>
          <w:sz w:val="32"/>
          <w:szCs w:val="24"/>
          <w:highlight w:val="none"/>
          <w:u w:val="none"/>
          <w:lang w:val="en-US" w:eastAsia="zh-CN" w:bidi="ar-SA"/>
        </w:rPr>
        <w:t>第三节  推动更高水平对外开放</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bookmarkEnd w:id="781"/>
    <w:bookmarkEnd w:id="782"/>
    <w:bookmarkEnd w:id="783"/>
    <w:p w14:paraId="01DB95F3">
      <w:pPr>
        <w:keepLines w:val="0"/>
        <w:pageBreakBefore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主动服务和融入国家、省、市重大区域战略，推动区域协调发展，加快内外贸一体化改革，构建全领域、纵深化的对外开放新格局，扎实推进高水平对外开放。</w:t>
      </w:r>
    </w:p>
    <w:p w14:paraId="226B3AFB">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一、积极服务和融入滇中城市群</w:t>
      </w:r>
    </w:p>
    <w:p w14:paraId="5890C2D4">
      <w:pPr>
        <w:bidi w:val="0"/>
        <w:rPr>
          <w:rFonts w:hint="eastAsia"/>
          <w:lang w:val="en-US" w:eastAsia="zh-CN"/>
        </w:rPr>
      </w:pPr>
      <w:r>
        <w:rPr>
          <w:rFonts w:hint="eastAsia"/>
        </w:rPr>
        <w:t>主动融入昆明都市圈，加强规划对接，争取破除资金、技术、人才等要素流通阻碍，深化交通一体、产业协作、市场联动、科创协同。配合做好G78汕昆高速/G80广昆高速石林至昆明段改扩建</w:t>
      </w:r>
      <w:r>
        <w:rPr>
          <w:rFonts w:hint="eastAsia"/>
          <w:lang w:eastAsia="zh-CN"/>
        </w:rPr>
        <w:t>，深化与昆明主城区产业协作，</w:t>
      </w:r>
      <w:r>
        <w:rPr>
          <w:rFonts w:hint="eastAsia"/>
          <w:lang w:val="en-US" w:eastAsia="zh-CN"/>
        </w:rPr>
        <w:t>积极承接绿色食品加工、旅居装备制造等劳动密集型产业，加强与昆明国家生物产业基地生物医药中试生产中心对接合作；强化蔬菜、畜牧生产基地建设，充分衔接昆明都市圈畜禽产品和蔬菜市场</w:t>
      </w:r>
      <w:r>
        <w:rPr>
          <w:rFonts w:hint="eastAsia"/>
          <w:lang w:eastAsia="zh-CN"/>
        </w:rPr>
        <w:t>。</w:t>
      </w:r>
      <w:r>
        <w:rPr>
          <w:rFonts w:hint="eastAsia"/>
        </w:rPr>
        <w:t>深化与宜良县“党建联建共建”机制，共推石林</w:t>
      </w:r>
      <w:r>
        <w:rPr>
          <w:rFonts w:hint="eastAsia"/>
          <w:lang w:val="en-US" w:eastAsia="zh-CN"/>
        </w:rPr>
        <w:t>—</w:t>
      </w:r>
      <w:r>
        <w:rPr>
          <w:rFonts w:hint="eastAsia"/>
        </w:rPr>
        <w:t>九乡地质奇观主题线路</w:t>
      </w:r>
      <w:r>
        <w:rPr>
          <w:rFonts w:hint="eastAsia"/>
          <w:lang w:eastAsia="zh-CN"/>
        </w:rPr>
        <w:t>；</w:t>
      </w:r>
      <w:r>
        <w:rPr>
          <w:rFonts w:hint="eastAsia"/>
          <w:lang w:val="en-US" w:eastAsia="zh-CN"/>
        </w:rPr>
        <w:t>用好石林国际花卉农特产品展示交易中心资源，加强与呈贡协作，共同打造以鲜花为主题的特色消费集聚区</w:t>
      </w:r>
      <w:r>
        <w:rPr>
          <w:rFonts w:hint="eastAsia"/>
          <w:lang w:eastAsia="zh-CN"/>
        </w:rPr>
        <w:t>。主动融入昆明低空经济试点州市建设，</w:t>
      </w:r>
      <w:r>
        <w:rPr>
          <w:rFonts w:hint="eastAsia"/>
          <w:lang w:val="en-US" w:eastAsia="zh-CN"/>
        </w:rPr>
        <w:t>常态化运营弥勒至石林临时低空往返航线</w:t>
      </w:r>
      <w:r>
        <w:rPr>
          <w:rFonts w:hint="eastAsia"/>
          <w:lang w:eastAsia="zh-CN"/>
        </w:rPr>
        <w:t>，</w:t>
      </w:r>
      <w:r>
        <w:rPr>
          <w:rFonts w:hint="eastAsia"/>
          <w:lang w:val="en-US" w:eastAsia="zh-CN"/>
        </w:rPr>
        <w:t>拓展与曲靖市、荔波县等地区旅游合作</w:t>
      </w:r>
      <w:r>
        <w:rPr>
          <w:rFonts w:hint="eastAsia"/>
          <w:lang w:eastAsia="zh-CN"/>
        </w:rPr>
        <w:t>。</w:t>
      </w:r>
      <w:r>
        <w:rPr>
          <w:rFonts w:hint="eastAsia"/>
        </w:rPr>
        <w:t>加强教育、医疗、社会保障等资源共享，协同</w:t>
      </w:r>
      <w:r>
        <w:rPr>
          <w:rFonts w:hint="eastAsia"/>
          <w:lang w:val="en-US" w:eastAsia="zh-CN"/>
        </w:rPr>
        <w:t>筑牢</w:t>
      </w:r>
      <w:r>
        <w:rPr>
          <w:rFonts w:hint="eastAsia"/>
        </w:rPr>
        <w:t>生态安全屏障，提升能源互济互保能力，推进金融、技术、土地等要素市场一体化。</w:t>
      </w:r>
    </w:p>
    <w:p w14:paraId="1C8A0E9E">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二、推动区域协调发展</w:t>
      </w:r>
    </w:p>
    <w:p w14:paraId="58B6384C">
      <w:pPr>
        <w:bidi w:val="0"/>
        <w:rPr>
          <w:rFonts w:hint="eastAsia"/>
          <w:lang w:val="en-US" w:eastAsia="zh-CN"/>
        </w:rPr>
      </w:pPr>
      <w:r>
        <w:rPr>
          <w:rFonts w:hint="eastAsia"/>
        </w:rPr>
        <w:t>主动服务和融入“一带一路”及云南面向南亚东南亚辐射中心建设，</w:t>
      </w:r>
      <w:r>
        <w:rPr>
          <w:rFonts w:hint="eastAsia"/>
          <w:lang w:val="en-US" w:eastAsia="zh-CN"/>
        </w:rPr>
        <w:t>加强与发达地区及周边地区合作发展。积极融入昆明—磨憨跨区域协作，重点聚焦农特产品、文旅、物流等领域围绕产业互补、资源共享、利益分成推进。</w:t>
      </w:r>
      <w:r>
        <w:rPr>
          <w:rFonts w:hint="eastAsia"/>
          <w:lang w:eastAsia="zh-CN"/>
        </w:rPr>
        <w:t>以人参果特色产业为纽带，联合陆良、泸西、弥勒等周边</w:t>
      </w:r>
      <w:r>
        <w:rPr>
          <w:rFonts w:hint="eastAsia"/>
          <w:lang w:val="en-US" w:eastAsia="zh-CN"/>
        </w:rPr>
        <w:t>市</w:t>
      </w:r>
      <w:r>
        <w:rPr>
          <w:rFonts w:hint="eastAsia"/>
          <w:lang w:eastAsia="zh-CN"/>
        </w:rPr>
        <w:t>县共建“种植</w:t>
      </w:r>
      <w:r>
        <w:rPr>
          <w:rFonts w:hint="eastAsia"/>
          <w:lang w:val="en-US" w:eastAsia="zh-CN"/>
        </w:rPr>
        <w:t>—</w:t>
      </w:r>
      <w:r>
        <w:rPr>
          <w:rFonts w:hint="eastAsia"/>
          <w:lang w:eastAsia="zh-CN"/>
        </w:rPr>
        <w:t>加工</w:t>
      </w:r>
      <w:r>
        <w:rPr>
          <w:rFonts w:hint="eastAsia"/>
          <w:lang w:val="en-US" w:eastAsia="zh-CN"/>
        </w:rPr>
        <w:t>—</w:t>
      </w:r>
      <w:r>
        <w:rPr>
          <w:rFonts w:hint="eastAsia"/>
          <w:lang w:eastAsia="zh-CN"/>
        </w:rPr>
        <w:t>销售”全链条。深化东西部协作，依托沪滇“16+16”产业园区共建，探索共建“飞地园区”，引导资金、技术、劳动密集型产业向石林聚集。抢抓新时代推动西部大开发机遇，主动融入成渝地区国家战略腹地和产业备份基地建设，积极承接产业转移，推动</w:t>
      </w:r>
      <w:r>
        <w:rPr>
          <w:rFonts w:hint="eastAsia"/>
          <w:lang w:val="en-US" w:eastAsia="zh-CN"/>
        </w:rPr>
        <w:t>生物医药、新型建材、绿色食品</w:t>
      </w:r>
      <w:r>
        <w:rPr>
          <w:rFonts w:hint="eastAsia"/>
          <w:lang w:eastAsia="zh-CN"/>
        </w:rPr>
        <w:t>加工等特色产业高质量发展。</w:t>
      </w:r>
    </w:p>
    <w:p w14:paraId="031F034F">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三、提升对外开放发展水平</w:t>
      </w:r>
    </w:p>
    <w:p w14:paraId="757F3A02">
      <w:pPr>
        <w:bidi w:val="0"/>
        <w:rPr>
          <w:rFonts w:hint="eastAsia"/>
          <w:lang w:val="en-US" w:eastAsia="zh-CN"/>
        </w:rPr>
      </w:pPr>
      <w:r>
        <w:rPr>
          <w:rFonts w:hint="eastAsia"/>
          <w:lang w:eastAsia="zh-CN"/>
        </w:rPr>
        <w:t>主动服务“滇中+中老铁路+境内外园区”</w:t>
      </w:r>
      <w:r>
        <w:rPr>
          <w:rFonts w:hint="eastAsia"/>
          <w:lang w:val="en-US" w:eastAsia="zh-CN"/>
        </w:rPr>
        <w:t>开放</w:t>
      </w:r>
      <w:r>
        <w:rPr>
          <w:rFonts w:hint="eastAsia"/>
          <w:lang w:eastAsia="zh-CN"/>
        </w:rPr>
        <w:t>体系，高标准</w:t>
      </w:r>
      <w:r>
        <w:rPr>
          <w:rFonts w:hint="eastAsia"/>
          <w:lang w:val="en-US" w:eastAsia="zh-CN"/>
        </w:rPr>
        <w:t>改造提升石林南</w:t>
      </w:r>
      <w:r>
        <w:rPr>
          <w:rFonts w:hint="eastAsia"/>
          <w:lang w:eastAsia="zh-CN"/>
        </w:rPr>
        <w:t>区铁路专用线，增强</w:t>
      </w:r>
      <w:r>
        <w:rPr>
          <w:rFonts w:hint="eastAsia"/>
          <w:lang w:val="en-US" w:eastAsia="zh-CN"/>
        </w:rPr>
        <w:t>石林</w:t>
      </w:r>
      <w:r>
        <w:rPr>
          <w:rFonts w:hint="eastAsia"/>
          <w:lang w:eastAsia="zh-CN"/>
        </w:rPr>
        <w:t>对外资源、产品的集聚集成能力。</w:t>
      </w:r>
      <w:r>
        <w:rPr>
          <w:rFonts w:hint="eastAsia"/>
          <w:lang w:val="en-US" w:eastAsia="zh-CN"/>
        </w:rPr>
        <w:t>落实落细稳外贸政策措施，推动刺绣文创产品、雨生红球藻及虾青素产品、花卉、人参果等特色产品出口，推动矿石原料引进来，积极申报省级外贸转型升级基地。立足全县绿色食品、生物医药、现代物流等产业发展基础，着力发展跨境物流、跨境电商、服务外包、对外工程承包、中医药服务，加快推动技术含量高的地方特色产品出口。巩固壮大外贸经营主体，积极引进外贸服务公司，帮助企业开展外贸业务、拓展国际市场。积极参与磨憨国际口岸城市建设工作，鼓励和支持辖区内有条件、有实力的企业“走出去”。充分发挥石林台创园作为全省唯一的国家级台湾农民创业园的优势，积极争取国家和省、市台办的支持，吸引更多优质台资台企进驻，坚决守住石林台创园金字招牌。</w:t>
      </w:r>
    </w:p>
    <w:p w14:paraId="0BD44871">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784" w:name="_Toc1238180346"/>
      <w:bookmarkStart w:id="785" w:name="_Toc1366139276"/>
      <w:bookmarkStart w:id="786" w:name="_Toc2107902343"/>
      <w:bookmarkStart w:id="787" w:name="_Toc1187091656"/>
      <w:bookmarkStart w:id="788" w:name="_Toc1144073483"/>
      <w:bookmarkStart w:id="789" w:name="_Toc502270724"/>
      <w:bookmarkStart w:id="790" w:name="_Toc21403"/>
      <w:bookmarkStart w:id="791" w:name="_Toc29407"/>
      <w:bookmarkStart w:id="792" w:name="_Toc1830185111"/>
      <w:bookmarkStart w:id="793" w:name="_Toc7846"/>
      <w:bookmarkStart w:id="794" w:name="_Toc10990"/>
      <w:bookmarkStart w:id="795" w:name="_Toc30582"/>
      <w:bookmarkStart w:id="796" w:name="_Toc1309262920"/>
      <w:bookmarkStart w:id="797" w:name="_Toc1580016744"/>
      <w:bookmarkStart w:id="798" w:name="_Toc222685156"/>
      <w:bookmarkStart w:id="799" w:name="_Toc1669911949"/>
      <w:bookmarkStart w:id="800" w:name="_Toc5359"/>
      <w:bookmarkStart w:id="801" w:name="_Toc3646"/>
      <w:bookmarkStart w:id="802" w:name="_Toc8909"/>
      <w:bookmarkStart w:id="803" w:name="_Toc1218634094"/>
      <w:bookmarkStart w:id="804" w:name="_Toc1812184680"/>
      <w:r>
        <w:rPr>
          <w:rFonts w:hint="eastAsia" w:ascii="宋体" w:hAnsi="宋体" w:eastAsia="黑体" w:cs="黑体"/>
          <w:b w:val="0"/>
          <w:bCs/>
          <w:color w:val="auto"/>
          <w:kern w:val="2"/>
          <w:sz w:val="32"/>
          <w:szCs w:val="24"/>
          <w:highlight w:val="none"/>
          <w:u w:val="none"/>
          <w:lang w:val="en-US" w:eastAsia="zh-CN" w:bidi="ar-SA"/>
        </w:rPr>
        <w:t>第四节  持续优化营商环境</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14:paraId="670E0B7C">
      <w:pPr>
        <w:bidi w:val="0"/>
        <w:rPr>
          <w:rFonts w:hint="eastAsia"/>
          <w:lang w:val="en-US" w:eastAsia="zh-CN"/>
        </w:rPr>
      </w:pPr>
      <w:r>
        <w:rPr>
          <w:rFonts w:hint="eastAsia"/>
          <w:lang w:val="en-US" w:eastAsia="zh-CN"/>
        </w:rPr>
        <w:t>以打造市场化、法治化、国际化一流营商环境为目标，主动服务融入全国统一大市场建设，做精做优“石在办、及石办”营商环境品牌。</w:t>
      </w:r>
    </w:p>
    <w:p w14:paraId="3F96B641">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一、融入全国统一大市场建设</w:t>
      </w:r>
    </w:p>
    <w:p w14:paraId="56594EE1">
      <w:pPr>
        <w:bidi w:val="0"/>
        <w:rPr>
          <w:rFonts w:hint="eastAsia"/>
          <w:lang w:val="en-US" w:eastAsia="zh-CN"/>
        </w:rPr>
      </w:pPr>
      <w:r>
        <w:rPr>
          <w:rFonts w:hint="eastAsia"/>
          <w:lang w:val="en-US" w:eastAsia="zh-CN"/>
        </w:rPr>
        <w:t>落实统一的市场准入制度，放宽市场准入准营门槛，推动“非禁即入”普遍落实，深入清理整治各类市场准入壁垒。推进要素市场化配置综合改革，深化公平竞争审查，持续开展招标投标领域突出问题系统整治，全面清除公共资源交易过程中设置的各类不合理限制和隐性壁垒。加强市场监管标准化规范化建设，深化“双随机、一公开”监管，加强重点领域监管。健全消费升级机制，对新业态实施包容审慎监管。强化信用激励约束，全面推行信用承诺制度，大力推进信用分级分类监管。完善政府诚信履约机制，推进全域诚信建设。</w:t>
      </w:r>
    </w:p>
    <w:p w14:paraId="3BB57D2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二、营造优质一流的服务环境</w:t>
      </w:r>
    </w:p>
    <w:p w14:paraId="50A1C563">
      <w:pPr>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rPr>
        <w:t>深化“高效办成一件事”推广运用，推进政务服务“只进一门”，优化提升“15分钟便民服务圈”，实现更大范围“自助办”“就近办”。</w:t>
      </w:r>
      <w:r>
        <w:rPr>
          <w:rFonts w:hint="eastAsia"/>
          <w:lang w:val="en-US" w:eastAsia="zh-CN"/>
        </w:rPr>
        <w:t>深化工程建设项目审批制度改革，</w:t>
      </w:r>
      <w:r>
        <w:rPr>
          <w:rFonts w:hint="eastAsia"/>
        </w:rPr>
        <w:t>健全投资项目“一企一卡”定制服务，</w:t>
      </w:r>
      <w:r>
        <w:rPr>
          <w:rFonts w:hint="eastAsia"/>
          <w:lang w:val="en-US" w:eastAsia="zh-CN"/>
        </w:rPr>
        <w:t>提升重大工程项目审批效率，降低企业项目落地成本。全面落实政商交往正面、负面、倡导“三张清单”，落实领导干部挂钩联系企业制度，优化完善“局长坐诊接诉” “营商环境会客厅” 等活动，精准助企纾困。依托数字政府建设，探索布局“AI+政务服务”，打造精准化、定制化涉企服务新场景，推动政策与企业精准匹配。</w:t>
      </w:r>
    </w:p>
    <w:p w14:paraId="164516B2">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805" w:name="_Toc2021937190"/>
      <w:bookmarkStart w:id="806" w:name="_Toc1664449278"/>
      <w:bookmarkStart w:id="807" w:name="_Toc2053325558"/>
      <w:bookmarkStart w:id="808" w:name="_Toc20342"/>
      <w:bookmarkStart w:id="809" w:name="_Toc26996"/>
      <w:bookmarkStart w:id="810" w:name="_Toc1774835006"/>
      <w:bookmarkStart w:id="811" w:name="_Toc27246"/>
      <w:bookmarkStart w:id="812" w:name="_Toc1031676419"/>
      <w:bookmarkStart w:id="813" w:name="_Toc24290"/>
      <w:bookmarkStart w:id="814" w:name="_Toc476954242"/>
      <w:bookmarkStart w:id="815" w:name="_Toc3027"/>
      <w:bookmarkStart w:id="816" w:name="_Toc1706121253"/>
      <w:bookmarkStart w:id="817" w:name="_Toc1955141655"/>
      <w:bookmarkStart w:id="818" w:name="_Toc13527"/>
      <w:bookmarkStart w:id="819" w:name="_Toc746344200"/>
      <w:bookmarkStart w:id="820" w:name="_Toc31153"/>
      <w:bookmarkStart w:id="821" w:name="_Toc1752903818"/>
      <w:r>
        <w:rPr>
          <w:rFonts w:hint="eastAsia" w:ascii="宋体" w:hAnsi="宋体" w:eastAsia="黑体" w:cs="黑体"/>
          <w:b w:val="0"/>
          <w:bCs/>
          <w:color w:val="auto"/>
          <w:kern w:val="2"/>
          <w:sz w:val="32"/>
          <w:szCs w:val="24"/>
          <w:highlight w:val="none"/>
          <w:u w:val="none"/>
          <w:lang w:val="en-US" w:eastAsia="zh-CN" w:bidi="ar-SA"/>
        </w:rPr>
        <w:t>第五节  提升招商引资质效</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14:paraId="344FAED3">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强化全县招商引资“一盘棋”理念，围绕招商引资机制创新、队伍建强、服务创优统筹发力，构建招商引资新格局。聚焦资源优势和现代化产业体系建设需求，制定绿色食品、生物医药、新材料等重点产业两图一谱三库六清单</w:t>
      </w:r>
      <w:r>
        <w:rPr>
          <w:rFonts w:hint="eastAsia"/>
          <w:vertAlign w:val="superscript"/>
          <w:lang w:val="en-US" w:eastAsia="zh-CN"/>
        </w:rPr>
        <w:footnoteReference w:id="0"/>
      </w:r>
      <w:r>
        <w:rPr>
          <w:rFonts w:hint="eastAsia"/>
          <w:lang w:val="en-US" w:eastAsia="zh-CN"/>
        </w:rPr>
        <w:t>，优先保障资源配置，实现精准招商。创新招商引资新模式，建立健全“一把手”招商机制，全面开展产业链招商、资源招商，积极引进配套产业上下游企业，推动产业聚链成群、集群发展。鼓励开展资本招商，创新场景招商、以商招商、“飞地”招商等多种模式。充分利用好“沪滇协作”机遇，积极谋划举办产品推介、洽谈对接、“云品入沪”等招商引资活动。聚焦熟悉生物医药、新型建材等产业发展趋势、精通项目流程、具备谈判技巧的专业招商人员，强化招商人才培养引进，打造专业化招商队伍。强化招商服务，着力破解土地、人才、能源、环保等要素制约，力争在引进重大产业链项目、引进外资上取得重大突破。</w:t>
      </w:r>
    </w:p>
    <w:p w14:paraId="0B0D3B7F">
      <w:pPr>
        <w:keepNext w:val="0"/>
        <w:keepLines w:val="0"/>
        <w:pageBreakBefore w:val="0"/>
        <w:widowControl/>
        <w:kinsoku/>
        <w:wordWrap/>
        <w:overflowPunct/>
        <w:topLinePunct w:val="0"/>
        <w:autoSpaceDE/>
        <w:autoSpaceDN/>
        <w:bidi w:val="0"/>
        <w:adjustRightInd/>
        <w:snapToGrid/>
        <w:spacing w:before="400" w:after="200" w:line="540" w:lineRule="exact"/>
        <w:ind w:left="0" w:leftChars="0" w:firstLine="0" w:firstLineChars="0"/>
        <w:jc w:val="left"/>
        <w:textAlignment w:val="auto"/>
        <w:outlineLvl w:val="0"/>
        <w:rPr>
          <w:rFonts w:hint="eastAsia" w:ascii="方正小标宋简体" w:hAnsi="方正小标宋简体" w:eastAsia="方正小标宋简体" w:cs="方正小标宋简体"/>
          <w:b w:val="0"/>
          <w:bCs/>
          <w:color w:val="auto"/>
          <w:sz w:val="36"/>
          <w:szCs w:val="36"/>
          <w:highlight w:val="none"/>
          <w:lang w:val="en-US" w:eastAsia="zh-CN"/>
        </w:rPr>
      </w:pPr>
      <w:bookmarkStart w:id="822" w:name="_Toc1512884596"/>
      <w:bookmarkStart w:id="823" w:name="_Toc18613"/>
      <w:bookmarkStart w:id="824" w:name="_Toc980535792"/>
      <w:bookmarkStart w:id="825" w:name="_Toc1326381762"/>
      <w:bookmarkStart w:id="826" w:name="_Toc1104089012"/>
      <w:bookmarkStart w:id="827" w:name="_Toc1760974690"/>
      <w:bookmarkStart w:id="828" w:name="_Toc28521"/>
      <w:bookmarkStart w:id="829" w:name="_Toc1578244427"/>
      <w:bookmarkStart w:id="830" w:name="_Toc17852"/>
      <w:bookmarkStart w:id="831" w:name="_Toc17001"/>
      <w:bookmarkStart w:id="832" w:name="_Toc8102"/>
      <w:bookmarkStart w:id="833" w:name="_Toc602608255"/>
      <w:bookmarkStart w:id="834" w:name="_Toc1418512838"/>
      <w:bookmarkStart w:id="835" w:name="_Toc13052"/>
      <w:bookmarkStart w:id="836" w:name="_Toc1277029524"/>
      <w:bookmarkStart w:id="837" w:name="_Toc12875"/>
      <w:bookmarkStart w:id="838" w:name="_Toc354987273"/>
      <w:bookmarkStart w:id="839" w:name="_Toc12748"/>
      <w:bookmarkStart w:id="840" w:name="_Toc917122202"/>
      <w:bookmarkStart w:id="841" w:name="_Toc1873799580"/>
      <w:bookmarkStart w:id="842" w:name="_Toc180446016"/>
      <w:r>
        <w:rPr>
          <w:rFonts w:hint="eastAsia" w:ascii="方正小标宋简体" w:hAnsi="方正小标宋简体" w:eastAsia="方正小标宋简体" w:cs="方正小标宋简体"/>
          <w:b w:val="0"/>
          <w:bCs/>
          <w:color w:val="auto"/>
          <w:sz w:val="36"/>
          <w:szCs w:val="36"/>
          <w:highlight w:val="none"/>
          <w:lang w:val="en-US" w:eastAsia="zh-CN"/>
        </w:rPr>
        <w:t>第十三章</w:t>
      </w:r>
      <w:bookmarkEnd w:id="822"/>
      <w:bookmarkEnd w:id="823"/>
      <w:bookmarkEnd w:id="824"/>
      <w:bookmarkEnd w:id="825"/>
      <w:r>
        <w:rPr>
          <w:rFonts w:hint="eastAsia" w:ascii="方正小标宋简体" w:hAnsi="方正小标宋简体" w:eastAsia="方正小标宋简体" w:cs="方正小标宋简体"/>
          <w:b w:val="0"/>
          <w:bCs/>
          <w:color w:val="auto"/>
          <w:sz w:val="36"/>
          <w:szCs w:val="36"/>
          <w:highlight w:val="none"/>
          <w:lang w:val="en-US" w:eastAsia="zh-CN"/>
        </w:rPr>
        <w:t xml:space="preserve">  统筹发展和安全，建设更高水平平安法治石林</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14:paraId="41659CE7">
      <w:pPr>
        <w:keepLines w:val="0"/>
        <w:pageBreakBefore w:val="0"/>
        <w:kinsoku/>
        <w:wordWrap/>
        <w:overflowPunct/>
        <w:topLinePunct w:val="0"/>
        <w:autoSpaceDE/>
        <w:autoSpaceDN/>
        <w:bidi w:val="0"/>
        <w:adjustRightInd/>
        <w:snapToGrid/>
        <w:spacing w:line="514" w:lineRule="exact"/>
        <w:textAlignment w:val="auto"/>
        <w:rPr>
          <w:rFonts w:hint="eastAsia"/>
          <w:lang w:val="en-US" w:eastAsia="zh-CN"/>
        </w:rPr>
      </w:pPr>
      <w:r>
        <w:rPr>
          <w:rFonts w:hint="eastAsia"/>
          <w:lang w:val="en-US" w:eastAsia="zh-CN"/>
        </w:rPr>
        <w:t>坚持总体国家安全观，强化底线思维和风险意识，扎实推进全过程人民民主，加快建设更高水平法治石林、平安石林，推进治理体系和治理能力现代化建设，筑牢经济社会发展安全屏障。</w:t>
      </w:r>
    </w:p>
    <w:p w14:paraId="4A18F7F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14" w:lineRule="exact"/>
        <w:ind w:firstLine="0" w:firstLineChars="0"/>
        <w:jc w:val="center"/>
        <w:textAlignment w:val="auto"/>
        <w:outlineLvl w:val="1"/>
        <w:rPr>
          <w:rFonts w:hint="eastAsia" w:ascii="宋体" w:hAnsi="宋体" w:eastAsia="黑体" w:cs="黑体"/>
          <w:b w:val="0"/>
          <w:bCs/>
          <w:color w:val="auto"/>
          <w:kern w:val="2"/>
          <w:sz w:val="32"/>
          <w:szCs w:val="22"/>
          <w:highlight w:val="none"/>
          <w:u w:val="none"/>
          <w:lang w:val="en-US" w:eastAsia="zh-CN" w:bidi="ar-SA"/>
        </w:rPr>
      </w:pPr>
      <w:bookmarkStart w:id="843" w:name="_Toc19193"/>
      <w:bookmarkStart w:id="844" w:name="_Toc504062533"/>
      <w:bookmarkStart w:id="845" w:name="_Toc3009"/>
      <w:bookmarkStart w:id="846" w:name="_Toc21100"/>
      <w:bookmarkStart w:id="847" w:name="_Toc1729302919"/>
      <w:bookmarkStart w:id="848" w:name="_Toc561525945"/>
      <w:bookmarkStart w:id="849" w:name="_Toc509281348"/>
      <w:bookmarkStart w:id="850" w:name="_Toc12419"/>
      <w:bookmarkStart w:id="851" w:name="_Toc1083641750"/>
      <w:bookmarkStart w:id="852" w:name="_Toc11798"/>
      <w:bookmarkStart w:id="853" w:name="_Toc28841"/>
      <w:bookmarkStart w:id="854" w:name="_Toc31091"/>
      <w:bookmarkStart w:id="855" w:name="_Toc17830957"/>
      <w:bookmarkStart w:id="856" w:name="_Toc29329"/>
      <w:bookmarkStart w:id="857" w:name="_Toc22146"/>
      <w:bookmarkStart w:id="858" w:name="_Toc10030"/>
      <w:bookmarkStart w:id="859" w:name="_Toc101857805"/>
      <w:bookmarkStart w:id="860" w:name="_Toc81991876"/>
      <w:bookmarkStart w:id="861" w:name="_Toc1983560492"/>
      <w:bookmarkStart w:id="862" w:name="_Toc1582714495"/>
      <w:bookmarkStart w:id="863" w:name="_Toc75549066"/>
      <w:bookmarkStart w:id="864" w:name="_Toc1618018074"/>
      <w:bookmarkStart w:id="865" w:name="_Toc845024492"/>
      <w:bookmarkStart w:id="866" w:name="_Toc21635"/>
      <w:r>
        <w:rPr>
          <w:rFonts w:hint="eastAsia" w:ascii="宋体" w:hAnsi="宋体" w:eastAsia="黑体" w:cs="黑体"/>
          <w:b w:val="0"/>
          <w:bCs/>
          <w:color w:val="auto"/>
          <w:kern w:val="2"/>
          <w:sz w:val="32"/>
          <w:szCs w:val="22"/>
          <w:highlight w:val="none"/>
          <w:u w:val="none"/>
          <w:lang w:val="en-US" w:eastAsia="zh-CN" w:bidi="ar-SA"/>
        </w:rPr>
        <w:t>第一节  坚定践行全过程人民民主</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14:paraId="5CB19BB4">
      <w:pPr>
        <w:keepLines w:val="0"/>
        <w:pageBreakBefore w:val="0"/>
        <w:kinsoku/>
        <w:wordWrap/>
        <w:overflowPunct/>
        <w:topLinePunct w:val="0"/>
        <w:autoSpaceDE/>
        <w:autoSpaceDN/>
        <w:bidi w:val="0"/>
        <w:adjustRightInd/>
        <w:snapToGrid/>
        <w:spacing w:line="514" w:lineRule="exact"/>
        <w:textAlignment w:val="auto"/>
        <w:rPr>
          <w:rFonts w:hint="eastAsia"/>
          <w:lang w:val="en-US" w:eastAsia="zh-CN"/>
        </w:rPr>
      </w:pPr>
      <w:r>
        <w:rPr>
          <w:rFonts w:hint="eastAsia"/>
          <w:lang w:val="en-US" w:eastAsia="zh-CN"/>
        </w:rPr>
        <w:t>坚持人民主体地位，发挥社会主义民主政治制度优势，坚持人民代表大会制度，全方位保障人民当家作主。支持和保证县、乡（镇）人大依法行使</w:t>
      </w:r>
      <w:r>
        <w:rPr>
          <w:rFonts w:hint="eastAsia"/>
        </w:rPr>
        <w:t>监督权、重大事项决定权、人事任免权，坚持对人大及其常委会负责并报告工作，自觉接受监督</w:t>
      </w:r>
      <w:r>
        <w:rPr>
          <w:rFonts w:hint="eastAsia"/>
          <w:lang w:eastAsia="zh-CN"/>
        </w:rPr>
        <w:t>。</w:t>
      </w:r>
      <w:r>
        <w:rPr>
          <w:rFonts w:hint="eastAsia"/>
          <w:lang w:val="en-US" w:eastAsia="zh-CN"/>
        </w:rPr>
        <w:t>提升人大代表“家站室”建设，完善智慧化履职平台。健全人大代表联系群众制度，为基层社会治理聚势赋能。强化人民政协专门协商机构作用，完善协商民主体系，强化政协委员和政协机关干部“两支队伍”建设，提高政治协商、民主监督、参政议政质效。创新基层民主实践，加强院坝、楼宇、园区协商等实践，建立全过程人民民主实践基地。</w:t>
      </w:r>
      <w:r>
        <w:rPr>
          <w:rFonts w:hint="eastAsia"/>
        </w:rPr>
        <w:t>推动“互联网+民主管理”，依托政务和网络问政平台拓宽群众参与渠道，以“全程追踪+闭环管理”增强政协监督影响力。</w:t>
      </w:r>
      <w:r>
        <w:rPr>
          <w:rFonts w:hint="eastAsia"/>
          <w:lang w:val="en-US" w:eastAsia="zh-CN"/>
        </w:rPr>
        <w:t>加强同各民主党派、工商联和无党派人士团结合作，共同践行全过程人民民主。</w:t>
      </w:r>
    </w:p>
    <w:bookmarkEnd w:id="863"/>
    <w:bookmarkEnd w:id="864"/>
    <w:bookmarkEnd w:id="865"/>
    <w:bookmarkEnd w:id="866"/>
    <w:p w14:paraId="5169D608">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2"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867" w:name="_Toc1523412697"/>
      <w:bookmarkStart w:id="868" w:name="_Toc444347757"/>
      <w:bookmarkStart w:id="869" w:name="_Toc590316885"/>
      <w:bookmarkStart w:id="870" w:name="_Toc24842"/>
      <w:bookmarkStart w:id="871" w:name="_Toc165053016"/>
      <w:bookmarkStart w:id="872" w:name="_Toc1950065723"/>
      <w:bookmarkStart w:id="873" w:name="_Toc2103488363"/>
      <w:bookmarkStart w:id="874" w:name="_Toc350481135"/>
      <w:bookmarkStart w:id="875" w:name="_Toc2105565690"/>
      <w:bookmarkStart w:id="876" w:name="_Toc3443"/>
      <w:bookmarkStart w:id="877" w:name="_Toc15281"/>
      <w:bookmarkStart w:id="878" w:name="_Toc379661976"/>
      <w:bookmarkStart w:id="879" w:name="_Toc25643"/>
      <w:bookmarkStart w:id="880" w:name="_Toc1500442205"/>
      <w:bookmarkStart w:id="881" w:name="_Toc20958"/>
      <w:bookmarkStart w:id="882" w:name="_Toc18197"/>
      <w:bookmarkStart w:id="883" w:name="_Toc10263"/>
      <w:bookmarkStart w:id="884" w:name="_Toc1184667366"/>
      <w:bookmarkStart w:id="885" w:name="_Toc1017279433"/>
      <w:bookmarkStart w:id="886" w:name="_Toc1769282541"/>
      <w:bookmarkStart w:id="887" w:name="_Toc9165"/>
      <w:r>
        <w:rPr>
          <w:rFonts w:hint="eastAsia" w:ascii="宋体" w:hAnsi="宋体" w:eastAsia="黑体" w:cs="黑体"/>
          <w:b w:val="0"/>
          <w:bCs/>
          <w:color w:val="auto"/>
          <w:kern w:val="2"/>
          <w:sz w:val="32"/>
          <w:szCs w:val="24"/>
          <w:highlight w:val="none"/>
          <w:u w:val="none"/>
          <w:lang w:val="en-US" w:eastAsia="zh-CN" w:bidi="ar-SA"/>
        </w:rPr>
        <w:t>第二节  推进法治石林</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Fonts w:hint="eastAsia" w:ascii="宋体" w:hAnsi="宋体" w:eastAsia="黑体" w:cs="黑体"/>
          <w:b w:val="0"/>
          <w:bCs/>
          <w:color w:val="auto"/>
          <w:kern w:val="2"/>
          <w:sz w:val="32"/>
          <w:szCs w:val="24"/>
          <w:highlight w:val="none"/>
          <w:u w:val="none"/>
          <w:lang w:val="en-US" w:eastAsia="zh-CN" w:bidi="ar-SA"/>
        </w:rPr>
        <w:t>建设</w:t>
      </w:r>
      <w:bookmarkEnd w:id="887"/>
    </w:p>
    <w:p w14:paraId="0F3F885D">
      <w:pPr>
        <w:keepLines w:val="0"/>
        <w:pageBreakBefore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lang w:val="en-US" w:eastAsia="zh-CN"/>
        </w:rPr>
        <w:t>聚焦提升治理效能，一体推进严格执法、公正司法、全民守法，全面提升法治石林、法治政府、法治社会建设水平，提高社会治理法治化水平，建设更高水平法治石林。</w:t>
      </w:r>
    </w:p>
    <w:p w14:paraId="4F63717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22"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一、严格规范公正文明执法</w:t>
      </w:r>
    </w:p>
    <w:p w14:paraId="4CEF2B31">
      <w:pPr>
        <w:keepLines w:val="0"/>
        <w:pageBreakBefore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lang w:val="en-US" w:eastAsia="zh-CN"/>
        </w:rPr>
        <w:t>深入推进行政执法体制改革，创新行政执法方式，严格规范行政执法，推动综合行政执法效能提升。严格落实行政执法公示制度、执法全过程记录制度、重大执法决定法制审核制度，完善建立乡镇（街道）与县级行政执法部门执法联动工作机制。创新行政执法方式，多渠道、多形式督促各单位在案件办理过程中充分适用容错纠错柔性执法“五张清单”和自由裁量权基准。加强执法队伍建设，常态化开展行政执法人员综合法律知识轮训，打造政治过硬、业务精湛的执法铁军。扩宽执法监督渠道，推广应用“区块链+行政执法和监督”平台，推行“线上+线下”执法，实现执法行为全程可追溯。</w:t>
      </w:r>
    </w:p>
    <w:p w14:paraId="294DF0F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22"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bookmarkStart w:id="888" w:name="_Toc28633"/>
      <w:r>
        <w:rPr>
          <w:rFonts w:hint="default" w:ascii="宋体" w:hAnsi="宋体" w:eastAsia="楷体_GB2312" w:cs="楷体_GB2312"/>
          <w:b w:val="0"/>
          <w:bCs/>
          <w:color w:val="auto"/>
          <w:kern w:val="2"/>
          <w:sz w:val="32"/>
          <w:szCs w:val="32"/>
          <w:highlight w:val="none"/>
          <w:lang w:val="en-US" w:eastAsia="zh-CN" w:bidi="ar-SA"/>
        </w:rPr>
        <w:t>二、全面推进公正司法</w:t>
      </w:r>
      <w:bookmarkEnd w:id="888"/>
    </w:p>
    <w:p w14:paraId="2DCDAB5A">
      <w:pPr>
        <w:keepNext w:val="0"/>
        <w:keepLines w:val="0"/>
        <w:pageBreakBefore w:val="0"/>
        <w:widowControl w:val="0"/>
        <w:kinsoku/>
        <w:wordWrap/>
        <w:overflowPunct/>
        <w:topLinePunct w:val="0"/>
        <w:autoSpaceDE/>
        <w:autoSpaceDN/>
        <w:bidi w:val="0"/>
        <w:adjustRightInd/>
        <w:snapToGrid/>
        <w:spacing w:line="522" w:lineRule="exact"/>
        <w:textAlignment w:val="auto"/>
        <w:rPr>
          <w:rFonts w:hint="eastAsia"/>
          <w:lang w:val="en-US" w:eastAsia="zh-CN"/>
        </w:rPr>
      </w:pPr>
      <w:r>
        <w:rPr>
          <w:rFonts w:hint="eastAsia"/>
          <w:lang w:val="en-US" w:eastAsia="zh-CN"/>
        </w:rPr>
        <w:t>深化司法体制综合配套改革，完善司法责任体系和权力运行监督制约制度，细化办案质量终身负责制、错案责任倒查问责制等配套制度，持续深化落实防止干预司法“三个规定”，提升司法公信力。加强司法队伍建设，实施法官检察官专业素养提升工程。健全完善智慧法院功能，深化“互联网+”诉讼服务应用，推动“数字检察”向“数智检察”深化升级。深入推进司法公开，保障人民群众知情权、参与权和监督权。</w:t>
      </w:r>
    </w:p>
    <w:p w14:paraId="4E756D6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8"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三、推进全民普法走深走实</w:t>
      </w:r>
    </w:p>
    <w:p w14:paraId="7DD57D88">
      <w:pPr>
        <w:keepLines w:val="0"/>
        <w:pageBreakBefore w:val="0"/>
        <w:widowControl w:val="0"/>
        <w:kinsoku/>
        <w:wordWrap/>
        <w:overflowPunct/>
        <w:topLinePunct w:val="0"/>
        <w:autoSpaceDE/>
        <w:autoSpaceDN/>
        <w:bidi w:val="0"/>
        <w:adjustRightInd/>
        <w:snapToGrid/>
        <w:spacing w:line="508" w:lineRule="exact"/>
        <w:textAlignment w:val="auto"/>
        <w:rPr>
          <w:rFonts w:hint="eastAsia"/>
          <w:lang w:val="en-US" w:eastAsia="zh-CN"/>
        </w:rPr>
      </w:pPr>
      <w:r>
        <w:rPr>
          <w:rFonts w:hint="eastAsia"/>
          <w:lang w:val="en-US" w:eastAsia="zh-CN"/>
        </w:rPr>
        <w:t>深入推动普法强基补短板专项行动，推动重点群体普法全覆盖、强化普法产品供给，引导人民群众尊法学法守法用法。积极谋划实施“九五”普法，构建党委领导、政府主导、部门负责、社会参与的普法责任体系。全面落实“谁执法谁普法”责任制，压实各领域普法主体责任。推广“彝语+普通话”双语普法，完善“彝汉”双语普法文化墙建设。实施公共法律服务规范提升三年行动，健全公共法律服务体系，培育壮大基层普法和法律服务队伍，加大“法律明白人”、村（居）法律顾问等培养力度，夯实基层普法及法律服务基础。</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7FAE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51D38A45">
            <w:pPr>
              <w:keepNext w:val="0"/>
              <w:keepLines w:val="0"/>
              <w:pageBreakBefore w:val="0"/>
              <w:widowControl w:val="0"/>
              <w:kinsoku/>
              <w:wordWrap/>
              <w:overflowPunct/>
              <w:topLinePunct w:val="0"/>
              <w:autoSpaceDE/>
              <w:autoSpaceDN/>
              <w:bidi w:val="0"/>
              <w:spacing w:line="540" w:lineRule="exact"/>
              <w:ind w:firstLine="0" w:firstLineChars="0"/>
              <w:jc w:val="center"/>
              <w:textAlignment w:val="auto"/>
              <w:rPr>
                <w:rFonts w:hint="default" w:ascii="宋体" w:hAnsi="宋体" w:eastAsia="方正楷体_GBK" w:cs="Times New Roman Regular"/>
                <w:color w:val="auto"/>
                <w:kern w:val="2"/>
                <w:sz w:val="28"/>
                <w:szCs w:val="28"/>
                <w:highlight w:val="none"/>
                <w:u w:val="none" w:color="auto"/>
                <w:vertAlign w:val="baseline"/>
                <w:lang w:val="en-US" w:eastAsia="zh-CN" w:bidi="ar-SA"/>
              </w:rPr>
            </w:pPr>
            <w:r>
              <w:rPr>
                <w:rFonts w:hint="eastAsia" w:ascii="黑体" w:hAnsi="黑体" w:eastAsia="黑体" w:cs="黑体"/>
                <w:color w:val="auto"/>
                <w:kern w:val="2"/>
                <w:sz w:val="28"/>
                <w:szCs w:val="28"/>
                <w:highlight w:val="none"/>
                <w:lang w:val="en-US" w:eastAsia="zh-CN" w:bidi="ar-SA"/>
              </w:rPr>
              <w:t>专栏16  法治石林建设重点工程</w:t>
            </w:r>
          </w:p>
        </w:tc>
      </w:tr>
      <w:tr w14:paraId="0345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37F04330">
            <w:pPr>
              <w:keepNext w:val="0"/>
              <w:keepLines w:val="0"/>
              <w:pageBreakBefore w:val="0"/>
              <w:widowControl/>
              <w:kinsoku/>
              <w:wordWrap/>
              <w:overflowPunct/>
              <w:topLinePunct w:val="0"/>
              <w:autoSpaceDE/>
              <w:autoSpaceDN/>
              <w:bidi w:val="0"/>
              <w:adjustRightInd w:val="0"/>
              <w:snapToGrid w:val="0"/>
              <w:spacing w:line="380" w:lineRule="exact"/>
              <w:ind w:firstLine="562" w:firstLineChars="200"/>
              <w:jc w:val="left"/>
              <w:textAlignment w:val="auto"/>
              <w:rPr>
                <w:rFonts w:hint="eastAsia" w:ascii="宋体" w:hAnsi="宋体" w:eastAsia="仿宋_GB2312" w:cs="仿宋_GB2312"/>
                <w:b/>
                <w:bCs/>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联合执法信息共享平台建设工程</w:t>
            </w:r>
            <w:r>
              <w:rPr>
                <w:rFonts w:hint="eastAsia" w:ascii="宋体" w:hAnsi="宋体" w:eastAsia="仿宋_GB2312" w:cs="仿宋_GB2312"/>
                <w:b w:val="0"/>
                <w:bCs w:val="0"/>
                <w:color w:val="auto"/>
                <w:sz w:val="28"/>
                <w:szCs w:val="28"/>
                <w:highlight w:val="none"/>
                <w:u w:val="none" w:color="auto"/>
                <w:lang w:val="en-US" w:eastAsia="zh-CN"/>
              </w:rPr>
              <w:t>。推进联合执法信息化平台建设，健全联合执法机制，制定联合执法事项目录，为联合执法人员配备统一移动执法终端。</w:t>
            </w:r>
          </w:p>
          <w:p w14:paraId="68BB9032">
            <w:pPr>
              <w:keepNext w:val="0"/>
              <w:keepLines w:val="0"/>
              <w:pageBreakBefore w:val="0"/>
              <w:widowControl w:val="0"/>
              <w:kinsoku/>
              <w:wordWrap/>
              <w:overflowPunct/>
              <w:topLinePunct w:val="0"/>
              <w:autoSpaceDE/>
              <w:autoSpaceDN/>
              <w:bidi w:val="0"/>
              <w:adjustRightInd w:val="0"/>
              <w:snapToGrid w:val="0"/>
              <w:spacing w:line="380" w:lineRule="exact"/>
              <w:ind w:firstLine="562" w:firstLineChars="200"/>
              <w:textAlignment w:val="auto"/>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法治社会建设工程。</w:t>
            </w:r>
            <w:r>
              <w:rPr>
                <w:rFonts w:hint="eastAsia" w:ascii="宋体" w:hAnsi="宋体" w:eastAsia="仿宋_GB2312" w:cs="仿宋_GB2312"/>
                <w:b w:val="0"/>
                <w:bCs w:val="0"/>
                <w:color w:val="auto"/>
                <w:sz w:val="28"/>
                <w:szCs w:val="28"/>
                <w:highlight w:val="none"/>
                <w:u w:val="none" w:color="auto"/>
                <w:lang w:val="en-US" w:eastAsia="zh-CN"/>
              </w:rPr>
              <w:t>积极谋划实施“九五”普法工程，制定差异化普法方案，建设法治文化阵地，创建民主法治示范村（社区），推动形成办事依法、遇事找法、解决问题用法、化解矛盾靠法的法治环境。</w:t>
            </w:r>
          </w:p>
          <w:p w14:paraId="6EF2695F">
            <w:pPr>
              <w:keepNext w:val="0"/>
              <w:keepLines w:val="0"/>
              <w:pageBreakBefore w:val="0"/>
              <w:widowControl/>
              <w:kinsoku/>
              <w:wordWrap/>
              <w:overflowPunct/>
              <w:topLinePunct w:val="0"/>
              <w:autoSpaceDE/>
              <w:autoSpaceDN/>
              <w:bidi w:val="0"/>
              <w:adjustRightInd w:val="0"/>
              <w:snapToGrid w:val="0"/>
              <w:spacing w:line="380" w:lineRule="exact"/>
              <w:ind w:firstLine="562" w:firstLineChars="200"/>
              <w:jc w:val="left"/>
              <w:textAlignment w:val="auto"/>
              <w:rPr>
                <w:rFonts w:hint="default" w:ascii="宋体" w:hAnsi="宋体" w:eastAsia="方正楷体_GBK" w:cs="Times New Roman Regular"/>
                <w:color w:val="auto"/>
                <w:sz w:val="28"/>
                <w:szCs w:val="28"/>
                <w:highlight w:val="none"/>
                <w:u w:val="none" w:color="auto"/>
                <w:vertAlign w:val="baseline"/>
                <w:lang w:val="en-US" w:eastAsia="zh-CN"/>
              </w:rPr>
            </w:pPr>
            <w:r>
              <w:rPr>
                <w:rFonts w:hint="eastAsia" w:ascii="宋体" w:hAnsi="宋体" w:eastAsia="仿宋_GB2312" w:cs="仿宋_GB2312"/>
                <w:b/>
                <w:bCs/>
                <w:color w:val="auto"/>
                <w:sz w:val="28"/>
                <w:szCs w:val="28"/>
                <w:highlight w:val="none"/>
                <w:u w:val="none" w:color="auto"/>
                <w:lang w:val="en-US" w:eastAsia="zh-CN"/>
              </w:rPr>
              <w:t>公共法律服务体系建设工程。</w:t>
            </w:r>
            <w:r>
              <w:rPr>
                <w:rFonts w:hint="eastAsia" w:ascii="宋体" w:hAnsi="宋体" w:eastAsia="仿宋_GB2312" w:cs="仿宋_GB2312"/>
                <w:color w:val="auto"/>
                <w:sz w:val="28"/>
                <w:szCs w:val="28"/>
                <w:highlight w:val="none"/>
                <w:u w:val="none" w:color="auto"/>
                <w:lang w:val="en-US" w:eastAsia="zh-CN"/>
              </w:rPr>
              <w:t>优化</w:t>
            </w:r>
            <w:r>
              <w:rPr>
                <w:rFonts w:hint="eastAsia" w:ascii="宋体" w:hAnsi="宋体" w:eastAsia="仿宋_GB2312" w:cs="仿宋_GB2312"/>
                <w:color w:val="auto"/>
                <w:sz w:val="28"/>
                <w:szCs w:val="28"/>
                <w:highlight w:val="none"/>
                <w:u w:val="none" w:color="auto"/>
              </w:rPr>
              <w:t>县级公共法律服务中心和乡镇（街道）、村（社区）公共法律服务中心（站）</w:t>
            </w:r>
            <w:r>
              <w:rPr>
                <w:rFonts w:hint="eastAsia" w:ascii="宋体" w:hAnsi="宋体" w:eastAsia="仿宋_GB2312" w:cs="仿宋_GB2312"/>
                <w:color w:val="auto"/>
                <w:sz w:val="28"/>
                <w:szCs w:val="28"/>
                <w:highlight w:val="none"/>
                <w:u w:val="none" w:color="auto"/>
                <w:lang w:val="en-US" w:eastAsia="zh-CN"/>
              </w:rPr>
              <w:t>功能布局，推动</w:t>
            </w:r>
            <w:r>
              <w:rPr>
                <w:rFonts w:hint="eastAsia" w:ascii="宋体" w:hAnsi="宋体" w:eastAsia="仿宋_GB2312" w:cs="仿宋_GB2312"/>
                <w:b w:val="0"/>
                <w:bCs w:val="0"/>
                <w:color w:val="auto"/>
                <w:sz w:val="28"/>
                <w:szCs w:val="28"/>
                <w:highlight w:val="none"/>
                <w:u w:val="none" w:color="auto"/>
                <w:lang w:val="en-US" w:eastAsia="zh-CN"/>
              </w:rPr>
              <w:t>智能化升级，完善</w:t>
            </w:r>
            <w:r>
              <w:rPr>
                <w:rFonts w:hint="eastAsia" w:ascii="宋体" w:hAnsi="宋体" w:eastAsia="仿宋_GB2312" w:cs="仿宋_GB2312"/>
                <w:color w:val="auto"/>
                <w:sz w:val="28"/>
                <w:szCs w:val="28"/>
                <w:highlight w:val="none"/>
                <w:u w:val="none" w:color="auto"/>
              </w:rPr>
              <w:t>公共法律服务机器人</w:t>
            </w:r>
            <w:r>
              <w:rPr>
                <w:rFonts w:hint="eastAsia" w:ascii="宋体" w:hAnsi="宋体" w:eastAsia="仿宋_GB2312" w:cs="仿宋_GB2312"/>
                <w:color w:val="auto"/>
                <w:sz w:val="28"/>
                <w:szCs w:val="28"/>
                <w:highlight w:val="none"/>
                <w:u w:val="none" w:color="auto"/>
                <w:lang w:val="en-US" w:eastAsia="zh-CN"/>
              </w:rPr>
              <w:t>配套，</w:t>
            </w:r>
            <w:r>
              <w:rPr>
                <w:rFonts w:hint="eastAsia" w:ascii="宋体" w:hAnsi="宋体" w:eastAsia="仿宋_GB2312" w:cs="仿宋_GB2312"/>
                <w:color w:val="auto"/>
                <w:sz w:val="28"/>
                <w:szCs w:val="28"/>
                <w:highlight w:val="none"/>
                <w:u w:val="none" w:color="auto"/>
              </w:rPr>
              <w:t>拓展法律援助“绿色通道”的服务范围</w:t>
            </w:r>
            <w:r>
              <w:rPr>
                <w:rFonts w:hint="eastAsia" w:ascii="宋体" w:hAnsi="宋体" w:eastAsia="仿宋_GB2312" w:cs="仿宋_GB2312"/>
                <w:color w:val="auto"/>
                <w:sz w:val="28"/>
                <w:szCs w:val="28"/>
                <w:highlight w:val="none"/>
                <w:u w:val="none" w:color="auto"/>
                <w:lang w:eastAsia="zh-CN"/>
              </w:rPr>
              <w:t>，</w:t>
            </w:r>
            <w:r>
              <w:rPr>
                <w:rFonts w:hint="eastAsia" w:ascii="宋体" w:hAnsi="宋体" w:eastAsia="仿宋_GB2312" w:cs="仿宋_GB2312"/>
                <w:color w:val="auto"/>
                <w:sz w:val="28"/>
                <w:szCs w:val="28"/>
                <w:highlight w:val="none"/>
                <w:u w:val="none" w:color="auto"/>
                <w:lang w:val="en-US" w:eastAsia="zh-CN"/>
              </w:rPr>
              <w:t>常态化开展</w:t>
            </w:r>
            <w:r>
              <w:rPr>
                <w:rFonts w:hint="eastAsia" w:ascii="宋体" w:hAnsi="宋体" w:eastAsia="仿宋_GB2312" w:cs="仿宋_GB2312"/>
                <w:color w:val="auto"/>
                <w:sz w:val="28"/>
                <w:szCs w:val="28"/>
                <w:highlight w:val="none"/>
                <w:u w:val="none" w:color="auto"/>
                <w:lang w:eastAsia="zh-CN"/>
              </w:rPr>
              <w:t>“我为群众办实事”实践活动</w:t>
            </w:r>
            <w:r>
              <w:rPr>
                <w:rFonts w:hint="eastAsia" w:ascii="宋体" w:hAnsi="宋体" w:eastAsia="仿宋_GB2312" w:cs="仿宋_GB2312"/>
                <w:b w:val="0"/>
                <w:bCs w:val="0"/>
                <w:color w:val="auto"/>
                <w:sz w:val="28"/>
                <w:szCs w:val="28"/>
                <w:highlight w:val="none"/>
                <w:u w:val="none" w:color="auto"/>
                <w:lang w:val="en-US" w:eastAsia="zh-CN"/>
              </w:rPr>
              <w:t>，扩大法律援助覆盖面。</w:t>
            </w:r>
          </w:p>
        </w:tc>
      </w:tr>
    </w:tbl>
    <w:p w14:paraId="75F5E8F8">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1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889" w:name="_Toc1298116664"/>
      <w:bookmarkStart w:id="890" w:name="_Toc2136275871"/>
      <w:bookmarkStart w:id="891" w:name="_Toc30815"/>
      <w:bookmarkStart w:id="892" w:name="_Toc2006669594"/>
      <w:bookmarkStart w:id="893" w:name="_Toc2007016564"/>
      <w:bookmarkStart w:id="894" w:name="_Toc125606578"/>
      <w:bookmarkStart w:id="895" w:name="_Toc804915395"/>
      <w:bookmarkStart w:id="896" w:name="_Toc5386"/>
      <w:bookmarkStart w:id="897" w:name="_Toc1697158945"/>
      <w:bookmarkStart w:id="898" w:name="_Toc1453120027"/>
      <w:bookmarkStart w:id="899" w:name="_Toc16849"/>
      <w:bookmarkStart w:id="900" w:name="_Toc23595"/>
      <w:bookmarkStart w:id="901" w:name="_Toc1352111280"/>
      <w:bookmarkStart w:id="902" w:name="_Toc31672714"/>
      <w:bookmarkStart w:id="903" w:name="_Toc81437055"/>
      <w:bookmarkStart w:id="904" w:name="_Toc20893"/>
      <w:bookmarkStart w:id="905" w:name="_Toc13714"/>
      <w:bookmarkStart w:id="906" w:name="_Toc1835"/>
      <w:bookmarkStart w:id="907" w:name="_Toc1644651635"/>
      <w:bookmarkStart w:id="908" w:name="_Toc1383529025"/>
      <w:bookmarkStart w:id="909" w:name="_Toc10727"/>
      <w:r>
        <w:rPr>
          <w:rFonts w:hint="eastAsia" w:ascii="宋体" w:hAnsi="宋体" w:eastAsia="黑体" w:cs="黑体"/>
          <w:b w:val="0"/>
          <w:bCs/>
          <w:color w:val="auto"/>
          <w:kern w:val="2"/>
          <w:sz w:val="32"/>
          <w:szCs w:val="24"/>
          <w:highlight w:val="none"/>
          <w:u w:val="none"/>
          <w:lang w:val="en-US" w:eastAsia="zh-CN" w:bidi="ar-SA"/>
        </w:rPr>
        <w:t>第三节  推进更高水平平安石林建设</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14:paraId="13FE6C47">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rPr>
        <w:t>全面落实总体国家安全观，</w:t>
      </w:r>
      <w:r>
        <w:rPr>
          <w:rFonts w:hint="eastAsia"/>
          <w:lang w:val="en-US" w:eastAsia="zh-CN"/>
        </w:rPr>
        <w:t>加强重点领域风险防控，</w:t>
      </w:r>
      <w:r>
        <w:rPr>
          <w:rFonts w:hint="eastAsia"/>
        </w:rPr>
        <w:t>积极防范化解影响现代化进程的各种风险，在更深层次、更广领域、更高水平上推进平安</w:t>
      </w:r>
      <w:r>
        <w:rPr>
          <w:rFonts w:hint="eastAsia"/>
          <w:lang w:val="en-US" w:eastAsia="zh-CN"/>
        </w:rPr>
        <w:t>石林</w:t>
      </w:r>
      <w:r>
        <w:rPr>
          <w:rFonts w:hint="eastAsia"/>
        </w:rPr>
        <w:t>建设。</w:t>
      </w:r>
    </w:p>
    <w:p w14:paraId="5AD0713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10"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一、加强重点领域风险防控</w:t>
      </w:r>
    </w:p>
    <w:p w14:paraId="1A59CB6A">
      <w:pPr>
        <w:keepLines w:val="0"/>
        <w:pageBreakBefore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lang w:val="en-US" w:eastAsia="zh-CN"/>
        </w:rPr>
        <w:t>严格落实国家安全责任制，健全风险防控协同机制，加强粮食、能源、金融、产业供应链等重点领域安全能力建设。严守耕地保护红线，切实提高粮食综合生产能力，夯实粮食安全基本盘。完善能源产供储销体系，提升能源应急保障能力，确保能源安全稳定供应。加强战略性矿产资源调查评价和勘查开发，建立重要矿产资源储备制度，提升矿产资源供应链韧性和安全水平。牢固树立“过紧日子”思想，兜牢兜实“三保”底线。严格落实政府债务限额管控，坚决遏增量、化存量。强化金融监管协调机制，加大涉众型金融风险预警预防和化解处置。落实好促进房地产市场平稳健康发展的新政策，统筹做好消化存量和优化增量，推动房地产和建筑业持续健康发展。</w:t>
      </w:r>
    </w:p>
    <w:p w14:paraId="1531F9DC">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3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eastAsia" w:ascii="宋体" w:hAnsi="宋体" w:eastAsia="楷体_GB2312" w:cs="楷体_GB2312"/>
          <w:b w:val="0"/>
          <w:bCs/>
          <w:color w:val="auto"/>
          <w:kern w:val="2"/>
          <w:sz w:val="32"/>
          <w:szCs w:val="32"/>
          <w:highlight w:val="none"/>
          <w:lang w:val="en-US" w:eastAsia="zh-CN" w:bidi="ar-SA"/>
        </w:rPr>
        <w:t>二</w:t>
      </w:r>
      <w:r>
        <w:rPr>
          <w:rFonts w:hint="default" w:ascii="宋体" w:hAnsi="宋体" w:eastAsia="楷体_GB2312" w:cs="楷体_GB2312"/>
          <w:b w:val="0"/>
          <w:bCs/>
          <w:color w:val="auto"/>
          <w:kern w:val="2"/>
          <w:sz w:val="32"/>
          <w:szCs w:val="32"/>
          <w:highlight w:val="none"/>
          <w:lang w:val="en-US" w:eastAsia="zh-CN" w:bidi="ar-SA"/>
        </w:rPr>
        <w:t>、提升公共安全管控能力</w:t>
      </w:r>
    </w:p>
    <w:p w14:paraId="3E37C2A2">
      <w:pPr>
        <w:keepLines w:val="0"/>
        <w:pageBreakBefore w:val="0"/>
        <w:kinsoku/>
        <w:wordWrap/>
        <w:overflowPunct/>
        <w:topLinePunct w:val="0"/>
        <w:autoSpaceDE/>
        <w:autoSpaceDN/>
        <w:bidi w:val="0"/>
        <w:adjustRightInd/>
        <w:snapToGrid/>
        <w:spacing w:line="530" w:lineRule="exact"/>
        <w:textAlignment w:val="auto"/>
        <w:rPr>
          <w:rFonts w:hint="eastAsia"/>
          <w:lang w:val="en-US" w:eastAsia="zh-CN"/>
        </w:rPr>
      </w:pPr>
      <w:r>
        <w:rPr>
          <w:rFonts w:hint="eastAsia"/>
          <w:lang w:val="en-US" w:eastAsia="zh-CN"/>
        </w:rPr>
        <w:t>实施安全生产隐患排查治理行动，强化矿山、危化品、消防、建筑施工等重点行业领域隐患排查治理与风险分级管控，推进企业安全生产标准化建设，严格监管执法，严控重特大事故发生。围绕食品药品安全，完善从农田到餐桌、实验室到医院的风险监测预警机制，加强冷链物流、网络餐饮、校园食堂等重点环节整治，严打制假售假、非法添加等违法行为，保障群众饮食用药安全。加强应急文化建设，落实“1262”防汛预警机制，强化地质灾害监测预警，强化跨部门协同应急机制</w:t>
      </w:r>
      <w:r>
        <w:rPr>
          <w:rFonts w:hint="eastAsia"/>
          <w:lang w:eastAsia="zh-CN"/>
        </w:rPr>
        <w:t>，</w:t>
      </w:r>
      <w:r>
        <w:rPr>
          <w:rFonts w:hint="eastAsia"/>
          <w:lang w:val="en-US" w:eastAsia="zh-CN"/>
        </w:rPr>
        <w:t>加强基层应急队伍与群众自救互救能力建设</w:t>
      </w:r>
      <w:r>
        <w:rPr>
          <w:rFonts w:hint="default"/>
          <w:lang w:val="en-US" w:eastAsia="zh-CN"/>
        </w:rPr>
        <w:t>。</w:t>
      </w:r>
      <w:r>
        <w:rPr>
          <w:rFonts w:hint="eastAsia"/>
          <w:lang w:val="en-US" w:eastAsia="zh-CN"/>
        </w:rPr>
        <w:t>推进综合性应急避难场所建设，</w:t>
      </w:r>
      <w:r>
        <w:rPr>
          <w:rFonts w:hint="eastAsia"/>
        </w:rPr>
        <w:t>完善乡镇（街道）应急物资储备库建设，</w:t>
      </w:r>
      <w:r>
        <w:rPr>
          <w:rFonts w:hint="eastAsia"/>
          <w:lang w:val="en-US" w:eastAsia="zh-CN"/>
        </w:rPr>
        <w:t>做好小叠水村、</w:t>
      </w:r>
      <w:r>
        <w:rPr>
          <w:rFonts w:hint="eastAsia"/>
        </w:rPr>
        <w:t>宜耐</w:t>
      </w:r>
      <w:r>
        <w:rPr>
          <w:rFonts w:hint="eastAsia"/>
          <w:lang w:val="en-US" w:eastAsia="zh-CN"/>
        </w:rPr>
        <w:t>等地质灾害避险搬迁安置。</w:t>
      </w:r>
    </w:p>
    <w:p w14:paraId="69CF5250">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3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r>
        <w:rPr>
          <w:rFonts w:hint="default" w:ascii="宋体" w:hAnsi="宋体" w:eastAsia="楷体_GB2312" w:cs="楷体_GB2312"/>
          <w:b w:val="0"/>
          <w:bCs/>
          <w:color w:val="auto"/>
          <w:kern w:val="2"/>
          <w:sz w:val="32"/>
          <w:szCs w:val="32"/>
          <w:highlight w:val="none"/>
          <w:lang w:val="en-US" w:eastAsia="zh-CN" w:bidi="ar-SA"/>
        </w:rPr>
        <w:t>三、完善社会治安防控体系</w:t>
      </w:r>
    </w:p>
    <w:p w14:paraId="5432A0D2">
      <w:pPr>
        <w:keepNext w:val="0"/>
        <w:keepLines w:val="0"/>
        <w:pageBreakBefore w:val="0"/>
        <w:widowControl/>
        <w:kinsoku/>
        <w:wordWrap/>
        <w:overflowPunct/>
        <w:topLinePunct w:val="0"/>
        <w:autoSpaceDE/>
        <w:autoSpaceDN/>
        <w:bidi w:val="0"/>
        <w:adjustRightInd/>
        <w:snapToGrid/>
        <w:spacing w:line="500" w:lineRule="exact"/>
        <w:ind w:firstLine="720"/>
        <w:textAlignment w:val="auto"/>
        <w:rPr>
          <w:rFonts w:hint="default" w:ascii="宋体" w:hAnsi="宋体"/>
          <w:lang w:val="en-US" w:eastAsia="zh-CN"/>
        </w:rPr>
      </w:pPr>
      <w:r>
        <w:rPr>
          <w:rFonts w:hint="eastAsia" w:ascii="宋体" w:hAnsi="宋体"/>
          <w:lang w:val="en-US" w:eastAsia="zh-CN"/>
        </w:rPr>
        <w:t>健全社会治安防控体系，高水平推进“雪亮工程”建设和应用，推进“智慧安防”“智慧警务”建设，加快构建全方位、多维度、全领域智能感知网络。完善社会治安防范打击机制，优化防控力量布局，推行扁平化勤务指挥模式，提升治安动态控制能力。完善禁毒防艾、命案防控工作机制，坚决防范和打击暴力恐怖和黑恶势力、新型网络犯罪和跨国犯罪，维护公共领域安全。积极加强与宜良县、陆良县等相邻县市开展平安界线联检，推进平安边界建设。深化基层平安创建活动，积极创建一批平安乡村。</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7BE8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9061" w:type="dxa"/>
            <w:noWrap w:val="0"/>
            <w:vAlign w:val="center"/>
          </w:tcPr>
          <w:p w14:paraId="49383612">
            <w:pPr>
              <w:keepNext w:val="0"/>
              <w:keepLines w:val="0"/>
              <w:pageBreakBefore w:val="0"/>
              <w:widowControl w:val="0"/>
              <w:kinsoku/>
              <w:wordWrap/>
              <w:overflowPunct/>
              <w:topLinePunct w:val="0"/>
              <w:autoSpaceDE/>
              <w:autoSpaceDN/>
              <w:bidi w:val="0"/>
              <w:adjustRightInd/>
              <w:snapToGrid/>
              <w:spacing w:after="0" w:afterLines="0" w:afterAutospacing="0" w:line="500" w:lineRule="exact"/>
              <w:ind w:firstLine="560" w:firstLineChars="200"/>
              <w:jc w:val="center"/>
              <w:textAlignment w:val="auto"/>
              <w:rPr>
                <w:rFonts w:hint="default" w:ascii="宋体" w:hAnsi="宋体" w:eastAsia="仿宋_GB2312" w:cs="Times New Roman Regular"/>
                <w:color w:val="auto"/>
                <w:kern w:val="2"/>
                <w:sz w:val="32"/>
                <w:szCs w:val="22"/>
                <w:vertAlign w:val="baseline"/>
                <w:lang w:val="en-US" w:eastAsia="zh-CN" w:bidi="ar-SA"/>
              </w:rPr>
            </w:pPr>
            <w:r>
              <w:rPr>
                <w:rFonts w:hint="eastAsia" w:ascii="黑体" w:hAnsi="黑体" w:eastAsia="黑体" w:cs="黑体"/>
                <w:color w:val="auto"/>
                <w:kern w:val="2"/>
                <w:sz w:val="28"/>
                <w:szCs w:val="36"/>
                <w:vertAlign w:val="baseline"/>
                <w:lang w:val="en-US" w:eastAsia="zh-CN" w:bidi="ar-SA"/>
              </w:rPr>
              <w:t>专栏17  平安石林建设重点工程</w:t>
            </w:r>
          </w:p>
        </w:tc>
      </w:tr>
      <w:tr w14:paraId="226F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1A249FD9">
            <w:pPr>
              <w:keepNext w:val="0"/>
              <w:keepLines w:val="0"/>
              <w:pageBreakBefore w:val="0"/>
              <w:widowControl w:val="0"/>
              <w:kinsoku/>
              <w:wordWrap/>
              <w:overflowPunct/>
              <w:topLinePunct w:val="0"/>
              <w:autoSpaceDE/>
              <w:autoSpaceDN/>
              <w:bidi w:val="0"/>
              <w:adjustRightInd/>
              <w:snapToGrid/>
              <w:spacing w:afterLines="0" w:line="400" w:lineRule="exact"/>
              <w:ind w:firstLine="562" w:firstLineChars="200"/>
              <w:jc w:val="both"/>
              <w:textAlignment w:val="auto"/>
              <w:rPr>
                <w:rFonts w:hint="eastAsia" w:ascii="宋体" w:hAnsi="宋体" w:eastAsia="仿宋_GB2312" w:cs="仿宋_GB2312"/>
                <w:b w:val="0"/>
                <w:bCs w:val="0"/>
                <w:color w:val="auto"/>
                <w:sz w:val="28"/>
                <w:szCs w:val="28"/>
                <w:highlight w:val="none"/>
                <w:u w:val="none" w:color="auto"/>
                <w:lang w:val="en-US" w:eastAsia="zh-CN"/>
              </w:rPr>
            </w:pPr>
            <w:r>
              <w:rPr>
                <w:rFonts w:hint="eastAsia" w:ascii="宋体" w:hAnsi="宋体" w:eastAsia="仿宋_GB2312" w:cs="仿宋_GB2312"/>
                <w:b/>
                <w:bCs/>
                <w:color w:val="auto"/>
                <w:sz w:val="28"/>
                <w:szCs w:val="28"/>
                <w:highlight w:val="none"/>
                <w:u w:val="none" w:color="auto"/>
                <w:lang w:val="en-US" w:eastAsia="zh-CN"/>
              </w:rPr>
              <w:t>保障房地产市场平稳健康发展工程。</w:t>
            </w:r>
            <w:r>
              <w:rPr>
                <w:rFonts w:hint="eastAsia" w:ascii="宋体" w:hAnsi="宋体" w:eastAsia="仿宋_GB2312" w:cs="仿宋_GB2312"/>
                <w:b w:val="0"/>
                <w:bCs w:val="0"/>
                <w:color w:val="auto"/>
                <w:sz w:val="28"/>
                <w:szCs w:val="28"/>
                <w:highlight w:val="none"/>
                <w:u w:val="none" w:color="auto"/>
                <w:lang w:val="en-US" w:eastAsia="zh-CN"/>
              </w:rPr>
              <w:t>持续推进“保交楼”工作，推进东门坊、湖畔丽景二期、紫金玉商业中心，天时林苑等停工项目重整复建，利用促销、专项债收储等多种方式盘活存量房市场，保持商品房去化周期不超</w:t>
            </w:r>
            <w:r>
              <w:rPr>
                <w:rFonts w:hint="eastAsia" w:ascii="宋体" w:hAnsi="宋体" w:eastAsia="仿宋_GB2312" w:cs="宋体"/>
                <w:b w:val="0"/>
                <w:bCs w:val="0"/>
                <w:color w:val="auto"/>
                <w:sz w:val="28"/>
                <w:szCs w:val="28"/>
                <w:highlight w:val="none"/>
                <w:u w:val="none" w:color="auto"/>
                <w:lang w:val="en-US" w:eastAsia="zh-CN"/>
              </w:rPr>
              <w:t>36</w:t>
            </w:r>
            <w:r>
              <w:rPr>
                <w:rFonts w:hint="eastAsia" w:ascii="宋体" w:hAnsi="宋体" w:eastAsia="仿宋_GB2312" w:cs="仿宋_GB2312"/>
                <w:b w:val="0"/>
                <w:bCs w:val="0"/>
                <w:color w:val="auto"/>
                <w:sz w:val="28"/>
                <w:szCs w:val="28"/>
                <w:highlight w:val="none"/>
                <w:u w:val="none" w:color="auto"/>
                <w:lang w:val="en-US" w:eastAsia="zh-CN"/>
              </w:rPr>
              <w:t>个月的红线。</w:t>
            </w:r>
          </w:p>
          <w:p w14:paraId="248AC7D8">
            <w:pPr>
              <w:keepNext w:val="0"/>
              <w:keepLines w:val="0"/>
              <w:pageBreakBefore w:val="0"/>
              <w:widowControl w:val="0"/>
              <w:numPr>
                <w:ilvl w:val="0"/>
                <w:numId w:val="0"/>
              </w:numPr>
              <w:kinsoku/>
              <w:wordWrap/>
              <w:overflowPunct/>
              <w:topLinePunct w:val="0"/>
              <w:autoSpaceDE/>
              <w:autoSpaceDN/>
              <w:bidi w:val="0"/>
              <w:adjustRightInd/>
              <w:snapToGrid/>
              <w:spacing w:afterLines="0" w:line="400" w:lineRule="exact"/>
              <w:ind w:left="0" w:leftChars="0" w:right="0" w:rightChars="0" w:firstLine="562" w:firstLineChars="200"/>
              <w:textAlignment w:val="auto"/>
              <w:outlineLvl w:val="9"/>
              <w:rPr>
                <w:rFonts w:hint="eastAsia" w:ascii="宋体" w:hAnsi="宋体" w:eastAsia="仿宋_GB2312" w:cs="仿宋_GB2312"/>
                <w:color w:val="auto"/>
                <w:sz w:val="28"/>
                <w:szCs w:val="28"/>
                <w:lang w:val="en-US" w:eastAsia="zh-CN"/>
              </w:rPr>
            </w:pPr>
            <w:r>
              <w:rPr>
                <w:rFonts w:hint="eastAsia" w:ascii="宋体" w:hAnsi="宋体" w:eastAsia="仿宋_GB2312" w:cs="仿宋_GB2312"/>
                <w:b/>
                <w:bCs/>
                <w:color w:val="auto"/>
                <w:sz w:val="28"/>
                <w:szCs w:val="28"/>
                <w:lang w:val="en-US" w:eastAsia="zh-CN"/>
              </w:rPr>
              <w:t>派出所基础保障建设工程。</w:t>
            </w:r>
            <w:r>
              <w:rPr>
                <w:rFonts w:hint="eastAsia" w:ascii="宋体" w:hAnsi="宋体" w:eastAsia="仿宋_GB2312" w:cs="仿宋_GB2312"/>
                <w:color w:val="auto"/>
                <w:sz w:val="28"/>
                <w:szCs w:val="28"/>
                <w:lang w:val="en-US" w:eastAsia="zh-CN"/>
              </w:rPr>
              <w:t>推进完成</w:t>
            </w:r>
            <w:r>
              <w:rPr>
                <w:rFonts w:hint="eastAsia" w:ascii="宋体" w:hAnsi="宋体" w:eastAsia="仿宋_GB2312" w:cs="仿宋_GB2312"/>
                <w:b w:val="0"/>
                <w:bCs w:val="0"/>
                <w:color w:val="auto"/>
                <w:sz w:val="28"/>
                <w:szCs w:val="28"/>
                <w:lang w:val="en-US" w:eastAsia="zh-CN"/>
              </w:rPr>
              <w:t>西街口、风景区</w:t>
            </w:r>
            <w:r>
              <w:rPr>
                <w:rFonts w:hint="eastAsia" w:ascii="宋体" w:hAnsi="宋体" w:eastAsia="仿宋_GB2312" w:cs="宋体"/>
                <w:b w:val="0"/>
                <w:bCs w:val="0"/>
                <w:color w:val="auto"/>
                <w:sz w:val="28"/>
                <w:szCs w:val="28"/>
                <w:lang w:val="en-US" w:eastAsia="zh-CN"/>
              </w:rPr>
              <w:t>2</w:t>
            </w:r>
            <w:r>
              <w:rPr>
                <w:rFonts w:hint="eastAsia" w:ascii="宋体" w:hAnsi="宋体" w:eastAsia="仿宋_GB2312" w:cs="仿宋_GB2312"/>
                <w:b w:val="0"/>
                <w:bCs w:val="0"/>
                <w:color w:val="auto"/>
                <w:sz w:val="28"/>
                <w:szCs w:val="28"/>
                <w:lang w:val="en-US" w:eastAsia="zh-CN"/>
              </w:rPr>
              <w:t>个无房派出所、大可（危房）派出所建设</w:t>
            </w:r>
            <w:r>
              <w:rPr>
                <w:rFonts w:hint="eastAsia" w:ascii="宋体" w:hAnsi="宋体" w:eastAsia="仿宋_GB2312" w:cs="仿宋_GB2312"/>
                <w:color w:val="auto"/>
                <w:sz w:val="28"/>
                <w:szCs w:val="28"/>
                <w:lang w:val="en-US" w:eastAsia="zh-CN"/>
              </w:rPr>
              <w:t>，分层分类调整优化派出所“两队一室”设置，持续推进“枫桥式派出所”创建，做精做强“红袖标”群防群治队伍。</w:t>
            </w:r>
          </w:p>
          <w:p w14:paraId="3B31EAFC">
            <w:pPr>
              <w:keepNext w:val="0"/>
              <w:keepLines w:val="0"/>
              <w:pageBreakBefore w:val="0"/>
              <w:widowControl w:val="0"/>
              <w:kinsoku/>
              <w:wordWrap/>
              <w:overflowPunct/>
              <w:topLinePunct w:val="0"/>
              <w:autoSpaceDE/>
              <w:autoSpaceDN/>
              <w:bidi w:val="0"/>
              <w:adjustRightInd/>
              <w:snapToGrid/>
              <w:spacing w:after="0" w:afterLines="0" w:afterAutospacing="0" w:line="400" w:lineRule="exact"/>
              <w:ind w:firstLine="562" w:firstLineChars="200"/>
              <w:jc w:val="both"/>
              <w:textAlignment w:val="auto"/>
              <w:rPr>
                <w:rFonts w:hint="default" w:ascii="宋体" w:hAnsi="宋体" w:eastAsia="仿宋_GB2312" w:cs="Times New Roman Regular"/>
                <w:color w:val="auto"/>
                <w:kern w:val="2"/>
                <w:sz w:val="32"/>
                <w:szCs w:val="22"/>
                <w:vertAlign w:val="baseline"/>
                <w:lang w:val="en-US" w:eastAsia="zh-CN" w:bidi="ar-SA"/>
              </w:rPr>
            </w:pPr>
            <w:r>
              <w:rPr>
                <w:rFonts w:hint="eastAsia" w:ascii="宋体" w:hAnsi="宋体" w:eastAsia="仿宋_GB2312" w:cs="仿宋_GB2312"/>
                <w:b/>
                <w:bCs/>
                <w:i w:val="0"/>
                <w:color w:val="auto"/>
                <w:kern w:val="2"/>
                <w:sz w:val="28"/>
                <w:szCs w:val="28"/>
                <w:vertAlign w:val="baseline"/>
                <w:lang w:val="en-US" w:eastAsia="zh-CN" w:bidi="ar-SA"/>
              </w:rPr>
              <w:t>应急场所建设工程。</w:t>
            </w:r>
            <w:r>
              <w:rPr>
                <w:rFonts w:hint="eastAsia" w:ascii="宋体" w:hAnsi="宋体" w:eastAsia="仿宋_GB2312" w:cs="仿宋_GB2312"/>
                <w:b w:val="0"/>
                <w:bCs w:val="0"/>
                <w:i w:val="0"/>
                <w:color w:val="auto"/>
                <w:kern w:val="2"/>
                <w:sz w:val="28"/>
                <w:szCs w:val="28"/>
                <w:vertAlign w:val="baseline"/>
                <w:lang w:val="en-US" w:eastAsia="zh-CN" w:bidi="ar-SA"/>
              </w:rPr>
              <w:t>统筹推进全县应急指挥管理设施、应急场所、应急医疗救护设施、应急供水供电设施等设施建设，推进防火应急道路建设。</w:t>
            </w:r>
          </w:p>
        </w:tc>
      </w:tr>
    </w:tbl>
    <w:p w14:paraId="2FAE8546">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20" w:lineRule="exact"/>
        <w:ind w:firstLine="0" w:firstLineChars="0"/>
        <w:jc w:val="center"/>
        <w:textAlignment w:val="auto"/>
        <w:outlineLvl w:val="1"/>
        <w:rPr>
          <w:rFonts w:hint="eastAsia" w:ascii="宋体" w:hAnsi="宋体" w:eastAsia="黑体" w:cs="黑体"/>
          <w:b w:val="0"/>
          <w:bCs/>
          <w:color w:val="auto"/>
          <w:kern w:val="2"/>
          <w:sz w:val="32"/>
          <w:szCs w:val="22"/>
          <w:highlight w:val="none"/>
          <w:u w:val="none"/>
          <w:lang w:val="en-US" w:eastAsia="zh-CN" w:bidi="ar-SA"/>
        </w:rPr>
      </w:pPr>
      <w:bookmarkStart w:id="910" w:name="_Toc9621"/>
      <w:bookmarkStart w:id="911" w:name="_Toc6233"/>
      <w:bookmarkStart w:id="912" w:name="_Toc1894843389"/>
      <w:bookmarkStart w:id="913" w:name="_Toc1404260105"/>
      <w:bookmarkStart w:id="914" w:name="_Toc2493"/>
      <w:bookmarkStart w:id="915" w:name="_Toc609469704"/>
      <w:bookmarkStart w:id="916" w:name="_Toc1213551312"/>
      <w:bookmarkStart w:id="917" w:name="_Toc3121"/>
      <w:bookmarkStart w:id="918" w:name="_Toc28046"/>
      <w:bookmarkStart w:id="919" w:name="_Toc1272589161"/>
      <w:bookmarkStart w:id="920" w:name="_Toc2012673870"/>
      <w:bookmarkStart w:id="921" w:name="_Toc3339"/>
      <w:bookmarkStart w:id="922" w:name="_Toc1401747719"/>
      <w:bookmarkStart w:id="923" w:name="_Toc112"/>
      <w:bookmarkStart w:id="924" w:name="_Toc32719"/>
      <w:bookmarkStart w:id="925" w:name="_Toc19393459"/>
      <w:bookmarkStart w:id="926" w:name="_Toc93331445"/>
      <w:bookmarkStart w:id="927" w:name="_Toc7687"/>
      <w:bookmarkStart w:id="928" w:name="_Toc12824"/>
      <w:bookmarkStart w:id="929" w:name="_Toc1398008908"/>
      <w:r>
        <w:rPr>
          <w:rFonts w:hint="eastAsia" w:ascii="宋体" w:hAnsi="宋体" w:eastAsia="黑体" w:cs="黑体"/>
          <w:b w:val="0"/>
          <w:bCs/>
          <w:color w:val="auto"/>
          <w:kern w:val="2"/>
          <w:sz w:val="32"/>
          <w:szCs w:val="22"/>
          <w:highlight w:val="none"/>
          <w:u w:val="none"/>
          <w:lang w:val="en-US" w:eastAsia="zh-CN" w:bidi="ar-SA"/>
        </w:rPr>
        <w:t>第四节  加强和创新基层社会治理</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14:paraId="738C512C">
      <w:pPr>
        <w:keepLines w:val="0"/>
        <w:pageBreakBefore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以共建共治共享为目标，推动数字赋能基层社会治理，完善基层治理统筹功能，完善党建引领基层治理机制，不断提升基层治理效能和服务群众质效。</w:t>
      </w:r>
    </w:p>
    <w:p w14:paraId="4808BB4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Chars="0" w:firstLine="640" w:firstLineChars="200"/>
        <w:jc w:val="left"/>
        <w:textAlignment w:val="auto"/>
        <w:outlineLvl w:val="2"/>
        <w:rPr>
          <w:rFonts w:hint="default" w:ascii="宋体" w:hAnsi="宋体" w:eastAsia="楷体_GB2312" w:cs="楷体_GB2312"/>
          <w:b w:val="0"/>
          <w:bCs/>
          <w:color w:val="auto"/>
          <w:kern w:val="2"/>
          <w:sz w:val="32"/>
          <w:szCs w:val="32"/>
          <w:highlight w:val="none"/>
          <w:lang w:val="en-US" w:eastAsia="zh-CN" w:bidi="ar-SA"/>
        </w:rPr>
      </w:pPr>
      <w:bookmarkStart w:id="930" w:name="_Toc10346"/>
      <w:r>
        <w:rPr>
          <w:rFonts w:hint="default" w:ascii="宋体" w:hAnsi="宋体" w:eastAsia="楷体_GB2312" w:cs="楷体_GB2312"/>
          <w:b w:val="0"/>
          <w:bCs/>
          <w:color w:val="auto"/>
          <w:kern w:val="2"/>
          <w:sz w:val="32"/>
          <w:szCs w:val="32"/>
          <w:highlight w:val="none"/>
          <w:lang w:val="en-US" w:eastAsia="zh-CN" w:bidi="ar-SA"/>
        </w:rPr>
        <w:t>一、健全完善基层治理体系</w:t>
      </w:r>
      <w:bookmarkEnd w:id="930"/>
    </w:p>
    <w:p w14:paraId="705184A6">
      <w:pPr>
        <w:keepNext/>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rPr>
      </w:pPr>
      <w:r>
        <w:rPr>
          <w:rFonts w:hint="eastAsia"/>
          <w:lang w:val="en-US" w:eastAsia="zh-CN"/>
        </w:rPr>
        <w:t>以党建引领为核心筑牢基层治理根基，深化“党建+网格”管理模式，构建县乡村三级联动、条块协同的基层治理“大党建”格局。深化乡镇（街道）管理体制改革，优化职能配置和权责关系，完善基层民主协商制度，推动治理重心下移、资源下沉、保障下倾。</w:t>
      </w:r>
      <w:r>
        <w:rPr>
          <w:rFonts w:hint="eastAsia"/>
          <w:lang w:eastAsia="zh-CN"/>
        </w:rPr>
        <w:t>健全基层群众自治制度，</w:t>
      </w:r>
      <w:r>
        <w:rPr>
          <w:rFonts w:hint="eastAsia"/>
          <w:lang w:val="en-US" w:eastAsia="zh-CN"/>
        </w:rPr>
        <w:t>加强村（居）民委员会规范化建设，完善村（社区）网格化服务管理机制。推进基层法治和德治建设，规范村规民约、居民公约。完善社会力量参与基层治理的激励政策，创新社区与社会组织、社会工作者、社区志愿者、社会慈善资源的“五社联动”机制。推进基层治理平台数字化赋能，推进基层治理数字化平台建设，整合党建、政务、服务等信息系统资源，打造“智慧社区”综合管理服务平台，持续优化基层政务服务流程，推动更多高频事项“就近办、网上办、掌上办”。</w:t>
      </w:r>
    </w:p>
    <w:p w14:paraId="5833E9B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Chars="0" w:firstLine="640" w:firstLineChars="200"/>
        <w:jc w:val="left"/>
        <w:textAlignment w:val="auto"/>
        <w:outlineLvl w:val="2"/>
        <w:rPr>
          <w:rFonts w:hint="eastAsia" w:ascii="宋体" w:hAnsi="宋体" w:eastAsia="楷体_GB2312" w:cs="楷体_GB2312"/>
          <w:b w:val="0"/>
          <w:bCs/>
          <w:color w:val="auto"/>
          <w:kern w:val="2"/>
          <w:sz w:val="32"/>
          <w:szCs w:val="32"/>
          <w:highlight w:val="none"/>
          <w:lang w:val="en-US" w:eastAsia="zh-CN" w:bidi="ar-SA"/>
        </w:rPr>
      </w:pPr>
      <w:bookmarkStart w:id="931" w:name="_Toc8057"/>
      <w:r>
        <w:rPr>
          <w:rFonts w:hint="eastAsia" w:ascii="宋体" w:hAnsi="宋体" w:eastAsia="楷体_GB2312" w:cs="楷体_GB2312"/>
          <w:b w:val="0"/>
          <w:bCs/>
          <w:color w:val="auto"/>
          <w:kern w:val="2"/>
          <w:sz w:val="32"/>
          <w:szCs w:val="32"/>
          <w:highlight w:val="none"/>
          <w:lang w:val="en-US" w:eastAsia="zh-CN" w:bidi="ar-SA"/>
        </w:rPr>
        <w:t>二、有效防范和化解社会纠纷矛盾</w:t>
      </w:r>
      <w:bookmarkEnd w:id="931"/>
    </w:p>
    <w:p w14:paraId="4FCC817C">
      <w:pPr>
        <w:keepLines w:val="0"/>
        <w:pageBreakBefore w:val="0"/>
        <w:kinsoku/>
        <w:wordWrap/>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坚持和发展新时代“枫桥经验”，健全基层网格化治理体系，完善“2+3（1）+N”多元纠纷调解机制，推动综治、应急、城市管理等各类网格“多格合一、一网统管”。加强村（社区）、乡镇（街道）调委会规范化建设，推广“阿诗玛”“高玛饶”调解模式，常态化开展矛盾纠纷排查化解，确保小事不出村、大事不出乡。落实“首接首办、即接即办”责任制，推行领导干部定期接访、重点约访、带案下访制度，推进信访与人民调解、行政调解、司法调解对接联动，建立信访积案动态清零机制，提升信访事项化解质效。</w:t>
      </w:r>
    </w:p>
    <w:p w14:paraId="335928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left="0" w:leftChars="0" w:firstLine="0" w:firstLineChars="0"/>
        <w:jc w:val="center"/>
        <w:textAlignment w:val="auto"/>
        <w:outlineLvl w:val="1"/>
        <w:rPr>
          <w:rFonts w:hint="default" w:ascii="宋体" w:hAnsi="宋体" w:eastAsia="方正黑体_GBK" w:cs="Times New Roman Regular"/>
          <w:b w:val="0"/>
          <w:bCs w:val="0"/>
          <w:color w:val="auto"/>
          <w:kern w:val="2"/>
          <w:sz w:val="32"/>
          <w:szCs w:val="24"/>
          <w:highlight w:val="none"/>
          <w:lang w:val="en-US" w:eastAsia="zh-CN" w:bidi="ar-SA"/>
        </w:rPr>
      </w:pPr>
      <w:bookmarkStart w:id="932" w:name="_Toc12309"/>
      <w:bookmarkStart w:id="933" w:name="_Toc21670"/>
      <w:bookmarkStart w:id="934" w:name="_Toc717134929"/>
      <w:bookmarkStart w:id="935" w:name="_Toc8418"/>
      <w:bookmarkStart w:id="936" w:name="_Toc554304205"/>
      <w:bookmarkStart w:id="937" w:name="_Toc765500246"/>
      <w:bookmarkStart w:id="938" w:name="_Toc958533805"/>
      <w:bookmarkStart w:id="939" w:name="_Toc2007802585"/>
      <w:bookmarkStart w:id="940" w:name="_Toc1160401975"/>
      <w:bookmarkStart w:id="941" w:name="_Toc262330406"/>
      <w:bookmarkStart w:id="942" w:name="_Toc31829"/>
      <w:bookmarkStart w:id="943" w:name="_Toc1278305643"/>
      <w:bookmarkStart w:id="944" w:name="_Toc1597837560"/>
      <w:bookmarkStart w:id="945" w:name="_Toc1616388454"/>
      <w:bookmarkStart w:id="946" w:name="_Toc24250"/>
      <w:bookmarkStart w:id="947" w:name="_Toc1675834716"/>
      <w:bookmarkStart w:id="948" w:name="_Toc1504705225"/>
      <w:bookmarkStart w:id="949" w:name="_Toc1994809193"/>
      <w:bookmarkStart w:id="950" w:name="_Toc27218"/>
      <w:bookmarkStart w:id="951" w:name="_Toc32556"/>
      <w:bookmarkStart w:id="952" w:name="_Toc383"/>
      <w:r>
        <w:rPr>
          <w:rFonts w:hint="default" w:ascii="宋体" w:hAnsi="宋体" w:eastAsia="方正黑体_GBK" w:cs="Times New Roman Regular"/>
          <w:b w:val="0"/>
          <w:bCs w:val="0"/>
          <w:color w:val="auto"/>
          <w:kern w:val="2"/>
          <w:sz w:val="32"/>
          <w:szCs w:val="24"/>
          <w:highlight w:val="none"/>
          <w:lang w:val="en-US" w:eastAsia="zh-CN" w:bidi="ar-SA"/>
        </w:rPr>
        <w:t xml:space="preserve">第五节 </w:t>
      </w:r>
      <w:r>
        <w:rPr>
          <w:rFonts w:hint="eastAsia" w:ascii="宋体" w:hAnsi="宋体" w:eastAsia="方正黑体_GBK" w:cs="Times New Roman Regular"/>
          <w:b w:val="0"/>
          <w:bCs w:val="0"/>
          <w:color w:val="auto"/>
          <w:kern w:val="2"/>
          <w:sz w:val="32"/>
          <w:szCs w:val="24"/>
          <w:highlight w:val="none"/>
          <w:lang w:val="en-US" w:eastAsia="zh-CN" w:bidi="ar-SA"/>
        </w:rPr>
        <w:t xml:space="preserve"> </w:t>
      </w:r>
      <w:r>
        <w:rPr>
          <w:rFonts w:hint="default" w:ascii="宋体" w:hAnsi="宋体" w:eastAsia="方正黑体_GBK" w:cs="Times New Roman Regular"/>
          <w:b w:val="0"/>
          <w:bCs w:val="0"/>
          <w:color w:val="auto"/>
          <w:kern w:val="2"/>
          <w:sz w:val="32"/>
          <w:szCs w:val="24"/>
          <w:highlight w:val="none"/>
          <w:lang w:val="en-US" w:eastAsia="zh-CN" w:bidi="ar-SA"/>
        </w:rPr>
        <w:t>推动新时代石林国防动员后备力量建设</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14:paraId="45A8DD69">
      <w:pPr>
        <w:keepLines w:val="0"/>
        <w:pageBreakBefore w:val="0"/>
        <w:kinsoku/>
        <w:wordWrap/>
        <w:overflowPunct/>
        <w:topLinePunct w:val="0"/>
        <w:autoSpaceDE/>
        <w:autoSpaceDN/>
        <w:bidi w:val="0"/>
        <w:adjustRightInd/>
        <w:snapToGrid/>
        <w:spacing w:line="520" w:lineRule="exact"/>
        <w:textAlignment w:val="auto"/>
        <w:rPr>
          <w:rFonts w:hint="eastAsia"/>
        </w:rPr>
      </w:pPr>
      <w:r>
        <w:rPr>
          <w:rFonts w:hint="eastAsia"/>
        </w:rPr>
        <w:t>深入贯彻习近平强军思想，坚持党管武装原则，全面加强国防动员能力建设，推动军民融合发展。优化民兵队伍结构，扎实做好兵员征集工作，突出大学生征集重点，严格质量标准，提高兵员整体素质。以备战强能为指向，坚持“平时建”与“战时用”相统一，拓展石林县民兵训练基地功能，强化练兵备战，科学编兵整组，强化战备建设，全面锤炼援战保战能力。发挥军地双向支持的独特优势，畅通军地协调机制，保障军队需求。深化全民国防教育，常态化开展“国防教育进校园”活动，增强全民国防观念和崇军尚武意识。持续深化双拥共建，巩固“全省双拥模范县”创建成果，广泛开展“尊崇英模、学习英模、关爱英模”活动，积极组织军地广泛开展军营开放日、送立功喜报、悬挂光荣牌等；积极完善和落实拥军优抚安置政策，做好退役军人服务保障，维护军人合法权益，巩固好“军爱民、民拥军”的良好局面。</w:t>
      </w:r>
    </w:p>
    <w:p w14:paraId="4930799B">
      <w:pPr>
        <w:keepNext/>
        <w:keepLines w:val="0"/>
        <w:pageBreakBefore w:val="0"/>
        <w:widowControl w:val="0"/>
        <w:numPr>
          <w:ilvl w:val="0"/>
          <w:numId w:val="0"/>
        </w:numPr>
        <w:kinsoku/>
        <w:wordWrap/>
        <w:overflowPunct/>
        <w:topLinePunct w:val="0"/>
        <w:autoSpaceDE/>
        <w:autoSpaceDN/>
        <w:bidi w:val="0"/>
        <w:adjustRightInd/>
        <w:snapToGrid/>
        <w:spacing w:before="400" w:beforeLines="0" w:beforeAutospacing="0" w:after="200" w:afterLines="0" w:afterAutospacing="0" w:line="500" w:lineRule="exact"/>
        <w:ind w:left="0" w:leftChars="0" w:firstLine="0" w:firstLineChars="0"/>
        <w:jc w:val="center"/>
        <w:textAlignment w:val="auto"/>
        <w:outlineLvl w:val="0"/>
        <w:rPr>
          <w:rFonts w:hint="default" w:ascii="宋体" w:hAnsi="宋体" w:eastAsia="方正小标宋_GBK" w:cs="Times New Roman Regular"/>
          <w:b w:val="0"/>
          <w:bCs/>
          <w:color w:val="auto"/>
          <w:kern w:val="44"/>
          <w:sz w:val="36"/>
          <w:szCs w:val="36"/>
          <w:highlight w:val="none"/>
          <w:lang w:val="en-US" w:eastAsia="zh-CN" w:bidi="ar-SA"/>
        </w:rPr>
      </w:pPr>
      <w:bookmarkStart w:id="953" w:name="_Toc1056537313"/>
      <w:bookmarkStart w:id="954" w:name="_Toc1506041407"/>
      <w:bookmarkStart w:id="955" w:name="_Toc572865185"/>
      <w:bookmarkStart w:id="956" w:name="_Toc30452"/>
      <w:bookmarkStart w:id="957" w:name="_Toc11948"/>
      <w:bookmarkStart w:id="958" w:name="_Toc9282"/>
      <w:bookmarkStart w:id="959" w:name="_Toc11619"/>
      <w:bookmarkStart w:id="960" w:name="_Toc17359"/>
      <w:bookmarkStart w:id="961" w:name="_Toc972611828"/>
      <w:bookmarkStart w:id="962" w:name="_Toc243409787"/>
      <w:bookmarkStart w:id="963" w:name="_Toc1208524739"/>
      <w:bookmarkStart w:id="964" w:name="_Toc1727500784"/>
      <w:bookmarkStart w:id="965" w:name="_Toc406712749"/>
      <w:bookmarkStart w:id="966" w:name="_Toc29103"/>
      <w:bookmarkStart w:id="967" w:name="_Toc1576995418"/>
      <w:bookmarkStart w:id="968" w:name="_Toc1802824488"/>
      <w:bookmarkStart w:id="969" w:name="_Toc813289503"/>
      <w:bookmarkStart w:id="970" w:name="_Toc203206351"/>
      <w:bookmarkStart w:id="971" w:name="_Toc13756"/>
      <w:bookmarkStart w:id="972" w:name="_Toc188105345"/>
      <w:bookmarkStart w:id="973" w:name="_Toc10716"/>
      <w:r>
        <w:rPr>
          <w:rFonts w:hint="default" w:ascii="宋体" w:hAnsi="宋体" w:eastAsia="方正小标宋_GBK" w:cs="Times New Roman Regular"/>
          <w:b w:val="0"/>
          <w:bCs/>
          <w:color w:val="auto"/>
          <w:kern w:val="44"/>
          <w:sz w:val="36"/>
          <w:szCs w:val="36"/>
          <w:highlight w:val="none"/>
          <w:lang w:val="en-US" w:eastAsia="zh-CN" w:bidi="ar-SA"/>
        </w:rPr>
        <w:t>第十</w:t>
      </w:r>
      <w:r>
        <w:rPr>
          <w:rFonts w:hint="eastAsia" w:ascii="宋体" w:hAnsi="宋体" w:eastAsia="方正小标宋_GBK" w:cs="Times New Roman Regular"/>
          <w:b w:val="0"/>
          <w:bCs/>
          <w:color w:val="auto"/>
          <w:kern w:val="44"/>
          <w:sz w:val="36"/>
          <w:szCs w:val="36"/>
          <w:highlight w:val="none"/>
          <w:lang w:val="en-US" w:eastAsia="zh-CN" w:bidi="ar-SA"/>
        </w:rPr>
        <w:t>四</w:t>
      </w:r>
      <w:r>
        <w:rPr>
          <w:rFonts w:hint="default" w:ascii="宋体" w:hAnsi="宋体" w:eastAsia="方正小标宋_GBK" w:cs="Times New Roman Regular"/>
          <w:b w:val="0"/>
          <w:bCs/>
          <w:color w:val="auto"/>
          <w:kern w:val="44"/>
          <w:sz w:val="36"/>
          <w:szCs w:val="36"/>
          <w:highlight w:val="none"/>
          <w:lang w:val="en-US" w:eastAsia="zh-CN" w:bidi="ar-SA"/>
        </w:rPr>
        <w:t>章</w:t>
      </w:r>
      <w:r>
        <w:rPr>
          <w:rFonts w:hint="eastAsia" w:ascii="宋体" w:hAnsi="宋体" w:eastAsia="方正小标宋_GBK" w:cs="Times New Roman Regular"/>
          <w:b w:val="0"/>
          <w:bCs/>
          <w:color w:val="auto"/>
          <w:kern w:val="44"/>
          <w:sz w:val="36"/>
          <w:szCs w:val="36"/>
          <w:highlight w:val="none"/>
          <w:lang w:val="en-US" w:eastAsia="zh-CN" w:bidi="ar-SA"/>
        </w:rPr>
        <w:t xml:space="preserve">  </w:t>
      </w:r>
      <w:r>
        <w:rPr>
          <w:rFonts w:hint="default" w:ascii="宋体" w:hAnsi="宋体" w:eastAsia="方正小标宋_GBK" w:cs="Times New Roman Regular"/>
          <w:b w:val="0"/>
          <w:bCs/>
          <w:color w:val="auto"/>
          <w:kern w:val="44"/>
          <w:sz w:val="36"/>
          <w:szCs w:val="36"/>
          <w:highlight w:val="none"/>
          <w:lang w:val="en-US" w:eastAsia="zh-CN" w:bidi="ar-SA"/>
        </w:rPr>
        <w:t>合力谱写石林高质量发展新篇章</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14:paraId="6466AB3C">
      <w:pPr>
        <w:keepNext/>
        <w:keepLines w:val="0"/>
        <w:pageBreakBefore w:val="0"/>
        <w:widowControl w:val="0"/>
        <w:kinsoku/>
        <w:wordWrap/>
        <w:overflowPunct/>
        <w:topLinePunct w:val="0"/>
        <w:autoSpaceDE/>
        <w:autoSpaceDN/>
        <w:bidi w:val="0"/>
        <w:adjustRightInd/>
        <w:snapToGrid/>
        <w:spacing w:line="510" w:lineRule="exact"/>
        <w:textAlignment w:val="auto"/>
        <w:rPr>
          <w:rFonts w:hint="default"/>
          <w:lang w:val="en-US" w:eastAsia="zh-CN"/>
        </w:rPr>
      </w:pPr>
      <w:r>
        <w:rPr>
          <w:rFonts w:hint="eastAsia"/>
          <w:lang w:val="en-US" w:eastAsia="zh-CN"/>
        </w:rPr>
        <w:t>充分发挥党总揽全局、协调各方的领导核心作用，调动各方面的积极性、主动性、创造性，凝聚起开创中国式现代化石林发展新局面的强大合力，确保“十五五”规划目标顺利实现。</w:t>
      </w:r>
    </w:p>
    <w:p w14:paraId="1023E828">
      <w:pPr>
        <w:keepNext/>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1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974" w:name="_Toc28261"/>
      <w:bookmarkStart w:id="975" w:name="_Toc774955047"/>
      <w:bookmarkStart w:id="976" w:name="_Toc14353"/>
      <w:bookmarkStart w:id="977" w:name="_Toc180724042"/>
      <w:bookmarkStart w:id="978" w:name="_Toc318819052"/>
      <w:bookmarkStart w:id="979" w:name="_Toc790142527"/>
      <w:bookmarkStart w:id="980" w:name="_Toc922"/>
      <w:bookmarkStart w:id="981" w:name="_Toc14746"/>
      <w:bookmarkStart w:id="982" w:name="_Toc126769248"/>
      <w:bookmarkStart w:id="983" w:name="_Toc1224394293"/>
      <w:bookmarkStart w:id="984" w:name="_Toc1827826195"/>
      <w:bookmarkStart w:id="985" w:name="_Toc975974794"/>
      <w:bookmarkStart w:id="986" w:name="_Toc17716"/>
      <w:bookmarkStart w:id="987" w:name="_Toc1795663907"/>
      <w:bookmarkStart w:id="988" w:name="_Toc21070"/>
      <w:bookmarkStart w:id="989" w:name="_Toc24368"/>
      <w:bookmarkStart w:id="990" w:name="_Toc390605031"/>
      <w:bookmarkStart w:id="991" w:name="_Toc31942574"/>
      <w:bookmarkStart w:id="992" w:name="_Toc223263766"/>
      <w:bookmarkStart w:id="993" w:name="_Toc24200"/>
      <w:bookmarkStart w:id="994" w:name="_Toc41472232"/>
      <w:r>
        <w:rPr>
          <w:rFonts w:hint="eastAsia" w:ascii="宋体" w:hAnsi="宋体" w:eastAsia="黑体" w:cs="黑体"/>
          <w:b w:val="0"/>
          <w:bCs/>
          <w:color w:val="auto"/>
          <w:kern w:val="2"/>
          <w:sz w:val="32"/>
          <w:szCs w:val="24"/>
          <w:highlight w:val="none"/>
          <w:u w:val="none"/>
          <w:lang w:val="en-US" w:eastAsia="zh-CN" w:bidi="ar-SA"/>
        </w:rPr>
        <w:t>第一节  坚持和加强党的全面领导</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14:paraId="7D8C8088">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lang w:val="en-US" w:eastAsia="zh-CN"/>
        </w:rPr>
        <w:t>贯彻党把方向、谋大局、定政策、促改革的要求，推动全县党员干部深入学习贯彻习近平新时代中国特色社会主义思想，增强“四个意识”、坚定“四个自信”、做到“两个维护”。坚持和完善党领导经济社会发展的体制机制，将党的全面领导始终贯穿“十五五”规划实施全过程。坚持新时代好干部标准，树好选人用人“风向标”，深刻强化“不躺平”的思想自觉和行为自律，严格干部选拔任用，加强干部交流培养和监督管理，完善干部考核评价和容错纠错机制，激励和保护干部担当行为。全面履行政府职能，有效运用公共资源推动实现规划目标任务。巩固发展新时代爱国统一战线，充分发挥工会、共青团、妇联等群团组织及社会组织的桥梁纽带作用，深化同各民主党派、无党派人士的团结合作，最大限度凝聚全社会共识、汇聚奋进力量。</w:t>
      </w:r>
    </w:p>
    <w:p w14:paraId="3039325D">
      <w:pPr>
        <w:keepNext/>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10" w:lineRule="exact"/>
        <w:ind w:left="0" w:leftChars="0"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995" w:name="_Toc2711"/>
      <w:bookmarkStart w:id="996" w:name="_Toc728266972"/>
      <w:bookmarkStart w:id="997" w:name="_Toc22933"/>
      <w:bookmarkStart w:id="998" w:name="_Toc1239101596"/>
      <w:bookmarkStart w:id="999" w:name="_Toc2610"/>
      <w:bookmarkStart w:id="1000" w:name="_Toc1135593658"/>
      <w:bookmarkStart w:id="1001" w:name="_Toc2406"/>
      <w:bookmarkStart w:id="1002" w:name="_Toc740183853"/>
      <w:bookmarkStart w:id="1003" w:name="_Toc420107699"/>
      <w:bookmarkStart w:id="1004" w:name="_Toc41247138"/>
      <w:bookmarkStart w:id="1005" w:name="_Toc10042"/>
      <w:bookmarkStart w:id="1006" w:name="_Toc15898"/>
      <w:bookmarkStart w:id="1007" w:name="_Toc2034061888"/>
      <w:bookmarkStart w:id="1008" w:name="_Toc1206576897"/>
      <w:bookmarkStart w:id="1009" w:name="_Toc2135413115"/>
      <w:bookmarkStart w:id="1010" w:name="_Toc11872"/>
      <w:bookmarkStart w:id="1011" w:name="_Toc306973312"/>
      <w:bookmarkStart w:id="1012" w:name="_Toc521289030"/>
      <w:bookmarkStart w:id="1013" w:name="_Toc181155874"/>
      <w:bookmarkStart w:id="1014" w:name="_Toc887097036"/>
      <w:bookmarkStart w:id="1015" w:name="_Toc6615"/>
      <w:r>
        <w:rPr>
          <w:rFonts w:hint="eastAsia" w:ascii="宋体" w:hAnsi="宋体" w:eastAsia="黑体" w:cs="黑体"/>
          <w:b w:val="0"/>
          <w:bCs/>
          <w:color w:val="auto"/>
          <w:kern w:val="2"/>
          <w:sz w:val="32"/>
          <w:szCs w:val="24"/>
          <w:highlight w:val="none"/>
          <w:u w:val="none"/>
          <w:lang w:val="en-US" w:eastAsia="zh-CN" w:bidi="ar-SA"/>
        </w:rPr>
        <w:t>第二节  健全统一规划体系</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14:paraId="7D9B231E">
      <w:pPr>
        <w:keepNext/>
        <w:keepLines w:val="0"/>
        <w:pageBreakBefore w:val="0"/>
        <w:widowControl w:val="0"/>
        <w:kinsoku/>
        <w:wordWrap/>
        <w:overflowPunct/>
        <w:topLinePunct w:val="0"/>
        <w:autoSpaceDE/>
        <w:autoSpaceDN/>
        <w:bidi w:val="0"/>
        <w:adjustRightInd/>
        <w:snapToGrid/>
        <w:spacing w:line="510" w:lineRule="exact"/>
        <w:textAlignment w:val="auto"/>
        <w:rPr>
          <w:rFonts w:hint="eastAsia"/>
          <w:lang w:val="en-US" w:eastAsia="zh-CN"/>
        </w:rPr>
      </w:pPr>
      <w:r>
        <w:rPr>
          <w:rFonts w:hint="eastAsia"/>
          <w:lang w:val="en-US" w:eastAsia="zh-CN"/>
        </w:rPr>
        <w:t>加快建立以《纲要》为统领、以国土空间规划为基础，以“十五五”专项规划为支撑的规划体系。统筹精简各类规划编制，建立健全规划衔接协调机制，国土空间规划要为《纲要》提出的重大战略任务和重大工程项目落地建设提供空间保障，专项规划要在主要目标、发展方向、总体布局、重大政策举措、重大工程、重大项目、风险防控等方面与《纲要》协调一致。统筹规划管理，健全规划编制目录清单、备案、衔接协调等规划管理制度。</w:t>
      </w:r>
    </w:p>
    <w:p w14:paraId="4258E153">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24" w:lineRule="exact"/>
        <w:ind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1016" w:name="_Toc1718931097"/>
      <w:bookmarkStart w:id="1017" w:name="_Toc2356"/>
      <w:bookmarkStart w:id="1018" w:name="_Toc9798"/>
      <w:bookmarkStart w:id="1019" w:name="_Toc1235439117"/>
      <w:bookmarkStart w:id="1020" w:name="_Toc1608406578"/>
      <w:bookmarkStart w:id="1021" w:name="_Toc2044733947"/>
      <w:bookmarkStart w:id="1022" w:name="_Toc1044734690"/>
      <w:bookmarkStart w:id="1023" w:name="_Toc23061"/>
      <w:bookmarkStart w:id="1024" w:name="_Toc27082"/>
      <w:bookmarkStart w:id="1025" w:name="_Toc14654"/>
      <w:bookmarkStart w:id="1026" w:name="_Toc249829258"/>
      <w:bookmarkStart w:id="1027" w:name="_Toc1473694151"/>
      <w:bookmarkStart w:id="1028" w:name="_Toc3136"/>
      <w:bookmarkStart w:id="1029" w:name="_Toc1702446519"/>
      <w:bookmarkStart w:id="1030" w:name="_Toc30875"/>
      <w:bookmarkStart w:id="1031" w:name="_Toc15683"/>
      <w:bookmarkStart w:id="1032" w:name="_Toc3920"/>
      <w:bookmarkStart w:id="1033" w:name="_Toc1141515141"/>
      <w:bookmarkStart w:id="1034" w:name="_Toc1431599013"/>
      <w:bookmarkStart w:id="1035" w:name="_Toc18032"/>
      <w:bookmarkStart w:id="1036" w:name="_Toc685975023"/>
      <w:bookmarkStart w:id="1037" w:name="_Toc1971349404"/>
      <w:bookmarkStart w:id="1038" w:name="_Toc1750914032"/>
      <w:r>
        <w:rPr>
          <w:rFonts w:hint="eastAsia" w:ascii="宋体" w:hAnsi="宋体" w:eastAsia="黑体" w:cs="黑体"/>
          <w:b w:val="0"/>
          <w:bCs/>
          <w:color w:val="auto"/>
          <w:kern w:val="2"/>
          <w:sz w:val="32"/>
          <w:szCs w:val="24"/>
          <w:highlight w:val="none"/>
          <w:u w:val="none"/>
          <w:lang w:val="en-US" w:eastAsia="zh-CN" w:bidi="ar-SA"/>
        </w:rPr>
        <w:t>第三节  强化规划要素保障</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14:paraId="43AFEB17">
      <w:pPr>
        <w:keepLines w:val="0"/>
        <w:pageBreakBefore w:val="0"/>
        <w:kinsoku/>
        <w:wordWrap/>
        <w:overflowPunct/>
        <w:topLinePunct w:val="0"/>
        <w:autoSpaceDE/>
        <w:autoSpaceDN/>
        <w:bidi w:val="0"/>
        <w:adjustRightInd/>
        <w:snapToGrid/>
        <w:spacing w:line="524" w:lineRule="exact"/>
        <w:textAlignment w:val="auto"/>
        <w:rPr>
          <w:rFonts w:hint="eastAsia"/>
          <w:lang w:val="en-US" w:eastAsia="zh-CN"/>
        </w:rPr>
      </w:pPr>
      <w:r>
        <w:rPr>
          <w:rFonts w:hint="eastAsia"/>
          <w:lang w:val="en-US" w:eastAsia="zh-CN"/>
        </w:rPr>
        <w:t>加快构建发展改革、自然资源、财政、人力资源、金融等政策协同和工作协同机制，促进资金、土地、人才等政策协同发力。建立健全“项目跟着规划走、要素跟着项目走”机制，优先保障《纲要》提出的重大改革、重大政策、重大工程和重大项目所需要素资源。加强财政预算与规划实施的衔接协调，统筹财力可能，优先投向规划确定的重大任务和重大政府投资项目。优化金融要素资源配置结构，引导和鼓励金融机构加强对规划明确的重点产业、薄弱领域的支持。积极引导社会资源，参与规划确定的重点任务、重大工程和重大项目建设。</w:t>
      </w:r>
    </w:p>
    <w:p w14:paraId="03482B37">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24" w:lineRule="exact"/>
        <w:ind w:firstLine="0" w:firstLineChars="0"/>
        <w:jc w:val="center"/>
        <w:textAlignment w:val="auto"/>
        <w:outlineLvl w:val="1"/>
        <w:rPr>
          <w:rFonts w:hint="eastAsia" w:ascii="宋体" w:hAnsi="宋体" w:eastAsia="黑体" w:cs="黑体"/>
          <w:b w:val="0"/>
          <w:bCs/>
          <w:color w:val="auto"/>
          <w:kern w:val="2"/>
          <w:sz w:val="32"/>
          <w:szCs w:val="24"/>
          <w:highlight w:val="none"/>
          <w:u w:val="none"/>
          <w:lang w:val="en-US" w:eastAsia="zh-CN" w:bidi="ar-SA"/>
        </w:rPr>
      </w:pPr>
      <w:bookmarkStart w:id="1039" w:name="_Toc22745"/>
      <w:bookmarkStart w:id="1040" w:name="_Toc18209"/>
      <w:bookmarkStart w:id="1041" w:name="_Toc2094015852"/>
      <w:bookmarkStart w:id="1042" w:name="_Toc2771"/>
      <w:bookmarkStart w:id="1043" w:name="_Toc549809321"/>
      <w:bookmarkStart w:id="1044" w:name="_Toc5856576"/>
      <w:bookmarkStart w:id="1045" w:name="_Toc11290"/>
      <w:bookmarkStart w:id="1046" w:name="_Toc20566"/>
      <w:bookmarkStart w:id="1047" w:name="_Toc15001"/>
      <w:bookmarkStart w:id="1048" w:name="_Toc2124927835"/>
      <w:bookmarkStart w:id="1049" w:name="_Toc1973556136"/>
      <w:bookmarkStart w:id="1050" w:name="_Toc17176"/>
      <w:bookmarkStart w:id="1051" w:name="_Toc1029636958"/>
      <w:bookmarkStart w:id="1052" w:name="_Toc477830503"/>
      <w:bookmarkStart w:id="1053" w:name="_Toc1448695006"/>
      <w:bookmarkStart w:id="1054" w:name="_Toc1893"/>
      <w:bookmarkStart w:id="1055" w:name="_Toc6440"/>
      <w:bookmarkStart w:id="1056" w:name="_Toc1810127935"/>
      <w:bookmarkStart w:id="1057" w:name="_Toc2112691657"/>
      <w:r>
        <w:rPr>
          <w:rFonts w:hint="eastAsia" w:ascii="宋体" w:hAnsi="宋体" w:eastAsia="黑体" w:cs="黑体"/>
          <w:b w:val="0"/>
          <w:bCs/>
          <w:color w:val="auto"/>
          <w:kern w:val="2"/>
          <w:sz w:val="32"/>
          <w:szCs w:val="24"/>
          <w:highlight w:val="none"/>
          <w:u w:val="none"/>
          <w:lang w:val="en-US" w:eastAsia="zh-CN" w:bidi="ar-SA"/>
        </w:rPr>
        <w:t xml:space="preserve">第四节 </w:t>
      </w:r>
      <w:bookmarkEnd w:id="1039"/>
      <w:bookmarkEnd w:id="1040"/>
      <w:r>
        <w:rPr>
          <w:rFonts w:hint="eastAsia" w:ascii="宋体" w:hAnsi="宋体" w:eastAsia="黑体" w:cs="黑体"/>
          <w:b w:val="0"/>
          <w:bCs/>
          <w:color w:val="auto"/>
          <w:kern w:val="2"/>
          <w:sz w:val="32"/>
          <w:szCs w:val="24"/>
          <w:highlight w:val="none"/>
          <w:u w:val="none"/>
          <w:lang w:val="en-US" w:eastAsia="zh-CN" w:bidi="ar-SA"/>
        </w:rPr>
        <w:t xml:space="preserve"> 完善规划实施机制</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14:paraId="0052BE9B">
      <w:pPr>
        <w:keepLines w:val="0"/>
        <w:pageBreakBefore w:val="0"/>
        <w:kinsoku/>
        <w:wordWrap/>
        <w:overflowPunct/>
        <w:topLinePunct w:val="0"/>
        <w:autoSpaceDE/>
        <w:autoSpaceDN/>
        <w:bidi w:val="0"/>
        <w:adjustRightInd/>
        <w:snapToGrid/>
        <w:spacing w:line="524" w:lineRule="exact"/>
        <w:textAlignment w:val="auto"/>
        <w:rPr>
          <w:rFonts w:hint="eastAsia"/>
          <w:lang w:val="en-US" w:eastAsia="zh-CN"/>
        </w:rPr>
      </w:pPr>
      <w:r>
        <w:rPr>
          <w:rFonts w:hint="eastAsia"/>
          <w:lang w:val="en-US" w:eastAsia="zh-CN"/>
        </w:rPr>
        <w:t>强化年度计划与发展规划衔接，将规划《纲要》确定的主要指标和发展方向分解纳入年度指标体系和年度工作重点，以年度计划执行保障五年规划实施。强化规划实施的监测评估和监督，有计划开展规划年度监测分析、中期评估及总结评估工作，加强第三方独立评估。统筹党委和政府监督、人大及其委员会监督、政协民主监督、纪检监察监督、审计监督以及社会监督等，切实加强对《纲要》实施的监督工作。建立健全重大事项报告制度，及时就《纲要》实施情况向县委、县政府报告，并作为政务信息公开的重要内容，及时公布实施进展，自觉接受人大监督、舆论监督和社会监督。当规划执行遇到重大变化或其他原因，造成实际进展与规划目标发生较大偏离需要进行调整的，由县人民政府提出方案，提请县人大常委会审议批准。</w:t>
      </w:r>
    </w:p>
    <w:p w14:paraId="29E4FEAD">
      <w:pPr>
        <w:keepNext w:val="0"/>
        <w:pageBreakBefore w:val="0"/>
        <w:widowControl/>
        <w:kinsoku/>
        <w:wordWrap/>
        <w:overflowPunct/>
        <w:topLinePunct w:val="0"/>
        <w:autoSpaceDE/>
        <w:autoSpaceDN/>
        <w:bidi w:val="0"/>
        <w:spacing w:line="540" w:lineRule="exact"/>
        <w:ind w:firstLine="720"/>
        <w:textAlignment w:val="auto"/>
        <w:rPr>
          <w:rFonts w:hint="eastAsia" w:ascii="宋体" w:hAnsi="宋体" w:eastAsia="方正仿宋_GBK" w:cs="Times New Roman Regular"/>
          <w:color w:val="auto"/>
          <w:kern w:val="2"/>
          <w:sz w:val="32"/>
          <w:szCs w:val="32"/>
          <w:highlight w:val="none"/>
          <w:u w:val="none" w:color="auto"/>
          <w:lang w:val="en-US" w:eastAsia="zh-CN" w:bidi="ar"/>
        </w:rPr>
      </w:pPr>
      <w:r>
        <w:rPr>
          <w:rFonts w:hint="eastAsia" w:ascii="宋体" w:hAnsi="宋体" w:eastAsia="方正仿宋_GBK" w:cs="Times New Roman Regular"/>
          <w:color w:val="auto"/>
          <w:kern w:val="2"/>
          <w:sz w:val="32"/>
          <w:szCs w:val="32"/>
          <w:highlight w:val="none"/>
          <w:u w:val="none" w:color="auto"/>
          <w:lang w:val="en-US" w:eastAsia="zh-CN" w:bidi="ar"/>
        </w:rPr>
        <w:br w:type="page"/>
      </w:r>
    </w:p>
    <w:p w14:paraId="226F19A5">
      <w:pPr>
        <w:keepNext/>
        <w:keepLines/>
        <w:pageBreakBefore w:val="0"/>
        <w:widowControl w:val="0"/>
        <w:numPr>
          <w:ilvl w:val="0"/>
          <w:numId w:val="0"/>
        </w:numPr>
        <w:kinsoku/>
        <w:wordWrap/>
        <w:overflowPunct/>
        <w:topLinePunct w:val="0"/>
        <w:autoSpaceDE/>
        <w:autoSpaceDN/>
        <w:bidi w:val="0"/>
        <w:adjustRightInd/>
        <w:snapToGrid/>
        <w:spacing w:before="200" w:beforeLines="0" w:beforeAutospacing="0" w:after="200" w:afterLines="0" w:afterAutospacing="0" w:line="360" w:lineRule="auto"/>
        <w:ind w:left="0" w:leftChars="0" w:firstLine="0" w:firstLineChars="0"/>
        <w:jc w:val="both"/>
        <w:textAlignment w:val="auto"/>
        <w:outlineLvl w:val="0"/>
        <w:rPr>
          <w:rFonts w:hint="eastAsia" w:ascii="宋体" w:hAnsi="宋体" w:eastAsia="黑体" w:cs="黑体"/>
          <w:b w:val="0"/>
          <w:bCs/>
          <w:color w:val="auto"/>
          <w:kern w:val="44"/>
          <w:sz w:val="32"/>
          <w:szCs w:val="32"/>
          <w:highlight w:val="none"/>
          <w:lang w:val="en-US" w:eastAsia="zh-CN" w:bidi="ar-SA"/>
        </w:rPr>
      </w:pPr>
      <w:bookmarkStart w:id="1058" w:name="_Toc22498"/>
      <w:r>
        <w:rPr>
          <w:rFonts w:hint="eastAsia" w:ascii="宋体" w:hAnsi="宋体" w:eastAsia="黑体" w:cs="黑体"/>
          <w:b w:val="0"/>
          <w:bCs/>
          <w:color w:val="auto"/>
          <w:kern w:val="44"/>
          <w:sz w:val="32"/>
          <w:szCs w:val="32"/>
          <w:highlight w:val="none"/>
          <w:lang w:val="en-US" w:eastAsia="zh-CN" w:bidi="ar-SA"/>
        </w:rPr>
        <w:t xml:space="preserve">附件1  </w:t>
      </w:r>
      <w:r>
        <w:rPr>
          <w:rFonts w:hint="eastAsia" w:ascii="宋体" w:hAnsi="宋体" w:eastAsia="黑体" w:cs="黑体"/>
          <w:b w:val="0"/>
          <w:bCs/>
          <w:color w:val="auto"/>
          <w:kern w:val="44"/>
          <w:sz w:val="32"/>
          <w:szCs w:val="32"/>
          <w:highlight w:val="none"/>
          <w:vertAlign w:val="baseline"/>
          <w:lang w:val="en-US" w:eastAsia="zh-CN" w:bidi="ar-SA"/>
        </w:rPr>
        <w:t>石林县“十四五”规划主要指标完成情况</w:t>
      </w:r>
    </w:p>
    <w:tbl>
      <w:tblPr>
        <w:tblStyle w:val="17"/>
        <w:tblW w:w="9957" w:type="dxa"/>
        <w:tblInd w:w="-5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4"/>
        <w:gridCol w:w="705"/>
        <w:gridCol w:w="2790"/>
        <w:gridCol w:w="884"/>
        <w:gridCol w:w="725"/>
        <w:gridCol w:w="817"/>
        <w:gridCol w:w="1028"/>
        <w:gridCol w:w="723"/>
        <w:gridCol w:w="1030"/>
        <w:gridCol w:w="801"/>
      </w:tblGrid>
      <w:tr w14:paraId="06F4C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434C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8"/>
                <w:szCs w:val="18"/>
                <w:u w:val="none"/>
                <w:lang w:val="en-US" w:eastAsia="zh-CN" w:bidi="ar"/>
              </w:rPr>
              <w:t>序号</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120D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8"/>
                <w:szCs w:val="18"/>
                <w:u w:val="none"/>
                <w:lang w:val="en-US" w:eastAsia="zh-CN" w:bidi="ar"/>
              </w:rPr>
              <w:t>类型</w:t>
            </w:r>
          </w:p>
        </w:tc>
        <w:tc>
          <w:tcPr>
            <w:tcW w:w="2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F052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8"/>
                <w:szCs w:val="18"/>
                <w:u w:val="none"/>
                <w:lang w:val="en-US" w:eastAsia="zh-CN" w:bidi="ar"/>
              </w:rPr>
              <w:t>指标名称</w:t>
            </w:r>
          </w:p>
        </w:tc>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1E5F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color w:val="auto"/>
                <w:kern w:val="0"/>
                <w:sz w:val="16"/>
                <w:szCs w:val="16"/>
                <w:lang w:val="en-US" w:eastAsia="zh-CN" w:bidi="ar"/>
              </w:rPr>
              <w:t>2020</w:t>
            </w:r>
            <w:r>
              <w:rPr>
                <w:rFonts w:hint="eastAsia" w:ascii="黑体" w:hAnsi="黑体" w:eastAsia="黑体" w:cs="黑体"/>
                <w:b w:val="0"/>
                <w:bCs w:val="0"/>
                <w:i w:val="0"/>
                <w:iCs w:val="0"/>
                <w:color w:val="auto"/>
                <w:kern w:val="0"/>
                <w:sz w:val="16"/>
                <w:szCs w:val="16"/>
                <w:u w:val="none"/>
                <w:lang w:val="en-US" w:eastAsia="zh-CN" w:bidi="ar"/>
              </w:rPr>
              <w:t>年</w:t>
            </w:r>
            <w:r>
              <w:rPr>
                <w:rFonts w:hint="eastAsia" w:ascii="黑体" w:hAnsi="黑体" w:eastAsia="黑体" w:cs="黑体"/>
                <w:b w:val="0"/>
                <w:bCs w:val="0"/>
                <w:i w:val="0"/>
                <w:iCs w:val="0"/>
                <w:color w:val="auto"/>
                <w:kern w:val="0"/>
                <w:sz w:val="16"/>
                <w:szCs w:val="16"/>
                <w:u w:val="none"/>
                <w:lang w:val="en-US" w:eastAsia="zh-CN" w:bidi="ar"/>
              </w:rPr>
              <w:br w:type="textWrapping"/>
            </w:r>
            <w:r>
              <w:rPr>
                <w:rFonts w:hint="eastAsia" w:ascii="黑体" w:hAnsi="黑体" w:eastAsia="黑体" w:cs="黑体"/>
                <w:b w:val="0"/>
                <w:bCs w:val="0"/>
                <w:i w:val="0"/>
                <w:iCs w:val="0"/>
                <w:color w:val="auto"/>
                <w:kern w:val="0"/>
                <w:sz w:val="16"/>
                <w:szCs w:val="16"/>
                <w:u w:val="none"/>
                <w:lang w:val="en-US" w:eastAsia="zh-CN" w:bidi="ar"/>
              </w:rPr>
              <w:t>基期值</w:t>
            </w:r>
          </w:p>
        </w:tc>
        <w:tc>
          <w:tcPr>
            <w:tcW w:w="1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6A92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8"/>
                <w:szCs w:val="18"/>
                <w:u w:val="none"/>
                <w:lang w:val="en-US" w:eastAsia="zh-CN" w:bidi="ar"/>
              </w:rPr>
              <w:t>“十四五”规划目标</w:t>
            </w:r>
          </w:p>
        </w:tc>
        <w:tc>
          <w:tcPr>
            <w:tcW w:w="1751" w:type="dxa"/>
            <w:gridSpan w:val="2"/>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7B9516D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kern w:val="0"/>
                <w:sz w:val="18"/>
                <w:szCs w:val="18"/>
                <w:u w:val="none"/>
                <w:lang w:val="en-US" w:eastAsia="zh-CN" w:bidi="ar"/>
              </w:rPr>
            </w:pPr>
            <w:r>
              <w:rPr>
                <w:rFonts w:hint="eastAsia" w:ascii="黑体" w:hAnsi="黑体" w:eastAsia="黑体" w:cs="黑体"/>
                <w:b w:val="0"/>
                <w:bCs w:val="0"/>
                <w:i w:val="0"/>
                <w:iCs w:val="0"/>
                <w:color w:val="auto"/>
                <w:kern w:val="0"/>
                <w:sz w:val="18"/>
                <w:szCs w:val="18"/>
                <w:u w:val="none"/>
                <w:lang w:val="en-US" w:eastAsia="zh-CN" w:bidi="ar"/>
              </w:rPr>
              <w:t>2025年</w:t>
            </w:r>
          </w:p>
          <w:p w14:paraId="51F913F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8"/>
                <w:szCs w:val="18"/>
                <w:u w:val="none"/>
                <w:lang w:val="en-US" w:eastAsia="zh-CN" w:bidi="ar"/>
              </w:rPr>
              <w:t>完成情况</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B33F9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kern w:val="0"/>
                <w:sz w:val="18"/>
                <w:szCs w:val="18"/>
                <w:u w:val="none"/>
                <w:lang w:val="en-US" w:eastAsia="zh-CN" w:bidi="ar"/>
              </w:rPr>
            </w:pPr>
            <w:r>
              <w:rPr>
                <w:rFonts w:hint="eastAsia" w:ascii="黑体" w:hAnsi="黑体" w:eastAsia="黑体" w:cs="黑体"/>
                <w:b w:val="0"/>
                <w:bCs w:val="0"/>
                <w:i w:val="0"/>
                <w:iCs w:val="0"/>
                <w:color w:val="auto"/>
                <w:kern w:val="0"/>
                <w:sz w:val="18"/>
                <w:szCs w:val="18"/>
                <w:u w:val="none"/>
                <w:lang w:val="en-US" w:eastAsia="zh-CN" w:bidi="ar"/>
              </w:rPr>
              <w:t>“十四五”</w:t>
            </w:r>
          </w:p>
          <w:p w14:paraId="19FD7F8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lang w:val="en-US"/>
              </w:rPr>
            </w:pPr>
            <w:r>
              <w:rPr>
                <w:rFonts w:hint="eastAsia" w:ascii="黑体" w:hAnsi="黑体" w:eastAsia="黑体" w:cs="黑体"/>
                <w:b w:val="0"/>
                <w:bCs w:val="0"/>
                <w:i w:val="0"/>
                <w:iCs w:val="0"/>
                <w:color w:val="auto"/>
                <w:kern w:val="0"/>
                <w:sz w:val="18"/>
                <w:szCs w:val="18"/>
                <w:u w:val="none"/>
                <w:lang w:val="en-US" w:eastAsia="zh-CN" w:bidi="ar"/>
              </w:rPr>
              <w:t>年均增速（%）/累计增加[ ]</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602B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8"/>
                <w:szCs w:val="18"/>
                <w:u w:val="none"/>
                <w:lang w:val="en-US" w:eastAsia="zh-CN" w:bidi="ar"/>
              </w:rPr>
              <w:t>指标</w:t>
            </w:r>
            <w:r>
              <w:rPr>
                <w:rStyle w:val="33"/>
                <w:rFonts w:hint="eastAsia" w:ascii="黑体" w:hAnsi="黑体" w:eastAsia="黑体" w:cs="黑体"/>
                <w:b w:val="0"/>
                <w:bCs w:val="0"/>
                <w:color w:val="auto"/>
                <w:sz w:val="18"/>
                <w:szCs w:val="18"/>
                <w:lang w:val="en-US" w:eastAsia="zh-CN" w:bidi="ar"/>
              </w:rPr>
              <w:br w:type="textWrapping"/>
            </w:r>
            <w:r>
              <w:rPr>
                <w:rFonts w:hint="eastAsia" w:ascii="黑体" w:hAnsi="黑体" w:eastAsia="黑体" w:cs="黑体"/>
                <w:b w:val="0"/>
                <w:bCs w:val="0"/>
                <w:i w:val="0"/>
                <w:iCs w:val="0"/>
                <w:color w:val="auto"/>
                <w:kern w:val="0"/>
                <w:sz w:val="18"/>
                <w:szCs w:val="18"/>
                <w:u w:val="none"/>
                <w:lang w:val="en-US" w:eastAsia="zh-CN" w:bidi="ar"/>
              </w:rPr>
              <w:t>属性</w:t>
            </w:r>
          </w:p>
        </w:tc>
      </w:tr>
      <w:tr w14:paraId="30509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E0007">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黑体" w:hAnsi="黑体" w:eastAsia="黑体" w:cs="黑体"/>
                <w:b w:val="0"/>
                <w:bCs w:val="0"/>
                <w:i w:val="0"/>
                <w:iCs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AADB8">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黑体" w:hAnsi="黑体" w:eastAsia="黑体" w:cs="黑体"/>
                <w:b w:val="0"/>
                <w:bCs w:val="0"/>
                <w:i w:val="0"/>
                <w:iCs w:val="0"/>
                <w:color w:val="auto"/>
                <w:sz w:val="18"/>
                <w:szCs w:val="18"/>
                <w:u w:val="none"/>
              </w:rPr>
            </w:pPr>
          </w:p>
        </w:tc>
        <w:tc>
          <w:tcPr>
            <w:tcW w:w="2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28AB1">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黑体" w:hAnsi="黑体" w:eastAsia="黑体" w:cs="黑体"/>
                <w:b w:val="0"/>
                <w:bCs w:val="0"/>
                <w:i w:val="0"/>
                <w:iCs w:val="0"/>
                <w:color w:val="auto"/>
                <w:sz w:val="18"/>
                <w:szCs w:val="18"/>
                <w:u w:val="none"/>
              </w:rPr>
            </w:pPr>
          </w:p>
        </w:tc>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1F2B6">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黑体" w:hAnsi="黑体" w:eastAsia="黑体" w:cs="黑体"/>
                <w:b w:val="0"/>
                <w:bCs w:val="0"/>
                <w:i w:val="0"/>
                <w:iCs w:val="0"/>
                <w:color w:val="auto"/>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667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6"/>
                <w:szCs w:val="16"/>
                <w:u w:val="none"/>
                <w:lang w:val="en-US" w:eastAsia="zh-CN" w:bidi="ar"/>
              </w:rPr>
              <w:t>2025年</w:t>
            </w:r>
            <w:r>
              <w:rPr>
                <w:rFonts w:hint="eastAsia" w:ascii="黑体" w:hAnsi="黑体" w:eastAsia="黑体" w:cs="黑体"/>
                <w:b w:val="0"/>
                <w:bCs w:val="0"/>
                <w:i w:val="0"/>
                <w:iCs w:val="0"/>
                <w:color w:val="auto"/>
                <w:kern w:val="0"/>
                <w:sz w:val="16"/>
                <w:szCs w:val="16"/>
                <w:u w:val="none"/>
                <w:lang w:val="en-US" w:eastAsia="zh-CN" w:bidi="ar"/>
              </w:rPr>
              <w:br w:type="textWrapping"/>
            </w:r>
            <w:r>
              <w:rPr>
                <w:rFonts w:hint="eastAsia" w:ascii="黑体" w:hAnsi="黑体" w:eastAsia="黑体" w:cs="黑体"/>
                <w:b w:val="0"/>
                <w:bCs w:val="0"/>
                <w:i w:val="0"/>
                <w:iCs w:val="0"/>
                <w:color w:val="auto"/>
                <w:kern w:val="0"/>
                <w:sz w:val="16"/>
                <w:szCs w:val="16"/>
                <w:u w:val="none"/>
                <w:lang w:val="en-US" w:eastAsia="zh-CN" w:bidi="ar"/>
              </w:rPr>
              <w:t>绝对值</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D7F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spacing w:val="6"/>
                <w:kern w:val="0"/>
                <w:sz w:val="18"/>
                <w:szCs w:val="18"/>
                <w:u w:val="none"/>
                <w:lang w:val="en-US" w:eastAsia="zh-CN" w:bidi="ar"/>
              </w:rPr>
              <w:t>年均增长（%）</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BC0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8"/>
                <w:szCs w:val="18"/>
                <w:u w:val="none"/>
                <w:lang w:val="en-US" w:eastAsia="zh-CN" w:bidi="ar"/>
              </w:rPr>
              <w:t>绝对值</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CE60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黑体" w:hAnsi="黑体" w:eastAsia="黑体" w:cs="黑体"/>
                <w:b w:val="0"/>
                <w:bCs w:val="0"/>
                <w:i w:val="0"/>
                <w:iCs w:val="0"/>
                <w:color w:val="auto"/>
                <w:sz w:val="18"/>
                <w:szCs w:val="18"/>
                <w:u w:val="none"/>
              </w:rPr>
            </w:pPr>
            <w:r>
              <w:rPr>
                <w:rFonts w:hint="eastAsia" w:ascii="黑体" w:hAnsi="黑体" w:eastAsia="黑体" w:cs="黑体"/>
                <w:b w:val="0"/>
                <w:bCs w:val="0"/>
                <w:i w:val="0"/>
                <w:iCs w:val="0"/>
                <w:color w:val="auto"/>
                <w:kern w:val="0"/>
                <w:sz w:val="18"/>
                <w:szCs w:val="18"/>
                <w:u w:val="none"/>
                <w:lang w:val="en-US" w:eastAsia="zh-CN" w:bidi="ar"/>
              </w:rPr>
              <w:t>增速（%）</w:t>
            </w: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3106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仿宋_GB2312" w:hAnsi="仿宋_GB2312" w:eastAsia="仿宋_GB2312" w:cs="仿宋_GB2312"/>
                <w:b w:val="0"/>
                <w:bCs w:val="0"/>
                <w:i w:val="0"/>
                <w:iCs w:val="0"/>
                <w:color w:val="auto"/>
                <w:sz w:val="18"/>
                <w:szCs w:val="18"/>
                <w:u w:val="none"/>
              </w:rPr>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EB1DC">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仿宋_GB2312" w:hAnsi="仿宋_GB2312" w:eastAsia="仿宋_GB2312" w:cs="仿宋_GB2312"/>
                <w:b w:val="0"/>
                <w:bCs w:val="0"/>
                <w:i w:val="0"/>
                <w:iCs w:val="0"/>
                <w:color w:val="auto"/>
                <w:sz w:val="18"/>
                <w:szCs w:val="18"/>
                <w:u w:val="none"/>
              </w:rPr>
            </w:pPr>
          </w:p>
        </w:tc>
      </w:tr>
      <w:tr w14:paraId="07451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2D9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04F1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经济</w:t>
            </w:r>
            <w:r>
              <w:rPr>
                <w:rFonts w:hint="eastAsia" w:ascii="宋体" w:hAnsi="宋体" w:eastAsia="仿宋_GB2312" w:cs="仿宋_GB2312"/>
                <w:b w:val="0"/>
                <w:bCs w:val="0"/>
                <w:i w:val="0"/>
                <w:iCs w:val="0"/>
                <w:color w:val="auto"/>
                <w:kern w:val="0"/>
                <w:sz w:val="18"/>
                <w:szCs w:val="18"/>
                <w:u w:val="none"/>
                <w:lang w:val="en-US" w:eastAsia="zh-CN" w:bidi="ar"/>
              </w:rPr>
              <w:br w:type="textWrapping"/>
            </w:r>
            <w:r>
              <w:rPr>
                <w:rFonts w:hint="eastAsia" w:ascii="宋体" w:hAnsi="宋体" w:eastAsia="仿宋_GB2312" w:cs="仿宋_GB2312"/>
                <w:b w:val="0"/>
                <w:bCs w:val="0"/>
                <w:i w:val="0"/>
                <w:iCs w:val="0"/>
                <w:color w:val="auto"/>
                <w:kern w:val="0"/>
                <w:sz w:val="18"/>
                <w:szCs w:val="18"/>
                <w:u w:val="none"/>
                <w:lang w:val="en-US" w:eastAsia="zh-CN" w:bidi="ar"/>
              </w:rPr>
              <w:t>发展</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198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地区生产总值（亿元）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827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112.73</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973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CE4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≥7</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DF7A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140.78</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E7CF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5.9</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2F90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4.67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E61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6EF3E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72A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E033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567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人均地区生产总值（万美元）</w:t>
            </w:r>
          </w:p>
        </w:tc>
        <w:tc>
          <w:tcPr>
            <w:tcW w:w="884" w:type="dxa"/>
            <w:tcBorders>
              <w:top w:val="nil"/>
              <w:left w:val="nil"/>
              <w:bottom w:val="nil"/>
              <w:right w:val="nil"/>
            </w:tcBorders>
            <w:shd w:val="clear" w:color="auto" w:fill="auto"/>
            <w:noWrap/>
            <w:vAlign w:val="center"/>
          </w:tcPr>
          <w:p w14:paraId="1723DB5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0.75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709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592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D588">
            <w:pPr>
              <w:keepNext w:val="0"/>
              <w:widowControl/>
              <w:snapToGrid/>
              <w:spacing w:line="240" w:lineRule="atLeast"/>
              <w:ind w:firstLine="0" w:firstLineChars="0"/>
              <w:jc w:val="center"/>
              <w:textAlignment w:val="center"/>
              <w:rPr>
                <w:rFonts w:hint="eastAsia" w:ascii="宋体" w:hAnsi="宋体" w:eastAsia="仿宋_GB2312" w:cs="仿宋_GB2312"/>
                <w:b w:val="0"/>
                <w:bCs w:val="0"/>
                <w:color w:val="auto"/>
                <w:lang w:val="en-US"/>
              </w:rPr>
            </w:pPr>
            <w:r>
              <w:rPr>
                <w:rFonts w:hint="eastAsia" w:ascii="宋体" w:hAnsi="宋体" w:eastAsia="仿宋_GB2312" w:cs="宋体"/>
                <w:b w:val="0"/>
                <w:bCs w:val="0"/>
                <w:i w:val="0"/>
                <w:iCs w:val="0"/>
                <w:color w:val="auto"/>
                <w:spacing w:val="-11"/>
                <w:kern w:val="0"/>
                <w:sz w:val="18"/>
                <w:szCs w:val="18"/>
                <w:u w:val="none"/>
                <w:lang w:val="en-US" w:eastAsia="zh-CN" w:bidi="ar"/>
              </w:rPr>
              <w:t>0.85</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450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20F0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835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2B05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1DB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3</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4A41A">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342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规模以上工业增加值（亿元）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3E0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774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E03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≥8.5</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5AD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highlight w:val="none"/>
                <w:u w:val="none"/>
              </w:rPr>
            </w:pPr>
            <w:r>
              <w:rPr>
                <w:rFonts w:hint="eastAsia" w:ascii="宋体" w:hAnsi="宋体" w:eastAsia="仿宋_GB2312" w:cs="仿宋_GB2312"/>
                <w:b w:val="0"/>
                <w:bCs w:val="0"/>
                <w:i w:val="0"/>
                <w:iCs w:val="0"/>
                <w:color w:val="auto"/>
                <w:kern w:val="0"/>
                <w:sz w:val="18"/>
                <w:szCs w:val="18"/>
                <w:highlight w:val="none"/>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2955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highlight w:val="none"/>
                <w:u w:val="none"/>
                <w:lang w:val="en-US" w:eastAsia="zh-CN"/>
              </w:rPr>
            </w:pPr>
            <w:r>
              <w:rPr>
                <w:rFonts w:hint="eastAsia" w:ascii="宋体" w:hAnsi="宋体" w:eastAsia="仿宋_GB2312" w:cs="宋体"/>
                <w:b w:val="0"/>
                <w:bCs w:val="0"/>
                <w:i w:val="0"/>
                <w:iCs w:val="0"/>
                <w:color w:val="auto"/>
                <w:sz w:val="18"/>
                <w:szCs w:val="18"/>
                <w:highlight w:val="none"/>
                <w:u w:val="none"/>
                <w:lang w:val="en-US" w:eastAsia="zh-CN"/>
              </w:rPr>
              <w:t>20.2</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562D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2.49</w:t>
            </w:r>
          </w:p>
        </w:tc>
        <w:tc>
          <w:tcPr>
            <w:tcW w:w="8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DA98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73F8D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37A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4</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59D7C">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DD8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一般公共预算收入（亿元）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4B8C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6.22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4E3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B8E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≥5</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9A9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8.18</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F410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3.35</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13CC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5.7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1E5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45862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A89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5</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06E5A">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2F5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社会消费品零售总额（亿元）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AFBF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44.98</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23E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468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≥9</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08B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59.02</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CB0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7.3</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D8E0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6.09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6DB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2C41D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FF0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6</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D5BA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开放</w:t>
            </w:r>
            <w:r>
              <w:rPr>
                <w:rFonts w:hint="eastAsia" w:ascii="宋体" w:hAnsi="宋体" w:eastAsia="仿宋_GB2312" w:cs="仿宋_GB2312"/>
                <w:b w:val="0"/>
                <w:bCs w:val="0"/>
                <w:i w:val="0"/>
                <w:iCs w:val="0"/>
                <w:color w:val="auto"/>
                <w:kern w:val="0"/>
                <w:sz w:val="18"/>
                <w:szCs w:val="18"/>
                <w:u w:val="none"/>
                <w:lang w:val="en-US" w:eastAsia="zh-CN" w:bidi="ar"/>
              </w:rPr>
              <w:br w:type="textWrapping"/>
            </w:r>
            <w:r>
              <w:rPr>
                <w:rFonts w:hint="eastAsia" w:ascii="宋体" w:hAnsi="宋体" w:eastAsia="仿宋_GB2312" w:cs="仿宋_GB2312"/>
                <w:b w:val="0"/>
                <w:bCs w:val="0"/>
                <w:i w:val="0"/>
                <w:iCs w:val="0"/>
                <w:color w:val="auto"/>
                <w:kern w:val="0"/>
                <w:sz w:val="18"/>
                <w:szCs w:val="18"/>
                <w:u w:val="none"/>
                <w:lang w:val="en-US" w:eastAsia="zh-CN" w:bidi="ar"/>
              </w:rPr>
              <w:t>创新</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A35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旅游综合收入（亿元）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FED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70.1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50B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≥200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14E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38F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190</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39FF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CE61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33.37</w:t>
            </w:r>
          </w:p>
        </w:tc>
        <w:tc>
          <w:tcPr>
            <w:tcW w:w="8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578D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0175C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69D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7</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99530">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2D6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常住人口城镇化率（%）</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4DD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45.1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A45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≥55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840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134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50.1</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C77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D32B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12E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7FC4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079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8</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24920">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775F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累计实际利用外资（万美元）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CCF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183</w:t>
            </w:r>
          </w:p>
        </w:tc>
        <w:tc>
          <w:tcPr>
            <w:tcW w:w="1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E33E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≥1000</w:t>
            </w:r>
          </w:p>
        </w:tc>
        <w:tc>
          <w:tcPr>
            <w:tcW w:w="17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809B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highlight w:val="none"/>
                <w:u w:val="none"/>
                <w:lang w:val="en-US" w:eastAsia="zh-CN"/>
              </w:rPr>
            </w:pPr>
            <w:r>
              <w:rPr>
                <w:rFonts w:hint="eastAsia" w:ascii="宋体" w:hAnsi="宋体" w:eastAsia="仿宋_GB2312" w:cs="宋体"/>
                <w:b w:val="0"/>
                <w:bCs w:val="0"/>
                <w:i w:val="0"/>
                <w:iCs w:val="0"/>
                <w:color w:val="auto"/>
                <w:sz w:val="18"/>
                <w:szCs w:val="18"/>
                <w:highlight w:val="none"/>
                <w:u w:val="none"/>
                <w:lang w:val="en-US" w:eastAsia="zh-CN"/>
              </w:rPr>
              <w:t>4325</w:t>
            </w: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029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highlight w:val="yellow"/>
                <w:u w:val="none"/>
                <w:lang w:val="en-US" w:eastAsia="zh-CN"/>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132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19085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BFB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9</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29704">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10C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spacing w:val="-8"/>
                <w:kern w:val="0"/>
                <w:sz w:val="18"/>
                <w:szCs w:val="18"/>
                <w:u w:val="none"/>
                <w:lang w:val="en-US" w:eastAsia="zh-CN" w:bidi="ar"/>
              </w:rPr>
              <w:t>累计实际引用国内市外资金（亿元）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59E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67.04</w:t>
            </w:r>
          </w:p>
        </w:tc>
        <w:tc>
          <w:tcPr>
            <w:tcW w:w="1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9334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≥250</w:t>
            </w:r>
          </w:p>
        </w:tc>
        <w:tc>
          <w:tcPr>
            <w:tcW w:w="17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184B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highlight w:val="none"/>
                <w:u w:val="none"/>
                <w:lang w:val="en-US" w:eastAsia="zh-CN"/>
              </w:rPr>
            </w:pPr>
            <w:r>
              <w:rPr>
                <w:rFonts w:hint="eastAsia" w:ascii="宋体" w:hAnsi="宋体" w:eastAsia="仿宋_GB2312" w:cs="宋体"/>
                <w:b w:val="0"/>
                <w:bCs w:val="0"/>
                <w:i w:val="0"/>
                <w:iCs w:val="0"/>
                <w:color w:val="auto"/>
                <w:sz w:val="18"/>
                <w:szCs w:val="18"/>
                <w:highlight w:val="none"/>
                <w:u w:val="none"/>
                <w:lang w:val="en-US" w:eastAsia="zh-CN"/>
              </w:rPr>
              <w:t>260.32</w:t>
            </w: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5D7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highlight w:val="yellow"/>
                <w:u w:val="none"/>
                <w:lang w:val="en-US" w:eastAsia="zh-CN"/>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5A4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7D354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4FE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10</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30881">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AA2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研究与实验发展（R&amp;D）经费支出占生产总值比重（</w:t>
            </w:r>
            <w:r>
              <w:rPr>
                <w:rFonts w:hint="eastAsia" w:ascii="宋体" w:hAnsi="宋体" w:eastAsia="仿宋_GB2312" w:cs="宋体"/>
                <w:b w:val="0"/>
                <w:bCs w:val="0"/>
                <w:i w:val="0"/>
                <w:iCs w:val="0"/>
                <w:color w:val="auto"/>
                <w:kern w:val="0"/>
                <w:sz w:val="18"/>
                <w:szCs w:val="18"/>
                <w:u w:val="none"/>
                <w:lang w:val="en-US" w:eastAsia="zh-CN" w:bidi="ar"/>
              </w:rPr>
              <w:t>%</w:t>
            </w:r>
            <w:r>
              <w:rPr>
                <w:rFonts w:hint="eastAsia" w:ascii="宋体" w:hAnsi="宋体" w:eastAsia="仿宋_GB2312" w:cs="仿宋_GB2312"/>
                <w:b w:val="0"/>
                <w:bCs w:val="0"/>
                <w:i w:val="0"/>
                <w:iCs w:val="0"/>
                <w:color w:val="auto"/>
                <w:kern w:val="0"/>
                <w:sz w:val="18"/>
                <w:szCs w:val="18"/>
                <w:u w:val="none"/>
                <w:lang w:val="en-US" w:eastAsia="zh-CN" w:bidi="ar"/>
              </w:rPr>
              <w:t>）</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A882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0.03</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F75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≥0.1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221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FEC3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0.18</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B24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2605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27A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2E5E9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249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11</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A323B">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F20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高新技术企业数量（户）</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A2D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A97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367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A19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18</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3B2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D8B2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C99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0C6F2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D5E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12</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42A5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民生</w:t>
            </w:r>
            <w:r>
              <w:rPr>
                <w:rFonts w:hint="eastAsia" w:ascii="宋体" w:hAnsi="宋体" w:eastAsia="仿宋_GB2312" w:cs="仿宋_GB2312"/>
                <w:b w:val="0"/>
                <w:bCs w:val="0"/>
                <w:i w:val="0"/>
                <w:iCs w:val="0"/>
                <w:color w:val="auto"/>
                <w:kern w:val="0"/>
                <w:sz w:val="18"/>
                <w:szCs w:val="18"/>
                <w:u w:val="none"/>
                <w:lang w:val="en-US" w:eastAsia="zh-CN" w:bidi="ar"/>
              </w:rPr>
              <w:br w:type="textWrapping"/>
            </w:r>
            <w:r>
              <w:rPr>
                <w:rFonts w:hint="eastAsia" w:ascii="宋体" w:hAnsi="宋体" w:eastAsia="仿宋_GB2312" w:cs="仿宋_GB2312"/>
                <w:b w:val="0"/>
                <w:bCs w:val="0"/>
                <w:i w:val="0"/>
                <w:iCs w:val="0"/>
                <w:color w:val="auto"/>
                <w:kern w:val="0"/>
                <w:sz w:val="18"/>
                <w:szCs w:val="18"/>
                <w:u w:val="none"/>
                <w:lang w:val="en-US" w:eastAsia="zh-CN" w:bidi="ar"/>
              </w:rPr>
              <w:t>福祉</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880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spacing w:val="8"/>
                <w:kern w:val="0"/>
                <w:sz w:val="18"/>
                <w:szCs w:val="18"/>
                <w:u w:val="none"/>
                <w:lang w:val="en-US" w:eastAsia="zh-CN" w:bidi="ar"/>
              </w:rPr>
              <w:t>城镇常住居民人均可支配收入（元）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223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highlight w:val="none"/>
                <w:u w:val="none"/>
              </w:rPr>
            </w:pPr>
            <w:r>
              <w:rPr>
                <w:rFonts w:hint="eastAsia" w:ascii="宋体" w:hAnsi="宋体" w:eastAsia="仿宋_GB2312" w:cs="宋体"/>
                <w:b w:val="0"/>
                <w:bCs w:val="0"/>
                <w:i w:val="0"/>
                <w:iCs w:val="0"/>
                <w:color w:val="auto"/>
                <w:sz w:val="18"/>
                <w:szCs w:val="18"/>
                <w:highlight w:val="none"/>
                <w:u w:val="none"/>
              </w:rPr>
              <w:t>45213</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121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623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≥7</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9AA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highlight w:val="none"/>
                <w:u w:val="none"/>
                <w:lang w:val="en-US" w:eastAsia="zh-CN" w:bidi="ar"/>
              </w:rPr>
              <w:t>55294</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C20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sz w:val="18"/>
                <w:szCs w:val="18"/>
                <w:highlight w:val="none"/>
                <w:u w:val="none"/>
                <w:lang w:val="en-US" w:eastAsia="zh-CN"/>
              </w:rPr>
              <w:t>2.6</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0CBC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highlight w:val="none"/>
                <w:u w:val="none"/>
                <w:lang w:val="en-US" w:eastAsia="zh-CN" w:bidi="ar"/>
              </w:rPr>
              <w:t>4.1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9EE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5F0D5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CED3">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13</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615CE">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3F5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spacing w:val="8"/>
                <w:kern w:val="0"/>
                <w:sz w:val="18"/>
                <w:szCs w:val="18"/>
                <w:u w:val="none"/>
                <w:lang w:val="en-US" w:eastAsia="zh-CN" w:bidi="ar"/>
              </w:rPr>
              <w:t>农村常住居民人均可支配收入（元）</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CC2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highlight w:val="none"/>
                <w:u w:val="none"/>
              </w:rPr>
            </w:pPr>
            <w:r>
              <w:rPr>
                <w:rFonts w:hint="eastAsia" w:ascii="宋体" w:hAnsi="宋体" w:eastAsia="仿宋_GB2312" w:cs="宋体"/>
                <w:b w:val="0"/>
                <w:bCs w:val="0"/>
                <w:i w:val="0"/>
                <w:iCs w:val="0"/>
                <w:color w:val="auto"/>
                <w:kern w:val="0"/>
                <w:sz w:val="18"/>
                <w:szCs w:val="18"/>
                <w:highlight w:val="none"/>
                <w:u w:val="none"/>
                <w:lang w:val="en-US" w:eastAsia="zh-CN" w:bidi="ar"/>
              </w:rPr>
              <w:t>17440</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8AD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F71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≥8</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171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highlight w:val="none"/>
                <w:u w:val="none"/>
                <w:lang w:val="en-US" w:eastAsia="zh-CN" w:bidi="ar"/>
              </w:rPr>
              <w:t>24629</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B82E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sz w:val="18"/>
                <w:szCs w:val="18"/>
                <w:highlight w:val="none"/>
                <w:u w:val="none"/>
                <w:lang w:val="en-US" w:eastAsia="zh-CN"/>
              </w:rPr>
              <w:t>5.8</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DEA8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highlight w:val="none"/>
                <w:u w:val="none"/>
                <w:lang w:val="en-US" w:eastAsia="zh-CN" w:bidi="ar"/>
              </w:rPr>
              <w:t>7.1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C70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572A9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AEB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14</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4328F">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64B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城镇登记失业率（</w:t>
            </w:r>
            <w:r>
              <w:rPr>
                <w:rFonts w:hint="eastAsia" w:ascii="宋体" w:hAnsi="宋体" w:eastAsia="仿宋_GB2312" w:cs="宋体"/>
                <w:b w:val="0"/>
                <w:bCs w:val="0"/>
                <w:i w:val="0"/>
                <w:iCs w:val="0"/>
                <w:color w:val="auto"/>
                <w:kern w:val="0"/>
                <w:sz w:val="18"/>
                <w:szCs w:val="18"/>
                <w:u w:val="none"/>
                <w:lang w:val="en-US" w:eastAsia="zh-CN" w:bidi="ar"/>
              </w:rPr>
              <w:t>%</w:t>
            </w:r>
            <w:r>
              <w:rPr>
                <w:rFonts w:hint="eastAsia" w:ascii="宋体" w:hAnsi="宋体" w:eastAsia="仿宋_GB2312" w:cs="仿宋_GB2312"/>
                <w:b w:val="0"/>
                <w:bCs w:val="0"/>
                <w:i w:val="0"/>
                <w:iCs w:val="0"/>
                <w:color w:val="auto"/>
                <w:kern w:val="0"/>
                <w:sz w:val="18"/>
                <w:szCs w:val="18"/>
                <w:u w:val="none"/>
                <w:lang w:val="en-US" w:eastAsia="zh-CN" w:bidi="ar"/>
              </w:rPr>
              <w:t>）</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182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2.93</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6FE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≤3.5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A85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B7C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≤3.5</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C89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DA4C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363E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2B3C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186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15</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1CC4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7563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人均受教育年限（年）</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A3A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942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D07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F5F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12.0</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FB3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C2E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1AE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2E70C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927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16</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9CA0A">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E71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每千人执业（助理）医师数（人）</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C13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2.39</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FD4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≥2.65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A81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2E1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3.5</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EF7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E14C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362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tr w14:paraId="7257F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ECF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17</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E3A9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生态</w:t>
            </w:r>
            <w:r>
              <w:rPr>
                <w:rFonts w:hint="eastAsia" w:ascii="宋体" w:hAnsi="宋体" w:eastAsia="仿宋_GB2312" w:cs="仿宋_GB2312"/>
                <w:b w:val="0"/>
                <w:bCs w:val="0"/>
                <w:i w:val="0"/>
                <w:iCs w:val="0"/>
                <w:color w:val="auto"/>
                <w:kern w:val="0"/>
                <w:sz w:val="18"/>
                <w:szCs w:val="18"/>
                <w:u w:val="none"/>
                <w:lang w:val="en-US" w:eastAsia="zh-CN" w:bidi="ar"/>
              </w:rPr>
              <w:br w:type="textWrapping"/>
            </w:r>
            <w:r>
              <w:rPr>
                <w:rFonts w:hint="eastAsia" w:ascii="宋体" w:hAnsi="宋体" w:eastAsia="仿宋_GB2312" w:cs="仿宋_GB2312"/>
                <w:b w:val="0"/>
                <w:bCs w:val="0"/>
                <w:i w:val="0"/>
                <w:iCs w:val="0"/>
                <w:color w:val="auto"/>
                <w:kern w:val="0"/>
                <w:sz w:val="18"/>
                <w:szCs w:val="18"/>
                <w:u w:val="none"/>
                <w:lang w:val="en-US" w:eastAsia="zh-CN" w:bidi="ar"/>
              </w:rPr>
              <w:t>宜居</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3D1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单位GDP能源消耗降低（%）</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05D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-2.6</w:t>
            </w:r>
          </w:p>
        </w:tc>
        <w:tc>
          <w:tcPr>
            <w:tcW w:w="1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4266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控制在市下达指标内</w:t>
            </w:r>
          </w:p>
        </w:tc>
        <w:tc>
          <w:tcPr>
            <w:tcW w:w="17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DF04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控制在市下达指标内</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78F5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185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约束性</w:t>
            </w:r>
          </w:p>
        </w:tc>
      </w:tr>
      <w:tr w14:paraId="63F1B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629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18</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66BB5">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420E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森林覆盖率（%）</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C71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43.36</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BC6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≥45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89D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EA2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eastAsia="zh-CN"/>
              </w:rPr>
            </w:pPr>
            <w:r>
              <w:rPr>
                <w:rFonts w:hint="eastAsia" w:ascii="宋体" w:hAnsi="宋体" w:eastAsia="仿宋_GB2312" w:cs="宋体"/>
                <w:b w:val="0"/>
                <w:bCs w:val="0"/>
                <w:i w:val="0"/>
                <w:iCs w:val="0"/>
                <w:color w:val="auto"/>
                <w:sz w:val="18"/>
                <w:szCs w:val="18"/>
                <w:u w:val="none"/>
                <w:lang w:val="en-US" w:eastAsia="zh-CN"/>
              </w:rPr>
              <w:t>34.56</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CBD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190E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D07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约束性</w:t>
            </w:r>
          </w:p>
        </w:tc>
      </w:tr>
      <w:tr w14:paraId="134B1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0B0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19</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3E1AF">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CF7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spacing w:val="6"/>
                <w:kern w:val="0"/>
                <w:sz w:val="18"/>
                <w:szCs w:val="18"/>
                <w:u w:val="none"/>
                <w:lang w:val="en-US" w:eastAsia="zh-CN" w:bidi="ar"/>
              </w:rPr>
              <w:t>地表水达到或好于Ⅲ类水体比例（</w:t>
            </w:r>
            <w:r>
              <w:rPr>
                <w:rFonts w:hint="eastAsia" w:ascii="宋体" w:hAnsi="宋体" w:eastAsia="仿宋_GB2312" w:cs="宋体"/>
                <w:b w:val="0"/>
                <w:bCs w:val="0"/>
                <w:i w:val="0"/>
                <w:iCs w:val="0"/>
                <w:color w:val="auto"/>
                <w:spacing w:val="6"/>
                <w:kern w:val="0"/>
                <w:sz w:val="18"/>
                <w:szCs w:val="18"/>
                <w:u w:val="none"/>
                <w:lang w:val="en-US" w:eastAsia="zh-CN" w:bidi="ar"/>
              </w:rPr>
              <w:t>%</w:t>
            </w:r>
            <w:r>
              <w:rPr>
                <w:rFonts w:hint="eastAsia" w:ascii="宋体" w:hAnsi="宋体" w:eastAsia="仿宋_GB2312" w:cs="仿宋_GB2312"/>
                <w:b w:val="0"/>
                <w:bCs w:val="0"/>
                <w:i w:val="0"/>
                <w:iCs w:val="0"/>
                <w:color w:val="auto"/>
                <w:spacing w:val="6"/>
                <w:kern w:val="0"/>
                <w:sz w:val="18"/>
                <w:szCs w:val="18"/>
                <w:u w:val="none"/>
                <w:lang w:val="en-US" w:eastAsia="zh-CN" w:bidi="ar"/>
              </w:rPr>
              <w:t>）</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E79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100</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F21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≥99</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704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368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100</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4FC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6F6F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085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约束性</w:t>
            </w:r>
          </w:p>
        </w:tc>
      </w:tr>
      <w:tr w14:paraId="3BD0D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24F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20</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0AD7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141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城市空气质量优良天数比例（%）</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D7E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99</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6EE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≥99</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D14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EDF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99.72</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5ED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83C2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5B1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约束性</w:t>
            </w:r>
          </w:p>
        </w:tc>
      </w:tr>
      <w:tr w14:paraId="23DE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1B0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21</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4D66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BAF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城镇生活污水集中处理率（</w:t>
            </w:r>
            <w:r>
              <w:rPr>
                <w:rFonts w:hint="eastAsia" w:ascii="宋体" w:hAnsi="宋体" w:eastAsia="仿宋_GB2312" w:cs="宋体"/>
                <w:b w:val="0"/>
                <w:bCs w:val="0"/>
                <w:i w:val="0"/>
                <w:iCs w:val="0"/>
                <w:color w:val="auto"/>
                <w:kern w:val="0"/>
                <w:sz w:val="18"/>
                <w:szCs w:val="18"/>
                <w:u w:val="none"/>
                <w:lang w:val="en-US" w:eastAsia="zh-CN" w:bidi="ar"/>
              </w:rPr>
              <w:t>%</w:t>
            </w:r>
            <w:r>
              <w:rPr>
                <w:rFonts w:hint="eastAsia" w:ascii="宋体" w:hAnsi="宋体" w:eastAsia="仿宋_GB2312" w:cs="仿宋_GB2312"/>
                <w:b w:val="0"/>
                <w:bCs w:val="0"/>
                <w:i w:val="0"/>
                <w:iCs w:val="0"/>
                <w:color w:val="auto"/>
                <w:kern w:val="0"/>
                <w:sz w:val="18"/>
                <w:szCs w:val="18"/>
                <w:u w:val="none"/>
                <w:lang w:val="en-US" w:eastAsia="zh-CN" w:bidi="ar"/>
              </w:rPr>
              <w:t>）</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6A0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90.09</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2337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≥98</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34DF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A29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≥95</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6C6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5A6D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88A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约束性</w:t>
            </w:r>
          </w:p>
        </w:tc>
      </w:tr>
      <w:tr w14:paraId="56293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4D0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22</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DF51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安全</w:t>
            </w:r>
            <w:r>
              <w:rPr>
                <w:rFonts w:hint="eastAsia" w:ascii="宋体" w:hAnsi="宋体" w:eastAsia="仿宋_GB2312" w:cs="仿宋_GB2312"/>
                <w:b w:val="0"/>
                <w:bCs w:val="0"/>
                <w:i w:val="0"/>
                <w:iCs w:val="0"/>
                <w:color w:val="auto"/>
                <w:kern w:val="0"/>
                <w:sz w:val="18"/>
                <w:szCs w:val="18"/>
                <w:u w:val="none"/>
                <w:lang w:val="en-US" w:eastAsia="zh-CN" w:bidi="ar"/>
              </w:rPr>
              <w:br w:type="textWrapping"/>
            </w:r>
            <w:r>
              <w:rPr>
                <w:rFonts w:hint="eastAsia" w:ascii="宋体" w:hAnsi="宋体" w:eastAsia="仿宋_GB2312" w:cs="仿宋_GB2312"/>
                <w:b w:val="0"/>
                <w:bCs w:val="0"/>
                <w:i w:val="0"/>
                <w:iCs w:val="0"/>
                <w:color w:val="auto"/>
                <w:kern w:val="0"/>
                <w:sz w:val="18"/>
                <w:szCs w:val="18"/>
                <w:u w:val="none"/>
                <w:lang w:val="en-US" w:eastAsia="zh-CN" w:bidi="ar"/>
              </w:rPr>
              <w:t>保障</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8489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耕地保有量（万公顷）</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825F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5.77</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7A5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≥5.55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F0B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EA1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5.88</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0CA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5DDD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2D3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约束性</w:t>
            </w:r>
          </w:p>
        </w:tc>
      </w:tr>
      <w:tr w14:paraId="2E93D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AB7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23</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09C7F">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rPr>
                <w:rFonts w:hint="eastAsia" w:ascii="宋体" w:hAnsi="宋体" w:eastAsia="仿宋_GB2312" w:cs="仿宋_GB2312"/>
                <w:b w:val="0"/>
                <w:bCs w:val="0"/>
                <w:i w:val="0"/>
                <w:iCs w:val="0"/>
                <w:color w:val="auto"/>
                <w:sz w:val="18"/>
                <w:szCs w:val="18"/>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979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left"/>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粮食总产量（万吨）</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892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sz w:val="18"/>
                <w:szCs w:val="18"/>
                <w:u w:val="none"/>
              </w:rPr>
              <w:t>14.23</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93D7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≥15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172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18C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lang w:val="en-US"/>
              </w:rPr>
            </w:pPr>
            <w:r>
              <w:rPr>
                <w:rFonts w:hint="eastAsia" w:ascii="宋体" w:hAnsi="宋体" w:eastAsia="仿宋_GB2312" w:cs="宋体"/>
                <w:b w:val="0"/>
                <w:bCs w:val="0"/>
                <w:i w:val="0"/>
                <w:iCs w:val="0"/>
                <w:color w:val="auto"/>
                <w:kern w:val="0"/>
                <w:sz w:val="18"/>
                <w:szCs w:val="18"/>
                <w:u w:val="none"/>
                <w:lang w:val="en-US" w:eastAsia="zh-CN" w:bidi="ar"/>
              </w:rPr>
              <w:t>15.19</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055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CBC1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宋体"/>
                <w:b w:val="0"/>
                <w:bCs w:val="0"/>
                <w:i w:val="0"/>
                <w:iCs w:val="0"/>
                <w:color w:val="auto"/>
                <w:sz w:val="18"/>
                <w:szCs w:val="18"/>
                <w:u w:val="none"/>
              </w:rPr>
            </w:pPr>
            <w:r>
              <w:rPr>
                <w:rFonts w:hint="eastAsia" w:ascii="宋体" w:hAnsi="宋体" w:eastAsia="仿宋_GB2312" w:cs="宋体"/>
                <w:b w:val="0"/>
                <w:bCs w:val="0"/>
                <w:i w:val="0"/>
                <w:iCs w:val="0"/>
                <w:color w:val="auto"/>
                <w:kern w:val="0"/>
                <w:sz w:val="18"/>
                <w:szCs w:val="18"/>
                <w:u w:val="none"/>
                <w:lang w:val="en-US" w:eastAsia="zh-CN" w:bidi="ar"/>
              </w:rP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E34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eastAsia" w:ascii="宋体" w:hAnsi="宋体" w:eastAsia="仿宋_GB2312" w:cs="仿宋_GB2312"/>
                <w:b w:val="0"/>
                <w:bCs w:val="0"/>
                <w:i w:val="0"/>
                <w:iCs w:val="0"/>
                <w:color w:val="auto"/>
                <w:sz w:val="18"/>
                <w:szCs w:val="18"/>
                <w:u w:val="none"/>
              </w:rPr>
            </w:pPr>
            <w:r>
              <w:rPr>
                <w:rFonts w:hint="eastAsia" w:ascii="宋体" w:hAnsi="宋体" w:eastAsia="仿宋_GB2312" w:cs="仿宋_GB2312"/>
                <w:b w:val="0"/>
                <w:bCs w:val="0"/>
                <w:i w:val="0"/>
                <w:iCs w:val="0"/>
                <w:color w:val="auto"/>
                <w:kern w:val="0"/>
                <w:sz w:val="18"/>
                <w:szCs w:val="18"/>
                <w:u w:val="none"/>
                <w:lang w:val="en-US" w:eastAsia="zh-CN" w:bidi="ar"/>
              </w:rPr>
              <w:t>预期性</w:t>
            </w:r>
          </w:p>
        </w:tc>
      </w:tr>
      <w:bookmarkEnd w:id="1058"/>
    </w:tbl>
    <w:p w14:paraId="1F544F17">
      <w:pPr>
        <w:keepNext/>
        <w:keepLines/>
        <w:pageBreakBefore w:val="0"/>
        <w:widowControl w:val="0"/>
        <w:numPr>
          <w:ilvl w:val="0"/>
          <w:numId w:val="0"/>
        </w:numPr>
        <w:kinsoku/>
        <w:wordWrap/>
        <w:overflowPunct/>
        <w:topLinePunct w:val="0"/>
        <w:autoSpaceDE/>
        <w:autoSpaceDN/>
        <w:bidi w:val="0"/>
        <w:adjustRightInd/>
        <w:snapToGrid/>
        <w:spacing w:before="200" w:after="200" w:line="360" w:lineRule="auto"/>
        <w:ind w:left="0" w:leftChars="0" w:firstLine="0" w:firstLineChars="0"/>
        <w:jc w:val="both"/>
        <w:textAlignment w:val="auto"/>
        <w:rPr>
          <w:rFonts w:hint="eastAsia" w:ascii="宋体" w:hAnsi="宋体" w:eastAsia="黑体" w:cs="黑体"/>
          <w:b w:val="0"/>
          <w:bCs/>
          <w:color w:val="auto"/>
          <w:sz w:val="32"/>
          <w:szCs w:val="32"/>
          <w:highlight w:val="none"/>
          <w:lang w:val="en-US" w:eastAsia="zh-CN"/>
        </w:rPr>
        <w:sectPr>
          <w:footerReference r:id="rId10" w:type="default"/>
          <w:pgSz w:w="11906" w:h="16838"/>
          <w:pgMar w:top="1899" w:right="1474" w:bottom="1899" w:left="1587" w:header="851" w:footer="1247" w:gutter="0"/>
          <w:pgNumType w:fmt="decimal" w:start="1"/>
          <w:cols w:space="720" w:num="1"/>
          <w:docGrid w:type="lines" w:linePitch="312" w:charSpace="0"/>
        </w:sectPr>
      </w:pPr>
      <w:bookmarkStart w:id="1059" w:name="_Toc30930"/>
      <w:r>
        <w:rPr>
          <w:rFonts w:hint="eastAsia" w:ascii="宋体" w:hAnsi="宋体" w:eastAsia="黑体" w:cs="黑体"/>
          <w:b w:val="0"/>
          <w:bCs/>
          <w:color w:val="auto"/>
          <w:kern w:val="44"/>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-67310</wp:posOffset>
            </wp:positionH>
            <wp:positionV relativeFrom="paragraph">
              <wp:posOffset>580390</wp:posOffset>
            </wp:positionV>
            <wp:extent cx="5611495" cy="7370445"/>
            <wp:effectExtent l="0" t="0" r="8255" b="1905"/>
            <wp:wrapTopAndBottom/>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3"/>
                    <a:stretch>
                      <a:fillRect/>
                    </a:stretch>
                  </pic:blipFill>
                  <pic:spPr>
                    <a:xfrm>
                      <a:off x="0" y="0"/>
                      <a:ext cx="5611495" cy="7370445"/>
                    </a:xfrm>
                    <a:prstGeom prst="rect">
                      <a:avLst/>
                    </a:prstGeom>
                    <a:noFill/>
                    <a:ln>
                      <a:noFill/>
                    </a:ln>
                  </pic:spPr>
                </pic:pic>
              </a:graphicData>
            </a:graphic>
          </wp:anchor>
        </w:drawing>
      </w:r>
      <w:r>
        <w:rPr>
          <w:rFonts w:hint="eastAsia" w:ascii="宋体" w:hAnsi="宋体" w:eastAsia="黑体" w:cs="黑体"/>
          <w:b w:val="0"/>
          <w:bCs/>
          <w:color w:val="auto"/>
          <w:kern w:val="44"/>
          <w:sz w:val="32"/>
          <w:szCs w:val="32"/>
          <w:highlight w:val="none"/>
          <w:lang w:val="en-US" w:eastAsia="zh-CN" w:bidi="ar-SA"/>
        </w:rPr>
        <w:t>附件2  石林县“十五五”空间布局</w:t>
      </w:r>
      <w:bookmarkEnd w:id="1059"/>
    </w:p>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1035"/>
    <w:bookmarkEnd w:id="1036"/>
    <w:bookmarkEnd w:id="1037"/>
    <w:bookmarkEnd w:id="1038"/>
    <w:p w14:paraId="0D42A169">
      <w:pPr>
        <w:pStyle w:val="2"/>
        <w:ind w:left="0" w:leftChars="0" w:firstLine="0" w:firstLineChars="0"/>
        <w:rPr>
          <w:rFonts w:hint="default" w:ascii="宋体" w:hAnsi="宋体"/>
          <w:lang w:val="en-US" w:eastAsia="zh-CN"/>
        </w:rPr>
      </w:pPr>
    </w:p>
    <w:sectPr>
      <w:footerReference r:id="rId11" w:type="default"/>
      <w:pgSz w:w="11906" w:h="16838"/>
      <w:pgMar w:top="1899" w:right="1474" w:bottom="1899" w:left="1587" w:header="851" w:footer="1417" w:gutter="0"/>
      <w:pgNumType w:fmt="decimal"/>
      <w:cols w:space="0" w:num="1"/>
      <w:rtlGutter w:val="0"/>
      <w:docGrid w:type="lines" w:linePitch="45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1382DC-06B3-4A56-A685-1C41E65A16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4847BB0-673A-480F-9788-8376DD88A1B4}"/>
  </w:font>
  <w:font w:name="方正黑体_GBK">
    <w:panose1 w:val="03000509000000000000"/>
    <w:charset w:val="86"/>
    <w:family w:val="auto"/>
    <w:pitch w:val="default"/>
    <w:sig w:usb0="00000001" w:usb1="080E0000" w:usb2="00000000" w:usb3="00000000" w:csb0="00040000" w:csb1="00000000"/>
    <w:embedRegular r:id="rId3" w:fontKey="{E666C5F0-79C7-4304-AA4F-369AD0E78CE8}"/>
  </w:font>
  <w:font w:name="Times New Roman Regular">
    <w:altName w:val="Times New Roman"/>
    <w:panose1 w:val="02020503050405090304"/>
    <w:charset w:val="00"/>
    <w:family w:val="auto"/>
    <w:pitch w:val="default"/>
    <w:sig w:usb0="00000000" w:usb1="00000000" w:usb2="00000001" w:usb3="00000000" w:csb0="400001BF" w:csb1="DFF70000"/>
    <w:embedRegular r:id="rId4" w:fontKey="{C0694B87-D531-4809-9C44-5271C2522CE0}"/>
  </w:font>
  <w:font w:name="方正楷体_GBK">
    <w:panose1 w:val="03000509000000000000"/>
    <w:charset w:val="86"/>
    <w:family w:val="auto"/>
    <w:pitch w:val="default"/>
    <w:sig w:usb0="00000001" w:usb1="080E0000" w:usb2="00000000" w:usb3="00000000" w:csb0="00040000" w:csb1="00000000"/>
    <w:embedRegular r:id="rId5" w:fontKey="{9C18140D-94B2-4657-9334-EA4F23313800}"/>
  </w:font>
  <w:font w:name="方正小标宋简体">
    <w:panose1 w:val="03000509000000000000"/>
    <w:charset w:val="86"/>
    <w:family w:val="auto"/>
    <w:pitch w:val="default"/>
    <w:sig w:usb0="00000001" w:usb1="080E0000" w:usb2="00000000" w:usb3="00000000" w:csb0="00040000" w:csb1="00000000"/>
    <w:embedRegular r:id="rId6" w:fontKey="{6F5CF67E-7410-4CB9-B272-6F69067A3936}"/>
  </w:font>
  <w:font w:name="楷体_GB2312">
    <w:panose1 w:val="02010609030101010101"/>
    <w:charset w:val="86"/>
    <w:family w:val="auto"/>
    <w:pitch w:val="default"/>
    <w:sig w:usb0="00000001" w:usb1="080E0000" w:usb2="00000000" w:usb3="00000000" w:csb0="00040000" w:csb1="00000000"/>
    <w:embedRegular r:id="rId7" w:fontKey="{4CB44859-F3DF-41C9-8F44-788D2484CC2F}"/>
  </w:font>
  <w:font w:name="方正仿宋_GBK">
    <w:panose1 w:val="03000509000000000000"/>
    <w:charset w:val="86"/>
    <w:family w:val="script"/>
    <w:pitch w:val="default"/>
    <w:sig w:usb0="00000001" w:usb1="080E0000" w:usb2="00000000" w:usb3="00000000" w:csb0="00040000" w:csb1="00000000"/>
    <w:embedRegular r:id="rId8" w:fontKey="{17D7E76B-DC33-406D-B7CA-AE0A7C997B4D}"/>
  </w:font>
  <w:font w:name="等线">
    <w:panose1 w:val="02010600030101010101"/>
    <w:charset w:val="7A"/>
    <w:family w:val="auto"/>
    <w:pitch w:val="default"/>
    <w:sig w:usb0="A00002BF" w:usb1="38CF7CFA" w:usb2="00000016" w:usb3="00000000" w:csb0="0004000F" w:csb1="00000000"/>
    <w:embedRegular r:id="rId9" w:fontKey="{944FA5E2-CFC1-4A6E-937D-4B938415BDF7}"/>
  </w:font>
  <w:font w:name="方正小标宋_GBK">
    <w:panose1 w:val="03000509000000000000"/>
    <w:charset w:val="86"/>
    <w:family w:val="auto"/>
    <w:pitch w:val="default"/>
    <w:sig w:usb0="00000001" w:usb1="080E0000" w:usb2="00000000" w:usb3="00000000" w:csb0="00040000" w:csb1="00000000"/>
    <w:embedRegular r:id="rId10" w:fontKey="{62CCA8C5-EE29-42D0-A0D9-954213C4DE0B}"/>
  </w:font>
  <w:font w:name="WPSEMBED4">
    <w:panose1 w:val="03000509000000000000"/>
    <w:charset w:val="86"/>
    <w:family w:val="auto"/>
    <w:pitch w:val="default"/>
    <w:sig w:usb0="00000001" w:usb1="080E0000" w:usb2="00000000" w:usb3="00000000" w:csb0="00040000" w:csb1="00000000"/>
  </w:font>
  <w:font w:name="WPSEMBED5">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6">
    <w:panose1 w:val="03000509000000000000"/>
    <w:charset w:val="86"/>
    <w:family w:val="auto"/>
    <w:pitch w:val="default"/>
    <w:sig w:usb0="00000001" w:usb1="080E0000" w:usb2="00000000" w:usb3="00000000" w:csb0="00040000" w:csb1="00000000"/>
  </w:font>
  <w:font w:name="WPSEMBED7">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C59D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F43FA">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B787D">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D239B">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BCB2B">
    <w:pPr>
      <w:snapToGrid w:val="0"/>
      <w:spacing w:line="579" w:lineRule="exact"/>
      <w:ind w:firstLine="360" w:firstLineChars="200"/>
      <w:jc w:val="left"/>
      <w:rPr>
        <w:rFonts w:ascii="等线" w:hAnsi="等线" w:eastAsia="仿宋_GB2312" w:cs="Times New Roman"/>
        <w:kern w:val="2"/>
        <w:sz w:val="18"/>
        <w:szCs w:val="22"/>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DE01A">
    <w:pPr>
      <w:snapToGrid w:val="0"/>
      <w:spacing w:line="579" w:lineRule="exact"/>
      <w:ind w:firstLine="360" w:firstLineChars="200"/>
      <w:jc w:val="left"/>
      <w:rPr>
        <w:rFonts w:ascii="等线" w:hAnsi="等线" w:eastAsia="仿宋_GB2312" w:cs="Times New Roman"/>
        <w:kern w:val="2"/>
        <w:sz w:val="18"/>
        <w:szCs w:val="22"/>
        <w:lang w:val="en-US" w:eastAsia="zh-CN" w:bidi="ar-SA"/>
      </w:rPr>
    </w:pPr>
    <w:r>
      <w:rPr>
        <w:rFonts w:ascii="等线" w:hAnsi="等线" w:eastAsia="仿宋_GB2312" w:cs="Times New Roman"/>
        <w:kern w:val="2"/>
        <w:sz w:val="18"/>
        <w:szCs w:val="22"/>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7A12E4">
                          <w:pPr>
                            <w:snapToGrid w:val="0"/>
                            <w:spacing w:line="579" w:lineRule="exact"/>
                            <w:ind w:firstLine="560" w:firstLineChars="20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A7A12E4">
                    <w:pPr>
                      <w:snapToGrid w:val="0"/>
                      <w:spacing w:line="579" w:lineRule="exact"/>
                      <w:ind w:firstLine="560" w:firstLineChars="20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5C2CA">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3EC8FC">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133EC8FC">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ind w:firstLine="640"/>
      </w:pPr>
      <w:r>
        <w:separator/>
      </w:r>
    </w:p>
  </w:footnote>
  <w:footnote w:type="continuationSeparator" w:id="3">
    <w:p>
      <w:pPr>
        <w:spacing w:line="240" w:lineRule="auto"/>
        <w:ind w:firstLine="640"/>
      </w:pPr>
      <w:r>
        <w:continuationSeparator/>
      </w:r>
    </w:p>
  </w:footnote>
  <w:footnote w:id="0">
    <w:p w14:paraId="7A856E91">
      <w:pPr>
        <w:keepNext w:val="0"/>
        <w:keepLines w:val="0"/>
        <w:pageBreakBefore w:val="0"/>
        <w:widowControl/>
        <w:kinsoku/>
        <w:wordWrap/>
        <w:overflowPunct/>
        <w:topLinePunct w:val="0"/>
        <w:autoSpaceDE/>
        <w:autoSpaceDN/>
        <w:bidi w:val="0"/>
        <w:adjustRightInd/>
        <w:snapToGrid w:val="0"/>
        <w:spacing w:line="320" w:lineRule="exact"/>
        <w:ind w:firstLine="360" w:firstLineChars="200"/>
        <w:jc w:val="left"/>
        <w:textAlignment w:val="auto"/>
        <w:rPr>
          <w:rFonts w:hint="default" w:ascii="等线" w:hAnsi="等线" w:eastAsia="宋体" w:cs="Times New Roman"/>
          <w:kern w:val="2"/>
          <w:sz w:val="18"/>
          <w:szCs w:val="22"/>
          <w:highlight w:val="none"/>
          <w:lang w:val="en-US" w:eastAsia="zh-CN" w:bidi="ar-SA"/>
        </w:rPr>
      </w:pPr>
      <w:r>
        <w:rPr>
          <w:rStyle w:val="23"/>
          <w:rFonts w:ascii="Times New Roman" w:hAnsi="Times New Roman" w:eastAsia="宋体" w:cs="Times New Roman"/>
          <w:kern w:val="2"/>
          <w:sz w:val="18"/>
          <w:szCs w:val="22"/>
          <w:highlight w:val="none"/>
          <w:lang w:val="en-US" w:eastAsia="zh-CN" w:bidi="ar-SA"/>
        </w:rPr>
        <w:footnoteRef/>
      </w:r>
      <w:r>
        <w:rPr>
          <w:rFonts w:ascii="等线" w:hAnsi="等线" w:eastAsia="仿宋_GB2312" w:cs="Times New Roman"/>
          <w:kern w:val="2"/>
          <w:sz w:val="18"/>
          <w:szCs w:val="22"/>
          <w:highlight w:val="none"/>
          <w:lang w:val="en-US" w:eastAsia="zh-CN" w:bidi="ar-SA"/>
        </w:rPr>
        <w:t xml:space="preserve"> </w:t>
      </w:r>
      <w:r>
        <w:rPr>
          <w:rFonts w:hint="eastAsia" w:ascii="等线" w:hAnsi="等线" w:eastAsia="仿宋_GB2312" w:cs="Times New Roman"/>
          <w:kern w:val="2"/>
          <w:sz w:val="18"/>
          <w:szCs w:val="22"/>
          <w:highlight w:val="none"/>
          <w:lang w:val="en-US" w:eastAsia="zh-CN" w:bidi="ar-SA"/>
        </w:rPr>
        <w:t>产业地图、产业链图、产业群谱、招商目标企业库、资源要素保障库、重点招商引资项目库、项目六清单（总投资清单、年度投资清单、在建项目清单、拟建项目清单、在谈项目清单、拟谈项目清单）</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C414E"/>
    <w:multiLevelType w:val="multilevel"/>
    <w:tmpl w:val="8FEC414E"/>
    <w:lvl w:ilvl="0" w:tentative="0">
      <w:start w:val="1"/>
      <w:numFmt w:val="decimal"/>
      <w:pStyle w:val="32"/>
      <w:suff w:val="space"/>
      <w:lvlText w:val="专栏%1"/>
      <w:lvlJc w:val="left"/>
      <w:pPr>
        <w:ind w:left="0" w:firstLine="0"/>
      </w:pPr>
      <w:rPr>
        <w:rFonts w:hint="default" w:ascii="Times New Roman" w:hAnsi="Times New Roman" w:eastAsia="方正黑体_GBK" w:cs="方正黑体_GBK"/>
        <w:sz w:val="28"/>
        <w:szCs w:val="28"/>
      </w:rPr>
    </w:lvl>
    <w:lvl w:ilvl="1" w:tentative="0">
      <w:start w:val="1"/>
      <w:numFmt w:val="none"/>
      <w:suff w:val="nothing"/>
      <w:lvlText w:val=""/>
      <w:lvlJc w:val="left"/>
      <w:pPr>
        <w:ind w:left="0" w:firstLine="0"/>
      </w:pPr>
      <w:rPr>
        <w:rFonts w:hint="default"/>
      </w:rPr>
    </w:lvl>
    <w:lvl w:ilvl="2" w:tentative="0">
      <w:start w:val="1"/>
      <w:numFmt w:val="none"/>
      <w:suff w:val="nothing"/>
      <w:lvlText w:val=""/>
      <w:lvlJc w:val="left"/>
      <w:pPr>
        <w:ind w:left="0" w:firstLine="402"/>
      </w:pPr>
      <w:rPr>
        <w:rFonts w:hint="default"/>
      </w:rPr>
    </w:lvl>
    <w:lvl w:ilvl="3" w:tentative="0">
      <w:start w:val="1"/>
      <w:numFmt w:val="none"/>
      <w:suff w:val="nothing"/>
      <w:lvlText w:val=""/>
      <w:lvlJc w:val="left"/>
      <w:pPr>
        <w:ind w:left="0" w:firstLine="402"/>
      </w:pPr>
      <w:rPr>
        <w:rFonts w:hint="default"/>
      </w:rPr>
    </w:lvl>
    <w:lvl w:ilvl="4" w:tentative="0">
      <w:start w:val="1"/>
      <w:numFmt w:val="none"/>
      <w:suff w:val="nothing"/>
      <w:lvlText w:val=""/>
      <w:lvlJc w:val="left"/>
      <w:pPr>
        <w:ind w:left="0" w:firstLine="402"/>
      </w:pPr>
      <w:rPr>
        <w:rFonts w:hint="default"/>
      </w:rPr>
    </w:lvl>
    <w:lvl w:ilvl="5" w:tentative="0">
      <w:start w:val="1"/>
      <w:numFmt w:val="none"/>
      <w:suff w:val="nothing"/>
      <w:lvlText w:val=""/>
      <w:lvlJc w:val="left"/>
      <w:pPr>
        <w:ind w:left="0" w:firstLine="402"/>
      </w:pPr>
      <w:rPr>
        <w:rFonts w:hint="default"/>
      </w:rPr>
    </w:lvl>
    <w:lvl w:ilvl="6" w:tentative="0">
      <w:start w:val="1"/>
      <w:numFmt w:val="none"/>
      <w:suff w:val="nothing"/>
      <w:lvlText w:val=""/>
      <w:lvlJc w:val="left"/>
      <w:pPr>
        <w:ind w:left="0" w:firstLine="402"/>
      </w:pPr>
      <w:rPr>
        <w:rFonts w:hint="default"/>
      </w:rPr>
    </w:lvl>
    <w:lvl w:ilvl="7" w:tentative="0">
      <w:start w:val="1"/>
      <w:numFmt w:val="none"/>
      <w:suff w:val="nothing"/>
      <w:lvlText w:val=""/>
      <w:lvlJc w:val="left"/>
      <w:pPr>
        <w:ind w:left="0" w:firstLine="402"/>
      </w:pPr>
      <w:rPr>
        <w:rFonts w:hint="default"/>
      </w:rPr>
    </w:lvl>
    <w:lvl w:ilvl="8" w:tentative="0">
      <w:start w:val="1"/>
      <w:numFmt w:val="none"/>
      <w:suff w:val="nothing"/>
      <w:lvlText w:val=""/>
      <w:lvlJc w:val="left"/>
      <w:pPr>
        <w:ind w:left="0" w:firstLine="402"/>
      </w:pPr>
      <w:rPr>
        <w:rFonts w:hint="default"/>
      </w:rPr>
    </w:lvl>
  </w:abstractNum>
  <w:abstractNum w:abstractNumId="1">
    <w:nsid w:val="92630595"/>
    <w:multiLevelType w:val="singleLevel"/>
    <w:tmpl w:val="92630595"/>
    <w:lvl w:ilvl="0" w:tentative="0">
      <w:start w:val="1"/>
      <w:numFmt w:val="bullet"/>
      <w:lvlText w:val=""/>
      <w:lvlJc w:val="left"/>
      <w:pPr>
        <w:ind w:left="420" w:hanging="420"/>
      </w:pPr>
      <w:rPr>
        <w:rFonts w:hint="default" w:ascii="Wingdings" w:hAnsi="Wingdings"/>
      </w:rPr>
    </w:lvl>
  </w:abstractNum>
  <w:abstractNum w:abstractNumId="2">
    <w:nsid w:val="FFFFFEC4"/>
    <w:multiLevelType w:val="singleLevel"/>
    <w:tmpl w:val="FFFFFEC4"/>
    <w:lvl w:ilvl="0" w:tentative="0">
      <w:start w:val="1"/>
      <w:numFmt w:val="chineseCounting"/>
      <w:suff w:val="nothing"/>
      <w:lvlText w:val="%1、"/>
      <w:lvlJc w:val="left"/>
      <w:rPr>
        <w:rFonts w:hint="eastAsia"/>
      </w:rPr>
    </w:lvl>
  </w:abstractNum>
  <w:abstractNum w:abstractNumId="3">
    <w:nsid w:val="53AF1897"/>
    <w:multiLevelType w:val="singleLevel"/>
    <w:tmpl w:val="53AF1897"/>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embedTrueTypeFonts/>
  <w:saveSubsetFonts/>
  <w:bordersDoNotSurroundHeader w:val="0"/>
  <w:bordersDoNotSurroundFooter w:val="0"/>
  <w:documentProtection w:enforcement="0"/>
  <w:defaultTabStop w:val="420"/>
  <w:drawingGridVerticalSpacing w:val="225"/>
  <w:displayHorizontalDrawingGridEvery w:val="1"/>
  <w:displayVerticalDrawingGridEvery w:val="2"/>
  <w:noPunctuationKerning w:val="1"/>
  <w:characterSpacingControl w:val="compressPunctuation"/>
  <w:hdrShapeDefaults>
    <o:shapelayout v:ext="edit">
      <o:idmap v:ext="edit" data="2"/>
    </o:shapelayout>
  </w:hdrShapeDefaults>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ABE202"/>
    <w:rsid w:val="00381040"/>
    <w:rsid w:val="004927C9"/>
    <w:rsid w:val="005102A0"/>
    <w:rsid w:val="007E7D25"/>
    <w:rsid w:val="00A12741"/>
    <w:rsid w:val="00E35D05"/>
    <w:rsid w:val="00FB5E5B"/>
    <w:rsid w:val="028714FA"/>
    <w:rsid w:val="02B80216"/>
    <w:rsid w:val="030F10B7"/>
    <w:rsid w:val="03453A3C"/>
    <w:rsid w:val="03463A74"/>
    <w:rsid w:val="058A5E9A"/>
    <w:rsid w:val="05993309"/>
    <w:rsid w:val="0639166E"/>
    <w:rsid w:val="063B69CB"/>
    <w:rsid w:val="06F80A07"/>
    <w:rsid w:val="07937179"/>
    <w:rsid w:val="07CB4548"/>
    <w:rsid w:val="07F12200"/>
    <w:rsid w:val="07FF8C8F"/>
    <w:rsid w:val="08B46D7E"/>
    <w:rsid w:val="09121943"/>
    <w:rsid w:val="095751D4"/>
    <w:rsid w:val="095F3199"/>
    <w:rsid w:val="09842C00"/>
    <w:rsid w:val="09CD27F9"/>
    <w:rsid w:val="09E363B1"/>
    <w:rsid w:val="0AA84AD7"/>
    <w:rsid w:val="0AF77BE9"/>
    <w:rsid w:val="0AFB5144"/>
    <w:rsid w:val="0B21104E"/>
    <w:rsid w:val="0B260413"/>
    <w:rsid w:val="0B27418B"/>
    <w:rsid w:val="0B662F05"/>
    <w:rsid w:val="0B713E69"/>
    <w:rsid w:val="0C537AC8"/>
    <w:rsid w:val="0C9320DF"/>
    <w:rsid w:val="0CB8153E"/>
    <w:rsid w:val="0CD65E68"/>
    <w:rsid w:val="0D3618D2"/>
    <w:rsid w:val="0D929081"/>
    <w:rsid w:val="0DA93BCE"/>
    <w:rsid w:val="0E231F18"/>
    <w:rsid w:val="0E3015A8"/>
    <w:rsid w:val="0E7616B1"/>
    <w:rsid w:val="0ECFCE64"/>
    <w:rsid w:val="0F463B85"/>
    <w:rsid w:val="0F6A2898"/>
    <w:rsid w:val="0F984EC3"/>
    <w:rsid w:val="0FBB71C4"/>
    <w:rsid w:val="0FE444A1"/>
    <w:rsid w:val="0FEA2F86"/>
    <w:rsid w:val="103B4960"/>
    <w:rsid w:val="10DC4D6D"/>
    <w:rsid w:val="11A41E98"/>
    <w:rsid w:val="11AE1162"/>
    <w:rsid w:val="11C97D4A"/>
    <w:rsid w:val="12020A2A"/>
    <w:rsid w:val="12790D23"/>
    <w:rsid w:val="12906AB9"/>
    <w:rsid w:val="12A762DD"/>
    <w:rsid w:val="12AF0CEE"/>
    <w:rsid w:val="12BE53D5"/>
    <w:rsid w:val="130D5CAA"/>
    <w:rsid w:val="132F0080"/>
    <w:rsid w:val="133E75E1"/>
    <w:rsid w:val="13BF7656"/>
    <w:rsid w:val="13F015BE"/>
    <w:rsid w:val="13F34687"/>
    <w:rsid w:val="142C1376"/>
    <w:rsid w:val="1492AC5D"/>
    <w:rsid w:val="149C022D"/>
    <w:rsid w:val="15AA11F9"/>
    <w:rsid w:val="15CC7E09"/>
    <w:rsid w:val="15FA1B1D"/>
    <w:rsid w:val="15FB142D"/>
    <w:rsid w:val="15FE1A14"/>
    <w:rsid w:val="16135A37"/>
    <w:rsid w:val="1638549E"/>
    <w:rsid w:val="167504A0"/>
    <w:rsid w:val="168B3820"/>
    <w:rsid w:val="16BE2541"/>
    <w:rsid w:val="17354ABB"/>
    <w:rsid w:val="17537DDB"/>
    <w:rsid w:val="176F2E2F"/>
    <w:rsid w:val="17CF2DBE"/>
    <w:rsid w:val="17F333E9"/>
    <w:rsid w:val="17FA813A"/>
    <w:rsid w:val="1824695B"/>
    <w:rsid w:val="185540E5"/>
    <w:rsid w:val="1917583F"/>
    <w:rsid w:val="191F56A4"/>
    <w:rsid w:val="19B23DF6"/>
    <w:rsid w:val="19DE635C"/>
    <w:rsid w:val="1A491A28"/>
    <w:rsid w:val="1A513927"/>
    <w:rsid w:val="1A7D7923"/>
    <w:rsid w:val="1AA72BF2"/>
    <w:rsid w:val="1AE6371B"/>
    <w:rsid w:val="1AF52E7F"/>
    <w:rsid w:val="1B636B19"/>
    <w:rsid w:val="1B677C8A"/>
    <w:rsid w:val="1C393D1E"/>
    <w:rsid w:val="1C9A5CCD"/>
    <w:rsid w:val="1D2D58A6"/>
    <w:rsid w:val="1D4DFE63"/>
    <w:rsid w:val="1D816F16"/>
    <w:rsid w:val="1D921938"/>
    <w:rsid w:val="1DC87107"/>
    <w:rsid w:val="1DCF3C77"/>
    <w:rsid w:val="1DDE4B7D"/>
    <w:rsid w:val="1DF3529E"/>
    <w:rsid w:val="1E340C41"/>
    <w:rsid w:val="1E4B3A5F"/>
    <w:rsid w:val="1E784E21"/>
    <w:rsid w:val="1EE9AD6E"/>
    <w:rsid w:val="1EF2003C"/>
    <w:rsid w:val="1EFBC835"/>
    <w:rsid w:val="1F42113B"/>
    <w:rsid w:val="1F723C53"/>
    <w:rsid w:val="1F7ADEE7"/>
    <w:rsid w:val="1F7BC96D"/>
    <w:rsid w:val="1FC0AFCA"/>
    <w:rsid w:val="1FCCFBEF"/>
    <w:rsid w:val="1FCED7BE"/>
    <w:rsid w:val="1FD77FC0"/>
    <w:rsid w:val="205E01F7"/>
    <w:rsid w:val="20783067"/>
    <w:rsid w:val="208B4C13"/>
    <w:rsid w:val="21262AC3"/>
    <w:rsid w:val="215313DE"/>
    <w:rsid w:val="217D645B"/>
    <w:rsid w:val="21965F59"/>
    <w:rsid w:val="21CF4F08"/>
    <w:rsid w:val="22C6199A"/>
    <w:rsid w:val="231150AD"/>
    <w:rsid w:val="233C68DC"/>
    <w:rsid w:val="238E494F"/>
    <w:rsid w:val="23AE1199"/>
    <w:rsid w:val="23BF3C69"/>
    <w:rsid w:val="245416F5"/>
    <w:rsid w:val="24F955C1"/>
    <w:rsid w:val="25A86146"/>
    <w:rsid w:val="25AF56A8"/>
    <w:rsid w:val="25B05051"/>
    <w:rsid w:val="25B74631"/>
    <w:rsid w:val="25D757BF"/>
    <w:rsid w:val="25DA20CE"/>
    <w:rsid w:val="25DD4478"/>
    <w:rsid w:val="25EA21FC"/>
    <w:rsid w:val="26543C2E"/>
    <w:rsid w:val="266F394B"/>
    <w:rsid w:val="268B161A"/>
    <w:rsid w:val="269C55D5"/>
    <w:rsid w:val="26E10FDF"/>
    <w:rsid w:val="26E835A2"/>
    <w:rsid w:val="271B40AC"/>
    <w:rsid w:val="276BC5E0"/>
    <w:rsid w:val="27781B9E"/>
    <w:rsid w:val="27DB3EDB"/>
    <w:rsid w:val="27F30AC7"/>
    <w:rsid w:val="27FFB6E3"/>
    <w:rsid w:val="27FFD063"/>
    <w:rsid w:val="282B4E63"/>
    <w:rsid w:val="28991DCC"/>
    <w:rsid w:val="28BD8844"/>
    <w:rsid w:val="28FF7467"/>
    <w:rsid w:val="292A511A"/>
    <w:rsid w:val="2931147F"/>
    <w:rsid w:val="29502FD4"/>
    <w:rsid w:val="295C0B4D"/>
    <w:rsid w:val="29932CBF"/>
    <w:rsid w:val="2A096894"/>
    <w:rsid w:val="2A102562"/>
    <w:rsid w:val="2A2B2EF8"/>
    <w:rsid w:val="2A2D1DEA"/>
    <w:rsid w:val="2ADB1CD9"/>
    <w:rsid w:val="2AEB0D73"/>
    <w:rsid w:val="2AF31299"/>
    <w:rsid w:val="2AFE9712"/>
    <w:rsid w:val="2B1E2A5D"/>
    <w:rsid w:val="2B3653F3"/>
    <w:rsid w:val="2B7F3816"/>
    <w:rsid w:val="2B9B7A09"/>
    <w:rsid w:val="2BC76C50"/>
    <w:rsid w:val="2BD7274C"/>
    <w:rsid w:val="2BDA267D"/>
    <w:rsid w:val="2C155C0E"/>
    <w:rsid w:val="2C1F79A0"/>
    <w:rsid w:val="2C7E9412"/>
    <w:rsid w:val="2C9F0C00"/>
    <w:rsid w:val="2CA60ACC"/>
    <w:rsid w:val="2CAD34D9"/>
    <w:rsid w:val="2CCDA7A0"/>
    <w:rsid w:val="2CFE48F4"/>
    <w:rsid w:val="2D022628"/>
    <w:rsid w:val="2D2105E2"/>
    <w:rsid w:val="2D340315"/>
    <w:rsid w:val="2D750387"/>
    <w:rsid w:val="2DD052F4"/>
    <w:rsid w:val="2DEF683B"/>
    <w:rsid w:val="2EAC037F"/>
    <w:rsid w:val="2EFBF295"/>
    <w:rsid w:val="2F0324FC"/>
    <w:rsid w:val="2F230642"/>
    <w:rsid w:val="2F7F7C99"/>
    <w:rsid w:val="2F7F8BE4"/>
    <w:rsid w:val="2FB31FAB"/>
    <w:rsid w:val="2FB6750D"/>
    <w:rsid w:val="2FBF0C01"/>
    <w:rsid w:val="2FBF3A89"/>
    <w:rsid w:val="2FF76B72"/>
    <w:rsid w:val="2FF96537"/>
    <w:rsid w:val="2FFB3BB6"/>
    <w:rsid w:val="3082583C"/>
    <w:rsid w:val="30936254"/>
    <w:rsid w:val="30BD239F"/>
    <w:rsid w:val="30DC14B6"/>
    <w:rsid w:val="30F30D75"/>
    <w:rsid w:val="317B09C5"/>
    <w:rsid w:val="31B639EF"/>
    <w:rsid w:val="322317CE"/>
    <w:rsid w:val="32ED7CBE"/>
    <w:rsid w:val="33457E92"/>
    <w:rsid w:val="336D4581"/>
    <w:rsid w:val="337A388A"/>
    <w:rsid w:val="337FD6FF"/>
    <w:rsid w:val="33B7CF88"/>
    <w:rsid w:val="33FC5905"/>
    <w:rsid w:val="343E79E0"/>
    <w:rsid w:val="34B432CE"/>
    <w:rsid w:val="34CD7BFA"/>
    <w:rsid w:val="34D5072E"/>
    <w:rsid w:val="34FA0097"/>
    <w:rsid w:val="359202CF"/>
    <w:rsid w:val="35A10512"/>
    <w:rsid w:val="35C10DE0"/>
    <w:rsid w:val="35C31A99"/>
    <w:rsid w:val="35D135E3"/>
    <w:rsid w:val="35F1920F"/>
    <w:rsid w:val="361707D4"/>
    <w:rsid w:val="36200789"/>
    <w:rsid w:val="36203E3A"/>
    <w:rsid w:val="362D5E70"/>
    <w:rsid w:val="36323860"/>
    <w:rsid w:val="365A3980"/>
    <w:rsid w:val="367F7430"/>
    <w:rsid w:val="368F2A60"/>
    <w:rsid w:val="36A22794"/>
    <w:rsid w:val="36B06BD6"/>
    <w:rsid w:val="36E44B5A"/>
    <w:rsid w:val="36EF8857"/>
    <w:rsid w:val="3701326B"/>
    <w:rsid w:val="370B862A"/>
    <w:rsid w:val="374E3B6A"/>
    <w:rsid w:val="375FDA78"/>
    <w:rsid w:val="37659D1E"/>
    <w:rsid w:val="3766B16B"/>
    <w:rsid w:val="37B715E8"/>
    <w:rsid w:val="37CF9F1C"/>
    <w:rsid w:val="37DF1F4D"/>
    <w:rsid w:val="37E42938"/>
    <w:rsid w:val="381F7BCF"/>
    <w:rsid w:val="38474DB7"/>
    <w:rsid w:val="38C36DAE"/>
    <w:rsid w:val="38DFF2A1"/>
    <w:rsid w:val="390414E4"/>
    <w:rsid w:val="391C380A"/>
    <w:rsid w:val="39663F4D"/>
    <w:rsid w:val="39DBF0A2"/>
    <w:rsid w:val="3A685AA2"/>
    <w:rsid w:val="3A6E6DEA"/>
    <w:rsid w:val="3A7601BF"/>
    <w:rsid w:val="3A8D72B7"/>
    <w:rsid w:val="3AA54D45"/>
    <w:rsid w:val="3ABFC322"/>
    <w:rsid w:val="3B194FEF"/>
    <w:rsid w:val="3B321DFB"/>
    <w:rsid w:val="3B7FF6B9"/>
    <w:rsid w:val="3BB263FF"/>
    <w:rsid w:val="3BEB0439"/>
    <w:rsid w:val="3BFBAFBB"/>
    <w:rsid w:val="3C282B8E"/>
    <w:rsid w:val="3C2D5E53"/>
    <w:rsid w:val="3C3A71BE"/>
    <w:rsid w:val="3CC42B41"/>
    <w:rsid w:val="3CEFE04A"/>
    <w:rsid w:val="3CFBBECF"/>
    <w:rsid w:val="3D5F0EEA"/>
    <w:rsid w:val="3D5F8EF0"/>
    <w:rsid w:val="3D6760A5"/>
    <w:rsid w:val="3D7D78FC"/>
    <w:rsid w:val="3DDF39F9"/>
    <w:rsid w:val="3E181B4C"/>
    <w:rsid w:val="3E4AB6D4"/>
    <w:rsid w:val="3E7F1B21"/>
    <w:rsid w:val="3EDD74FF"/>
    <w:rsid w:val="3EE576C2"/>
    <w:rsid w:val="3EF13C71"/>
    <w:rsid w:val="3F5FA58E"/>
    <w:rsid w:val="3F6764D6"/>
    <w:rsid w:val="3F67BA03"/>
    <w:rsid w:val="3F6FA472"/>
    <w:rsid w:val="3F6FFCC2"/>
    <w:rsid w:val="3F7225A0"/>
    <w:rsid w:val="3F7FD044"/>
    <w:rsid w:val="3F8E1B07"/>
    <w:rsid w:val="3F994C8B"/>
    <w:rsid w:val="3F9F3D14"/>
    <w:rsid w:val="3FA67C95"/>
    <w:rsid w:val="3FA90052"/>
    <w:rsid w:val="3FC3052D"/>
    <w:rsid w:val="3FDF3BE8"/>
    <w:rsid w:val="3FEFFD98"/>
    <w:rsid w:val="3FF57DD8"/>
    <w:rsid w:val="3FFBCFF6"/>
    <w:rsid w:val="3FFED81C"/>
    <w:rsid w:val="3FFFA916"/>
    <w:rsid w:val="40045E83"/>
    <w:rsid w:val="401A3A04"/>
    <w:rsid w:val="40D27375"/>
    <w:rsid w:val="41004B67"/>
    <w:rsid w:val="410B71F0"/>
    <w:rsid w:val="412C3F20"/>
    <w:rsid w:val="4157323C"/>
    <w:rsid w:val="41590859"/>
    <w:rsid w:val="41C23CEA"/>
    <w:rsid w:val="42075BA1"/>
    <w:rsid w:val="4226071D"/>
    <w:rsid w:val="425346DE"/>
    <w:rsid w:val="42EA174A"/>
    <w:rsid w:val="435B43F6"/>
    <w:rsid w:val="438251C9"/>
    <w:rsid w:val="43A713E9"/>
    <w:rsid w:val="43B64397"/>
    <w:rsid w:val="43DB1093"/>
    <w:rsid w:val="445B3BA4"/>
    <w:rsid w:val="44757F5F"/>
    <w:rsid w:val="44AF70B4"/>
    <w:rsid w:val="45F573B8"/>
    <w:rsid w:val="460C19D8"/>
    <w:rsid w:val="46625A9C"/>
    <w:rsid w:val="466A0917"/>
    <w:rsid w:val="466C06C8"/>
    <w:rsid w:val="467001B9"/>
    <w:rsid w:val="46914EE7"/>
    <w:rsid w:val="46CD7330"/>
    <w:rsid w:val="46DB13AA"/>
    <w:rsid w:val="46F7190A"/>
    <w:rsid w:val="47234345"/>
    <w:rsid w:val="473A2575"/>
    <w:rsid w:val="476D1B91"/>
    <w:rsid w:val="47E89ADD"/>
    <w:rsid w:val="481E5525"/>
    <w:rsid w:val="482A09DD"/>
    <w:rsid w:val="484A0B42"/>
    <w:rsid w:val="48853CC3"/>
    <w:rsid w:val="48C91E02"/>
    <w:rsid w:val="48DB38E3"/>
    <w:rsid w:val="48F52BF7"/>
    <w:rsid w:val="499E503D"/>
    <w:rsid w:val="49E464A6"/>
    <w:rsid w:val="49F66C27"/>
    <w:rsid w:val="4A49609D"/>
    <w:rsid w:val="4A6E3F92"/>
    <w:rsid w:val="4A7047A0"/>
    <w:rsid w:val="4AAB009E"/>
    <w:rsid w:val="4AEB42B2"/>
    <w:rsid w:val="4AF03E8E"/>
    <w:rsid w:val="4B7ABAA7"/>
    <w:rsid w:val="4BA565E0"/>
    <w:rsid w:val="4BAF8AE7"/>
    <w:rsid w:val="4BD034A7"/>
    <w:rsid w:val="4BDA4326"/>
    <w:rsid w:val="4BDD5D96"/>
    <w:rsid w:val="4BE0268A"/>
    <w:rsid w:val="4BE6763B"/>
    <w:rsid w:val="4C0B2731"/>
    <w:rsid w:val="4C312198"/>
    <w:rsid w:val="4C406344"/>
    <w:rsid w:val="4C7AC526"/>
    <w:rsid w:val="4C85363B"/>
    <w:rsid w:val="4CBB5F06"/>
    <w:rsid w:val="4CEB65E2"/>
    <w:rsid w:val="4CF725F6"/>
    <w:rsid w:val="4D4F0801"/>
    <w:rsid w:val="4DA06DE7"/>
    <w:rsid w:val="4DBE4FAA"/>
    <w:rsid w:val="4E5B34FC"/>
    <w:rsid w:val="4E740E4E"/>
    <w:rsid w:val="4E7F97D8"/>
    <w:rsid w:val="4EBD4E01"/>
    <w:rsid w:val="4EC217CD"/>
    <w:rsid w:val="4EFFF363"/>
    <w:rsid w:val="4F0A5FD9"/>
    <w:rsid w:val="4F1F9C38"/>
    <w:rsid w:val="4F3C4584"/>
    <w:rsid w:val="4F492507"/>
    <w:rsid w:val="4F8545A9"/>
    <w:rsid w:val="4F9D3767"/>
    <w:rsid w:val="4FBF2E53"/>
    <w:rsid w:val="4FCE4E50"/>
    <w:rsid w:val="4FEF0C09"/>
    <w:rsid w:val="4FF55F8C"/>
    <w:rsid w:val="50426A53"/>
    <w:rsid w:val="505A5A36"/>
    <w:rsid w:val="505B4777"/>
    <w:rsid w:val="506833B0"/>
    <w:rsid w:val="50D91050"/>
    <w:rsid w:val="5164797F"/>
    <w:rsid w:val="51680684"/>
    <w:rsid w:val="51844B18"/>
    <w:rsid w:val="51A46FFE"/>
    <w:rsid w:val="51BB0D31"/>
    <w:rsid w:val="51E732F9"/>
    <w:rsid w:val="51EF441F"/>
    <w:rsid w:val="51FD2B1C"/>
    <w:rsid w:val="528174BF"/>
    <w:rsid w:val="529945F3"/>
    <w:rsid w:val="52BC1F48"/>
    <w:rsid w:val="532D501F"/>
    <w:rsid w:val="53B251D2"/>
    <w:rsid w:val="53BB9F6F"/>
    <w:rsid w:val="53DD8641"/>
    <w:rsid w:val="53DF7AF4"/>
    <w:rsid w:val="53FF5695"/>
    <w:rsid w:val="540A3BE5"/>
    <w:rsid w:val="54890697"/>
    <w:rsid w:val="54CD452F"/>
    <w:rsid w:val="559A3EE9"/>
    <w:rsid w:val="55CC6A2E"/>
    <w:rsid w:val="55F93D86"/>
    <w:rsid w:val="56505911"/>
    <w:rsid w:val="56EFA1FE"/>
    <w:rsid w:val="572A2D70"/>
    <w:rsid w:val="573735FB"/>
    <w:rsid w:val="573F9866"/>
    <w:rsid w:val="57B3DCDC"/>
    <w:rsid w:val="58B55EFF"/>
    <w:rsid w:val="58CE6FC1"/>
    <w:rsid w:val="5901594F"/>
    <w:rsid w:val="591770DD"/>
    <w:rsid w:val="596F2512"/>
    <w:rsid w:val="59CA4326"/>
    <w:rsid w:val="59DFCA7B"/>
    <w:rsid w:val="59FAF6F9"/>
    <w:rsid w:val="5A4F7C8D"/>
    <w:rsid w:val="5ABA21D8"/>
    <w:rsid w:val="5ADE9D26"/>
    <w:rsid w:val="5AE859CD"/>
    <w:rsid w:val="5AF348E6"/>
    <w:rsid w:val="5AFF3674"/>
    <w:rsid w:val="5B2F2527"/>
    <w:rsid w:val="5BA8420C"/>
    <w:rsid w:val="5BAA0261"/>
    <w:rsid w:val="5BD6DEFF"/>
    <w:rsid w:val="5BDB411B"/>
    <w:rsid w:val="5BFBDFD8"/>
    <w:rsid w:val="5BFFC7AC"/>
    <w:rsid w:val="5C3657AD"/>
    <w:rsid w:val="5C433822"/>
    <w:rsid w:val="5C7760AB"/>
    <w:rsid w:val="5CAE27E8"/>
    <w:rsid w:val="5CD85C35"/>
    <w:rsid w:val="5CEF25F1"/>
    <w:rsid w:val="5CFB77BD"/>
    <w:rsid w:val="5D0C00B7"/>
    <w:rsid w:val="5D333476"/>
    <w:rsid w:val="5D4F54B5"/>
    <w:rsid w:val="5D5201C0"/>
    <w:rsid w:val="5DB25F94"/>
    <w:rsid w:val="5DBC87D6"/>
    <w:rsid w:val="5DC5DD8B"/>
    <w:rsid w:val="5DD5D031"/>
    <w:rsid w:val="5DDD0134"/>
    <w:rsid w:val="5DDF7CE6"/>
    <w:rsid w:val="5DE77A3D"/>
    <w:rsid w:val="5DEFC1F7"/>
    <w:rsid w:val="5DF26EB5"/>
    <w:rsid w:val="5DFFCD62"/>
    <w:rsid w:val="5E224FDD"/>
    <w:rsid w:val="5E246151"/>
    <w:rsid w:val="5E2FC62E"/>
    <w:rsid w:val="5EAF03E4"/>
    <w:rsid w:val="5EB822A5"/>
    <w:rsid w:val="5EBD8692"/>
    <w:rsid w:val="5EBF6194"/>
    <w:rsid w:val="5EDF48D8"/>
    <w:rsid w:val="5EDF4E3C"/>
    <w:rsid w:val="5EDFD93D"/>
    <w:rsid w:val="5EE56F2A"/>
    <w:rsid w:val="5EF74FD4"/>
    <w:rsid w:val="5EFF1CF6"/>
    <w:rsid w:val="5EFF2438"/>
    <w:rsid w:val="5F3C186C"/>
    <w:rsid w:val="5F4FF1AB"/>
    <w:rsid w:val="5F556433"/>
    <w:rsid w:val="5F5A2904"/>
    <w:rsid w:val="5F615000"/>
    <w:rsid w:val="5F6D9027"/>
    <w:rsid w:val="5F6FE09F"/>
    <w:rsid w:val="5F750B1E"/>
    <w:rsid w:val="5F7CEA31"/>
    <w:rsid w:val="5F7D8221"/>
    <w:rsid w:val="5F8623A3"/>
    <w:rsid w:val="5F8F2D4C"/>
    <w:rsid w:val="5FA964DE"/>
    <w:rsid w:val="5FADBDF4"/>
    <w:rsid w:val="5FBD4E8E"/>
    <w:rsid w:val="5FD6AB15"/>
    <w:rsid w:val="5FDE9638"/>
    <w:rsid w:val="5FE704EC"/>
    <w:rsid w:val="5FE70F02"/>
    <w:rsid w:val="5FE80968"/>
    <w:rsid w:val="5FEDFC0F"/>
    <w:rsid w:val="5FF88142"/>
    <w:rsid w:val="5FFC15BD"/>
    <w:rsid w:val="5FFD1045"/>
    <w:rsid w:val="5FFF1EE9"/>
    <w:rsid w:val="5FFF4136"/>
    <w:rsid w:val="61616C24"/>
    <w:rsid w:val="61A3723C"/>
    <w:rsid w:val="61BB4C0A"/>
    <w:rsid w:val="61D65614"/>
    <w:rsid w:val="61FF9B93"/>
    <w:rsid w:val="624C1682"/>
    <w:rsid w:val="625C1CE8"/>
    <w:rsid w:val="629F3989"/>
    <w:rsid w:val="62B86D17"/>
    <w:rsid w:val="631906E6"/>
    <w:rsid w:val="6352FCA3"/>
    <w:rsid w:val="63A86D8C"/>
    <w:rsid w:val="63B8553A"/>
    <w:rsid w:val="63BD210C"/>
    <w:rsid w:val="645C7B76"/>
    <w:rsid w:val="64C00105"/>
    <w:rsid w:val="6597BE71"/>
    <w:rsid w:val="65E74C3F"/>
    <w:rsid w:val="65F9190F"/>
    <w:rsid w:val="65FA516F"/>
    <w:rsid w:val="65FADB43"/>
    <w:rsid w:val="66344D3E"/>
    <w:rsid w:val="66BA5B15"/>
    <w:rsid w:val="66D55D08"/>
    <w:rsid w:val="66DFC9F2"/>
    <w:rsid w:val="672B77E0"/>
    <w:rsid w:val="6777017B"/>
    <w:rsid w:val="678216A2"/>
    <w:rsid w:val="67909FBC"/>
    <w:rsid w:val="679DB245"/>
    <w:rsid w:val="67EEAF84"/>
    <w:rsid w:val="68D979E8"/>
    <w:rsid w:val="68E038A1"/>
    <w:rsid w:val="69052F6C"/>
    <w:rsid w:val="696C5805"/>
    <w:rsid w:val="69775D94"/>
    <w:rsid w:val="697D1A81"/>
    <w:rsid w:val="69B5A3BA"/>
    <w:rsid w:val="69D65CD5"/>
    <w:rsid w:val="69FF2601"/>
    <w:rsid w:val="69FF82E6"/>
    <w:rsid w:val="6A024D1C"/>
    <w:rsid w:val="6A2E78BF"/>
    <w:rsid w:val="6A3A44B6"/>
    <w:rsid w:val="6A553058"/>
    <w:rsid w:val="6A5869F3"/>
    <w:rsid w:val="6AABE202"/>
    <w:rsid w:val="6AF07B7F"/>
    <w:rsid w:val="6AFF63C0"/>
    <w:rsid w:val="6B183069"/>
    <w:rsid w:val="6B2A7921"/>
    <w:rsid w:val="6B598801"/>
    <w:rsid w:val="6B5C2732"/>
    <w:rsid w:val="6B6FEC4E"/>
    <w:rsid w:val="6B7B848D"/>
    <w:rsid w:val="6BA505A7"/>
    <w:rsid w:val="6BFE09D7"/>
    <w:rsid w:val="6BFEAA42"/>
    <w:rsid w:val="6BFF8D28"/>
    <w:rsid w:val="6C5B49A9"/>
    <w:rsid w:val="6CDFCC28"/>
    <w:rsid w:val="6CF66D52"/>
    <w:rsid w:val="6CFBA660"/>
    <w:rsid w:val="6D3F6655"/>
    <w:rsid w:val="6D7D20B0"/>
    <w:rsid w:val="6D7F9C9E"/>
    <w:rsid w:val="6DBB4B66"/>
    <w:rsid w:val="6DE3266B"/>
    <w:rsid w:val="6DFB8B1C"/>
    <w:rsid w:val="6DFFC8AB"/>
    <w:rsid w:val="6DFFCE61"/>
    <w:rsid w:val="6E445903"/>
    <w:rsid w:val="6E4F9040"/>
    <w:rsid w:val="6E5E27AB"/>
    <w:rsid w:val="6E5F96BC"/>
    <w:rsid w:val="6E7CBE33"/>
    <w:rsid w:val="6E7E2782"/>
    <w:rsid w:val="6E9FC88C"/>
    <w:rsid w:val="6ED76F13"/>
    <w:rsid w:val="6EDA3BE9"/>
    <w:rsid w:val="6EE71EE5"/>
    <w:rsid w:val="6EE8016F"/>
    <w:rsid w:val="6EED84AB"/>
    <w:rsid w:val="6EEFE957"/>
    <w:rsid w:val="6EF577C9"/>
    <w:rsid w:val="6F3F9196"/>
    <w:rsid w:val="6F524050"/>
    <w:rsid w:val="6F5B33F1"/>
    <w:rsid w:val="6F5FF09B"/>
    <w:rsid w:val="6F7B320E"/>
    <w:rsid w:val="6F9B0FC8"/>
    <w:rsid w:val="6FB1521A"/>
    <w:rsid w:val="6FB40DC1"/>
    <w:rsid w:val="6FB6381D"/>
    <w:rsid w:val="6FBA389F"/>
    <w:rsid w:val="6FBE4B9D"/>
    <w:rsid w:val="6FBEF5D4"/>
    <w:rsid w:val="6FBF2E11"/>
    <w:rsid w:val="6FE7D93D"/>
    <w:rsid w:val="6FEBA786"/>
    <w:rsid w:val="6FF38E7B"/>
    <w:rsid w:val="6FF93878"/>
    <w:rsid w:val="6FFB2754"/>
    <w:rsid w:val="6FFF7778"/>
    <w:rsid w:val="6FFFA1F1"/>
    <w:rsid w:val="70F6CF1C"/>
    <w:rsid w:val="712832BA"/>
    <w:rsid w:val="716B31A7"/>
    <w:rsid w:val="71B66B18"/>
    <w:rsid w:val="71FB96FA"/>
    <w:rsid w:val="71FD350D"/>
    <w:rsid w:val="72BF7C4E"/>
    <w:rsid w:val="72E254FD"/>
    <w:rsid w:val="736F7114"/>
    <w:rsid w:val="738DFABA"/>
    <w:rsid w:val="73CC4B16"/>
    <w:rsid w:val="73FD7D4C"/>
    <w:rsid w:val="7452064E"/>
    <w:rsid w:val="74F9AAE8"/>
    <w:rsid w:val="7557DB98"/>
    <w:rsid w:val="75783280"/>
    <w:rsid w:val="757A4DD9"/>
    <w:rsid w:val="757FC1A9"/>
    <w:rsid w:val="7589DCB3"/>
    <w:rsid w:val="75FB529A"/>
    <w:rsid w:val="75FF059B"/>
    <w:rsid w:val="760F4A49"/>
    <w:rsid w:val="76652A92"/>
    <w:rsid w:val="76BED3C5"/>
    <w:rsid w:val="76EFE1F8"/>
    <w:rsid w:val="76F6D445"/>
    <w:rsid w:val="76FD7F7A"/>
    <w:rsid w:val="76FF8336"/>
    <w:rsid w:val="771B741D"/>
    <w:rsid w:val="77376AD2"/>
    <w:rsid w:val="774F0C91"/>
    <w:rsid w:val="77613082"/>
    <w:rsid w:val="777BA39E"/>
    <w:rsid w:val="777EDF73"/>
    <w:rsid w:val="777FD253"/>
    <w:rsid w:val="77ACA614"/>
    <w:rsid w:val="77B25F3E"/>
    <w:rsid w:val="77BB1728"/>
    <w:rsid w:val="77BF0B37"/>
    <w:rsid w:val="77BFFA3F"/>
    <w:rsid w:val="77C01188"/>
    <w:rsid w:val="77C6B4BA"/>
    <w:rsid w:val="77EE0719"/>
    <w:rsid w:val="77EE5C6E"/>
    <w:rsid w:val="77F7056D"/>
    <w:rsid w:val="77FB9291"/>
    <w:rsid w:val="77FDD470"/>
    <w:rsid w:val="77FEBA9C"/>
    <w:rsid w:val="77FF12D8"/>
    <w:rsid w:val="77FF85F8"/>
    <w:rsid w:val="783F3C54"/>
    <w:rsid w:val="78713799"/>
    <w:rsid w:val="788A03B6"/>
    <w:rsid w:val="78FF0468"/>
    <w:rsid w:val="792E5ADB"/>
    <w:rsid w:val="79323F7F"/>
    <w:rsid w:val="796E660B"/>
    <w:rsid w:val="7977E78D"/>
    <w:rsid w:val="79B3354A"/>
    <w:rsid w:val="79EF46A3"/>
    <w:rsid w:val="79F79D3D"/>
    <w:rsid w:val="79FD46A1"/>
    <w:rsid w:val="79FDB1A2"/>
    <w:rsid w:val="79FE786D"/>
    <w:rsid w:val="79FF10BB"/>
    <w:rsid w:val="7A687DE1"/>
    <w:rsid w:val="7A837612"/>
    <w:rsid w:val="7A9BFBB5"/>
    <w:rsid w:val="7ACDB425"/>
    <w:rsid w:val="7AD41DBD"/>
    <w:rsid w:val="7AE83ABA"/>
    <w:rsid w:val="7AF35AC4"/>
    <w:rsid w:val="7B05EA29"/>
    <w:rsid w:val="7B2F5849"/>
    <w:rsid w:val="7B3F3724"/>
    <w:rsid w:val="7B4038F6"/>
    <w:rsid w:val="7B5B2A33"/>
    <w:rsid w:val="7B615D46"/>
    <w:rsid w:val="7B6ACF6E"/>
    <w:rsid w:val="7B7FBE50"/>
    <w:rsid w:val="7BBB10FB"/>
    <w:rsid w:val="7BBCBF3D"/>
    <w:rsid w:val="7BBD9D0E"/>
    <w:rsid w:val="7BBF6825"/>
    <w:rsid w:val="7BC736D0"/>
    <w:rsid w:val="7BD6751A"/>
    <w:rsid w:val="7BD7DAC0"/>
    <w:rsid w:val="7BD9CECA"/>
    <w:rsid w:val="7BDA9182"/>
    <w:rsid w:val="7BDF4CB9"/>
    <w:rsid w:val="7BE7B85A"/>
    <w:rsid w:val="7BED0DD5"/>
    <w:rsid w:val="7BFB077F"/>
    <w:rsid w:val="7BFC781D"/>
    <w:rsid w:val="7BFCFF49"/>
    <w:rsid w:val="7BFDCE4A"/>
    <w:rsid w:val="7C0E60D1"/>
    <w:rsid w:val="7C2B1EB0"/>
    <w:rsid w:val="7C790E6E"/>
    <w:rsid w:val="7C8E5093"/>
    <w:rsid w:val="7CDBDBDB"/>
    <w:rsid w:val="7CFF7E4E"/>
    <w:rsid w:val="7D0D3F86"/>
    <w:rsid w:val="7D746DCF"/>
    <w:rsid w:val="7D960629"/>
    <w:rsid w:val="7DB8EA35"/>
    <w:rsid w:val="7DBF619F"/>
    <w:rsid w:val="7DDD14EA"/>
    <w:rsid w:val="7DDDD393"/>
    <w:rsid w:val="7DDF1CB3"/>
    <w:rsid w:val="7DDFB8D4"/>
    <w:rsid w:val="7DE64511"/>
    <w:rsid w:val="7DEE8CAE"/>
    <w:rsid w:val="7DEF4246"/>
    <w:rsid w:val="7DEF726C"/>
    <w:rsid w:val="7DF34C50"/>
    <w:rsid w:val="7DF67DCC"/>
    <w:rsid w:val="7DF9B3D1"/>
    <w:rsid w:val="7DFB92EA"/>
    <w:rsid w:val="7DFD4932"/>
    <w:rsid w:val="7DFD702C"/>
    <w:rsid w:val="7DFDED5B"/>
    <w:rsid w:val="7DFE07B2"/>
    <w:rsid w:val="7DFE8DEF"/>
    <w:rsid w:val="7DFF70C8"/>
    <w:rsid w:val="7DFF8799"/>
    <w:rsid w:val="7E123829"/>
    <w:rsid w:val="7E4D6442"/>
    <w:rsid w:val="7E4F2F24"/>
    <w:rsid w:val="7E64443E"/>
    <w:rsid w:val="7E694F12"/>
    <w:rsid w:val="7E6AE24C"/>
    <w:rsid w:val="7E7F09F7"/>
    <w:rsid w:val="7E968915"/>
    <w:rsid w:val="7E97AD89"/>
    <w:rsid w:val="7E9E0DD8"/>
    <w:rsid w:val="7EBB52F5"/>
    <w:rsid w:val="7EBE0CDE"/>
    <w:rsid w:val="7EBE240A"/>
    <w:rsid w:val="7EBF1FFA"/>
    <w:rsid w:val="7EC159B8"/>
    <w:rsid w:val="7EDCC993"/>
    <w:rsid w:val="7EE52130"/>
    <w:rsid w:val="7EE76BAE"/>
    <w:rsid w:val="7EF38B31"/>
    <w:rsid w:val="7EF53153"/>
    <w:rsid w:val="7EF81A7B"/>
    <w:rsid w:val="7EFB19F2"/>
    <w:rsid w:val="7EFF2EB3"/>
    <w:rsid w:val="7EFF4B30"/>
    <w:rsid w:val="7EFF6C3E"/>
    <w:rsid w:val="7EFFAB64"/>
    <w:rsid w:val="7F0569E9"/>
    <w:rsid w:val="7F276586"/>
    <w:rsid w:val="7F2F7F0A"/>
    <w:rsid w:val="7F2FB10F"/>
    <w:rsid w:val="7F3BC5A5"/>
    <w:rsid w:val="7F3D7948"/>
    <w:rsid w:val="7F3E6C12"/>
    <w:rsid w:val="7F5C4029"/>
    <w:rsid w:val="7F5FC292"/>
    <w:rsid w:val="7F6DE836"/>
    <w:rsid w:val="7F6FE905"/>
    <w:rsid w:val="7F724748"/>
    <w:rsid w:val="7F7BCE3A"/>
    <w:rsid w:val="7F7CE917"/>
    <w:rsid w:val="7F7EF5B4"/>
    <w:rsid w:val="7F8D6F1B"/>
    <w:rsid w:val="7F9B46CD"/>
    <w:rsid w:val="7F9DE429"/>
    <w:rsid w:val="7FAF1AE7"/>
    <w:rsid w:val="7FB67ADC"/>
    <w:rsid w:val="7FB78D05"/>
    <w:rsid w:val="7FBB3A30"/>
    <w:rsid w:val="7FBD32E3"/>
    <w:rsid w:val="7FBDD2C4"/>
    <w:rsid w:val="7FC57EFE"/>
    <w:rsid w:val="7FCF949A"/>
    <w:rsid w:val="7FD285C9"/>
    <w:rsid w:val="7FDD9CFC"/>
    <w:rsid w:val="7FDF67C3"/>
    <w:rsid w:val="7FDFC7A4"/>
    <w:rsid w:val="7FE52455"/>
    <w:rsid w:val="7FE723B9"/>
    <w:rsid w:val="7FEB2FB8"/>
    <w:rsid w:val="7FED3F84"/>
    <w:rsid w:val="7FEE74FF"/>
    <w:rsid w:val="7FEF69B3"/>
    <w:rsid w:val="7FEFFC8F"/>
    <w:rsid w:val="7FF15F72"/>
    <w:rsid w:val="7FF25203"/>
    <w:rsid w:val="7FF39B47"/>
    <w:rsid w:val="7FF691BA"/>
    <w:rsid w:val="7FF70AA2"/>
    <w:rsid w:val="7FF72BEB"/>
    <w:rsid w:val="7FF735F3"/>
    <w:rsid w:val="7FFA69A7"/>
    <w:rsid w:val="7FFDCF76"/>
    <w:rsid w:val="7FFEC8FD"/>
    <w:rsid w:val="7FFED892"/>
    <w:rsid w:val="7FFF5D54"/>
    <w:rsid w:val="7FFF6387"/>
    <w:rsid w:val="7FFFD92A"/>
    <w:rsid w:val="7FFFEA3B"/>
    <w:rsid w:val="8D7F00C5"/>
    <w:rsid w:val="8DFFB215"/>
    <w:rsid w:val="93DF4B3D"/>
    <w:rsid w:val="967FD5AA"/>
    <w:rsid w:val="99FFB03D"/>
    <w:rsid w:val="9ACBBF00"/>
    <w:rsid w:val="9AFF122A"/>
    <w:rsid w:val="9BF7030E"/>
    <w:rsid w:val="9BFF76F8"/>
    <w:rsid w:val="9BFF9064"/>
    <w:rsid w:val="9C6F8056"/>
    <w:rsid w:val="9CF7E178"/>
    <w:rsid w:val="9DE79194"/>
    <w:rsid w:val="9E77692B"/>
    <w:rsid w:val="9EBF929D"/>
    <w:rsid w:val="9F7B7F22"/>
    <w:rsid w:val="9F8F1A2D"/>
    <w:rsid w:val="9FBDCEB0"/>
    <w:rsid w:val="9FEAEC7F"/>
    <w:rsid w:val="9FF749CE"/>
    <w:rsid w:val="9FFA25BD"/>
    <w:rsid w:val="9FFB0D33"/>
    <w:rsid w:val="9FFF2693"/>
    <w:rsid w:val="A1FF1106"/>
    <w:rsid w:val="A57CC950"/>
    <w:rsid w:val="A6E9BA7A"/>
    <w:rsid w:val="A77B903D"/>
    <w:rsid w:val="A7BFCC86"/>
    <w:rsid w:val="A7CB80E2"/>
    <w:rsid w:val="A99E9E7F"/>
    <w:rsid w:val="AA37EC45"/>
    <w:rsid w:val="AA4E60EE"/>
    <w:rsid w:val="AAAE5801"/>
    <w:rsid w:val="AACEEF64"/>
    <w:rsid w:val="ABAF1CD8"/>
    <w:rsid w:val="ABFF4F89"/>
    <w:rsid w:val="AEEA0F88"/>
    <w:rsid w:val="AEFF6241"/>
    <w:rsid w:val="AF41924B"/>
    <w:rsid w:val="AFBF7D2B"/>
    <w:rsid w:val="AFDF280A"/>
    <w:rsid w:val="AFDFA630"/>
    <w:rsid w:val="AFE35237"/>
    <w:rsid w:val="AFFF57FD"/>
    <w:rsid w:val="AFFFB2D0"/>
    <w:rsid w:val="B1E6FECA"/>
    <w:rsid w:val="B2FB02C8"/>
    <w:rsid w:val="B3FDB95D"/>
    <w:rsid w:val="B43DEE9D"/>
    <w:rsid w:val="B5762A72"/>
    <w:rsid w:val="B5D7B831"/>
    <w:rsid w:val="B6BDA3AD"/>
    <w:rsid w:val="B6E62659"/>
    <w:rsid w:val="B7DC298F"/>
    <w:rsid w:val="B7F7E53B"/>
    <w:rsid w:val="B7F7F96E"/>
    <w:rsid w:val="B7FB0498"/>
    <w:rsid w:val="B97DF1BD"/>
    <w:rsid w:val="B9931033"/>
    <w:rsid w:val="B9FC66C7"/>
    <w:rsid w:val="B9FD63DA"/>
    <w:rsid w:val="B9FD8444"/>
    <w:rsid w:val="B9FF9A6E"/>
    <w:rsid w:val="BAE8A4E0"/>
    <w:rsid w:val="BAF5925F"/>
    <w:rsid w:val="BAFD7AF1"/>
    <w:rsid w:val="BB759481"/>
    <w:rsid w:val="BBBF20BE"/>
    <w:rsid w:val="BBCFFA35"/>
    <w:rsid w:val="BBF236EF"/>
    <w:rsid w:val="BD2F8B6D"/>
    <w:rsid w:val="BD9FF893"/>
    <w:rsid w:val="BDDA5354"/>
    <w:rsid w:val="BDFD528C"/>
    <w:rsid w:val="BDFE18EA"/>
    <w:rsid w:val="BDFF01CA"/>
    <w:rsid w:val="BE2FB175"/>
    <w:rsid w:val="BE5C83B7"/>
    <w:rsid w:val="BEBCC96F"/>
    <w:rsid w:val="BED74C56"/>
    <w:rsid w:val="BEE9EC22"/>
    <w:rsid w:val="BF0FAB65"/>
    <w:rsid w:val="BF3C263A"/>
    <w:rsid w:val="BF457DBF"/>
    <w:rsid w:val="BF56832F"/>
    <w:rsid w:val="BF6B8C43"/>
    <w:rsid w:val="BF7D5BFE"/>
    <w:rsid w:val="BFA677FD"/>
    <w:rsid w:val="BFB7C736"/>
    <w:rsid w:val="BFBF18BF"/>
    <w:rsid w:val="BFD73EF6"/>
    <w:rsid w:val="BFDEF0F6"/>
    <w:rsid w:val="BFE79F80"/>
    <w:rsid w:val="BFEBC154"/>
    <w:rsid w:val="BFEF930A"/>
    <w:rsid w:val="BFFB645B"/>
    <w:rsid w:val="BFFD0B09"/>
    <w:rsid w:val="BFFDA385"/>
    <w:rsid w:val="BFFF06BA"/>
    <w:rsid w:val="C3B672EB"/>
    <w:rsid w:val="C3FD8FA8"/>
    <w:rsid w:val="C5A31F19"/>
    <w:rsid w:val="C67FA878"/>
    <w:rsid w:val="C72F6EFD"/>
    <w:rsid w:val="C7DEA575"/>
    <w:rsid w:val="C7EDE6AA"/>
    <w:rsid w:val="C96F1CB1"/>
    <w:rsid w:val="C9C7B656"/>
    <w:rsid w:val="CB57A721"/>
    <w:rsid w:val="CBAF0F4E"/>
    <w:rsid w:val="CC7B63CE"/>
    <w:rsid w:val="CDC60F0A"/>
    <w:rsid w:val="CDDB3788"/>
    <w:rsid w:val="CDEF5935"/>
    <w:rsid w:val="CDFE2FFA"/>
    <w:rsid w:val="CECF87A9"/>
    <w:rsid w:val="CEF7488B"/>
    <w:rsid w:val="CEFF2195"/>
    <w:rsid w:val="CF35E349"/>
    <w:rsid w:val="CFBF98F8"/>
    <w:rsid w:val="CFEF6066"/>
    <w:rsid w:val="CFF5630B"/>
    <w:rsid w:val="CFFFE770"/>
    <w:rsid w:val="D5776EF8"/>
    <w:rsid w:val="D5DD55D4"/>
    <w:rsid w:val="D5FF23C5"/>
    <w:rsid w:val="D63364E0"/>
    <w:rsid w:val="D6AFC4ED"/>
    <w:rsid w:val="D6BC505C"/>
    <w:rsid w:val="D6F9A95E"/>
    <w:rsid w:val="D6FF94DB"/>
    <w:rsid w:val="D77B214F"/>
    <w:rsid w:val="D7DF9EEF"/>
    <w:rsid w:val="D7F78042"/>
    <w:rsid w:val="D7F78D97"/>
    <w:rsid w:val="D7F85DC7"/>
    <w:rsid w:val="D7FA2264"/>
    <w:rsid w:val="D87FAB0B"/>
    <w:rsid w:val="D8BFCD46"/>
    <w:rsid w:val="D8F1484D"/>
    <w:rsid w:val="D9FF4F5E"/>
    <w:rsid w:val="DA5F54A6"/>
    <w:rsid w:val="DA9E2216"/>
    <w:rsid w:val="DABFF4F4"/>
    <w:rsid w:val="DB7EF9BC"/>
    <w:rsid w:val="DBD62C89"/>
    <w:rsid w:val="DBDF915E"/>
    <w:rsid w:val="DBE5CA65"/>
    <w:rsid w:val="DBE7018F"/>
    <w:rsid w:val="DBEB820A"/>
    <w:rsid w:val="DBF1ACDF"/>
    <w:rsid w:val="DBF7D618"/>
    <w:rsid w:val="DC158915"/>
    <w:rsid w:val="DC6ED408"/>
    <w:rsid w:val="DCFE7C17"/>
    <w:rsid w:val="DCFFDC90"/>
    <w:rsid w:val="DD9A95EC"/>
    <w:rsid w:val="DDB78C63"/>
    <w:rsid w:val="DDBF970D"/>
    <w:rsid w:val="DDEFA7E8"/>
    <w:rsid w:val="DDFE8BDD"/>
    <w:rsid w:val="DDFFAF6C"/>
    <w:rsid w:val="DE7F366B"/>
    <w:rsid w:val="DE7FBDEE"/>
    <w:rsid w:val="DEBB68C6"/>
    <w:rsid w:val="DEBFC6C4"/>
    <w:rsid w:val="DED3A5FE"/>
    <w:rsid w:val="DEF5EF58"/>
    <w:rsid w:val="DF37D6C3"/>
    <w:rsid w:val="DF678B6D"/>
    <w:rsid w:val="DF8B7201"/>
    <w:rsid w:val="DF8FBFC6"/>
    <w:rsid w:val="DF958735"/>
    <w:rsid w:val="DFAB9218"/>
    <w:rsid w:val="DFBC143C"/>
    <w:rsid w:val="DFC7FC01"/>
    <w:rsid w:val="DFDF089A"/>
    <w:rsid w:val="DFEA877E"/>
    <w:rsid w:val="DFEFA861"/>
    <w:rsid w:val="DFFF0696"/>
    <w:rsid w:val="DFFF7181"/>
    <w:rsid w:val="DFFF796F"/>
    <w:rsid w:val="DFFFA931"/>
    <w:rsid w:val="DFFFB4B1"/>
    <w:rsid w:val="E1F9C700"/>
    <w:rsid w:val="E2D728BE"/>
    <w:rsid w:val="E2FD97C0"/>
    <w:rsid w:val="E35F8618"/>
    <w:rsid w:val="E3DF235D"/>
    <w:rsid w:val="E48F6B17"/>
    <w:rsid w:val="E59E8DB3"/>
    <w:rsid w:val="E5CF27E7"/>
    <w:rsid w:val="E5EFEAAC"/>
    <w:rsid w:val="E70FD89F"/>
    <w:rsid w:val="E767399E"/>
    <w:rsid w:val="E7B970FB"/>
    <w:rsid w:val="E7BF0405"/>
    <w:rsid w:val="E7F3C246"/>
    <w:rsid w:val="E963CA9E"/>
    <w:rsid w:val="E9BDDF28"/>
    <w:rsid w:val="E9BFE485"/>
    <w:rsid w:val="E9E3EA4F"/>
    <w:rsid w:val="EAFFB4B4"/>
    <w:rsid w:val="EB6F0291"/>
    <w:rsid w:val="EB9DC912"/>
    <w:rsid w:val="EBBEB220"/>
    <w:rsid w:val="EBEF1298"/>
    <w:rsid w:val="EBF7C02C"/>
    <w:rsid w:val="EBFF61D8"/>
    <w:rsid w:val="EBFFCF5D"/>
    <w:rsid w:val="ECAE3A26"/>
    <w:rsid w:val="ECC7631F"/>
    <w:rsid w:val="ED7DE36B"/>
    <w:rsid w:val="EDC69C3F"/>
    <w:rsid w:val="EDD56B6D"/>
    <w:rsid w:val="EDF6C00E"/>
    <w:rsid w:val="EDFCAEE2"/>
    <w:rsid w:val="EDFDDEB3"/>
    <w:rsid w:val="EDFF1C1C"/>
    <w:rsid w:val="EEB56578"/>
    <w:rsid w:val="EEB75006"/>
    <w:rsid w:val="EEBADD68"/>
    <w:rsid w:val="EEBB248E"/>
    <w:rsid w:val="EEEA20A6"/>
    <w:rsid w:val="EEFE2CAC"/>
    <w:rsid w:val="EEFE45BD"/>
    <w:rsid w:val="EF5B783C"/>
    <w:rsid w:val="EF5F64E4"/>
    <w:rsid w:val="EF762FCE"/>
    <w:rsid w:val="EF7FCEB7"/>
    <w:rsid w:val="EFAFA130"/>
    <w:rsid w:val="EFCD725A"/>
    <w:rsid w:val="EFD53B10"/>
    <w:rsid w:val="EFDDC4AA"/>
    <w:rsid w:val="EFDFA845"/>
    <w:rsid w:val="EFE78CAA"/>
    <w:rsid w:val="EFEF70E0"/>
    <w:rsid w:val="EFF58A31"/>
    <w:rsid w:val="EFFA79A2"/>
    <w:rsid w:val="EFFD1800"/>
    <w:rsid w:val="EFFF64F7"/>
    <w:rsid w:val="F08B98FB"/>
    <w:rsid w:val="F1EEF0BC"/>
    <w:rsid w:val="F2FF8C47"/>
    <w:rsid w:val="F37F4018"/>
    <w:rsid w:val="F3BBE591"/>
    <w:rsid w:val="F3CFECF4"/>
    <w:rsid w:val="F3D72A1F"/>
    <w:rsid w:val="F3DFDA77"/>
    <w:rsid w:val="F3EF1226"/>
    <w:rsid w:val="F3F7C10A"/>
    <w:rsid w:val="F3FCB7D0"/>
    <w:rsid w:val="F3FF120C"/>
    <w:rsid w:val="F4EDF6C7"/>
    <w:rsid w:val="F57EEDC4"/>
    <w:rsid w:val="F5B8572A"/>
    <w:rsid w:val="F5F606D2"/>
    <w:rsid w:val="F5F98CBC"/>
    <w:rsid w:val="F5F9C74E"/>
    <w:rsid w:val="F61F65BF"/>
    <w:rsid w:val="F66E745E"/>
    <w:rsid w:val="F67E8204"/>
    <w:rsid w:val="F6AB74C8"/>
    <w:rsid w:val="F6BD0763"/>
    <w:rsid w:val="F6BF135F"/>
    <w:rsid w:val="F6C25194"/>
    <w:rsid w:val="F6DFB844"/>
    <w:rsid w:val="F6FDE197"/>
    <w:rsid w:val="F7193EFD"/>
    <w:rsid w:val="F754AAA7"/>
    <w:rsid w:val="F75FF226"/>
    <w:rsid w:val="F76BBD3D"/>
    <w:rsid w:val="F7977190"/>
    <w:rsid w:val="F7BCDC27"/>
    <w:rsid w:val="F7BFFD25"/>
    <w:rsid w:val="F7CA194B"/>
    <w:rsid w:val="F7CF4E4C"/>
    <w:rsid w:val="F7D468BB"/>
    <w:rsid w:val="F7E5FF27"/>
    <w:rsid w:val="F7F32B0A"/>
    <w:rsid w:val="F7F39DD0"/>
    <w:rsid w:val="F7FB19CC"/>
    <w:rsid w:val="F7FD72E0"/>
    <w:rsid w:val="F7FE663B"/>
    <w:rsid w:val="F7FEE603"/>
    <w:rsid w:val="F7FF39DC"/>
    <w:rsid w:val="F7FF83C7"/>
    <w:rsid w:val="F7FF8AE1"/>
    <w:rsid w:val="F874B2A5"/>
    <w:rsid w:val="F8B754FE"/>
    <w:rsid w:val="F8F86487"/>
    <w:rsid w:val="F8FAA87E"/>
    <w:rsid w:val="F97F3739"/>
    <w:rsid w:val="F9D700B1"/>
    <w:rsid w:val="F9EB14C9"/>
    <w:rsid w:val="F9EF2975"/>
    <w:rsid w:val="F9FE7BA9"/>
    <w:rsid w:val="FA7D3B6A"/>
    <w:rsid w:val="FABDDBEE"/>
    <w:rsid w:val="FABE612C"/>
    <w:rsid w:val="FACF46BC"/>
    <w:rsid w:val="FADEFED6"/>
    <w:rsid w:val="FADF25B1"/>
    <w:rsid w:val="FAE122B8"/>
    <w:rsid w:val="FAEF79DD"/>
    <w:rsid w:val="FB3E2B5C"/>
    <w:rsid w:val="FB524EA2"/>
    <w:rsid w:val="FB5AA770"/>
    <w:rsid w:val="FB5B0C08"/>
    <w:rsid w:val="FB6F6E71"/>
    <w:rsid w:val="FB7F2941"/>
    <w:rsid w:val="FBB74F28"/>
    <w:rsid w:val="FBD74D2C"/>
    <w:rsid w:val="FBDAD6C0"/>
    <w:rsid w:val="FBEF99C6"/>
    <w:rsid w:val="FBF6F491"/>
    <w:rsid w:val="FBF750CD"/>
    <w:rsid w:val="FBF7D880"/>
    <w:rsid w:val="FBFD0A52"/>
    <w:rsid w:val="FBFD8910"/>
    <w:rsid w:val="FBFFB225"/>
    <w:rsid w:val="FC6F1DED"/>
    <w:rsid w:val="FCBCCBE7"/>
    <w:rsid w:val="FCF50625"/>
    <w:rsid w:val="FCFD6506"/>
    <w:rsid w:val="FCFF031B"/>
    <w:rsid w:val="FCFFBE60"/>
    <w:rsid w:val="FD3B13FD"/>
    <w:rsid w:val="FD6AA358"/>
    <w:rsid w:val="FD758ECC"/>
    <w:rsid w:val="FD7BBA28"/>
    <w:rsid w:val="FDB7E165"/>
    <w:rsid w:val="FDBDCA17"/>
    <w:rsid w:val="FDD76A15"/>
    <w:rsid w:val="FDD76A5C"/>
    <w:rsid w:val="FDDA1CE4"/>
    <w:rsid w:val="FDDA8741"/>
    <w:rsid w:val="FDF1A0CC"/>
    <w:rsid w:val="FDF7651F"/>
    <w:rsid w:val="FDF78677"/>
    <w:rsid w:val="FDF82F42"/>
    <w:rsid w:val="FDF98D0E"/>
    <w:rsid w:val="FDFE0FA0"/>
    <w:rsid w:val="FDFE770C"/>
    <w:rsid w:val="FDFE82F8"/>
    <w:rsid w:val="FDFF3B4E"/>
    <w:rsid w:val="FDFF7655"/>
    <w:rsid w:val="FE63FBF8"/>
    <w:rsid w:val="FE7F0032"/>
    <w:rsid w:val="FE7F9D7F"/>
    <w:rsid w:val="FE85AFE9"/>
    <w:rsid w:val="FE9D7DF7"/>
    <w:rsid w:val="FEB51338"/>
    <w:rsid w:val="FED4FDA9"/>
    <w:rsid w:val="FED91748"/>
    <w:rsid w:val="FEDEA23A"/>
    <w:rsid w:val="FEE40157"/>
    <w:rsid w:val="FEE74C4D"/>
    <w:rsid w:val="FEE7D622"/>
    <w:rsid w:val="FEEE720C"/>
    <w:rsid w:val="FEFB75B5"/>
    <w:rsid w:val="FEFBAB43"/>
    <w:rsid w:val="FEFBF0B7"/>
    <w:rsid w:val="FEFE3606"/>
    <w:rsid w:val="FEFF1889"/>
    <w:rsid w:val="FF2DD404"/>
    <w:rsid w:val="FF3723D9"/>
    <w:rsid w:val="FF3F6D2E"/>
    <w:rsid w:val="FF3F8279"/>
    <w:rsid w:val="FF4B436D"/>
    <w:rsid w:val="FF5E6B37"/>
    <w:rsid w:val="FF63D9DF"/>
    <w:rsid w:val="FF6BCE94"/>
    <w:rsid w:val="FF6FFB08"/>
    <w:rsid w:val="FF7358A9"/>
    <w:rsid w:val="FF778564"/>
    <w:rsid w:val="FF77ABA5"/>
    <w:rsid w:val="FF7B01C6"/>
    <w:rsid w:val="FF7B1F7F"/>
    <w:rsid w:val="FF7B4681"/>
    <w:rsid w:val="FF7DE528"/>
    <w:rsid w:val="FF7E03F0"/>
    <w:rsid w:val="FF7E3B82"/>
    <w:rsid w:val="FF7F67A6"/>
    <w:rsid w:val="FF9FA793"/>
    <w:rsid w:val="FFA737A6"/>
    <w:rsid w:val="FFAEEC48"/>
    <w:rsid w:val="FFBD4905"/>
    <w:rsid w:val="FFBE6D8B"/>
    <w:rsid w:val="FFBF752C"/>
    <w:rsid w:val="FFBFAD2D"/>
    <w:rsid w:val="FFCE3A79"/>
    <w:rsid w:val="FFCEB417"/>
    <w:rsid w:val="FFD50C46"/>
    <w:rsid w:val="FFD983C3"/>
    <w:rsid w:val="FFDF161B"/>
    <w:rsid w:val="FFDFABC0"/>
    <w:rsid w:val="FFDFB75F"/>
    <w:rsid w:val="FFDFB981"/>
    <w:rsid w:val="FFDFD70D"/>
    <w:rsid w:val="FFE57A4F"/>
    <w:rsid w:val="FFECDC6A"/>
    <w:rsid w:val="FFED65C1"/>
    <w:rsid w:val="FFED8126"/>
    <w:rsid w:val="FFEF1DAF"/>
    <w:rsid w:val="FFEF3429"/>
    <w:rsid w:val="FFF2F605"/>
    <w:rsid w:val="FFF481D9"/>
    <w:rsid w:val="FFF722F8"/>
    <w:rsid w:val="FFF739A1"/>
    <w:rsid w:val="FFF7ED30"/>
    <w:rsid w:val="FFF94933"/>
    <w:rsid w:val="FFF9DC8D"/>
    <w:rsid w:val="FFFBB0B7"/>
    <w:rsid w:val="FFFF02D3"/>
    <w:rsid w:val="FFFF3E42"/>
    <w:rsid w:val="FFFF5211"/>
    <w:rsid w:val="FFFF5C32"/>
    <w:rsid w:val="FFFF8A45"/>
    <w:rsid w:val="FFFFA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widowControl w:val="0"/>
      <w:spacing w:line="520" w:lineRule="exact"/>
      <w:ind w:firstLine="640" w:firstLineChars="200"/>
      <w:jc w:val="both"/>
    </w:pPr>
    <w:rPr>
      <w:rFonts w:ascii="宋体" w:hAnsi="宋体" w:eastAsia="仿宋_GB2312" w:cs="Times New Roman"/>
      <w:kern w:val="2"/>
      <w:sz w:val="3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caption"/>
    <w:basedOn w:val="1"/>
    <w:next w:val="1"/>
    <w:semiHidden/>
    <w:unhideWhenUsed/>
    <w:qFormat/>
    <w:uiPriority w:val="0"/>
    <w:rPr>
      <w:rFonts w:ascii="Arial" w:hAnsi="Arial" w:eastAsia="黑体"/>
      <w:sz w:val="20"/>
    </w:rPr>
  </w:style>
  <w:style w:type="paragraph" w:styleId="6">
    <w:name w:val="annotation text"/>
    <w:basedOn w:val="1"/>
    <w:qFormat/>
    <w:uiPriority w:val="0"/>
    <w:pPr>
      <w:jc w:val="left"/>
    </w:pPr>
  </w:style>
  <w:style w:type="paragraph" w:styleId="7">
    <w:name w:val="Body Text"/>
    <w:basedOn w:val="1"/>
    <w:next w:val="8"/>
    <w:unhideWhenUsed/>
    <w:qFormat/>
    <w:uiPriority w:val="99"/>
    <w:pPr>
      <w:spacing w:after="120" w:afterLines="0" w:afterAutospacing="0"/>
    </w:pPr>
  </w:style>
  <w:style w:type="paragraph" w:styleId="8">
    <w:name w:val="toc 5"/>
    <w:basedOn w:val="1"/>
    <w:next w:val="1"/>
    <w:qFormat/>
    <w:uiPriority w:val="0"/>
    <w:pPr>
      <w:ind w:left="1680" w:leftChars="800"/>
    </w:p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Normal (Web)"/>
    <w:basedOn w:val="1"/>
    <w:qFormat/>
    <w:uiPriority w:val="0"/>
    <w:pPr>
      <w:spacing w:beforeAutospacing="1" w:afterAutospacing="1"/>
      <w:jc w:val="left"/>
    </w:pPr>
    <w:rPr>
      <w:rFonts w:cs="Times New Roman"/>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character" w:styleId="22">
    <w:name w:val="Hyperlink"/>
    <w:basedOn w:val="19"/>
    <w:qFormat/>
    <w:uiPriority w:val="0"/>
    <w:rPr>
      <w:color w:val="0000FF"/>
      <w:u w:val="single"/>
    </w:rPr>
  </w:style>
  <w:style w:type="character" w:styleId="23">
    <w:name w:val="footnote reference"/>
    <w:basedOn w:val="19"/>
    <w:qFormat/>
    <w:uiPriority w:val="0"/>
    <w:rPr>
      <w:vertAlign w:val="superscript"/>
    </w:rPr>
  </w:style>
  <w:style w:type="paragraph" w:customStyle="1" w:styleId="24">
    <w:name w:val="Body Text First Indent 21"/>
    <w:basedOn w:val="25"/>
    <w:qFormat/>
    <w:uiPriority w:val="99"/>
    <w:pPr>
      <w:spacing w:beforeAutospacing="1"/>
      <w:ind w:firstLine="420" w:firstLineChars="200"/>
    </w:pPr>
    <w:rPr>
      <w:rFonts w:ascii="Times New Roman" w:hAnsi="Times New Roman"/>
    </w:rPr>
  </w:style>
  <w:style w:type="paragraph" w:customStyle="1" w:styleId="25">
    <w:name w:val="Body Text Indent1"/>
    <w:basedOn w:val="1"/>
    <w:qFormat/>
    <w:uiPriority w:val="99"/>
    <w:pPr>
      <w:ind w:left="420" w:leftChars="200"/>
    </w:pPr>
    <w:rPr>
      <w:rFonts w:cs="Times New Roman"/>
    </w:rPr>
  </w:style>
  <w:style w:type="paragraph" w:customStyle="1" w:styleId="26">
    <w:name w:val="Normal Indent1"/>
    <w:basedOn w:val="27"/>
    <w:qFormat/>
    <w:uiPriority w:val="0"/>
    <w:pPr>
      <w:ind w:firstLine="420" w:firstLineChars="200"/>
    </w:pPr>
  </w:style>
  <w:style w:type="paragraph" w:customStyle="1" w:styleId="27">
    <w:name w:val="正文 New New New New New New New New New New New New New New New New New New New New New New New New New New New"/>
    <w:next w:val="26"/>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paragraph" w:customStyle="1" w:styleId="28">
    <w:name w:val="实施方案正文"/>
    <w:basedOn w:val="29"/>
    <w:qFormat/>
    <w:uiPriority w:val="0"/>
    <w:pPr>
      <w:ind w:firstLine="566" w:firstLineChars="202"/>
    </w:pPr>
  </w:style>
  <w:style w:type="paragraph" w:customStyle="1" w:styleId="29">
    <w:name w:val="正文 New"/>
    <w:next w:val="28"/>
    <w:unhideWhenUsed/>
    <w:qFormat/>
    <w:uiPriority w:val="99"/>
    <w:pPr>
      <w:widowControl w:val="0"/>
      <w:jc w:val="both"/>
    </w:pPr>
    <w:rPr>
      <w:rFonts w:ascii="Times New Roman" w:hAnsi="Times New Roman" w:eastAsia="宋体" w:cs="Times New Roman"/>
      <w:sz w:val="21"/>
      <w:szCs w:val="22"/>
      <w:lang w:val="en-US" w:eastAsia="zh-CN" w:bidi="ar-SA"/>
    </w:rPr>
  </w:style>
  <w:style w:type="paragraph" w:customStyle="1" w:styleId="30">
    <w:name w:val="Body Text First Indent 2"/>
    <w:basedOn w:val="31"/>
    <w:qFormat/>
    <w:uiPriority w:val="0"/>
    <w:pPr>
      <w:spacing w:line="360" w:lineRule="auto"/>
    </w:pPr>
    <w:rPr>
      <w:rFonts w:eastAsia="宋体"/>
      <w:sz w:val="24"/>
    </w:rPr>
  </w:style>
  <w:style w:type="paragraph" w:customStyle="1" w:styleId="31">
    <w:name w:val="Body Text Indent"/>
    <w:basedOn w:val="1"/>
    <w:qFormat/>
    <w:uiPriority w:val="0"/>
    <w:pPr>
      <w:spacing w:line="150" w:lineRule="atLeast"/>
      <w:ind w:firstLine="420" w:firstLineChars="200"/>
      <w:textAlignment w:val="baseline"/>
    </w:pPr>
    <w:rPr>
      <w:rFonts w:ascii="Times New Roman" w:hAnsi="Times New Roman" w:cs="Times New Roman"/>
      <w:szCs w:val="24"/>
      <w:lang w:bidi="ar-SA"/>
    </w:rPr>
  </w:style>
  <w:style w:type="paragraph" w:customStyle="1" w:styleId="32">
    <w:name w:val="专栏标题"/>
    <w:basedOn w:val="1"/>
    <w:qFormat/>
    <w:uiPriority w:val="0"/>
    <w:pPr>
      <w:numPr>
        <w:ilvl w:val="0"/>
        <w:numId w:val="1"/>
      </w:numPr>
      <w:tabs>
        <w:tab w:val="left" w:pos="0"/>
        <w:tab w:val="left" w:pos="210"/>
        <w:tab w:val="left" w:pos="420"/>
        <w:tab w:val="left" w:pos="986"/>
      </w:tabs>
      <w:spacing w:line="400" w:lineRule="exact"/>
      <w:ind w:firstLine="0" w:firstLineChars="0"/>
      <w:jc w:val="center"/>
    </w:pPr>
    <w:rPr>
      <w:rFonts w:hint="eastAsia" w:ascii="Times New Roman" w:hAnsi="Times New Roman" w:eastAsia="方正黑体_GBK"/>
      <w:color w:val="000000" w:themeColor="text1"/>
      <w:kern w:val="1"/>
      <w:sz w:val="28"/>
      <w14:textFill>
        <w14:solidFill>
          <w14:schemeClr w14:val="tx1"/>
        </w14:solidFill>
      </w14:textFill>
    </w:rPr>
  </w:style>
  <w:style w:type="character" w:customStyle="1" w:styleId="33">
    <w:name w:val="font61"/>
    <w:basedOn w:val="19"/>
    <w:qFormat/>
    <w:uiPriority w:val="0"/>
    <w:rPr>
      <w:rFonts w:hint="default" w:ascii="黑体" w:hAnsi="宋体" w:eastAsia="黑体" w:cs="黑体"/>
      <w:color w:val="000000"/>
      <w:sz w:val="22"/>
      <w:szCs w:val="22"/>
      <w:u w:val="none"/>
    </w:rPr>
  </w:style>
  <w:style w:type="character" w:customStyle="1" w:styleId="34">
    <w:name w:val="font141"/>
    <w:basedOn w:val="19"/>
    <w:qFormat/>
    <w:uiPriority w:val="0"/>
    <w:rPr>
      <w:rFonts w:hint="default" w:ascii="仿宋_GB2312" w:eastAsia="仿宋_GB2312" w:cs="仿宋_GB2312"/>
      <w:color w:val="000000"/>
      <w:sz w:val="20"/>
      <w:szCs w:val="20"/>
      <w:u w:val="none"/>
    </w:rPr>
  </w:style>
  <w:style w:type="character" w:customStyle="1" w:styleId="35">
    <w:name w:val="font41"/>
    <w:basedOn w:val="19"/>
    <w:qFormat/>
    <w:uiPriority w:val="0"/>
    <w:rPr>
      <w:rFonts w:ascii="Times New Roman Regular" w:hAnsi="Times New Roman Regular" w:eastAsia="Times New Roman Regular" w:cs="Times New Roman Regular"/>
      <w:color w:val="0C0C0C"/>
      <w:sz w:val="28"/>
      <w:szCs w:val="28"/>
      <w:u w:val="none"/>
    </w:rPr>
  </w:style>
  <w:style w:type="character" w:customStyle="1" w:styleId="36">
    <w:name w:val="font11"/>
    <w:basedOn w:val="19"/>
    <w:qFormat/>
    <w:uiPriority w:val="0"/>
    <w:rPr>
      <w:rFonts w:hint="eastAsia" w:ascii="方正黑体_GBK" w:hAnsi="方正黑体_GBK" w:eastAsia="方正黑体_GBK" w:cs="方正黑体_GBK"/>
      <w:color w:val="0C0C0C"/>
      <w:sz w:val="28"/>
      <w:szCs w:val="28"/>
      <w:u w:val="none"/>
    </w:rPr>
  </w:style>
  <w:style w:type="character" w:customStyle="1" w:styleId="37">
    <w:name w:val="font21"/>
    <w:basedOn w:val="19"/>
    <w:qFormat/>
    <w:uiPriority w:val="0"/>
    <w:rPr>
      <w:rFonts w:hint="eastAsia" w:ascii="方正楷体_GBK" w:hAnsi="方正楷体_GBK" w:eastAsia="方正楷体_GBK" w:cs="方正楷体_GBK"/>
      <w:color w:val="0C0C0C"/>
      <w:sz w:val="21"/>
      <w:szCs w:val="21"/>
      <w:u w:val="none"/>
    </w:rPr>
  </w:style>
  <w:style w:type="character" w:customStyle="1" w:styleId="38">
    <w:name w:val="font31"/>
    <w:basedOn w:val="19"/>
    <w:qFormat/>
    <w:uiPriority w:val="0"/>
    <w:rPr>
      <w:rFonts w:hint="default" w:ascii="Times New Roman Regular" w:hAnsi="Times New Roman Regular" w:eastAsia="Times New Roman Regular" w:cs="Times New Roman Regular"/>
      <w:color w:val="0C0C0C"/>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b49b09dd-d486-4416-b1ab-e956e6fd1ae1</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15B3AF2D</paraID>
      <start>89</start>
      <end>91</end>
      <status>unmodified</status>
      <modifiedWord/>
      <trackRevisions>false</trackRevisions>
    </reviewItem>
    <reviewItem>
      <errorID>56aa449d-24d9-43cb-a17c-f72c8c09fd6f</errorID>
      <errorWord>、进而</errorWord>
      <group>L1_Punc</group>
      <groupName>标点问题</groupName>
      <ability>L2_Punc</ability>
      <abilityName>标点符号检查</abilityName>
      <candidateList>
        <item>进而</item>
      </candidateList>
      <explain>〈连〉表示在已有的基础上进一步：先提出计划，～落实实施措施。</explain>
      <paraID>62936A2C</paraID>
      <start>62</start>
      <end>65</end>
      <status>unmodified</status>
      <modifiedWord/>
      <trackRevisions>false</trackRevisions>
    </reviewItem>
    <reviewItem>
      <errorID>eedfdf44-c0e4-446f-aba3-45ee667f4674</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3D5C1006</paraID>
      <start>293</start>
      <end>296</end>
      <status>unmodified</status>
      <modifiedWord/>
      <trackRevisions>false</trackRevisions>
    </reviewItem>
    <reviewItem>
      <errorID>5071c492-2698-42cb-9372-1f4893dfb099</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2CC4A0AB</paraID>
      <start>19</start>
      <end>22</end>
      <status>unmodified</status>
      <modifiedWord/>
      <trackRevisions>false</trackRevisions>
    </reviewItem>
    <reviewItem>
      <errorID>84088435-983b-415b-907c-f80c0fcc0a8d</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2CC4A0AB</paraID>
      <start>135</start>
      <end>138</end>
      <status>unmodified</status>
      <modifiedWord/>
      <trackRevisions>false</trackRevisions>
    </reviewItem>
    <reviewItem>
      <errorID>61243eff-5906-4ecc-8618-e7cba4c1da13</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2CC4A0AB</paraID>
      <start>154</start>
      <end>157</end>
      <status>unmodified</status>
      <modifiedWord/>
      <trackRevisions>false</trackRevisions>
    </reviewItem>
    <reviewItem>
      <errorID>a0831be1-6410-4870-af5b-9197d74e3d98</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63935F4C</paraID>
      <start>20</start>
      <end>23</end>
      <status>unmodified</status>
      <modifiedWord/>
      <trackRevisions>false</trackRevisions>
    </reviewItem>
    <reviewItem>
      <errorID>34cdcc22-c9cf-454d-8abf-a51467cc2af0</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63935F4C</paraID>
      <start>227</start>
      <end>230</end>
      <status>unmodified</status>
      <modifiedWord/>
      <trackRevisions>false</trackRevisions>
    </reviewItem>
    <reviewItem>
      <errorID>32fc1483-4435-4e26-a666-a92c99cef1af</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2B93E607</paraID>
      <start>14</start>
      <end>17</end>
      <status>unmodified</status>
      <modifiedWord/>
      <trackRevisions>false</trackRevisions>
    </reviewItem>
    <reviewItem>
      <errorID>2dd27c2f-4a8f-4cc8-992a-af74807cf614</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2B93E607</paraID>
      <start>224</start>
      <end>227</end>
      <status>unmodified</status>
      <modifiedWord/>
      <trackRevisions>false</trackRevisions>
    </reviewItem>
    <reviewItem>
      <errorID>038b7468-cad1-416e-8fce-5cac59fbd6c5</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5CD92884</paraID>
      <start>12</start>
      <end>15</end>
      <status>unmodified</status>
      <modifiedWord/>
      <trackRevisions>false</trackRevisions>
    </reviewItem>
    <reviewItem>
      <errorID>1174974d-62c3-4d06-b052-3ea6af9603bb</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5CD92884</paraID>
      <start>136</start>
      <end>139</end>
      <status>unmodified</status>
      <modifiedWord/>
      <trackRevisions>false</trackRevisions>
    </reviewItem>
    <reviewItem>
      <errorID>c607dd1b-e369-44b9-983c-ed94629912a5</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3A8E753</paraID>
      <start>16</start>
      <end>19</end>
      <status>unmodified</status>
      <modifiedWord/>
      <trackRevisions>false</trackRevisions>
    </reviewItem>
    <reviewItem>
      <errorID>39811b15-b584-4e96-81f6-ee8417e5cd56</errorID>
      <errorWord>国内国际“大循环</errorWord>
      <group>L1_Political</group>
      <groupName>政治性问题</groupName>
      <ability>L2_Keyword</ability>
      <abilityName>固定表述</abilityName>
      <candidateList>
        <item>国内国际双循环</item>
      </candidateList>
      <explain>词汇“国内国际双循环”在特定场景下为固定表述形式，请确认此处的“国内国际“大循环”是否存在不当。</explain>
      <paraID> 3A8E753</paraID>
      <start>116</start>
      <end>124</end>
      <status>unmodified</status>
      <modifiedWord/>
      <trackRevisions>false</trackRevisions>
    </reviewItem>
    <reviewItem>
      <errorID>055681e2-ad62-40c9-ae0f-08f87c2e3fc4</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3A8E753</paraID>
      <start>141</start>
      <end>144</end>
      <status>unmodified</status>
      <modifiedWord/>
      <trackRevisions>false</trackRevisions>
    </reviewItem>
    <reviewItem>
      <errorID>aa119489-3b1e-434c-9b29-89949ee782a8</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21A1035D</paraID>
      <start>134</start>
      <end>137</end>
      <status>unmodified</status>
      <modifiedWord/>
      <trackRevisions>false</trackRevisions>
    </reviewItem>
    <reviewItem>
      <errorID>3a9efe2a-fd5e-4f69-b64a-5a8e7400c66f</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5B304BE9</paraID>
      <start>14</start>
      <end>17</end>
      <status>unmodified</status>
      <modifiedWord/>
      <trackRevisions>false</trackRevisions>
    </reviewItem>
    <reviewItem>
      <errorID>60edeb4d-ea32-43fd-a121-be7328e3a3fb</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3E2015A5</paraID>
      <start>12</start>
      <end>15</end>
      <status>unmodified</status>
      <modifiedWord/>
      <trackRevisions>false</trackRevisions>
    </reviewItem>
    <reviewItem>
      <errorID>b02d9236-09d8-4ec2-b1fc-264f9a7ac1ac</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3E2015A5</paraID>
      <start>68</start>
      <end>71</end>
      <status>unmodified</status>
      <modifiedWord/>
      <trackRevisions>false</trackRevisions>
    </reviewItem>
    <reviewItem>
      <errorID>6cfb671b-d74b-4d4c-8964-a5a2e9220c0e</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558EE6E</paraID>
      <start>5</start>
      <end>8</end>
      <status>unmodified</status>
      <modifiedWord/>
      <trackRevisions>false</trackRevisions>
    </reviewItem>
    <reviewItem>
      <errorID>f2a240f7-7421-4b9a-b735-0e2216200461</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27D230C1</paraID>
      <start>2</start>
      <end>5</end>
      <status>unmodified</status>
      <modifiedWord/>
      <trackRevisions>false</trackRevisions>
    </reviewItem>
    <reviewItem>
      <errorID>a4de1bf3-ea31-4d48-9171-ff9809e75c33</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27D230C1</paraID>
      <start>69</start>
      <end>72</end>
      <status>unmodified</status>
      <modifiedWord/>
      <trackRevisions>false</trackRevisions>
    </reviewItem>
    <reviewItem>
      <errorID>81f0b5de-9a06-498e-88f2-1761397b45ae</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235178A</paraID>
      <start>18</start>
      <end>21</end>
      <status>unmodified</status>
      <modifiedWord/>
      <trackRevisions>false</trackRevisions>
    </reviewItem>
    <reviewItem>
      <errorID>c0f5e28c-ec4c-49a6-9dd4-4072a5592a5c</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336AB1EC</paraID>
      <start>5</start>
      <end>8</end>
      <status>unmodified</status>
      <modifiedWord/>
      <trackRevisions>false</trackRevisions>
    </reviewItem>
    <reviewItem>
      <errorID>bf3c6532-a440-47c7-a723-f8d6b89446a0</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34303F10</paraID>
      <start>2</start>
      <end>5</end>
      <status>unmodified</status>
      <modifiedWord/>
      <trackRevisions>false</trackRevisions>
    </reviewItem>
    <reviewItem>
      <errorID>0839dc97-1306-43b6-ac09-20659430a89a</errorID>
      <errorWord>举办好</errorWord>
      <group>L1_Word</group>
      <groupName>字词问题</groupName>
      <ability>L2_Typo</ability>
      <abilityName>字词错误</abilityName>
      <candidateList>
        <item>举办</item>
      </candidateList>
      <explain/>
      <paraID> 8383696</paraID>
      <start>152</start>
      <end>155</end>
      <status>unmodified</status>
      <modifiedWord/>
      <trackRevisions>false</trackRevisions>
    </reviewItem>
    <reviewItem>
      <errorID>9a7f2eb5-deec-499e-8a9d-a6e0f5da37a5</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B84D0DE</paraID>
      <start>6</start>
      <end>9</end>
      <status>unmodified</status>
      <modifiedWord/>
      <trackRevisions>false</trackRevisions>
    </reviewItem>
    <reviewItem>
      <errorID>d37f9e38-a372-4fba-bda2-2df6913ce847</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71B7398F</paraID>
      <start>20</start>
      <end>23</end>
      <status>unmodified</status>
      <modifiedWord/>
      <trackRevisions>false</trackRevisions>
    </reviewItem>
    <reviewItem>
      <errorID>a9cb65bc-ecb0-421f-bec5-5ad811af4108</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71B7398F</paraID>
      <start>181</start>
      <end>184</end>
      <status>unmodified</status>
      <modifiedWord/>
      <trackRevisions>false</trackRevisions>
    </reviewItem>
    <reviewItem>
      <errorID>2e14e291-e39b-4700-9f66-7f55c17d8b15</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45E880B4</paraID>
      <start>20</start>
      <end>23</end>
      <status>unmodified</status>
      <modifiedWord/>
      <trackRevisions>false</trackRevisions>
    </reviewItem>
    <reviewItem>
      <errorID>ca21462c-1bbf-4620-9748-ce567a3bd917</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45E880B4</paraID>
      <start>352</start>
      <end>355</end>
      <status>unmodified</status>
      <modifiedWord/>
      <trackRevisions>false</trackRevisions>
    </reviewItem>
    <reviewItem>
      <errorID>0a7aa913-0726-498f-80ee-f671b2596a46</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3525E172</paraID>
      <start>77</start>
      <end>80</end>
      <status>unmodified</status>
      <modifiedWord/>
      <trackRevisions>false</trackRevisions>
    </reviewItem>
    <reviewItem>
      <errorID>72c85012-f2eb-4e8c-8138-950653234eb9</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76C8D7ED</paraID>
      <start>97</start>
      <end>100</end>
      <status>unmodified</status>
      <modifiedWord/>
      <trackRevisions>false</trackRevisions>
    </reviewItem>
    <reviewItem>
      <errorID>92df22ea-20a2-4ada-a35a-d75ecfb06bd0</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1BE39A8B</paraID>
      <start>41</start>
      <end>44</end>
      <status>unmodified</status>
      <modifiedWord/>
      <trackRevisions>false</trackRevisions>
    </reviewItem>
    <reviewItem>
      <errorID>0a3724e1-c38b-47b7-a145-14a4f5b5b5a6</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641809D</paraID>
      <start>140</start>
      <end>143</end>
      <status>unmodified</status>
      <modifiedWord/>
      <trackRevisions>false</trackRevisions>
    </reviewItem>
    <reviewItem>
      <errorID>6f309a1a-4074-43ac-aa75-e232f8a25b31</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73FA57C3</paraID>
      <start>13</start>
      <end>16</end>
      <status>unmodified</status>
      <modifiedWord/>
      <trackRevisions>false</trackRevisions>
    </reviewItem>
    <reviewItem>
      <errorID>8d298c36-a172-49be-96ad-350c09a9335d</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73FA57C3</paraID>
      <start>74</start>
      <end>77</end>
      <status>unmodified</status>
      <modifiedWord/>
      <trackRevisions>false</trackRevisions>
    </reviewItem>
    <reviewItem>
      <errorID>0310803d-7b68-4981-84e5-543c8a2668a3</errorID>
      <errorWord>资源和要素配置</errorWord>
      <group>L1_Political</group>
      <groupName>政治性问题</groupName>
      <ability>L2_Keyword</ability>
      <abilityName>固定表述</abilityName>
      <candidateList>
        <item>资源要素配置</item>
      </candidateList>
      <explain>词汇“资源要素配置”在特定场景下为固定表述形式，请确认此处的“资源和要素配置”是否存在不当。</explain>
      <paraID>2DD15813</paraID>
      <start>179</start>
      <end>186</end>
      <status>unmodified</status>
      <modifiedWord/>
      <trackRevisions>false</trackRevisions>
    </reviewItem>
    <reviewItem>
      <errorID>1b96f0ea-5eaf-4747-8207-58358a855832</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DD2063C</paraID>
      <start>78</start>
      <end>81</end>
      <status>unmodified</status>
      <modifiedWord/>
      <trackRevisions>false</trackRevisions>
    </reviewItem>
    <reviewItem>
      <errorID>3b836947-df43-46f2-99cb-9504a818a6fb</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5099A1DC</paraID>
      <start>3</start>
      <end>6</end>
      <status>unmodified</status>
      <modifiedWord/>
      <trackRevisions>false</trackRevisions>
    </reviewItem>
    <reviewItem>
      <errorID>edc8ecfa-cffa-447f-8f9c-1bcdc8bb693e</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2D6FB95B</paraID>
      <start>142</start>
      <end>145</end>
      <status>unmodified</status>
      <modifiedWord/>
      <trackRevisions>false</trackRevisions>
    </reviewItem>
    <reviewItem>
      <errorID>b544f839-116d-4e1b-92de-2c95be6a346e</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6D8A7D06</paraID>
      <start>233</start>
      <end>236</end>
      <status>unmodified</status>
      <modifiedWord/>
      <trackRevisions>false</trackRevisions>
    </reviewItem>
    <reviewItem>
      <errorID>ec3fab9a-75c3-4c61-bc70-5633cf83a1d4</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19333C85</paraID>
      <start>13</start>
      <end>16</end>
      <status>unmodified</status>
      <modifiedWord/>
      <trackRevisions>false</trackRevisions>
    </reviewItem>
    <reviewItem>
      <errorID>28d479cf-4f42-42e6-9325-c5e804b0d967</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2EEC7368</paraID>
      <start>117</start>
      <end>120</end>
      <status>unmodified</status>
      <modifiedWord/>
      <trackRevisions>false</trackRevisions>
    </reviewItem>
    <reviewItem>
      <errorID>3a8fff01-85b7-4a15-a848-eaa2f3b4c262</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2EEC7368</paraID>
      <start>142</start>
      <end>145</end>
      <status>unmodified</status>
      <modifiedWord/>
      <trackRevisions>false</trackRevisions>
    </reviewItem>
    <reviewItem>
      <errorID>52b1b4d6-3c42-4194-87b2-b4c97c22907b</errorID>
      <errorWord>河流生态保护治理</errorWord>
      <group>L1_Political</group>
      <groupName>政治性问题</groupName>
      <ability>L2_Keyword</ability>
      <abilityName>固定表述</abilityName>
      <candidateList>
        <item>河湖生态保护治理</item>
      </candidateList>
      <explain>词汇“河湖生态保护治理”在特定场景下为固定表述形式，请确认此处的“河流生态保护治理”是否存在不当。</explain>
      <paraID>17898708</paraID>
      <start>81</start>
      <end>89</end>
      <status>unmodified</status>
      <modifiedWord/>
      <trackRevisions>false</trackRevisions>
    </reviewItem>
    <reviewItem>
      <errorID>5f0f705a-2c21-4063-81dc-5362e62e823f</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625BB750</paraID>
      <start>123</start>
      <end>126</end>
      <status>unmodified</status>
      <modifiedWord/>
      <trackRevisions>false</trackRevisions>
    </reviewItem>
    <reviewItem>
      <errorID>fbc3ff94-7f12-411b-98cd-cfee55ce08a4</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567B3E</paraID>
      <start>0</start>
      <end>3</end>
      <status>unmodified</status>
      <modifiedWord/>
      <trackRevisions>false</trackRevisions>
    </reviewItem>
    <reviewItem>
      <errorID>6e9da8fe-d6fa-4e4a-8100-d1a85993ee7e</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15C570EF</paraID>
      <start>19</start>
      <end>22</end>
      <status>unmodified</status>
      <modifiedWord/>
      <trackRevisions>false</trackRevisions>
    </reviewItem>
    <reviewItem>
      <errorID>a2abb633-9913-41cb-a48a-1c2de7ee4792</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E217839</paraID>
      <start>0</start>
      <end>3</end>
      <status>unmodified</status>
      <modifiedWord/>
      <trackRevisions>false</trackRevisions>
    </reviewItem>
    <reviewItem>
      <errorID>d4e15844-e7bd-4fb4-bde8-f25b76935ef8</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E217839</paraID>
      <start>127</start>
      <end>130</end>
      <status>unmodified</status>
      <modifiedWord/>
      <trackRevisions>false</trackRevisions>
    </reviewItem>
    <reviewItem>
      <errorID>c4d2d5e5-63e7-4d83-93d9-f81a56fd143f</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4EE9655A</paraID>
      <start>191</start>
      <end>194</end>
      <status>unmodified</status>
      <modifiedWord/>
      <trackRevisions>false</trackRevisions>
    </reviewItem>
    <reviewItem>
      <errorID>fb58279b-1840-446d-ac09-38f2abb71d2e</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16FEFB02</paraID>
      <start>24</start>
      <end>27</end>
      <status>unmodified</status>
      <modifiedWord/>
      <trackRevisions>false</trackRevisions>
    </reviewItem>
    <reviewItem>
      <errorID>cb97b935-ab57-4203-925b-94be5b715ff4</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580B00D</paraID>
      <start>245</start>
      <end>248</end>
      <status>unmodified</status>
      <modifiedWord/>
      <trackRevisions>false</trackRevisions>
    </reviewItem>
    <reviewItem>
      <errorID>ea265f5c-b101-4b0c-aec1-08d59874860a</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5F91D2B9</paraID>
      <start>15</start>
      <end>18</end>
      <status>unmodified</status>
      <modifiedWord/>
      <trackRevisions>false</trackRevisions>
    </reviewItem>
    <reviewItem>
      <errorID>8630dfc7-8566-4333-a0dc-ba3d76dc93cb</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120764E8</paraID>
      <start>11</start>
      <end>14</end>
      <status>unmodified</status>
      <modifiedWord/>
      <trackRevisions>false</trackRevisions>
    </reviewItem>
    <reviewItem>
      <errorID>d9074bd6-f0fd-4d03-8ef6-e4f406559dd1</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2355FDE7</paraID>
      <start>96</start>
      <end>99</end>
      <status>unmodified</status>
      <modifiedWord/>
      <trackRevisions>false</trackRevisions>
    </reviewItem>
    <reviewItem>
      <errorID>08f10834-423b-4a38-995b-4945ba2efb60</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1C4C1F77</paraID>
      <start>125</start>
      <end>128</end>
      <status>unmodified</status>
      <modifiedWord/>
      <trackRevisions>false</trackRevisions>
    </reviewItem>
    <reviewItem>
      <errorID>595a2d7b-01be-432d-817d-fcefa2648098</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2364CD47</paraID>
      <start>0</start>
      <end>3</end>
      <status>unmodified</status>
      <modifiedWord/>
      <trackRevisions>false</trackRevisions>
    </reviewItem>
    <reviewItem>
      <errorID>826c2e15-3e60-415b-9fbb-690b75c8095c</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6C2AA181</paraID>
      <start>0</start>
      <end>3</end>
      <status>unmodified</status>
      <modifiedWord/>
      <trackRevisions>false</trackRevisions>
    </reviewItem>
    <reviewItem>
      <errorID>582b01e1-c4e8-4f2d-961c-ce92d31cb581</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5AA56D76</paraID>
      <start>28</start>
      <end>31</end>
      <status>unmodified</status>
      <modifiedWord/>
      <trackRevisions>false</trackRevisions>
    </reviewItem>
    <reviewItem>
      <errorID>f920966b-6dad-4bf8-97f0-79cab01f85f9</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5AA56D76</paraID>
      <start>66</start>
      <end>69</end>
      <status>unmodified</status>
      <modifiedWord/>
      <trackRevisions>false</trackRevisions>
    </reviewItem>
    <reviewItem>
      <errorID>adcbe669-b429-4227-a6ab-9e6e128bbd8a</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5AA56D76</paraID>
      <start>79</start>
      <end>82</end>
      <status>unmodified</status>
      <modifiedWord/>
      <trackRevisions>false</trackRevisions>
    </reviewItem>
    <reviewItem>
      <errorID>ff739db9-0565-467b-b117-44c836f1cf1e</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3A29810F</paraID>
      <start>0</start>
      <end>3</end>
      <status>unmodified</status>
      <modifiedWord/>
      <trackRevisions>false</trackRevisions>
    </reviewItem>
    <reviewItem>
      <errorID>7db694c2-e07f-407a-8b7d-a5e26e389877</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549F5A11</paraID>
      <start>13</start>
      <end>16</end>
      <status>unmodified</status>
      <modifiedWord/>
      <trackRevisions>false</trackRevisions>
    </reviewItem>
    <reviewItem>
      <errorID>efcfeb04-6bc4-4fbe-b140-def4f3f2829a</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47743688</paraID>
      <start>72</start>
      <end>74</end>
      <status>unmodified</status>
      <modifiedWord/>
      <trackRevisions>false</trackRevisions>
    </reviewItem>
    <reviewItem>
      <errorID>cc75ef13-2a40-446d-8d66-a4899cee65e5</errorID>
      <errorWord>多格合一</errorWord>
      <group>L1_Political</group>
      <groupName>政治性问题</groupName>
      <ability>L2_Keyword</ability>
      <abilityName>固定表述</abilityName>
      <candidateList>
        <item>‘多格合一’</item>
      </candidateList>
      <explain>注意检查当前固定表述标点是否使用规范。</explain>
      <paraID>7857535E</paraID>
      <start>66</start>
      <end>70</end>
      <status>unmodified</status>
      <modifiedWord/>
      <trackRevisions>false</trackRevisions>
    </reviewItem>
    <reviewItem>
      <errorID>06cf66ba-c228-4e10-b523-4c8bfce91f1b</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1E52640C</paraID>
      <start>117</start>
      <end>120</end>
      <status>unmodified</status>
      <modifiedWord/>
      <trackRevisions>false</trackRevisions>
    </reviewItem>
    <reviewItem>
      <errorID>c840afd5-41b4-44f5-9462-d167ac46ea03</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3DD2D0A9</paraID>
      <start>5</start>
      <end>8</end>
      <status>unmodified</status>
      <modifiedWord/>
      <trackRevisions>false</trackRevisions>
    </reviewItem>
    <reviewItem>
      <errorID>d5f3c040-4dfd-406f-8fe2-76fa434b25af</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65BB1F73</paraID>
      <start>0</start>
      <end>3</end>
      <status>unmodified</status>
      <modifiedWord/>
      <trackRevisions>false</trackRevisions>
    </reviewItem>
    <reviewItem>
      <errorID>1044dfa9-7555-4d16-80f0-6cb6430e818f</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5862266B</paraID>
      <start>6</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733652-6da3-4469-ac6f-68d0a9c2740d}">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1931</Words>
  <Characters>2025</Characters>
  <Lines>0</Lines>
  <Paragraphs>0</Paragraphs>
  <TotalTime>24</TotalTime>
  <ScaleCrop>false</ScaleCrop>
  <LinksUpToDate>false</LinksUpToDate>
  <CharactersWithSpaces>2431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2025-07-13T16:54:00Z</dcterms:created>
  <dc:creator>曹剑文</dc:creator>
  <cp:lastModifiedBy>符号</cp:lastModifiedBy>
  <cp:lastPrinted>2026-05-19T13:23:00Z</cp:lastPrinted>
  <dcterms:modified xsi:type="dcterms:W3CDTF">2026-09-07T08:44:48Z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C6309A4F5CC849ECB0BF80AAB040BCD7_13</vt:lpwstr>
  </property>
  <property fmtid="{D5CDD505-2E9C-101B-9397-08002B2CF9AE}" pid="4" name="KSOTemplateDocerSaveRecord">
    <vt:lpwstr>eyJoZGlkIjoiOGQyZDRkZmFlNWM0MDliNWRhYTQ0Nzc4MzE5NmI0MjQiLCJ1c2VySWQiOiIzNjE2NjA5NTcifQ==</vt:lpwstr>
  </property>
</Properties>
</file>