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F5DE76">
      <w:pPr>
        <w:jc w:val="center"/>
        <w:rPr>
          <w:rFonts w:hint="eastAsia" w:ascii="方正小标宋_GBK" w:hAnsi="方正小标宋_GBK" w:eastAsia="方正小标宋_GBK" w:cs="方正小标宋_GBK"/>
          <w:color w:val="auto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0"/>
          <w:szCs w:val="40"/>
        </w:rPr>
        <w:t>举办健身气功活动审批（县级权限）</w:t>
      </w:r>
    </w:p>
    <w:p w14:paraId="0B877495">
      <w:pPr>
        <w:jc w:val="center"/>
        <w:rPr>
          <w:rFonts w:hint="eastAsia" w:ascii="方正小标宋_GBK" w:hAnsi="方正小标宋_GBK" w:eastAsia="方正小标宋_GBK" w:cs="方正小标宋_GBK"/>
          <w:color w:val="auto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0"/>
          <w:szCs w:val="40"/>
        </w:rPr>
        <w:t>【00013310100501】</w:t>
      </w:r>
    </w:p>
    <w:p w14:paraId="6B4CFBAE">
      <w:pPr>
        <w:numPr>
          <w:ilvl w:val="0"/>
          <w:numId w:val="2"/>
        </w:numPr>
        <w:spacing w:line="540" w:lineRule="exact"/>
        <w:outlineLvl w:val="1"/>
        <w:rPr>
          <w:rFonts w:ascii="Times New Roman" w:hAnsi="Times New Roman" w:eastAsia="黑体"/>
          <w:color w:val="auto"/>
          <w:sz w:val="28"/>
          <w:szCs w:val="28"/>
        </w:rPr>
      </w:pPr>
      <w:r>
        <w:rPr>
          <w:rFonts w:hint="eastAsia" w:ascii="Times New Roman" w:hAnsi="Times New Roman" w:eastAsia="黑体"/>
          <w:color w:val="auto"/>
          <w:sz w:val="28"/>
          <w:szCs w:val="28"/>
        </w:rPr>
        <w:t>基本要素</w:t>
      </w:r>
    </w:p>
    <w:p w14:paraId="31A5D34E">
      <w:pPr>
        <w:spacing w:line="540" w:lineRule="exact"/>
        <w:ind w:firstLine="562" w:firstLineChars="200"/>
        <w:outlineLvl w:val="2"/>
        <w:rPr>
          <w:rFonts w:ascii="Times New Roman" w:hAnsi="Times New Roman" w:eastAsia="仿宋GB2312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1.</w:t>
      </w:r>
      <w:r>
        <w:rPr>
          <w:rFonts w:ascii="Times New Roman" w:hAnsi="Times New Roman" w:eastAsia="仿宋GB2312"/>
          <w:b/>
          <w:bCs/>
          <w:color w:val="auto"/>
          <w:sz w:val="28"/>
          <w:szCs w:val="28"/>
        </w:rPr>
        <w:t>行政许可事项名称</w:t>
      </w: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及编码</w:t>
      </w:r>
    </w:p>
    <w:p w14:paraId="7DDBC866"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举办健身气功活动及设立站点审批【00013310100Y】</w:t>
      </w:r>
    </w:p>
    <w:p w14:paraId="7B69EC42"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2.</w:t>
      </w:r>
      <w:r>
        <w:rPr>
          <w:rFonts w:ascii="Times New Roman" w:hAnsi="Times New Roman" w:eastAsia="仿宋GB2312"/>
          <w:b/>
          <w:bCs/>
          <w:color w:val="auto"/>
          <w:sz w:val="28"/>
          <w:szCs w:val="28"/>
        </w:rPr>
        <w:t>行政许可</w:t>
      </w: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事项子项名称及编码</w:t>
      </w:r>
    </w:p>
    <w:p w14:paraId="6826BFE1">
      <w:pPr>
        <w:spacing w:line="360" w:lineRule="auto"/>
        <w:ind w:firstLine="560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举办健身气功活动审批（县级权限）【000133101005】</w:t>
      </w:r>
    </w:p>
    <w:p w14:paraId="0AF9A2D1"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3.行政许可事项业务办理项名称及编码</w:t>
      </w:r>
    </w:p>
    <w:p w14:paraId="5E6BB851">
      <w:pPr>
        <w:spacing w:line="360" w:lineRule="auto"/>
        <w:ind w:firstLine="560" w:firstLineChars="200"/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举办健身气功活动审批（县级权限）(00013310100501)(审核通过)</w:t>
      </w:r>
    </w:p>
    <w:p w14:paraId="7CC9EE1D">
      <w:pPr>
        <w:spacing w:line="360" w:lineRule="auto"/>
        <w:ind w:firstLine="562" w:firstLineChars="200"/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4.设定依据</w:t>
      </w:r>
    </w:p>
    <w:p w14:paraId="15B56DBC">
      <w:pPr>
        <w:spacing w:line="540" w:lineRule="exact"/>
        <w:ind w:firstLine="560" w:firstLineChars="200"/>
        <w:outlineLvl w:val="2"/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（1）《国务院对确需保留的行政审批项目设定行政许可的决定》</w:t>
      </w:r>
    </w:p>
    <w:p w14:paraId="3A832B89">
      <w:pPr>
        <w:spacing w:line="540" w:lineRule="exact"/>
        <w:ind w:firstLine="560" w:firstLineChars="200"/>
        <w:outlineLvl w:val="2"/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（2）《健身气功管理办法》（2006年11月国家体育总局令第9号发布）第十一条</w:t>
      </w:r>
    </w:p>
    <w:p w14:paraId="0EB76508">
      <w:pPr>
        <w:spacing w:line="540" w:lineRule="exact"/>
        <w:ind w:firstLine="562" w:firstLineChars="200"/>
        <w:outlineLvl w:val="2"/>
        <w:rPr>
          <w:rFonts w:ascii="Times New Roman" w:hAnsi="Times New Roman" w:eastAsia="仿宋GB2312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5.实施依据</w:t>
      </w:r>
    </w:p>
    <w:p w14:paraId="577794B6">
      <w:pPr>
        <w:spacing w:line="540" w:lineRule="exact"/>
        <w:ind w:firstLine="560" w:firstLineChars="200"/>
        <w:outlineLvl w:val="2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（1）《健身气功管理办法》（2006年11月国家体育总局令第9号发布）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第十二条</w:t>
      </w:r>
    </w:p>
    <w:p w14:paraId="290AA4BA">
      <w:pPr>
        <w:spacing w:line="540" w:lineRule="exact"/>
        <w:ind w:firstLine="560" w:firstLineChars="200"/>
        <w:outlineLvl w:val="2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（2）《健身气功管理办法》（2006年11月国家体育总局令第9号发布）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第十三条</w:t>
      </w:r>
    </w:p>
    <w:p w14:paraId="5933EDB3"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6.监管依据</w:t>
      </w:r>
    </w:p>
    <w:p w14:paraId="3F695021">
      <w:pPr>
        <w:spacing w:line="540" w:lineRule="exact"/>
        <w:ind w:firstLine="560" w:firstLineChars="200"/>
        <w:outlineLvl w:val="2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（1）《健身气功管理办法》（2006年11月国家体育总局令第9号发布）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第二十六条</w:t>
      </w:r>
    </w:p>
    <w:p w14:paraId="58B8F57F">
      <w:pPr>
        <w:spacing w:line="540" w:lineRule="exact"/>
        <w:ind w:firstLine="560" w:firstLineChars="200"/>
        <w:outlineLvl w:val="2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（2）《健身气功管理办法》（2006年11月国家体育总局令第9号发布）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第二十七条</w:t>
      </w:r>
    </w:p>
    <w:p w14:paraId="093803DC">
      <w:pPr>
        <w:spacing w:line="540" w:lineRule="exact"/>
        <w:ind w:firstLine="560" w:firstLineChars="200"/>
        <w:outlineLvl w:val="2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（3）《大型群众性活动安全管理条例》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第二十条</w:t>
      </w:r>
    </w:p>
    <w:p w14:paraId="590D4DA6">
      <w:pPr>
        <w:spacing w:line="540" w:lineRule="exact"/>
        <w:ind w:firstLine="560" w:firstLineChars="200"/>
        <w:outlineLvl w:val="2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（4）《健身气功管理办法》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第二十五条</w:t>
      </w:r>
    </w:p>
    <w:p w14:paraId="4258256C">
      <w:pPr>
        <w:spacing w:line="540" w:lineRule="exact"/>
        <w:ind w:firstLine="560" w:firstLineChars="200"/>
        <w:outlineLvl w:val="2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（5）《大型群众性活动安全管理条例》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第二十一条</w:t>
      </w:r>
    </w:p>
    <w:p w14:paraId="1203EEB2">
      <w:pPr>
        <w:spacing w:line="540" w:lineRule="exact"/>
        <w:ind w:firstLine="560" w:firstLineChars="200"/>
        <w:outlineLvl w:val="2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（6）《大型群众性活动安全管理条例》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第二十二条</w:t>
      </w:r>
    </w:p>
    <w:p w14:paraId="7A9864BF">
      <w:pPr>
        <w:spacing w:line="540" w:lineRule="exact"/>
        <w:ind w:firstLine="560" w:firstLineChars="200"/>
        <w:outlineLvl w:val="2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（7）《大型群众性活动安全管理条例》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第二十三条</w:t>
      </w:r>
    </w:p>
    <w:p w14:paraId="72986FCF">
      <w:pPr>
        <w:spacing w:line="540" w:lineRule="exact"/>
        <w:ind w:firstLine="560" w:firstLineChars="200"/>
        <w:outlineLvl w:val="2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（8）《全民健身条例》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第三十八条</w:t>
      </w:r>
    </w:p>
    <w:p w14:paraId="776A68EE">
      <w:pPr>
        <w:spacing w:line="600" w:lineRule="exact"/>
        <w:ind w:firstLine="562" w:firstLineChars="200"/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eastAsia="zh-CN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7.</w:t>
      </w:r>
      <w:r>
        <w:rPr>
          <w:rFonts w:ascii="Times New Roman" w:hAnsi="Times New Roman" w:eastAsia="仿宋GB2312"/>
          <w:b/>
          <w:bCs/>
          <w:color w:val="auto"/>
          <w:sz w:val="28"/>
          <w:szCs w:val="28"/>
        </w:rPr>
        <w:t>实施机关</w:t>
      </w: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：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eastAsia="zh-CN"/>
        </w:rPr>
        <w:t>石林县教育体育局</w:t>
      </w:r>
    </w:p>
    <w:p w14:paraId="71773017">
      <w:pPr>
        <w:spacing w:line="600" w:lineRule="exact"/>
        <w:ind w:firstLine="562" w:firstLineChars="200"/>
        <w:rPr>
          <w:rFonts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8.</w:t>
      </w:r>
      <w:r>
        <w:rPr>
          <w:rFonts w:ascii="Times New Roman" w:hAnsi="Times New Roman" w:eastAsia="仿宋GB2312"/>
          <w:b/>
          <w:bCs/>
          <w:color w:val="auto"/>
          <w:sz w:val="28"/>
          <w:szCs w:val="28"/>
        </w:rPr>
        <w:t>审批层级</w:t>
      </w: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：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县级</w:t>
      </w:r>
    </w:p>
    <w:p w14:paraId="264FFDE9">
      <w:pPr>
        <w:spacing w:line="600" w:lineRule="exact"/>
        <w:ind w:firstLine="562" w:firstLineChars="200"/>
        <w:rPr>
          <w:rFonts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9.行使</w:t>
      </w:r>
      <w:r>
        <w:rPr>
          <w:rFonts w:ascii="Times New Roman" w:hAnsi="Times New Roman" w:eastAsia="仿宋GB2312"/>
          <w:b/>
          <w:bCs/>
          <w:color w:val="auto"/>
          <w:sz w:val="28"/>
          <w:szCs w:val="28"/>
        </w:rPr>
        <w:t>层级</w:t>
      </w: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：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县级</w:t>
      </w:r>
    </w:p>
    <w:p w14:paraId="7AA7B7C9">
      <w:pPr>
        <w:spacing w:line="600" w:lineRule="exact"/>
        <w:ind w:firstLine="562" w:firstLineChars="200"/>
        <w:rPr>
          <w:rFonts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10.</w:t>
      </w:r>
      <w:r>
        <w:rPr>
          <w:rFonts w:ascii="Times New Roman" w:hAnsi="Times New Roman" w:eastAsia="仿宋GB2312"/>
          <w:b/>
          <w:bCs/>
          <w:color w:val="auto"/>
          <w:sz w:val="28"/>
          <w:szCs w:val="28"/>
        </w:rPr>
        <w:t>是否由审批机关受理</w:t>
      </w: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：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是</w:t>
      </w:r>
    </w:p>
    <w:p w14:paraId="2A260E94">
      <w:pPr>
        <w:spacing w:line="600" w:lineRule="exact"/>
        <w:ind w:firstLine="562" w:firstLineChars="200"/>
        <w:rPr>
          <w:rFonts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11.</w:t>
      </w:r>
      <w:r>
        <w:rPr>
          <w:rFonts w:ascii="Times New Roman" w:hAnsi="Times New Roman" w:eastAsia="仿宋GB2312"/>
          <w:b/>
          <w:bCs/>
          <w:color w:val="auto"/>
          <w:sz w:val="28"/>
          <w:szCs w:val="28"/>
        </w:rPr>
        <w:t>受理层级</w:t>
      </w: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：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县级</w:t>
      </w:r>
    </w:p>
    <w:p w14:paraId="501F91D2">
      <w:pPr>
        <w:spacing w:line="600" w:lineRule="exact"/>
        <w:ind w:firstLine="562" w:firstLineChars="200"/>
        <w:rPr>
          <w:rFonts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12.</w:t>
      </w:r>
      <w:r>
        <w:rPr>
          <w:rFonts w:ascii="Times New Roman" w:hAnsi="Times New Roman" w:eastAsia="仿宋GB2312"/>
          <w:b/>
          <w:bCs/>
          <w:color w:val="auto"/>
          <w:sz w:val="28"/>
          <w:szCs w:val="28"/>
        </w:rPr>
        <w:t>是否存在初审环节</w:t>
      </w: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：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否</w:t>
      </w:r>
    </w:p>
    <w:p w14:paraId="2D8B0BB7">
      <w:pPr>
        <w:spacing w:line="600" w:lineRule="exact"/>
        <w:ind w:firstLine="562" w:firstLineChars="200"/>
        <w:rPr>
          <w:rFonts w:ascii="Times New Roman" w:hAnsi="Times New Roman" w:eastAsia="仿宋GB2312"/>
          <w:color w:val="auto"/>
          <w:sz w:val="28"/>
          <w:szCs w:val="28"/>
          <w:highlight w:val="yellow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13.</w:t>
      </w:r>
      <w:r>
        <w:rPr>
          <w:rFonts w:ascii="Times New Roman" w:hAnsi="Times New Roman" w:eastAsia="仿宋GB2312"/>
          <w:b/>
          <w:bCs/>
          <w:color w:val="auto"/>
          <w:sz w:val="28"/>
          <w:szCs w:val="28"/>
        </w:rPr>
        <w:t>初审层级</w:t>
      </w: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：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无</w:t>
      </w:r>
    </w:p>
    <w:p w14:paraId="341D303C">
      <w:pPr>
        <w:spacing w:line="600" w:lineRule="exact"/>
        <w:ind w:firstLine="562" w:firstLineChars="200"/>
        <w:jc w:val="left"/>
        <w:rPr>
          <w:rFonts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14.</w:t>
      </w:r>
      <w:r>
        <w:rPr>
          <w:rFonts w:ascii="Times New Roman" w:hAnsi="Times New Roman" w:eastAsia="仿宋GB2312"/>
          <w:b/>
          <w:bCs/>
          <w:color w:val="auto"/>
          <w:sz w:val="28"/>
          <w:szCs w:val="28"/>
        </w:rPr>
        <w:t>对应政务服务事项国家级基本目录名称</w:t>
      </w: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：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举办健身气功活动及设立站点审批</w:t>
      </w:r>
    </w:p>
    <w:p w14:paraId="0252366A">
      <w:pPr>
        <w:numPr>
          <w:ilvl w:val="0"/>
          <w:numId w:val="2"/>
        </w:numPr>
        <w:spacing w:line="540" w:lineRule="exact"/>
        <w:outlineLvl w:val="1"/>
        <w:rPr>
          <w:rFonts w:ascii="Times New Roman" w:hAnsi="Times New Roman" w:eastAsia="黑体"/>
          <w:color w:val="auto"/>
          <w:sz w:val="28"/>
          <w:szCs w:val="28"/>
        </w:rPr>
      </w:pPr>
      <w:r>
        <w:rPr>
          <w:rFonts w:hint="eastAsia" w:ascii="Times New Roman" w:hAnsi="Times New Roman" w:eastAsia="黑体"/>
          <w:color w:val="auto"/>
          <w:sz w:val="28"/>
          <w:szCs w:val="28"/>
        </w:rPr>
        <w:t>行政许可事项类型</w:t>
      </w:r>
    </w:p>
    <w:p w14:paraId="368D98C3"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条件型</w:t>
      </w:r>
    </w:p>
    <w:p w14:paraId="23363B38">
      <w:pPr>
        <w:numPr>
          <w:ilvl w:val="0"/>
          <w:numId w:val="2"/>
        </w:numPr>
        <w:spacing w:line="540" w:lineRule="exact"/>
        <w:outlineLvl w:val="1"/>
        <w:rPr>
          <w:rFonts w:hint="eastAsia" w:ascii="Times New Roman" w:hAnsi="Times New Roman" w:eastAsia="黑体"/>
          <w:color w:val="auto"/>
          <w:sz w:val="28"/>
          <w:szCs w:val="28"/>
        </w:rPr>
      </w:pPr>
      <w:r>
        <w:rPr>
          <w:rFonts w:hint="eastAsia" w:ascii="Times New Roman" w:hAnsi="Times New Roman" w:eastAsia="黑体"/>
          <w:color w:val="auto"/>
          <w:sz w:val="28"/>
          <w:szCs w:val="28"/>
        </w:rPr>
        <w:t>行政许可条件</w:t>
      </w:r>
    </w:p>
    <w:p w14:paraId="2DA5A6D7"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1.准予行政许可的条件</w:t>
      </w:r>
    </w:p>
    <w:p w14:paraId="6D50381E">
      <w:pPr>
        <w:spacing w:line="600" w:lineRule="exact"/>
        <w:ind w:firstLine="1120" w:firstLineChars="4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(一)由具有合法身份的公民、法人或其他组织提出；</w:t>
      </w:r>
    </w:p>
    <w:p w14:paraId="44D4AE20"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　　(二)所涉及的功法，必须是国家体育总局审定批准的健身气功功法；</w:t>
      </w:r>
    </w:p>
    <w:p w14:paraId="3F3ABEA7"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　　(三)有与所开展活动相适应的场所；</w:t>
      </w:r>
    </w:p>
    <w:p w14:paraId="4744C02A"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　　(四)有必要的资金和符合标准的设施、器材；</w:t>
      </w:r>
    </w:p>
    <w:p w14:paraId="5096BE63"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　　(五)有社会体育指导员和管理人员；</w:t>
      </w:r>
    </w:p>
    <w:p w14:paraId="2EB23DC2"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　　(六)有活动所在场所管理者同意使用的证明；</w:t>
      </w:r>
    </w:p>
    <w:p w14:paraId="73CFB2C5"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　　(七)有相应的安全措施和卫生条件；</w:t>
      </w:r>
    </w:p>
    <w:p w14:paraId="1D8090CB">
      <w:pPr>
        <w:spacing w:line="540" w:lineRule="exact"/>
        <w:ind w:firstLine="562" w:firstLineChars="200"/>
        <w:outlineLvl w:val="2"/>
        <w:rPr>
          <w:rFonts w:ascii="Times New Roman" w:hAnsi="Times New Roman" w:eastAsia="仿宋GB2312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2.</w:t>
      </w:r>
      <w:r>
        <w:rPr>
          <w:rFonts w:ascii="Times New Roman" w:hAnsi="Times New Roman" w:eastAsia="仿宋GB2312"/>
          <w:b/>
          <w:bCs/>
          <w:color w:val="auto"/>
          <w:sz w:val="28"/>
          <w:szCs w:val="28"/>
        </w:rPr>
        <w:t>规定行政许可条件的依据</w:t>
      </w:r>
    </w:p>
    <w:p w14:paraId="32A0B1BD"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（1）《健身气功管理办法》（2006年11月国家体育总局令第9号发布）12申请举办健身气功活动，应当具备下列条件：</w:t>
      </w:r>
    </w:p>
    <w:p w14:paraId="06B58B8F"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　　(一)由具有合法身份的公民、法人或其他组织提出；</w:t>
      </w:r>
    </w:p>
    <w:p w14:paraId="274C3D4C"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　　(二)所涉及的功法，必须是国家体育总局审定批准的健身气功功法；</w:t>
      </w:r>
    </w:p>
    <w:p w14:paraId="6E0164AC"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　　(三)有与所开展活动相适应的场所；</w:t>
      </w:r>
    </w:p>
    <w:p w14:paraId="473A64A2"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　　(四)有必要的资金和符合标准的设施、器材；</w:t>
      </w:r>
    </w:p>
    <w:p w14:paraId="4B4E7497"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　　(五)有社会体育指导员和管理人员；</w:t>
      </w:r>
    </w:p>
    <w:p w14:paraId="4D492CA3"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　　(六)有活动所在场所管理者同意使用的证明；</w:t>
      </w:r>
    </w:p>
    <w:p w14:paraId="556B135A"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　　(七)有相应的安全措施和卫生条件；</w:t>
      </w:r>
    </w:p>
    <w:p w14:paraId="689E69AB"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　　(八)法律法规规定的其他条件。</w:t>
      </w:r>
    </w:p>
    <w:p w14:paraId="491E9B7D">
      <w:pPr>
        <w:numPr>
          <w:ilvl w:val="0"/>
          <w:numId w:val="2"/>
        </w:numPr>
        <w:spacing w:line="540" w:lineRule="exact"/>
        <w:outlineLvl w:val="1"/>
        <w:rPr>
          <w:rFonts w:ascii="Times New Roman" w:hAnsi="Times New Roman" w:eastAsia="黑体"/>
          <w:color w:val="auto"/>
          <w:sz w:val="28"/>
          <w:szCs w:val="28"/>
        </w:rPr>
      </w:pPr>
      <w:r>
        <w:rPr>
          <w:rFonts w:ascii="Times New Roman" w:hAnsi="Times New Roman" w:eastAsia="黑体"/>
          <w:color w:val="auto"/>
          <w:sz w:val="28"/>
          <w:szCs w:val="28"/>
        </w:rPr>
        <w:t>行政许可服务对象类型</w:t>
      </w:r>
      <w:r>
        <w:rPr>
          <w:rFonts w:hint="eastAsia" w:ascii="Times New Roman" w:hAnsi="Times New Roman" w:eastAsia="黑体"/>
          <w:color w:val="auto"/>
          <w:sz w:val="28"/>
          <w:szCs w:val="28"/>
        </w:rPr>
        <w:t>与改革举措</w:t>
      </w:r>
    </w:p>
    <w:p w14:paraId="2BCE58FB">
      <w:pPr>
        <w:spacing w:line="600" w:lineRule="exact"/>
        <w:ind w:firstLine="562" w:firstLineChars="200"/>
        <w:rPr>
          <w:rFonts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1.服务对象类型：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自然人,企业法人,事业单位法人,社会组织法人,非法人企业,行政机关,其他组织</w:t>
      </w:r>
    </w:p>
    <w:p w14:paraId="7A57B449">
      <w:pPr>
        <w:spacing w:line="600" w:lineRule="exact"/>
        <w:ind w:firstLine="562" w:firstLineChars="200"/>
        <w:rPr>
          <w:rFonts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2.是否为涉企许可事项：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否</w:t>
      </w:r>
    </w:p>
    <w:p w14:paraId="22616EC8">
      <w:pPr>
        <w:spacing w:line="600" w:lineRule="exact"/>
        <w:ind w:firstLine="562" w:firstLineChars="200"/>
        <w:rPr>
          <w:rFonts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3.涉企经营许可事项名称：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无</w:t>
      </w:r>
    </w:p>
    <w:p w14:paraId="67D47809">
      <w:pPr>
        <w:spacing w:line="600" w:lineRule="exact"/>
        <w:ind w:firstLine="562" w:firstLineChars="200"/>
        <w:rPr>
          <w:rFonts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4.许可证件名称：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无</w:t>
      </w:r>
    </w:p>
    <w:p w14:paraId="0F2D7434">
      <w:pPr>
        <w:spacing w:line="600" w:lineRule="exact"/>
        <w:ind w:firstLine="562" w:firstLineChars="200"/>
        <w:rPr>
          <w:rFonts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5.改革方式：优化审批服务</w:t>
      </w:r>
    </w:p>
    <w:p w14:paraId="41082902">
      <w:pPr>
        <w:spacing w:line="540" w:lineRule="exact"/>
        <w:ind w:firstLine="562" w:firstLineChars="200"/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6.具体改革举措</w:t>
      </w:r>
    </w:p>
    <w:p w14:paraId="3FBC76E0">
      <w:pPr>
        <w:spacing w:line="600" w:lineRule="exact"/>
        <w:ind w:firstLine="560" w:firstLineChars="200"/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1.推广全程网上办理，推进体育领域信息数据共享应用。</w:t>
      </w:r>
    </w:p>
    <w:p w14:paraId="1576DCF2">
      <w:pPr>
        <w:spacing w:line="600" w:lineRule="exact"/>
        <w:ind w:firstLine="560" w:firstLineChars="200"/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2.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eastAsia="zh-CN"/>
        </w:rPr>
        <w:t>将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审批时限由20个工作日压减至17个工作日。</w:t>
      </w:r>
    </w:p>
    <w:p w14:paraId="0DF67C57"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3.在国家审批时限在减至17个工作日的基础上，进一步将承诺审批时限压减至10个工作日。</w:t>
      </w:r>
    </w:p>
    <w:p w14:paraId="32C261DE">
      <w:pPr>
        <w:spacing w:line="540" w:lineRule="exact"/>
        <w:ind w:firstLine="562" w:firstLineChars="200"/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7.加强</w:t>
      </w:r>
      <w:bookmarkStart w:id="0" w:name="_GoBack"/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事中事后监管</w:t>
      </w:r>
      <w:bookmarkEnd w:id="0"/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措施</w:t>
      </w:r>
    </w:p>
    <w:p w14:paraId="076C786A"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依法依规试行重点监管，强化全过程监管，加强安全监管，严格落实各环节质量和安全责任。严格按照《国家体育总局监管事项目录清单》和《中央指定地方实施行政许可事项汇总清单》的监管对象、监管措施和监管流程，对举办健身气功活动是否按照规定时间、地点、人员，是否规范使用名称，是否利用活动举办开展违法行为进行“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eastAsia="zh-CN"/>
        </w:rPr>
        <w:t>双随机、一公开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”的监管工作机制。</w:t>
      </w:r>
    </w:p>
    <w:p w14:paraId="681C3A2C">
      <w:pPr>
        <w:numPr>
          <w:ilvl w:val="0"/>
          <w:numId w:val="2"/>
        </w:numPr>
        <w:spacing w:line="540" w:lineRule="exact"/>
        <w:outlineLvl w:val="1"/>
        <w:rPr>
          <w:rFonts w:hint="eastAsia" w:ascii="Times New Roman" w:hAnsi="Times New Roman" w:eastAsia="黑体"/>
          <w:color w:val="auto"/>
          <w:sz w:val="28"/>
          <w:szCs w:val="28"/>
        </w:rPr>
      </w:pPr>
      <w:r>
        <w:rPr>
          <w:rFonts w:hint="eastAsia" w:ascii="Times New Roman" w:hAnsi="Times New Roman" w:eastAsia="黑体"/>
          <w:color w:val="auto"/>
          <w:sz w:val="28"/>
          <w:szCs w:val="28"/>
        </w:rPr>
        <w:t>申请材料</w:t>
      </w:r>
    </w:p>
    <w:p w14:paraId="457397E4"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1.申请材料名称</w:t>
      </w:r>
    </w:p>
    <w:p w14:paraId="313AAF36">
      <w:pPr>
        <w:spacing w:line="600" w:lineRule="exact"/>
        <w:ind w:firstLine="560" w:firstLineChars="200"/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申请书；活动方案（包括经费保障、人员保障、安全保障、食宿保障、气象保障等情况说明）；举办者合法的身份证明；活动场地管理者同意使用的证明。</w:t>
      </w:r>
    </w:p>
    <w:p w14:paraId="522682EE">
      <w:pPr>
        <w:spacing w:line="540" w:lineRule="exact"/>
        <w:ind w:firstLine="562" w:firstLineChars="200"/>
        <w:outlineLvl w:val="2"/>
        <w:rPr>
          <w:rFonts w:ascii="Times New Roman" w:hAnsi="Times New Roman" w:eastAsia="仿宋GB2312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2.</w:t>
      </w:r>
      <w:r>
        <w:rPr>
          <w:rFonts w:ascii="Times New Roman" w:hAnsi="Times New Roman" w:eastAsia="仿宋GB2312"/>
          <w:b/>
          <w:bCs/>
          <w:color w:val="auto"/>
          <w:sz w:val="28"/>
          <w:szCs w:val="28"/>
        </w:rPr>
        <w:t>规定申请材料的依据</w:t>
      </w:r>
    </w:p>
    <w:p w14:paraId="6F69FE7A">
      <w:pPr>
        <w:spacing w:line="600" w:lineRule="exact"/>
        <w:ind w:firstLine="560" w:firstLineChars="200"/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（1）《健身气功管理办法》（2006年11月国家体育总局令第9号发布）13申请举办健身气功活动，应当提前三十个工作日报送下列材料：</w:t>
      </w:r>
    </w:p>
    <w:p w14:paraId="10DDB75D">
      <w:pPr>
        <w:spacing w:line="600" w:lineRule="exact"/>
        <w:ind w:firstLine="560" w:firstLineChars="200"/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　　(一)申请书；</w:t>
      </w:r>
    </w:p>
    <w:p w14:paraId="4D253290">
      <w:pPr>
        <w:spacing w:line="600" w:lineRule="exact"/>
        <w:ind w:firstLine="560" w:firstLineChars="200"/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　　(二)活动方案(内容包括：举办者姓名、住址或名称、地址；功法名称；活动时间、地点、人数；社会体育指导员和管理人员情况等)；</w:t>
      </w:r>
    </w:p>
    <w:p w14:paraId="452E5BE6">
      <w:pPr>
        <w:spacing w:line="600" w:lineRule="exact"/>
        <w:ind w:firstLine="560" w:firstLineChars="200"/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　　(三)举办者合法的身份证明；</w:t>
      </w:r>
    </w:p>
    <w:p w14:paraId="36648F35">
      <w:pPr>
        <w:spacing w:line="600" w:lineRule="exact"/>
        <w:ind w:firstLine="560" w:firstLineChars="200"/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　　(四)活动场地管理者同意使用的证明；</w:t>
      </w:r>
    </w:p>
    <w:p w14:paraId="5188FD31">
      <w:pPr>
        <w:spacing w:line="600" w:lineRule="exact"/>
        <w:ind w:firstLine="560" w:firstLineChars="200"/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　　(五)社会体育指导员和管理人员的资格证明。</w:t>
      </w:r>
    </w:p>
    <w:p w14:paraId="2F1083D5">
      <w:pPr>
        <w:numPr>
          <w:ilvl w:val="0"/>
          <w:numId w:val="2"/>
        </w:numPr>
        <w:spacing w:line="540" w:lineRule="exact"/>
        <w:outlineLvl w:val="1"/>
        <w:rPr>
          <w:rFonts w:hint="eastAsia" w:ascii="Times New Roman" w:hAnsi="Times New Roman" w:eastAsia="黑体"/>
          <w:color w:val="auto"/>
          <w:sz w:val="28"/>
          <w:szCs w:val="28"/>
        </w:rPr>
      </w:pPr>
      <w:r>
        <w:rPr>
          <w:rFonts w:hint="eastAsia" w:ascii="Times New Roman" w:hAnsi="Times New Roman" w:eastAsia="黑体"/>
          <w:color w:val="auto"/>
          <w:sz w:val="28"/>
          <w:szCs w:val="28"/>
        </w:rPr>
        <w:t>中介服务</w:t>
      </w:r>
    </w:p>
    <w:p w14:paraId="428CD139">
      <w:pPr>
        <w:spacing w:line="600" w:lineRule="exact"/>
        <w:ind w:firstLine="562" w:firstLineChars="200"/>
        <w:rPr>
          <w:rFonts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1.有无法定中介服务事项：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无</w:t>
      </w:r>
    </w:p>
    <w:p w14:paraId="1E277454">
      <w:pPr>
        <w:spacing w:line="600" w:lineRule="exact"/>
        <w:ind w:firstLine="562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2.</w:t>
      </w:r>
      <w:r>
        <w:rPr>
          <w:rFonts w:ascii="Times New Roman" w:hAnsi="Times New Roman" w:eastAsia="仿宋GB2312"/>
          <w:b/>
          <w:bCs/>
          <w:color w:val="auto"/>
          <w:sz w:val="28"/>
          <w:szCs w:val="28"/>
        </w:rPr>
        <w:t>中介服务事项名称</w:t>
      </w: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：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无</w:t>
      </w:r>
    </w:p>
    <w:p w14:paraId="471C88AF">
      <w:pPr>
        <w:spacing w:line="600" w:lineRule="exact"/>
        <w:ind w:firstLine="562" w:firstLineChars="200"/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3.</w:t>
      </w:r>
      <w:r>
        <w:rPr>
          <w:rFonts w:ascii="Times New Roman" w:hAnsi="Times New Roman" w:eastAsia="仿宋GB2312"/>
          <w:b/>
          <w:bCs/>
          <w:color w:val="auto"/>
          <w:sz w:val="28"/>
          <w:szCs w:val="28"/>
        </w:rPr>
        <w:t>设定中介服务事项的依据</w:t>
      </w:r>
    </w:p>
    <w:p w14:paraId="758D33F9">
      <w:pPr>
        <w:spacing w:line="600" w:lineRule="exact"/>
        <w:ind w:firstLine="560" w:firstLineChars="200"/>
        <w:rPr>
          <w:rFonts w:ascii="Times New Roman" w:hAnsi="Times New Roman" w:eastAsia="仿宋GB2312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无</w:t>
      </w:r>
    </w:p>
    <w:p w14:paraId="6389E248">
      <w:pPr>
        <w:spacing w:line="600" w:lineRule="exact"/>
        <w:ind w:firstLine="562" w:firstLineChars="200"/>
        <w:rPr>
          <w:rFonts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4.</w:t>
      </w:r>
      <w:r>
        <w:rPr>
          <w:rFonts w:ascii="Times New Roman" w:hAnsi="Times New Roman" w:eastAsia="仿宋GB2312"/>
          <w:b/>
          <w:bCs/>
          <w:color w:val="auto"/>
          <w:sz w:val="28"/>
          <w:szCs w:val="28"/>
        </w:rPr>
        <w:t>提供中介服务的机构</w:t>
      </w: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：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无</w:t>
      </w:r>
    </w:p>
    <w:p w14:paraId="132080A0">
      <w:pPr>
        <w:spacing w:line="600" w:lineRule="exact"/>
        <w:ind w:firstLine="562" w:firstLineChars="200"/>
        <w:rPr>
          <w:rFonts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5.</w:t>
      </w:r>
      <w:r>
        <w:rPr>
          <w:rFonts w:ascii="Times New Roman" w:hAnsi="Times New Roman" w:eastAsia="仿宋GB2312"/>
          <w:b/>
          <w:bCs/>
          <w:color w:val="auto"/>
          <w:sz w:val="28"/>
          <w:szCs w:val="28"/>
        </w:rPr>
        <w:t>中介服务事项的收费性质</w:t>
      </w: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：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无</w:t>
      </w:r>
    </w:p>
    <w:p w14:paraId="531A4BF9">
      <w:pPr>
        <w:numPr>
          <w:ilvl w:val="0"/>
          <w:numId w:val="2"/>
        </w:numPr>
        <w:spacing w:line="540" w:lineRule="exact"/>
        <w:outlineLvl w:val="1"/>
        <w:rPr>
          <w:rFonts w:hint="eastAsia" w:ascii="Times New Roman" w:hAnsi="Times New Roman" w:eastAsia="黑体"/>
          <w:color w:val="auto"/>
          <w:sz w:val="28"/>
          <w:szCs w:val="28"/>
        </w:rPr>
      </w:pPr>
      <w:r>
        <w:rPr>
          <w:rFonts w:hint="eastAsia" w:ascii="Times New Roman" w:hAnsi="Times New Roman" w:eastAsia="黑体"/>
          <w:color w:val="auto"/>
          <w:sz w:val="28"/>
          <w:szCs w:val="28"/>
        </w:rPr>
        <w:t>审批程序</w:t>
      </w:r>
    </w:p>
    <w:p w14:paraId="190A9BEE"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1.办理行政许可的程序环节</w:t>
      </w:r>
    </w:p>
    <w:p w14:paraId="4740DAB4"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申请——受理——审核——批准</w:t>
      </w:r>
    </w:p>
    <w:p w14:paraId="22B50404"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2.规定行政许可程序的依据</w:t>
      </w:r>
    </w:p>
    <w:p w14:paraId="6F54849A"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《健身气功管理办法》（2006年11月国家体育总局令第9号发布）13申请举办健身气功活动，应当提前三十个工作日报送下列材料：</w:t>
      </w:r>
    </w:p>
    <w:p w14:paraId="398C6111"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　　(一)申请书；</w:t>
      </w:r>
    </w:p>
    <w:p w14:paraId="5A3327C0"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　　(二)活动方案(内容包括：举办者姓名、住址或名称、地址；功法名称；活动时间、地点、人数；社会体育指导员和管理人员情况等)；</w:t>
      </w:r>
    </w:p>
    <w:p w14:paraId="49EA55A0"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　　(三)举办者合法的身份证明；</w:t>
      </w:r>
    </w:p>
    <w:p w14:paraId="073A52CB"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　　(四)活动场地管理者同意使用的证明；</w:t>
      </w:r>
    </w:p>
    <w:p w14:paraId="17EE99F3"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　　(五)社会体育指导员和管理人员的资格证明。</w:t>
      </w:r>
    </w:p>
    <w:p w14:paraId="7B4B9D1D"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《健身气功管理办法》（2006年11月国家体育总局令第9号发布）5……体育行政部门收到举办健身气功活动或设立健身气功站点的申请后，应当于二十个工作日内做出批准或不批准的决定，并书面通知申请人。二十个工作日内不能做出决定的，经体育行政部门负责人批准，可以延长十个工作日，并将延长期限的理由告知申请人。</w:t>
      </w:r>
    </w:p>
    <w:p w14:paraId="0C862EBB">
      <w:pPr>
        <w:spacing w:line="600" w:lineRule="exact"/>
        <w:ind w:firstLine="562" w:firstLineChars="200"/>
        <w:rPr>
          <w:rFonts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3.</w:t>
      </w:r>
      <w:r>
        <w:rPr>
          <w:rFonts w:ascii="Times New Roman" w:hAnsi="Times New Roman" w:eastAsia="仿宋GB2312"/>
          <w:b/>
          <w:bCs/>
          <w:color w:val="auto"/>
          <w:sz w:val="28"/>
          <w:szCs w:val="28"/>
        </w:rPr>
        <w:t>是否需要现场勘验</w:t>
      </w: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：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部分情况下开展</w:t>
      </w:r>
    </w:p>
    <w:p w14:paraId="3AD8A773">
      <w:pPr>
        <w:spacing w:line="600" w:lineRule="exact"/>
        <w:ind w:firstLine="562" w:firstLineChars="200"/>
        <w:rPr>
          <w:rFonts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4.</w:t>
      </w:r>
      <w:r>
        <w:rPr>
          <w:rFonts w:ascii="Times New Roman" w:hAnsi="Times New Roman" w:eastAsia="仿宋GB2312"/>
          <w:b/>
          <w:bCs/>
          <w:color w:val="auto"/>
          <w:sz w:val="28"/>
          <w:szCs w:val="28"/>
        </w:rPr>
        <w:t>是否需要组织听证</w:t>
      </w: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：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部分情况下开展</w:t>
      </w:r>
    </w:p>
    <w:p w14:paraId="4DA372F4">
      <w:pPr>
        <w:spacing w:line="600" w:lineRule="exact"/>
        <w:ind w:firstLine="562" w:firstLineChars="200"/>
        <w:rPr>
          <w:rFonts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5.</w:t>
      </w:r>
      <w:r>
        <w:rPr>
          <w:rFonts w:ascii="Times New Roman" w:hAnsi="Times New Roman" w:eastAsia="仿宋GB2312"/>
          <w:b/>
          <w:bCs/>
          <w:color w:val="auto"/>
          <w:sz w:val="28"/>
          <w:szCs w:val="28"/>
        </w:rPr>
        <w:t>是否需要招标、拍卖、挂牌交易</w:t>
      </w: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：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否</w:t>
      </w:r>
    </w:p>
    <w:p w14:paraId="00B70793">
      <w:pPr>
        <w:spacing w:line="600" w:lineRule="exact"/>
        <w:ind w:firstLine="562" w:firstLineChars="200"/>
        <w:rPr>
          <w:rFonts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6.</w:t>
      </w:r>
      <w:r>
        <w:rPr>
          <w:rFonts w:ascii="Times New Roman" w:hAnsi="Times New Roman" w:eastAsia="仿宋GB2312"/>
          <w:b/>
          <w:bCs/>
          <w:color w:val="auto"/>
          <w:sz w:val="28"/>
          <w:szCs w:val="28"/>
        </w:rPr>
        <w:t>是否需要检验、检测、检疫</w:t>
      </w: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：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部分情况下开展</w:t>
      </w:r>
    </w:p>
    <w:p w14:paraId="2974E7BA">
      <w:pPr>
        <w:spacing w:line="600" w:lineRule="exact"/>
        <w:ind w:firstLine="562" w:firstLineChars="200"/>
        <w:rPr>
          <w:rFonts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7.</w:t>
      </w:r>
      <w:r>
        <w:rPr>
          <w:rFonts w:ascii="Times New Roman" w:hAnsi="Times New Roman" w:eastAsia="仿宋GB2312"/>
          <w:b/>
          <w:bCs/>
          <w:color w:val="auto"/>
          <w:sz w:val="28"/>
          <w:szCs w:val="28"/>
        </w:rPr>
        <w:t>是否需要</w:t>
      </w: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  <w:lang w:eastAsia="zh-CN"/>
        </w:rPr>
        <w:t>资金</w:t>
      </w:r>
      <w:r>
        <w:rPr>
          <w:rFonts w:ascii="Times New Roman" w:hAnsi="Times New Roman" w:eastAsia="仿宋GB2312"/>
          <w:b/>
          <w:bCs/>
          <w:color w:val="auto"/>
          <w:sz w:val="28"/>
          <w:szCs w:val="28"/>
        </w:rPr>
        <w:t>鉴定</w:t>
      </w: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：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部分情况下开展</w:t>
      </w:r>
    </w:p>
    <w:p w14:paraId="6B9D95D2">
      <w:pPr>
        <w:spacing w:line="600" w:lineRule="exact"/>
        <w:ind w:firstLine="562" w:firstLineChars="200"/>
        <w:rPr>
          <w:rFonts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8.</w:t>
      </w:r>
      <w:r>
        <w:rPr>
          <w:rFonts w:ascii="Times New Roman" w:hAnsi="Times New Roman" w:eastAsia="仿宋GB2312"/>
          <w:b/>
          <w:bCs/>
          <w:color w:val="auto"/>
          <w:sz w:val="28"/>
          <w:szCs w:val="28"/>
        </w:rPr>
        <w:t>是否需要专家评审</w:t>
      </w: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：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部分情况下开展</w:t>
      </w:r>
    </w:p>
    <w:p w14:paraId="4D7CF623">
      <w:pPr>
        <w:spacing w:line="600" w:lineRule="exact"/>
        <w:ind w:firstLine="562" w:firstLineChars="200"/>
        <w:rPr>
          <w:rFonts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9.</w:t>
      </w:r>
      <w:r>
        <w:rPr>
          <w:rFonts w:ascii="Times New Roman" w:hAnsi="Times New Roman" w:eastAsia="仿宋GB2312"/>
          <w:b/>
          <w:bCs/>
          <w:color w:val="auto"/>
          <w:sz w:val="28"/>
          <w:szCs w:val="28"/>
        </w:rPr>
        <w:t>是否需要向社会公示</w:t>
      </w: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：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是</w:t>
      </w:r>
    </w:p>
    <w:p w14:paraId="5BEA079A">
      <w:pPr>
        <w:spacing w:line="600" w:lineRule="exact"/>
        <w:ind w:firstLine="562" w:firstLineChars="200"/>
        <w:rPr>
          <w:rFonts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10.</w:t>
      </w:r>
      <w:r>
        <w:rPr>
          <w:rFonts w:ascii="Times New Roman" w:hAnsi="Times New Roman" w:eastAsia="仿宋GB2312"/>
          <w:b/>
          <w:bCs/>
          <w:color w:val="auto"/>
          <w:sz w:val="28"/>
          <w:szCs w:val="28"/>
        </w:rPr>
        <w:t>是否实行告知承诺办理</w:t>
      </w: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：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部分情况下开展</w:t>
      </w:r>
    </w:p>
    <w:p w14:paraId="37FCB553">
      <w:pPr>
        <w:spacing w:line="600" w:lineRule="exact"/>
        <w:ind w:firstLine="562" w:firstLineChars="200"/>
        <w:rPr>
          <w:rFonts w:ascii="Times New Roman" w:hAnsi="Times New Roman" w:eastAsia="仿宋GB2312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11.审批机关是否委托服务机构开展技术性服务：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部分情况下开展</w:t>
      </w:r>
    </w:p>
    <w:p w14:paraId="309C60DC">
      <w:pPr>
        <w:numPr>
          <w:ilvl w:val="0"/>
          <w:numId w:val="2"/>
        </w:numPr>
        <w:spacing w:line="540" w:lineRule="exact"/>
        <w:outlineLvl w:val="1"/>
        <w:rPr>
          <w:rFonts w:hint="eastAsia" w:ascii="Times New Roman" w:hAnsi="Times New Roman" w:eastAsia="黑体"/>
          <w:color w:val="auto"/>
          <w:sz w:val="28"/>
          <w:szCs w:val="28"/>
        </w:rPr>
      </w:pPr>
      <w:r>
        <w:rPr>
          <w:rFonts w:hint="eastAsia" w:ascii="Times New Roman" w:hAnsi="Times New Roman" w:eastAsia="黑体"/>
          <w:color w:val="auto"/>
          <w:sz w:val="28"/>
          <w:szCs w:val="28"/>
        </w:rPr>
        <w:t>受理和审批时限</w:t>
      </w:r>
    </w:p>
    <w:p w14:paraId="10582F87">
      <w:pPr>
        <w:spacing w:line="600" w:lineRule="exact"/>
        <w:ind w:firstLine="562" w:firstLineChars="200"/>
        <w:rPr>
          <w:rFonts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1.承诺受理时限：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1个工作日</w:t>
      </w:r>
    </w:p>
    <w:p w14:paraId="3D552689"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2.法定审批时限：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20个工作日</w:t>
      </w:r>
    </w:p>
    <w:p w14:paraId="2ADF7A81"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3.规定法定审批时限依据</w:t>
      </w:r>
    </w:p>
    <w:p w14:paraId="590E196B">
      <w:pPr>
        <w:spacing w:line="600" w:lineRule="exact"/>
        <w:ind w:firstLine="560" w:firstLineChars="200"/>
        <w:rPr>
          <w:rFonts w:ascii="Times New Roman" w:hAnsi="Times New Roman" w:eastAsia="仿宋GB2312"/>
          <w:color w:val="auto"/>
          <w:sz w:val="32"/>
          <w:szCs w:val="32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（1）《健身气功管理办法》（2006年11月国家体育总局令第9号发布）5……体育行政部门收到举办健身气功活动或设立健身气功站点的申请后，应当于二十个工作日内做出批准或不批准的决定，并书面通知申请人。二十个工作日内不能做出决定的，经体育行政部门负责人批准，可以延长十个工作日，并将延长期限的理由告知申请人。</w:t>
      </w:r>
    </w:p>
    <w:p w14:paraId="587D135F">
      <w:pPr>
        <w:spacing w:line="600" w:lineRule="exact"/>
        <w:ind w:firstLine="562" w:firstLineChars="200"/>
        <w:rPr>
          <w:rFonts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4.承诺审批时限：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1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0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个工作日</w:t>
      </w:r>
    </w:p>
    <w:p w14:paraId="443C14E6">
      <w:pPr>
        <w:numPr>
          <w:ilvl w:val="0"/>
          <w:numId w:val="2"/>
        </w:numPr>
        <w:spacing w:line="540" w:lineRule="exact"/>
        <w:outlineLvl w:val="1"/>
        <w:rPr>
          <w:rFonts w:hint="eastAsia" w:ascii="Times New Roman" w:hAnsi="Times New Roman" w:eastAsia="黑体"/>
          <w:color w:val="auto"/>
          <w:sz w:val="28"/>
          <w:szCs w:val="28"/>
        </w:rPr>
      </w:pPr>
      <w:r>
        <w:rPr>
          <w:rFonts w:hint="eastAsia" w:ascii="Times New Roman" w:hAnsi="Times New Roman" w:eastAsia="黑体"/>
          <w:color w:val="auto"/>
          <w:sz w:val="28"/>
          <w:szCs w:val="28"/>
        </w:rPr>
        <w:t>收费</w:t>
      </w:r>
    </w:p>
    <w:p w14:paraId="7C8FE514">
      <w:pPr>
        <w:spacing w:line="600" w:lineRule="exact"/>
        <w:ind w:firstLine="562" w:firstLineChars="200"/>
        <w:rPr>
          <w:rFonts w:hint="eastAsia"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1.办理行政许可是否收费：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否</w:t>
      </w:r>
    </w:p>
    <w:p w14:paraId="5CB81215"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2.收费项目的名称、收费项目的标准、设定收费项目的依据、规定收费标准的依据</w:t>
      </w:r>
    </w:p>
    <w:p w14:paraId="7A62D850"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无</w:t>
      </w:r>
    </w:p>
    <w:p w14:paraId="66C3B59A">
      <w:pPr>
        <w:numPr>
          <w:ilvl w:val="0"/>
          <w:numId w:val="2"/>
        </w:numPr>
        <w:spacing w:line="540" w:lineRule="exact"/>
        <w:outlineLvl w:val="1"/>
        <w:rPr>
          <w:rFonts w:hint="eastAsia" w:ascii="Times New Roman" w:hAnsi="Times New Roman" w:eastAsia="黑体"/>
          <w:color w:val="auto"/>
          <w:sz w:val="28"/>
          <w:szCs w:val="28"/>
        </w:rPr>
      </w:pPr>
      <w:r>
        <w:rPr>
          <w:rFonts w:hint="eastAsia" w:ascii="Times New Roman" w:hAnsi="Times New Roman" w:eastAsia="黑体"/>
          <w:color w:val="auto"/>
          <w:sz w:val="28"/>
          <w:szCs w:val="28"/>
        </w:rPr>
        <w:t>行政许可证件</w:t>
      </w:r>
    </w:p>
    <w:p w14:paraId="68CDD7AF">
      <w:pPr>
        <w:spacing w:line="540" w:lineRule="exact"/>
        <w:ind w:firstLine="562" w:firstLineChars="200"/>
        <w:outlineLvl w:val="2"/>
        <w:rPr>
          <w:rFonts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1.审批结果类型：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批文</w:t>
      </w:r>
    </w:p>
    <w:p w14:paraId="02DDB7AF">
      <w:pPr>
        <w:spacing w:line="600" w:lineRule="exact"/>
        <w:ind w:firstLine="562" w:firstLineChars="200"/>
        <w:rPr>
          <w:rFonts w:hint="eastAsia"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2.审批结果名称：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无</w:t>
      </w:r>
    </w:p>
    <w:p w14:paraId="119D31A2">
      <w:pPr>
        <w:spacing w:line="600" w:lineRule="exact"/>
        <w:ind w:firstLine="562" w:firstLineChars="200"/>
        <w:rPr>
          <w:rFonts w:hint="eastAsia"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3.审批结果的有效期限：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0当次</w:t>
      </w:r>
    </w:p>
    <w:p w14:paraId="2FC0E367"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4.规定审批结果有效期限的依据</w:t>
      </w:r>
    </w:p>
    <w:p w14:paraId="3E7C66E7">
      <w:pPr>
        <w:spacing w:line="600" w:lineRule="exact"/>
        <w:ind w:firstLine="560" w:firstLineChars="200"/>
        <w:rPr>
          <w:rFonts w:hint="eastAsia" w:ascii="Times New Roman" w:hAnsi="Times New Roman" w:eastAsia="仿宋GB2312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（1）无</w:t>
      </w:r>
    </w:p>
    <w:p w14:paraId="77D7D0D7">
      <w:pPr>
        <w:spacing w:line="600" w:lineRule="exact"/>
        <w:ind w:firstLine="562" w:firstLineChars="200"/>
        <w:rPr>
          <w:rFonts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5.是否需要办理审批结果变更手续：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是</w:t>
      </w:r>
    </w:p>
    <w:p w14:paraId="7980152C"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6.办理审批结果变更手续的要求</w:t>
      </w:r>
    </w:p>
    <w:p w14:paraId="4B01D9F9">
      <w:pPr>
        <w:spacing w:line="600" w:lineRule="exact"/>
        <w:ind w:firstLine="560" w:firstLineChars="200"/>
        <w:rPr>
          <w:rFonts w:hint="eastAsia" w:ascii="Times New Roman" w:hAnsi="Times New Roman" w:eastAsia="仿宋GB2312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提交变更申请。</w:t>
      </w:r>
    </w:p>
    <w:p w14:paraId="0E4F4790">
      <w:pPr>
        <w:spacing w:line="600" w:lineRule="exact"/>
        <w:ind w:firstLine="562" w:firstLineChars="200"/>
        <w:rPr>
          <w:rFonts w:hint="eastAsia"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7.是否需要办理审批结果延续手续：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否</w:t>
      </w:r>
    </w:p>
    <w:p w14:paraId="15713BAD"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8.办理审批结果延续手续的要求</w:t>
      </w:r>
    </w:p>
    <w:p w14:paraId="605C1894">
      <w:pPr>
        <w:spacing w:line="600" w:lineRule="exact"/>
        <w:ind w:firstLine="560" w:firstLineChars="200"/>
        <w:rPr>
          <w:rFonts w:hint="eastAsia" w:ascii="Times New Roman" w:hAnsi="Times New Roman" w:eastAsia="仿宋GB2312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无</w:t>
      </w:r>
    </w:p>
    <w:p w14:paraId="2F446F37"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9.审批结果的有效地域范围</w:t>
      </w:r>
    </w:p>
    <w:p w14:paraId="0361C526">
      <w:pPr>
        <w:spacing w:line="540" w:lineRule="exact"/>
        <w:ind w:firstLine="560" w:firstLineChars="200"/>
        <w:outlineLvl w:val="2"/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全国</w:t>
      </w:r>
    </w:p>
    <w:p w14:paraId="37C1E63E"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10.规定审批结果有效地域范围的依据</w:t>
      </w:r>
    </w:p>
    <w:p w14:paraId="43DCD555">
      <w:pPr>
        <w:spacing w:line="600" w:lineRule="exact"/>
        <w:ind w:firstLine="560" w:firstLineChars="200"/>
        <w:rPr>
          <w:rFonts w:hint="eastAsia"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（1）《行政许可法》41法律、行政法规设定的行政许可，其适用范围没有地域限制的，申请人取得的行政许可在全国范围内有效。</w:t>
      </w:r>
    </w:p>
    <w:p w14:paraId="3E093CE6">
      <w:pPr>
        <w:numPr>
          <w:ilvl w:val="0"/>
          <w:numId w:val="2"/>
        </w:numPr>
        <w:spacing w:line="540" w:lineRule="exact"/>
        <w:outlineLvl w:val="1"/>
        <w:rPr>
          <w:rFonts w:hint="eastAsia" w:ascii="Times New Roman" w:hAnsi="Times New Roman" w:eastAsia="黑体"/>
          <w:color w:val="auto"/>
          <w:sz w:val="28"/>
          <w:szCs w:val="28"/>
        </w:rPr>
      </w:pPr>
      <w:r>
        <w:rPr>
          <w:rFonts w:hint="eastAsia" w:ascii="Times New Roman" w:hAnsi="Times New Roman" w:eastAsia="黑体"/>
          <w:color w:val="auto"/>
          <w:sz w:val="28"/>
          <w:szCs w:val="28"/>
        </w:rPr>
        <w:t>行政许可数量限制</w:t>
      </w:r>
    </w:p>
    <w:p w14:paraId="0759D4E3">
      <w:pPr>
        <w:spacing w:line="600" w:lineRule="exact"/>
        <w:ind w:firstLine="562" w:firstLineChars="200"/>
        <w:rPr>
          <w:rFonts w:hint="eastAsia"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1.有无行政许可数量限制：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无</w:t>
      </w:r>
    </w:p>
    <w:p w14:paraId="086FCF05"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2.公布数量限制的方式：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无</w:t>
      </w:r>
    </w:p>
    <w:p w14:paraId="439623C3"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3.公布数量限制的周期：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无</w:t>
      </w:r>
    </w:p>
    <w:p w14:paraId="037CC24E">
      <w:pPr>
        <w:spacing w:line="600" w:lineRule="exact"/>
        <w:ind w:firstLine="562" w:firstLineChars="200"/>
        <w:rPr>
          <w:rFonts w:hint="eastAsia"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4.在数量限制条件下实施行政许可的方式：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无</w:t>
      </w:r>
    </w:p>
    <w:p w14:paraId="76418C8C">
      <w:pPr>
        <w:spacing w:line="600" w:lineRule="exact"/>
        <w:ind w:firstLine="562" w:firstLineChars="200"/>
        <w:jc w:val="left"/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5.规定在数量限制条件下实施行政许可方式的依据</w:t>
      </w:r>
    </w:p>
    <w:p w14:paraId="69C744ED">
      <w:pPr>
        <w:spacing w:line="600" w:lineRule="exact"/>
        <w:ind w:firstLine="560" w:firstLineChars="200"/>
        <w:jc w:val="left"/>
        <w:rPr>
          <w:rFonts w:hint="eastAsia"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无</w:t>
      </w:r>
    </w:p>
    <w:p w14:paraId="7FFBAA87">
      <w:pPr>
        <w:numPr>
          <w:ilvl w:val="0"/>
          <w:numId w:val="2"/>
        </w:numPr>
        <w:spacing w:line="540" w:lineRule="exact"/>
        <w:outlineLvl w:val="1"/>
        <w:rPr>
          <w:rFonts w:hint="eastAsia" w:ascii="Times New Roman" w:hAnsi="Times New Roman" w:eastAsia="黑体"/>
          <w:color w:val="auto"/>
          <w:sz w:val="28"/>
          <w:szCs w:val="28"/>
        </w:rPr>
      </w:pPr>
      <w:r>
        <w:rPr>
          <w:rFonts w:hint="eastAsia" w:ascii="Times New Roman" w:hAnsi="Times New Roman" w:eastAsia="黑体"/>
          <w:color w:val="auto"/>
          <w:sz w:val="28"/>
          <w:szCs w:val="28"/>
        </w:rPr>
        <w:t>行政许可后年检</w:t>
      </w:r>
    </w:p>
    <w:p w14:paraId="5DF57234">
      <w:pPr>
        <w:spacing w:line="600" w:lineRule="exact"/>
        <w:ind w:firstLine="562" w:firstLineChars="200"/>
        <w:rPr>
          <w:rFonts w:hint="eastAsia"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1.有无年检要求：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无</w:t>
      </w:r>
    </w:p>
    <w:p w14:paraId="75C2A1E0"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2.设定年检要求的依据</w:t>
      </w:r>
    </w:p>
    <w:p w14:paraId="5CB6A9D4">
      <w:pPr>
        <w:spacing w:line="540" w:lineRule="exact"/>
        <w:ind w:firstLine="560" w:firstLineChars="200"/>
        <w:outlineLvl w:val="2"/>
        <w:rPr>
          <w:rFonts w:hint="eastAsia"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无</w:t>
      </w:r>
    </w:p>
    <w:p w14:paraId="09F8A356"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3.年检周期：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无</w:t>
      </w:r>
    </w:p>
    <w:p w14:paraId="647F6191">
      <w:pPr>
        <w:spacing w:line="600" w:lineRule="exact"/>
        <w:ind w:firstLine="562" w:firstLineChars="200"/>
        <w:rPr>
          <w:rFonts w:hint="eastAsia"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4.年检是否要求报送材料：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无</w:t>
      </w:r>
    </w:p>
    <w:p w14:paraId="22D6A98A">
      <w:pPr>
        <w:spacing w:line="600" w:lineRule="exact"/>
        <w:ind w:firstLine="562" w:firstLineChars="200"/>
        <w:rPr>
          <w:rFonts w:hint="eastAsia"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5.年检报送材料名称：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无</w:t>
      </w:r>
    </w:p>
    <w:p w14:paraId="112ECDE7">
      <w:pPr>
        <w:spacing w:line="600" w:lineRule="exact"/>
        <w:ind w:firstLine="562" w:firstLineChars="200"/>
        <w:rPr>
          <w:rFonts w:hint="eastAsia"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6.年检是否收费：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无</w:t>
      </w:r>
    </w:p>
    <w:p w14:paraId="38E23BA4">
      <w:pPr>
        <w:spacing w:line="600" w:lineRule="exact"/>
        <w:ind w:firstLine="562" w:firstLineChars="200"/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7.年检收费项目的名称、年检收费项目的标准、设定年检收费项目的依据、规定年检项目收费标准的依据</w:t>
      </w:r>
    </w:p>
    <w:p w14:paraId="641D3990">
      <w:pPr>
        <w:spacing w:line="600" w:lineRule="exact"/>
        <w:ind w:firstLine="560" w:firstLineChars="200"/>
        <w:rPr>
          <w:rFonts w:hint="eastAsia"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无</w:t>
      </w:r>
    </w:p>
    <w:p w14:paraId="67602D79"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8.通过年检的证明或者标志：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无</w:t>
      </w:r>
    </w:p>
    <w:p w14:paraId="65A18677">
      <w:pPr>
        <w:numPr>
          <w:ilvl w:val="0"/>
          <w:numId w:val="2"/>
        </w:numPr>
        <w:spacing w:line="540" w:lineRule="exact"/>
        <w:outlineLvl w:val="1"/>
        <w:rPr>
          <w:rFonts w:ascii="Times New Roman" w:hAnsi="Times New Roman" w:eastAsia="黑体"/>
          <w:color w:val="auto"/>
          <w:sz w:val="28"/>
          <w:szCs w:val="28"/>
        </w:rPr>
      </w:pPr>
      <w:r>
        <w:rPr>
          <w:rFonts w:hint="eastAsia" w:ascii="Times New Roman" w:hAnsi="Times New Roman" w:eastAsia="黑体"/>
          <w:color w:val="auto"/>
          <w:sz w:val="28"/>
          <w:szCs w:val="28"/>
        </w:rPr>
        <w:t>行政许可后年报</w:t>
      </w:r>
    </w:p>
    <w:p w14:paraId="73469854">
      <w:pPr>
        <w:spacing w:line="600" w:lineRule="exact"/>
        <w:ind w:firstLine="562" w:firstLineChars="200"/>
        <w:rPr>
          <w:rFonts w:hint="eastAsia"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1.</w:t>
      </w:r>
      <w:r>
        <w:rPr>
          <w:rFonts w:ascii="Times New Roman" w:hAnsi="Times New Roman" w:eastAsia="仿宋GB2312"/>
          <w:b/>
          <w:bCs/>
          <w:color w:val="auto"/>
          <w:sz w:val="28"/>
          <w:szCs w:val="28"/>
        </w:rPr>
        <w:t>有无年报要求</w:t>
      </w: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：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无</w:t>
      </w:r>
    </w:p>
    <w:p w14:paraId="1354231B">
      <w:pPr>
        <w:spacing w:line="600" w:lineRule="exact"/>
        <w:ind w:firstLine="562" w:firstLineChars="200"/>
        <w:rPr>
          <w:rFonts w:hint="eastAsia"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2.</w:t>
      </w:r>
      <w:r>
        <w:rPr>
          <w:rFonts w:ascii="Times New Roman" w:hAnsi="Times New Roman" w:eastAsia="仿宋GB2312"/>
          <w:b/>
          <w:bCs/>
          <w:color w:val="auto"/>
          <w:sz w:val="28"/>
          <w:szCs w:val="28"/>
        </w:rPr>
        <w:t>年报报送材料名称</w:t>
      </w: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：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无</w:t>
      </w:r>
    </w:p>
    <w:p w14:paraId="09CC7FCB">
      <w:pPr>
        <w:spacing w:line="540" w:lineRule="exact"/>
        <w:ind w:firstLine="562" w:firstLineChars="200"/>
        <w:outlineLvl w:val="2"/>
        <w:rPr>
          <w:rFonts w:ascii="Times New Roman" w:hAnsi="Times New Roman" w:eastAsia="仿宋GB2312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3.</w:t>
      </w:r>
      <w:r>
        <w:rPr>
          <w:rFonts w:ascii="Times New Roman" w:hAnsi="Times New Roman" w:eastAsia="仿宋GB2312"/>
          <w:b/>
          <w:bCs/>
          <w:color w:val="auto"/>
          <w:sz w:val="28"/>
          <w:szCs w:val="28"/>
        </w:rPr>
        <w:t>设定年报要求的依据</w:t>
      </w:r>
    </w:p>
    <w:p w14:paraId="3423E6D7">
      <w:pPr>
        <w:spacing w:line="540" w:lineRule="exact"/>
        <w:ind w:firstLine="560" w:firstLineChars="200"/>
        <w:outlineLvl w:val="2"/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无</w:t>
      </w:r>
    </w:p>
    <w:p w14:paraId="34AAECA9">
      <w:pPr>
        <w:spacing w:line="600" w:lineRule="exact"/>
        <w:ind w:firstLine="562" w:firstLineChars="200"/>
        <w:rPr>
          <w:rFonts w:hint="eastAsia"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4.</w:t>
      </w:r>
      <w:r>
        <w:rPr>
          <w:rFonts w:ascii="Times New Roman" w:hAnsi="Times New Roman" w:eastAsia="仿宋GB2312"/>
          <w:b/>
          <w:bCs/>
          <w:color w:val="auto"/>
          <w:sz w:val="28"/>
          <w:szCs w:val="28"/>
        </w:rPr>
        <w:t>年报周期</w:t>
      </w: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：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无</w:t>
      </w:r>
    </w:p>
    <w:p w14:paraId="6629B03B">
      <w:pPr>
        <w:numPr>
          <w:ilvl w:val="0"/>
          <w:numId w:val="2"/>
        </w:numPr>
        <w:spacing w:line="540" w:lineRule="exact"/>
        <w:outlineLvl w:val="1"/>
        <w:rPr>
          <w:rFonts w:ascii="Times New Roman" w:hAnsi="Times New Roman" w:eastAsia="黑体"/>
          <w:color w:val="auto"/>
          <w:sz w:val="28"/>
          <w:szCs w:val="28"/>
        </w:rPr>
      </w:pPr>
      <w:r>
        <w:rPr>
          <w:rFonts w:hint="eastAsia" w:ascii="Times New Roman" w:hAnsi="Times New Roman" w:eastAsia="黑体"/>
          <w:color w:val="auto"/>
          <w:sz w:val="28"/>
          <w:szCs w:val="28"/>
        </w:rPr>
        <w:t>监管主体</w:t>
      </w:r>
    </w:p>
    <w:p w14:paraId="637F0F27">
      <w:pPr>
        <w:spacing w:line="600" w:lineRule="exact"/>
        <w:rPr>
          <w:rFonts w:hint="default" w:ascii="方正仿宋_GBK" w:hAnsi="方正仿宋_GBK" w:eastAsia="方正仿宋_GBK" w:cs="方正仿宋_GBK"/>
          <w:color w:val="auto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val="en-US" w:eastAsia="zh-CN"/>
        </w:rPr>
        <w:t>石林县教育体育局</w:t>
      </w:r>
    </w:p>
    <w:p w14:paraId="3E158728">
      <w:pPr>
        <w:spacing w:line="540" w:lineRule="exact"/>
        <w:outlineLvl w:val="1"/>
        <w:rPr>
          <w:rFonts w:hint="eastAsia" w:ascii="Times New Roman" w:hAnsi="Times New Roman" w:eastAsia="黑体"/>
          <w:color w:val="auto"/>
          <w:sz w:val="28"/>
          <w:szCs w:val="28"/>
        </w:rPr>
      </w:pPr>
      <w:r>
        <w:rPr>
          <w:rFonts w:hint="eastAsia" w:ascii="Times New Roman" w:hAnsi="Times New Roman" w:eastAsia="黑体"/>
          <w:color w:val="auto"/>
          <w:sz w:val="28"/>
          <w:szCs w:val="28"/>
        </w:rPr>
        <w:t>十五、备注</w:t>
      </w:r>
    </w:p>
    <w:p w14:paraId="681337CC">
      <w:pPr>
        <w:spacing w:line="600" w:lineRule="exact"/>
        <w:ind w:firstLine="560" w:firstLineChars="200"/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</w:pPr>
    </w:p>
    <w:p w14:paraId="6F0AF6CE">
      <w:pPr>
        <w:spacing w:line="540" w:lineRule="exact"/>
        <w:outlineLvl w:val="1"/>
        <w:rPr>
          <w:rFonts w:ascii="Times New Roman" w:hAnsi="Times New Roman" w:eastAsia="黑体"/>
          <w:color w:val="auto"/>
          <w:sz w:val="28"/>
          <w:szCs w:val="28"/>
        </w:rPr>
      </w:pPr>
    </w:p>
    <w:p w14:paraId="5664DEB7">
      <w:pPr>
        <w:rPr>
          <w:color w:val="auto"/>
        </w:rPr>
      </w:pPr>
    </w:p>
    <w:p w14:paraId="339EFDAE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GB2312">
    <w:altName w:val="仿宋"/>
    <w:panose1 w:val="00000000000000000000"/>
    <w:charset w:val="86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A99F4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4D64B1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4D64B1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F30B91"/>
    <w:multiLevelType w:val="singleLevel"/>
    <w:tmpl w:val="EFF30B9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71327CF"/>
    <w:multiLevelType w:val="singleLevel"/>
    <w:tmpl w:val="771327CF"/>
    <w:lvl w:ilvl="0" w:tentative="0">
      <w:start w:val="1"/>
      <w:numFmt w:val="decimal"/>
      <w:pStyle w:val="4"/>
      <w:suff w:val="nothing"/>
      <w:lvlText w:val="%1．"/>
      <w:lvlJc w:val="left"/>
      <w:pPr>
        <w:ind w:left="-400" w:firstLine="4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5915B9"/>
    <w:rsid w:val="06B54672"/>
    <w:rsid w:val="085915B9"/>
    <w:rsid w:val="103C5B90"/>
    <w:rsid w:val="27A76ADA"/>
    <w:rsid w:val="5CCC7836"/>
    <w:rsid w:val="6AD12B4E"/>
    <w:rsid w:val="714F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 w:afterLines="0" w:afterAutospacing="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toc 1"/>
    <w:basedOn w:val="1"/>
    <w:next w:val="1"/>
    <w:uiPriority w:val="0"/>
    <w:pPr>
      <w:numPr>
        <w:ilvl w:val="0"/>
        <w:numId w:val="1"/>
      </w:numPr>
      <w:spacing w:line="440" w:lineRule="exact"/>
      <w:ind w:left="-403" w:firstLine="0"/>
    </w:pPr>
    <w:rPr>
      <w:rFonts w:ascii="Calibri" w:hAnsi="Calibri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昆明市石林县党政机关单位</Company>
  <Pages>9</Pages>
  <Words>2967</Words>
  <Characters>3153</Characters>
  <Lines>0</Lines>
  <Paragraphs>0</Paragraphs>
  <TotalTime>1</TotalTime>
  <ScaleCrop>false</ScaleCrop>
  <LinksUpToDate>false</LinksUpToDate>
  <CharactersWithSpaces>3201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2023-12-29T06:54:00Z</dcterms:created>
  <dc:creator>韩继峰</dc:creator>
  <cp:lastModifiedBy>符号</cp:lastModifiedBy>
  <dcterms:modified xsi:type="dcterms:W3CDTF">2026-07-22T03:31:04Z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7E1D16E6B0FC4CEB804B09F4A4A83D86_13</vt:lpwstr>
  </property>
  <property fmtid="{D5CDD505-2E9C-101B-9397-08002B2CF9AE}" pid="4" name="KSOTemplateDocerSaveRecord">
    <vt:lpwstr>eyJoZGlkIjoiOGQyZDRkZmFlNWM0MDliNWRhYTQ0Nzc4MzE5NmI0MjQiLCJ1c2VySWQiOiIzNjE2NjA5NTcifQ==</vt:lpwstr>
  </property>
</Properties>
</file>