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01E19">
      <w:pPr>
        <w:ind w:firstLine="729" w:firstLineChars="98"/>
        <w:rPr>
          <w:rFonts w:hint="eastAsia" w:ascii="宋体" w:hAnsi="宋体"/>
          <w:b/>
          <w:color w:val="339933"/>
          <w:sz w:val="72"/>
          <w:szCs w:val="72"/>
        </w:rPr>
      </w:pPr>
    </w:p>
    <w:p w14:paraId="6B896522">
      <w:pPr>
        <w:ind w:firstLine="729" w:firstLineChars="98"/>
        <w:rPr>
          <w:rFonts w:ascii="宋体" w:hAnsi="宋体"/>
          <w:b/>
          <w:color w:val="339933"/>
          <w:sz w:val="72"/>
          <w:szCs w:val="72"/>
        </w:rPr>
      </w:pPr>
      <w:r>
        <w:rPr>
          <w:rFonts w:hint="eastAsia" w:ascii="宋体" w:hAnsi="宋体"/>
          <w:b/>
          <w:color w:val="339933"/>
          <w:sz w:val="72"/>
          <w:szCs w:val="72"/>
        </w:rPr>
        <w:t>审 计 业 务 约 定 书</w:t>
      </w:r>
    </w:p>
    <w:p w14:paraId="11F96BBB">
      <w:pPr>
        <w:ind w:firstLine="1612" w:firstLineChars="347"/>
        <w:rPr>
          <w:rFonts w:ascii="宋体" w:hAnsi="宋体"/>
          <w:b/>
          <w:color w:val="339933"/>
          <w:sz w:val="44"/>
          <w:szCs w:val="44"/>
        </w:rPr>
      </w:pPr>
      <w:r>
        <w:rPr>
          <w:rFonts w:hint="eastAsia" w:ascii="宋体" w:hAnsi="宋体"/>
          <w:b/>
          <w:color w:val="339933"/>
          <w:sz w:val="44"/>
          <w:szCs w:val="44"/>
        </w:rPr>
        <w:t>AUDIT  ENGAGEMENT  LETTERS</w:t>
      </w:r>
    </w:p>
    <w:p w14:paraId="4D262190">
      <w:pPr>
        <w:ind w:left="0" w:leftChars="0" w:right="0" w:rightChars="0" w:firstLine="0" w:firstLineChars="0"/>
        <w:jc w:val="center"/>
        <w:rPr>
          <w:rFonts w:hint="eastAsia" w:ascii="宋体" w:hAnsi="宋体"/>
          <w:b/>
          <w:bCs/>
          <w:color w:val="auto"/>
          <w:sz w:val="30"/>
        </w:rPr>
      </w:pPr>
    </w:p>
    <w:p w14:paraId="4F846AA9">
      <w:pPr>
        <w:ind w:left="0" w:leftChars="0" w:right="0" w:rightChars="0" w:firstLine="0" w:firstLineChars="0"/>
        <w:jc w:val="center"/>
        <w:rPr>
          <w:rFonts w:ascii="宋体" w:hAnsi="宋体"/>
          <w:b/>
          <w:bCs/>
          <w:color w:val="auto"/>
          <w:sz w:val="30"/>
        </w:rPr>
      </w:pPr>
      <w:r>
        <w:rPr>
          <w:rFonts w:hint="eastAsia" w:ascii="宋体" w:hAnsi="宋体"/>
          <w:b/>
          <w:bCs/>
          <w:color w:val="auto"/>
          <w:sz w:val="30"/>
        </w:rPr>
        <w:t>TC-XZ-A2606-050</w:t>
      </w:r>
    </w:p>
    <w:p w14:paraId="206A1106">
      <w:pPr>
        <w:rPr>
          <w:rFonts w:ascii="宋体" w:hAnsi="宋体"/>
          <w:sz w:val="30"/>
        </w:rPr>
      </w:pPr>
    </w:p>
    <w:p w14:paraId="28A20475">
      <w:pPr>
        <w:ind w:firstLine="3778" w:firstLineChars="1608"/>
        <w:rPr>
          <w:rFonts w:hint="eastAsia" w:ascii="宋体" w:hAnsi="宋体"/>
          <w:b/>
          <w:bCs/>
          <w:szCs w:val="21"/>
          <w14:shadow w14:blurRad="50800" w14:dist="38100" w14:dir="2700000" w14:sx="100000" w14:sy="100000" w14:kx="0" w14:ky="0" w14:algn="tl">
            <w14:srgbClr w14:val="000000">
              <w14:alpha w14:val="60000"/>
            </w14:srgbClr>
          </w14:shadow>
        </w:rPr>
      </w:pPr>
    </w:p>
    <w:p w14:paraId="0715AF97">
      <w:pPr>
        <w:tabs>
          <w:tab w:val="left" w:pos="4335"/>
        </w:tabs>
        <w:ind w:firstLine="5225" w:firstLineChars="1608"/>
        <w:rPr>
          <w:rFonts w:ascii="宋体" w:hAnsi="宋体"/>
          <w:sz w:val="30"/>
        </w:rPr>
      </w:pPr>
      <w:r>
        <w:rPr>
          <w:rFonts w:ascii="宋体" w:hAnsi="宋体"/>
          <w:sz w:val="30"/>
        </w:rPr>
        <w:tab/>
      </w:r>
    </w:p>
    <w:p w14:paraId="3FC58388">
      <w:pPr>
        <w:tabs>
          <w:tab w:val="center" w:pos="4153"/>
        </w:tabs>
        <w:rPr>
          <w:rFonts w:hint="eastAsia" w:ascii="宋体" w:hAnsi="宋体"/>
          <w:sz w:val="30"/>
        </w:rPr>
      </w:pPr>
      <w:r>
        <w:rPr>
          <w:rFonts w:ascii="宋体" w:hAnsi="宋体"/>
          <w:color w:val="99CC00"/>
          <w:lang/>
        </w:rPr>
        <w:drawing>
          <wp:anchor distT="0" distB="0" distL="114300" distR="114300" simplePos="0" relativeHeight="251659264" behindDoc="1" locked="0" layoutInCell="1" allowOverlap="0">
            <wp:simplePos x="0" y="0"/>
            <wp:positionH relativeFrom="column">
              <wp:posOffset>2400300</wp:posOffset>
            </wp:positionH>
            <wp:positionV relativeFrom="paragraph">
              <wp:posOffset>0</wp:posOffset>
            </wp:positionV>
            <wp:extent cx="866775" cy="882015"/>
            <wp:effectExtent l="0" t="0" r="9525" b="13335"/>
            <wp:wrapNone/>
            <wp:docPr id="1" name="图片 2"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标志"/>
                    <pic:cNvPicPr>
                      <a:picLocks noChangeAspect="1"/>
                    </pic:cNvPicPr>
                  </pic:nvPicPr>
                  <pic:blipFill>
                    <a:blip r:embed="rId9"/>
                    <a:stretch>
                      <a:fillRect/>
                    </a:stretch>
                  </pic:blipFill>
                  <pic:spPr>
                    <a:xfrm>
                      <a:off x="0" y="0"/>
                      <a:ext cx="866775" cy="882015"/>
                    </a:xfrm>
                    <a:prstGeom prst="rect">
                      <a:avLst/>
                    </a:prstGeom>
                    <a:solidFill>
                      <a:srgbClr val="FFFF00"/>
                    </a:solidFill>
                    <a:ln>
                      <a:noFill/>
                    </a:ln>
                  </pic:spPr>
                </pic:pic>
              </a:graphicData>
            </a:graphic>
          </wp:anchor>
        </w:drawing>
      </w:r>
      <w:r>
        <w:rPr>
          <w:rFonts w:hint="eastAsia" w:ascii="宋体" w:hAnsi="宋体"/>
          <w:sz w:val="30"/>
        </w:rPr>
        <w:t xml:space="preserve">                  </w:t>
      </w:r>
      <w:r>
        <w:rPr>
          <w:rFonts w:ascii="宋体" w:hAnsi="宋体"/>
          <w:sz w:val="30"/>
        </w:rPr>
        <w:tab/>
      </w:r>
    </w:p>
    <w:p w14:paraId="2AB4C981">
      <w:pPr>
        <w:ind w:firstLine="2242" w:firstLineChars="650"/>
        <w:rPr>
          <w:rFonts w:hint="eastAsia" w:ascii="宋体" w:hAnsi="宋体"/>
          <w:b/>
          <w:bCs/>
          <w:sz w:val="32"/>
          <w:szCs w:val="32"/>
          <w14:shadow w14:blurRad="50800" w14:dist="38100" w14:dir="2700000" w14:sx="100000" w14:sy="100000" w14:kx="0" w14:ky="0" w14:algn="tl">
            <w14:srgbClr w14:val="000000">
              <w14:alpha w14:val="60000"/>
            </w14:srgbClr>
          </w14:shadow>
        </w:rPr>
      </w:pPr>
    </w:p>
    <w:p w14:paraId="0D3AE301">
      <w:pPr>
        <w:ind w:firstLine="3225" w:firstLineChars="935"/>
        <w:rPr>
          <w:rFonts w:ascii="宋体" w:hAnsi="宋体" w:cs="Arial Unicode MS"/>
          <w:caps/>
          <w:outline/>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宋体" w:hAnsi="宋体" w:cs="Arial Unicode MS"/>
          <w:b/>
          <w:bCs/>
          <w:sz w:val="32"/>
          <w:szCs w:val="32"/>
          <w14:shadow w14:blurRad="50800" w14:dist="38100" w14:dir="2700000" w14:sx="100000" w14:sy="100000" w14:kx="0" w14:ky="0" w14:algn="tl">
            <w14:srgbClr w14:val="000000">
              <w14:alpha w14:val="60000"/>
            </w14:srgbClr>
          </w14:shadow>
        </w:rPr>
        <w:t>Yunnan Yunling</w:t>
      </w:r>
    </w:p>
    <w:p w14:paraId="035FA051">
      <w:pPr>
        <w:spacing w:line="800" w:lineRule="atLeast"/>
        <w:jc w:val="center"/>
        <w:rPr>
          <w:rFonts w:hint="eastAsia" w:ascii="宋体" w:hAnsi="宋体"/>
          <w:sz w:val="32"/>
          <w:szCs w:val="32"/>
        </w:rPr>
      </w:pPr>
      <w:r>
        <w:rPr>
          <w:rFonts w:ascii="宋体" w:hAnsi="宋体"/>
          <w:sz w:val="32"/>
          <w:szCs w:val="32"/>
        </w:rPr>
        <w:t xml:space="preserve">   </w:t>
      </w:r>
    </w:p>
    <w:p w14:paraId="270D57F4">
      <w:pPr>
        <w:spacing w:line="800" w:lineRule="atLeast"/>
        <w:rPr>
          <w:rFonts w:hint="eastAsia" w:ascii="宋体" w:hAnsi="宋体"/>
          <w:sz w:val="32"/>
          <w:szCs w:val="32"/>
        </w:rPr>
      </w:pPr>
    </w:p>
    <w:p w14:paraId="6189932E">
      <w:pPr>
        <w:pStyle w:val="2"/>
        <w:rPr>
          <w:rFonts w:hint="eastAsia"/>
        </w:rPr>
      </w:pPr>
    </w:p>
    <w:p w14:paraId="3A766C7D">
      <w:pPr>
        <w:spacing w:line="800" w:lineRule="atLeast"/>
        <w:ind w:left="2380" w:hanging="2376" w:hangingChars="689"/>
        <w:rPr>
          <w:rFonts w:hint="default" w:ascii="仿宋_GB2312" w:hAnsi="宋体" w:eastAsia="仿宋_GB2312"/>
          <w:sz w:val="32"/>
          <w:szCs w:val="32"/>
          <w:lang w:val="en-US"/>
        </w:rPr>
      </w:pPr>
      <w:r>
        <w:rPr>
          <w:rFonts w:hint="eastAsia" w:ascii="仿宋_GB2312" w:hAnsi="宋体" w:eastAsia="仿宋_GB2312"/>
          <w:sz w:val="32"/>
          <w:szCs w:val="32"/>
        </w:rPr>
        <w:t>委 托 项 目：</w:t>
      </w:r>
      <w:r>
        <w:rPr>
          <w:rFonts w:hint="eastAsia" w:ascii="仿宋_GB2312" w:hAnsi="宋体" w:eastAsia="仿宋_GB2312"/>
          <w:sz w:val="32"/>
          <w:szCs w:val="32"/>
          <w:lang w:val="en-US" w:eastAsia="zh-CN"/>
        </w:rPr>
        <w:t xml:space="preserve"> 石林彝族自治县公安局</w:t>
      </w:r>
      <w:r>
        <w:rPr>
          <w:rFonts w:hint="eastAsia" w:ascii="仿宋_GB2312" w:hAnsi="宋体" w:eastAsia="仿宋_GB2312"/>
          <w:sz w:val="32"/>
          <w:szCs w:val="32"/>
        </w:rPr>
        <w:t>202</w:t>
      </w:r>
      <w:r>
        <w:rPr>
          <w:rFonts w:hint="eastAsia" w:ascii="仿宋_GB2312" w:hAnsi="宋体" w:eastAsia="仿宋_GB2312"/>
          <w:sz w:val="32"/>
          <w:szCs w:val="32"/>
          <w:lang w:val="en-US" w:eastAsia="zh-CN"/>
        </w:rPr>
        <w:t>6</w:t>
      </w:r>
      <w:r>
        <w:rPr>
          <w:rFonts w:hint="eastAsia" w:ascii="仿宋_GB2312" w:hAnsi="宋体" w:eastAsia="仿宋_GB2312"/>
          <w:sz w:val="32"/>
          <w:szCs w:val="32"/>
        </w:rPr>
        <w:t>年</w:t>
      </w:r>
      <w:r>
        <w:rPr>
          <w:rFonts w:hint="eastAsia" w:ascii="仿宋_GB2312" w:hAnsi="宋体" w:eastAsia="仿宋_GB2312"/>
          <w:sz w:val="32"/>
          <w:szCs w:val="32"/>
          <w:lang w:val="en-US" w:eastAsia="zh-CN"/>
        </w:rPr>
        <w:t>全覆盖财务收支审计</w:t>
      </w:r>
    </w:p>
    <w:p w14:paraId="7E4BC650">
      <w:pPr>
        <w:spacing w:line="800" w:lineRule="atLeast"/>
        <w:rPr>
          <w:rFonts w:hint="eastAsia" w:ascii="仿宋_GB2312" w:hAnsi="宋体" w:eastAsia="仿宋_GB2312"/>
          <w:sz w:val="32"/>
          <w:szCs w:val="32"/>
        </w:rPr>
      </w:pPr>
      <w:r>
        <w:rPr>
          <w:rFonts w:hint="eastAsia" w:ascii="仿宋_GB2312" w:hAnsi="宋体" w:eastAsia="仿宋_GB2312"/>
          <w:sz w:val="32"/>
          <w:szCs w:val="32"/>
        </w:rPr>
        <w:t>委托单位（甲方）：</w:t>
      </w:r>
      <w:r>
        <w:rPr>
          <w:rFonts w:hint="eastAsia" w:ascii="仿宋_GB2312" w:hAnsi="宋体" w:eastAsia="仿宋_GB2312"/>
          <w:sz w:val="32"/>
          <w:szCs w:val="32"/>
          <w:lang w:val="en-US" w:eastAsia="zh-CN"/>
        </w:rPr>
        <w:t>石林彝族自治县公安局</w:t>
      </w:r>
    </w:p>
    <w:p w14:paraId="5C5E4AEC">
      <w:pPr>
        <w:spacing w:line="800" w:lineRule="atLeast"/>
        <w:rPr>
          <w:rFonts w:ascii="仿宋_GB2312" w:hAnsi="宋体" w:eastAsia="仿宋_GB2312"/>
          <w:spacing w:val="-14"/>
          <w:sz w:val="32"/>
          <w:szCs w:val="32"/>
        </w:rPr>
      </w:pPr>
      <w:r>
        <w:rPr>
          <w:rFonts w:hint="eastAsia" w:ascii="仿宋_GB2312" w:hAnsi="宋体" w:eastAsia="仿宋_GB2312"/>
          <w:sz w:val="32"/>
          <w:szCs w:val="32"/>
        </w:rPr>
        <w:t>受托单位（乙方）：</w:t>
      </w:r>
      <w:r>
        <w:rPr>
          <w:rFonts w:hint="eastAsia" w:ascii="仿宋_GB2312" w:hAnsi="宋体" w:eastAsia="仿宋_GB2312"/>
          <w:spacing w:val="-14"/>
          <w:sz w:val="32"/>
          <w:szCs w:val="32"/>
        </w:rPr>
        <w:t>云南云岭天成会计师事务所有限公司</w:t>
      </w:r>
    </w:p>
    <w:p w14:paraId="51EABC0A">
      <w:pPr>
        <w:spacing w:line="800" w:lineRule="atLeast"/>
        <w:rPr>
          <w:rFonts w:hint="eastAsia" w:ascii="仿宋_GB2312" w:hAnsi="宋体" w:eastAsia="仿宋_GB2312"/>
          <w:spacing w:val="-14"/>
          <w:sz w:val="32"/>
          <w:szCs w:val="32"/>
        </w:rPr>
      </w:pPr>
    </w:p>
    <w:p w14:paraId="1E672595">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兹由甲方委托乙方对</w:t>
      </w:r>
      <w:r>
        <w:rPr>
          <w:rFonts w:hint="eastAsia" w:ascii="仿宋_GB2312" w:hAnsi="宋体" w:eastAsia="仿宋_GB2312"/>
          <w:sz w:val="30"/>
          <w:szCs w:val="30"/>
          <w:lang w:val="en-US" w:eastAsia="zh-CN"/>
        </w:rPr>
        <w:t>石林彝族自治县公安局</w:t>
      </w:r>
      <w:r>
        <w:rPr>
          <w:rFonts w:hint="eastAsia" w:ascii="仿宋_GB2312" w:hAnsi="宋体" w:eastAsia="仿宋_GB2312"/>
          <w:sz w:val="30"/>
          <w:szCs w:val="30"/>
        </w:rPr>
        <w:t>202</w:t>
      </w:r>
      <w:r>
        <w:rPr>
          <w:rFonts w:hint="eastAsia" w:ascii="仿宋_GB2312" w:hAnsi="宋体" w:eastAsia="仿宋_GB2312"/>
          <w:sz w:val="30"/>
          <w:szCs w:val="30"/>
          <w:lang w:val="en-US" w:eastAsia="zh-CN"/>
        </w:rPr>
        <w:t>6</w:t>
      </w:r>
      <w:r>
        <w:rPr>
          <w:rFonts w:hint="eastAsia" w:ascii="仿宋_GB2312" w:hAnsi="宋体" w:eastAsia="仿宋_GB2312"/>
          <w:sz w:val="30"/>
          <w:szCs w:val="30"/>
        </w:rPr>
        <w:t>年</w:t>
      </w:r>
      <w:r>
        <w:rPr>
          <w:rFonts w:hint="eastAsia" w:ascii="仿宋_GB2312" w:hAnsi="宋体" w:eastAsia="仿宋_GB2312"/>
          <w:sz w:val="30"/>
          <w:szCs w:val="30"/>
          <w:lang w:val="en-US" w:eastAsia="zh-CN"/>
        </w:rPr>
        <w:t>全覆盖财务收支情况进行审计</w:t>
      </w:r>
      <w:r>
        <w:rPr>
          <w:rFonts w:hint="eastAsia" w:ascii="仿宋_GB2312" w:hAnsi="宋体" w:eastAsia="仿宋_GB2312" w:cs="Times New Roman"/>
          <w:sz w:val="30"/>
          <w:szCs w:val="30"/>
        </w:rPr>
        <w:t>，达成以下约定：</w:t>
      </w:r>
    </w:p>
    <w:p w14:paraId="7E3CE53D">
      <w:pPr>
        <w:pStyle w:val="13"/>
        <w:spacing w:line="240" w:lineRule="auto"/>
        <w:ind w:right="-326" w:rightChars="-139" w:firstLine="539" w:firstLineChars="166"/>
        <w:rPr>
          <w:rFonts w:hint="eastAsia" w:ascii="黑体" w:hAnsi="黑体" w:eastAsia="黑体" w:cs="Times New Roman"/>
          <w:w w:val="100"/>
          <w:sz w:val="30"/>
          <w:szCs w:val="30"/>
        </w:rPr>
      </w:pPr>
      <w:r>
        <w:rPr>
          <w:rFonts w:hint="eastAsia" w:ascii="黑体" w:hAnsi="黑体" w:eastAsia="黑体" w:cs="Times New Roman"/>
          <w:w w:val="100"/>
          <w:sz w:val="30"/>
          <w:szCs w:val="30"/>
        </w:rPr>
        <w:t>一、业务范围与审计目标</w:t>
      </w:r>
    </w:p>
    <w:p w14:paraId="16A1E8A2">
      <w:pPr>
        <w:pStyle w:val="3"/>
        <w:ind w:right="-326" w:rightChars="-139" w:firstLine="539" w:firstLineChars="166"/>
        <w:rPr>
          <w:rFonts w:hint="eastAsia" w:ascii="仿宋_GB2312" w:hAnsi="宋体" w:eastAsia="仿宋_GB2312" w:cs="Times New Roman"/>
          <w:sz w:val="30"/>
          <w:szCs w:val="30"/>
          <w:highlight w:val="none"/>
        </w:rPr>
      </w:pPr>
      <w:r>
        <w:rPr>
          <w:rFonts w:hint="eastAsia" w:ascii="仿宋_GB2312" w:hAnsi="宋体" w:eastAsia="仿宋_GB2312" w:cs="Times New Roman"/>
          <w:sz w:val="30"/>
          <w:szCs w:val="30"/>
        </w:rPr>
        <w:t>1.乙方接受甲方</w:t>
      </w:r>
      <w:r>
        <w:rPr>
          <w:rFonts w:hint="eastAsia" w:ascii="仿宋_GB2312" w:hAnsi="宋体" w:eastAsia="仿宋_GB2312" w:cs="Times New Roman"/>
          <w:sz w:val="30"/>
          <w:szCs w:val="30"/>
          <w:highlight w:val="none"/>
        </w:rPr>
        <w:t>委托，对甲方2026年度零余额账户和基本账户收支情况</w:t>
      </w:r>
      <w:r>
        <w:rPr>
          <w:rFonts w:hint="eastAsia" w:ascii="仿宋_GB2312" w:hAnsi="宋体" w:eastAsia="仿宋_GB2312" w:cs="Times New Roman"/>
          <w:sz w:val="30"/>
          <w:szCs w:val="30"/>
          <w:highlight w:val="none"/>
          <w:lang w:eastAsia="zh-CN"/>
        </w:rPr>
        <w:t>（</w:t>
      </w:r>
      <w:r>
        <w:rPr>
          <w:rFonts w:hint="eastAsia" w:ascii="仿宋_GB2312" w:hAnsi="宋体" w:eastAsia="仿宋_GB2312" w:cs="Times New Roman"/>
          <w:sz w:val="30"/>
          <w:szCs w:val="30"/>
          <w:highlight w:val="none"/>
        </w:rPr>
        <w:t>不包括公安特费、涉密项目</w:t>
      </w:r>
      <w:r>
        <w:rPr>
          <w:rFonts w:hint="eastAsia" w:ascii="仿宋_GB2312" w:hAnsi="宋体" w:eastAsia="仿宋_GB2312" w:cs="Times New Roman"/>
          <w:sz w:val="30"/>
          <w:szCs w:val="30"/>
          <w:highlight w:val="none"/>
          <w:lang w:eastAsia="zh-CN"/>
        </w:rPr>
        <w:t>）</w:t>
      </w:r>
      <w:r>
        <w:rPr>
          <w:rFonts w:hint="eastAsia" w:ascii="仿宋_GB2312" w:hAnsi="宋体" w:eastAsia="仿宋_GB2312" w:cs="Times New Roman"/>
          <w:sz w:val="30"/>
          <w:szCs w:val="30"/>
          <w:highlight w:val="none"/>
        </w:rPr>
        <w:t>，开展全覆盖财务收支“每季一审”工作、全覆盖涉案财物“每季一审”、领导干部经济责任审计等工作并提出审计意见、建议，出具季度审计报告，次年2月出具全年审计报告。</w:t>
      </w:r>
    </w:p>
    <w:p w14:paraId="30B536CB">
      <w:pPr>
        <w:pStyle w:val="3"/>
        <w:ind w:right="-326" w:rightChars="-139" w:firstLine="539" w:firstLineChars="166"/>
        <w:rPr>
          <w:rFonts w:hint="eastAsia" w:ascii="仿宋_GB2312" w:hAnsi="宋体" w:eastAsia="仿宋_GB2312" w:cs="Times New Roman"/>
          <w:sz w:val="30"/>
          <w:szCs w:val="30"/>
          <w:highlight w:val="none"/>
        </w:rPr>
      </w:pPr>
      <w:r>
        <w:rPr>
          <w:rFonts w:hint="eastAsia" w:ascii="仿宋_GB2312" w:hAnsi="宋体" w:eastAsia="仿宋_GB2312" w:cs="Times New Roman"/>
          <w:sz w:val="30"/>
          <w:szCs w:val="30"/>
          <w:highlight w:val="none"/>
        </w:rPr>
        <w:t>2.乙方通过执行审计工作，对下列方面发表审计意见：</w:t>
      </w:r>
    </w:p>
    <w:p w14:paraId="0ADE71EC">
      <w:pPr>
        <w:pStyle w:val="3"/>
        <w:ind w:right="-326" w:rightChars="-139" w:firstLine="539" w:firstLineChars="166"/>
        <w:rPr>
          <w:rFonts w:hint="eastAsia" w:ascii="仿宋_GB2312" w:hAnsi="宋体" w:eastAsia="仿宋_GB2312" w:cs="Times New Roman"/>
          <w:sz w:val="30"/>
          <w:szCs w:val="30"/>
          <w:highlight w:val="none"/>
          <w:lang w:eastAsia="zh-CN"/>
        </w:rPr>
      </w:pPr>
      <w:r>
        <w:rPr>
          <w:rFonts w:hint="eastAsia" w:ascii="仿宋_GB2312" w:hAnsi="宋体" w:eastAsia="仿宋_GB2312" w:cs="Times New Roman"/>
          <w:sz w:val="30"/>
          <w:szCs w:val="30"/>
          <w:highlight w:val="none"/>
          <w:lang w:eastAsia="zh-CN"/>
        </w:rPr>
        <w:t>（</w:t>
      </w:r>
      <w:r>
        <w:rPr>
          <w:rFonts w:hint="eastAsia" w:ascii="仿宋_GB2312" w:hAnsi="宋体" w:eastAsia="仿宋_GB2312" w:cs="Times New Roman"/>
          <w:sz w:val="30"/>
          <w:szCs w:val="30"/>
          <w:highlight w:val="none"/>
          <w:lang w:val="en-US" w:eastAsia="zh-CN"/>
        </w:rPr>
        <w:t>1</w:t>
      </w:r>
      <w:r>
        <w:rPr>
          <w:rFonts w:hint="eastAsia" w:ascii="仿宋_GB2312" w:hAnsi="宋体" w:eastAsia="仿宋_GB2312" w:cs="Times New Roman"/>
          <w:sz w:val="30"/>
          <w:szCs w:val="30"/>
          <w:highlight w:val="none"/>
          <w:lang w:eastAsia="zh-CN"/>
        </w:rPr>
        <w:t>）通用财务审计</w:t>
      </w:r>
    </w:p>
    <w:p w14:paraId="4AEB439F">
      <w:pPr>
        <w:pStyle w:val="3"/>
        <w:ind w:right="-326" w:rightChars="-139" w:firstLine="539" w:firstLineChars="166"/>
        <w:rPr>
          <w:rFonts w:hint="default" w:ascii="仿宋_GB2312" w:hAnsi="宋体" w:eastAsia="仿宋_GB2312" w:cs="Times New Roman"/>
          <w:sz w:val="30"/>
          <w:szCs w:val="30"/>
          <w:lang w:val="en-US" w:eastAsia="zh-CN"/>
        </w:rPr>
      </w:pPr>
      <w:r>
        <w:rPr>
          <w:rFonts w:hint="eastAsia" w:ascii="仿宋_GB2312" w:hAnsi="宋体" w:eastAsia="仿宋_GB2312" w:cs="Times New Roman"/>
          <w:sz w:val="30"/>
          <w:szCs w:val="30"/>
          <w:lang w:eastAsia="zh-CN"/>
        </w:rPr>
        <w:t>预决算编制、批复、执行及公开情况；预算资金拨付情况；基本支出及项目支出情况；资产管理情况；政府采购情况；往来款项情况；执行财经纪律情况；执行中央</w:t>
      </w:r>
      <w:bookmarkStart w:id="0" w:name="_GoBack"/>
      <w:r>
        <w:rPr>
          <w:rFonts w:hint="eastAsia" w:ascii="仿宋_GB2312" w:hAnsi="宋体" w:eastAsia="仿宋_GB2312" w:cs="Times New Roman"/>
          <w:sz w:val="30"/>
          <w:szCs w:val="30"/>
          <w:lang w:eastAsia="zh-CN"/>
        </w:rPr>
        <w:t>八项规定</w:t>
      </w:r>
      <w:bookmarkEnd w:id="0"/>
      <w:r>
        <w:rPr>
          <w:rFonts w:hint="eastAsia" w:ascii="仿宋_GB2312" w:hAnsi="宋体" w:eastAsia="仿宋_GB2312" w:cs="Times New Roman"/>
          <w:sz w:val="30"/>
          <w:szCs w:val="30"/>
          <w:lang w:eastAsia="zh-CN"/>
        </w:rPr>
        <w:t>精神情况</w:t>
      </w:r>
      <w:r>
        <w:rPr>
          <w:rFonts w:hint="eastAsia" w:ascii="仿宋_GB2312" w:hAnsi="宋体" w:eastAsia="仿宋_GB2312" w:cs="Times New Roman"/>
          <w:sz w:val="30"/>
          <w:szCs w:val="30"/>
          <w:lang w:val="en-US" w:eastAsia="zh-CN"/>
        </w:rPr>
        <w:t>等；</w:t>
      </w:r>
    </w:p>
    <w:p w14:paraId="07505964">
      <w:pPr>
        <w:pStyle w:val="3"/>
        <w:ind w:right="-326" w:rightChars="-139" w:firstLine="539" w:firstLineChars="166"/>
        <w:rPr>
          <w:rFonts w:hint="eastAsia" w:ascii="仿宋_GB2312" w:hAnsi="宋体" w:eastAsia="仿宋_GB2312" w:cs="Times New Roman"/>
          <w:sz w:val="30"/>
          <w:szCs w:val="30"/>
          <w:lang w:eastAsia="zh-CN"/>
        </w:rPr>
      </w:pP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2</w:t>
      </w:r>
      <w:r>
        <w:rPr>
          <w:rFonts w:hint="eastAsia" w:ascii="仿宋_GB2312" w:hAnsi="宋体" w:eastAsia="仿宋_GB2312" w:cs="Times New Roman"/>
          <w:sz w:val="30"/>
          <w:szCs w:val="30"/>
          <w:lang w:eastAsia="zh-CN"/>
        </w:rPr>
        <w:t>）涉案财物审计专项要求</w:t>
      </w:r>
    </w:p>
    <w:p w14:paraId="3F7FC70A">
      <w:pPr>
        <w:pStyle w:val="3"/>
        <w:ind w:right="-326" w:rightChars="-139" w:firstLine="539" w:firstLineChars="166"/>
        <w:rPr>
          <w:rFonts w:hint="eastAsia" w:ascii="仿宋_GB2312" w:hAnsi="宋体" w:eastAsia="仿宋_GB2312" w:cs="Times New Roman"/>
          <w:sz w:val="30"/>
          <w:szCs w:val="30"/>
          <w:lang w:eastAsia="zh-CN"/>
        </w:rPr>
      </w:pPr>
      <w:r>
        <w:rPr>
          <w:rFonts w:hint="eastAsia" w:ascii="仿宋_GB2312" w:hAnsi="宋体" w:eastAsia="仿宋_GB2312" w:cs="Times New Roman"/>
          <w:sz w:val="30"/>
          <w:szCs w:val="30"/>
          <w:lang w:eastAsia="zh-CN"/>
        </w:rPr>
        <w:t>涉案资金流向追踪及合规性审查；司法程序符合性（如冻结、扣押资金的账务处理）；案件相关票据、合同、审批文件的专项核查；</w:t>
      </w:r>
    </w:p>
    <w:p w14:paraId="6B9EF6D6">
      <w:pPr>
        <w:pStyle w:val="3"/>
        <w:ind w:right="-326" w:rightChars="-139" w:firstLine="539" w:firstLineChars="166"/>
        <w:rPr>
          <w:rFonts w:hint="eastAsia" w:ascii="仿宋_GB2312" w:hAnsi="宋体" w:eastAsia="仿宋_GB2312" w:cs="Times New Roman"/>
          <w:sz w:val="30"/>
          <w:szCs w:val="30"/>
          <w:lang w:eastAsia="zh-CN"/>
        </w:rPr>
      </w:pP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3</w:t>
      </w:r>
      <w:r>
        <w:rPr>
          <w:rFonts w:hint="eastAsia" w:ascii="仿宋_GB2312" w:hAnsi="宋体" w:eastAsia="仿宋_GB2312" w:cs="Times New Roman"/>
          <w:sz w:val="30"/>
          <w:szCs w:val="30"/>
          <w:lang w:eastAsia="zh-CN"/>
        </w:rPr>
        <w:t>）领导干部经济责任审计专项要求</w:t>
      </w:r>
    </w:p>
    <w:p w14:paraId="3B8D0BAE">
      <w:pPr>
        <w:pStyle w:val="3"/>
        <w:ind w:right="-326" w:rightChars="-139" w:firstLine="539" w:firstLineChars="166"/>
        <w:rPr>
          <w:rFonts w:hint="eastAsia" w:ascii="仿宋_GB2312" w:hAnsi="宋体" w:eastAsia="仿宋_GB2312" w:cs="Times New Roman"/>
          <w:sz w:val="30"/>
          <w:szCs w:val="30"/>
          <w:lang w:eastAsia="zh-CN"/>
        </w:rPr>
      </w:pPr>
      <w:r>
        <w:rPr>
          <w:rFonts w:hint="eastAsia" w:ascii="仿宋_GB2312" w:hAnsi="宋体" w:eastAsia="仿宋_GB2312" w:cs="Times New Roman"/>
          <w:sz w:val="30"/>
          <w:szCs w:val="30"/>
          <w:lang w:eastAsia="zh-CN"/>
        </w:rPr>
        <w:t>任职期间经济决策合规性；个人廉洁自律情况（如公务消费、报销合规性）；直接责任与领导责任界定；离任交接审计（资产、债务、未决事项）；</w:t>
      </w:r>
    </w:p>
    <w:p w14:paraId="1DDAB100">
      <w:pPr>
        <w:pStyle w:val="3"/>
        <w:ind w:right="-326" w:rightChars="-139" w:firstLine="539" w:firstLineChars="166"/>
        <w:rPr>
          <w:rFonts w:hint="eastAsia" w:ascii="仿宋_GB2312" w:hAnsi="宋体" w:eastAsia="仿宋_GB2312" w:cs="Times New Roman"/>
          <w:sz w:val="30"/>
          <w:szCs w:val="30"/>
          <w:lang w:eastAsia="zh-CN"/>
        </w:rPr>
      </w:pP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4</w:t>
      </w:r>
      <w:r>
        <w:rPr>
          <w:rFonts w:hint="eastAsia" w:ascii="仿宋_GB2312" w:hAnsi="宋体" w:eastAsia="仿宋_GB2312" w:cs="Times New Roman"/>
          <w:sz w:val="30"/>
          <w:szCs w:val="30"/>
          <w:lang w:eastAsia="zh-CN"/>
        </w:rPr>
        <w:t>）工会/警协财务审计专项要求</w:t>
      </w:r>
    </w:p>
    <w:p w14:paraId="766F879C">
      <w:pPr>
        <w:pStyle w:val="3"/>
        <w:ind w:right="-326" w:rightChars="-139" w:firstLine="539" w:firstLineChars="166"/>
        <w:rPr>
          <w:rFonts w:hint="eastAsia" w:ascii="仿宋_GB2312" w:hAnsi="宋体" w:eastAsia="仿宋_GB2312" w:cs="Times New Roman"/>
          <w:sz w:val="30"/>
          <w:szCs w:val="30"/>
          <w:lang w:eastAsia="zh-CN"/>
        </w:rPr>
      </w:pPr>
      <w:r>
        <w:rPr>
          <w:rFonts w:hint="eastAsia" w:ascii="仿宋_GB2312" w:hAnsi="宋体" w:eastAsia="仿宋_GB2312" w:cs="Times New Roman"/>
          <w:sz w:val="30"/>
          <w:szCs w:val="30"/>
          <w:lang w:eastAsia="zh-CN"/>
        </w:rPr>
        <w:t>会费、捐赠资金等特殊收入的收支合规性；非营利性支出的合理性审查；内部管理制度执行情况（如会员代表大会决议落实）；</w:t>
      </w:r>
    </w:p>
    <w:p w14:paraId="03281BCD">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5</w:t>
      </w:r>
      <w:r>
        <w:rPr>
          <w:rFonts w:hint="eastAsia" w:ascii="仿宋_GB2312" w:hAnsi="宋体" w:eastAsia="仿宋_GB2312" w:cs="Times New Roman"/>
          <w:sz w:val="30"/>
          <w:szCs w:val="30"/>
          <w:lang w:eastAsia="zh-CN"/>
        </w:rPr>
        <w:t>）其他需要审计的事项</w:t>
      </w:r>
      <w:r>
        <w:rPr>
          <w:rFonts w:hint="eastAsia" w:ascii="仿宋_GB2312" w:hAnsi="宋体" w:eastAsia="仿宋_GB2312" w:cs="Times New Roman"/>
          <w:sz w:val="30"/>
          <w:szCs w:val="30"/>
        </w:rPr>
        <w:t>。</w:t>
      </w:r>
    </w:p>
    <w:p w14:paraId="019DE31E">
      <w:pPr>
        <w:pStyle w:val="13"/>
        <w:spacing w:line="240" w:lineRule="auto"/>
        <w:ind w:right="-326" w:rightChars="-139" w:firstLine="539" w:firstLineChars="166"/>
        <w:rPr>
          <w:rFonts w:hint="eastAsia" w:ascii="黑体" w:hAnsi="黑体" w:eastAsia="黑体" w:cs="Times New Roman"/>
          <w:w w:val="100"/>
          <w:sz w:val="30"/>
          <w:szCs w:val="30"/>
        </w:rPr>
      </w:pPr>
      <w:r>
        <w:rPr>
          <w:rFonts w:hint="eastAsia" w:ascii="黑体" w:hAnsi="黑体" w:eastAsia="黑体" w:cs="Times New Roman"/>
          <w:w w:val="100"/>
          <w:sz w:val="30"/>
          <w:szCs w:val="30"/>
        </w:rPr>
        <w:t>二、甲方的责任与义务</w:t>
      </w:r>
    </w:p>
    <w:p w14:paraId="13288629">
      <w:pPr>
        <w:pStyle w:val="14"/>
        <w:ind w:right="-326" w:rightChars="-139" w:firstLine="539" w:firstLineChars="166"/>
        <w:rPr>
          <w:rFonts w:hint="eastAsia" w:ascii="楷体_GB2312" w:hAnsi="宋体" w:eastAsia="楷体_GB2312" w:cs="Times New Roman"/>
          <w:sz w:val="30"/>
          <w:szCs w:val="30"/>
        </w:rPr>
      </w:pPr>
      <w:r>
        <w:rPr>
          <w:rFonts w:hint="eastAsia" w:ascii="楷体_GB2312" w:hAnsi="宋体" w:eastAsia="楷体_GB2312" w:cs="Times New Roman"/>
          <w:sz w:val="30"/>
          <w:szCs w:val="30"/>
        </w:rPr>
        <w:t>（一）甲方的责任</w:t>
      </w:r>
    </w:p>
    <w:p w14:paraId="2468D602">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1.根据《中华人民共和国会计法》，甲方及甲方负责人有责任保证会计资料的真实性和完整性。因此，甲方管理层有责任妥善保存和提供会计记录（包括但不限于会计凭证、会计账簿及其他会计资料），这些记录必须真实、完整地反映甲方的财务状况。</w:t>
      </w:r>
    </w:p>
    <w:p w14:paraId="3C9E70DD">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2.按照《政府会计制度》《行政单位财务规则》的规定编制财务报表是甲方管理层的责任，这种责任包括：（1）设计、实施和维护与财务报表相关的内部控制，以使财务报表不存在由于舞弊或错误而导致的重大错报；（2）选择和运用恰当的会计政策；（3）做出合理的会计估计。</w:t>
      </w:r>
    </w:p>
    <w:p w14:paraId="5F11E510">
      <w:pPr>
        <w:pStyle w:val="14"/>
        <w:ind w:right="-326" w:rightChars="-139" w:firstLine="539" w:firstLineChars="166"/>
        <w:rPr>
          <w:rFonts w:hint="eastAsia" w:ascii="楷体_GB2312" w:hAnsi="宋体" w:eastAsia="楷体_GB2312" w:cs="Times New Roman"/>
          <w:sz w:val="30"/>
          <w:szCs w:val="30"/>
        </w:rPr>
      </w:pPr>
      <w:r>
        <w:rPr>
          <w:rFonts w:hint="eastAsia" w:ascii="楷体_GB2312" w:hAnsi="宋体" w:eastAsia="楷体_GB2312" w:cs="Times New Roman"/>
          <w:sz w:val="30"/>
          <w:szCs w:val="30"/>
        </w:rPr>
        <w:t>（二）甲方的义务</w:t>
      </w:r>
    </w:p>
    <w:p w14:paraId="016C7F69">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1.及时为乙方的审计工作提供其所要求的全部会计资料和其他有关资料，并保证所提供资料的真实性和完整性。</w:t>
      </w:r>
    </w:p>
    <w:p w14:paraId="6C47B893">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2.确保乙方不受限制地接触任何与审计有关的记录、文件和所需的其他信息。</w:t>
      </w:r>
    </w:p>
    <w:p w14:paraId="11AEA42F">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3.甲方管理层对其做出的与审计有关的声明予以书面确认。</w:t>
      </w:r>
    </w:p>
    <w:p w14:paraId="090B89C4">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4.为乙方派出的有关工作人员提供必要的工作条件和协助。</w:t>
      </w:r>
    </w:p>
    <w:p w14:paraId="2681EF30">
      <w:pPr>
        <w:pStyle w:val="13"/>
        <w:spacing w:line="240" w:lineRule="auto"/>
        <w:ind w:right="-326" w:rightChars="-139" w:firstLine="539" w:firstLineChars="166"/>
        <w:rPr>
          <w:rFonts w:hint="eastAsia" w:ascii="黑体" w:hAnsi="黑体" w:eastAsia="黑体" w:cs="Times New Roman"/>
          <w:w w:val="100"/>
          <w:sz w:val="30"/>
          <w:szCs w:val="30"/>
        </w:rPr>
      </w:pPr>
      <w:r>
        <w:rPr>
          <w:rFonts w:hint="eastAsia" w:ascii="黑体" w:hAnsi="黑体" w:eastAsia="黑体" w:cs="Times New Roman"/>
          <w:w w:val="100"/>
          <w:sz w:val="30"/>
          <w:szCs w:val="30"/>
        </w:rPr>
        <w:t>三、乙方的责任和义务</w:t>
      </w:r>
    </w:p>
    <w:p w14:paraId="6C47E51B">
      <w:pPr>
        <w:pStyle w:val="14"/>
        <w:ind w:right="-326" w:rightChars="-139" w:firstLine="539" w:firstLineChars="166"/>
        <w:rPr>
          <w:rFonts w:hint="eastAsia" w:ascii="楷体_GB2312" w:hAnsi="宋体" w:eastAsia="楷体_GB2312" w:cs="Times New Roman"/>
          <w:sz w:val="30"/>
          <w:szCs w:val="30"/>
        </w:rPr>
      </w:pPr>
      <w:r>
        <w:rPr>
          <w:rFonts w:hint="eastAsia" w:ascii="楷体_GB2312" w:hAnsi="宋体" w:eastAsia="楷体_GB2312" w:cs="Times New Roman"/>
          <w:sz w:val="30"/>
          <w:szCs w:val="30"/>
        </w:rPr>
        <w:t>（一）乙方的责任</w:t>
      </w:r>
    </w:p>
    <w:p w14:paraId="7F98F52C">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1.乙方的责任是在实施审计工作的基础上对甲方财务情况发表审计意见。乙方按照中国注册会计师审计准则（以下简称审计准则）的规定进行审计。审计准则要求注册会计师遵守职业道德规范，计划和实施审计工作，以对财务报表是否不存在重大错报获取合理保证。</w:t>
      </w:r>
    </w:p>
    <w:p w14:paraId="687FD79F">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2.审计工作涉及实施审计程序，以获取有关报表金额和披露的审计证据。选择的审计程序取决于乙方的判断，包括对由于舞弊或错误导致的财务报表重大错报风险的评估。在进行风险评估时，乙方考虑与财务报表编制相关的内部控制，以设计恰当的审计程序，但目的并非对内部控制的有效性发表意见。审计工作还包括评价管理层选用会计政策的恰当性和做出会计估计的合理性，以及评价财务报表的总体列报。</w:t>
      </w:r>
    </w:p>
    <w:p w14:paraId="27D10631">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3.乙方需要合理计划和实施审计工作，以使乙方能够获取充分、适当的审计证据，为甲方财务报表是否不存在重大错报获取合理保证。</w:t>
      </w:r>
    </w:p>
    <w:p w14:paraId="393FB887">
      <w:pPr>
        <w:pStyle w:val="3"/>
        <w:ind w:right="-326" w:rightChars="-139" w:firstLine="539" w:firstLineChars="166"/>
        <w:rPr>
          <w:rFonts w:hint="eastAsia" w:ascii="仿宋_GB2312" w:hAnsi="宋体" w:eastAsia="仿宋_GB2312" w:cs="Times New Roman"/>
          <w:sz w:val="30"/>
          <w:szCs w:val="30"/>
        </w:rPr>
      </w:pPr>
      <w:r>
        <w:rPr>
          <w:rFonts w:ascii="仿宋_GB2312" w:hAnsi="宋体" w:eastAsia="仿宋_GB2312" w:cs="Times New Roman"/>
          <w:sz w:val="30"/>
          <w:szCs w:val="30"/>
        </w:rPr>
        <w:t>4</w:t>
      </w:r>
      <w:r>
        <w:rPr>
          <w:rFonts w:hint="eastAsia" w:ascii="仿宋_GB2312" w:hAnsi="宋体" w:eastAsia="仿宋_GB2312" w:cs="Times New Roman"/>
          <w:sz w:val="30"/>
          <w:szCs w:val="30"/>
        </w:rPr>
        <w:t>.由于测试的性质和审计的其他固有限制，以及内部控制的固有局限性，不可避免地存在着某些重大错报在审计后可能仍然未被乙方发现的风险。</w:t>
      </w:r>
    </w:p>
    <w:p w14:paraId="24D34275">
      <w:pPr>
        <w:pStyle w:val="3"/>
        <w:ind w:right="-326" w:rightChars="-139" w:firstLine="539" w:firstLineChars="166"/>
        <w:rPr>
          <w:rFonts w:hint="eastAsia" w:ascii="仿宋_GB2312" w:hAnsi="宋体" w:eastAsia="仿宋_GB2312" w:cs="Times New Roman"/>
          <w:sz w:val="30"/>
          <w:szCs w:val="30"/>
        </w:rPr>
      </w:pPr>
      <w:r>
        <w:rPr>
          <w:rFonts w:ascii="仿宋_GB2312" w:hAnsi="宋体" w:eastAsia="仿宋_GB2312" w:cs="Times New Roman"/>
          <w:sz w:val="30"/>
          <w:szCs w:val="30"/>
        </w:rPr>
        <w:t>5</w:t>
      </w:r>
      <w:r>
        <w:rPr>
          <w:rFonts w:hint="eastAsia" w:ascii="仿宋_GB2312" w:hAnsi="宋体" w:eastAsia="仿宋_GB2312" w:cs="Times New Roman"/>
          <w:sz w:val="30"/>
          <w:szCs w:val="30"/>
        </w:rPr>
        <w:t>.乙方的审计不能减轻甲方及甲方管理层的责任。</w:t>
      </w:r>
    </w:p>
    <w:p w14:paraId="2323CB12">
      <w:pPr>
        <w:pStyle w:val="14"/>
        <w:ind w:right="-326" w:rightChars="-139" w:firstLine="539" w:firstLineChars="166"/>
        <w:rPr>
          <w:rFonts w:hint="eastAsia" w:ascii="楷体_GB2312" w:hAnsi="宋体" w:eastAsia="楷体_GB2312" w:cs="Times New Roman"/>
          <w:sz w:val="30"/>
          <w:szCs w:val="30"/>
        </w:rPr>
      </w:pPr>
      <w:r>
        <w:rPr>
          <w:rFonts w:hint="eastAsia" w:ascii="楷体_GB2312" w:hAnsi="宋体" w:eastAsia="楷体_GB2312" w:cs="Times New Roman"/>
          <w:sz w:val="30"/>
          <w:szCs w:val="30"/>
        </w:rPr>
        <w:t>（二）乙方的义务</w:t>
      </w:r>
    </w:p>
    <w:p w14:paraId="74A32A84">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1.按照约定时间完成审计工作，对甲方202</w:t>
      </w:r>
      <w:r>
        <w:rPr>
          <w:rFonts w:hint="eastAsia" w:ascii="仿宋_GB2312" w:hAnsi="宋体" w:eastAsia="仿宋_GB2312" w:cs="Times New Roman"/>
          <w:sz w:val="30"/>
          <w:szCs w:val="30"/>
          <w:lang w:val="en-US" w:eastAsia="zh-CN"/>
        </w:rPr>
        <w:t>6</w:t>
      </w:r>
      <w:r>
        <w:rPr>
          <w:rFonts w:hint="eastAsia" w:ascii="仿宋_GB2312" w:hAnsi="宋体" w:eastAsia="仿宋_GB2312" w:cs="Times New Roman"/>
          <w:sz w:val="30"/>
          <w:szCs w:val="30"/>
        </w:rPr>
        <w:t>年</w:t>
      </w:r>
      <w:r>
        <w:rPr>
          <w:rFonts w:hint="eastAsia" w:ascii="仿宋_GB2312" w:hAnsi="宋体" w:eastAsia="仿宋_GB2312" w:cs="Times New Roman"/>
          <w:sz w:val="30"/>
          <w:szCs w:val="30"/>
          <w:lang w:val="en-US" w:eastAsia="zh-CN"/>
        </w:rPr>
        <w:t>全覆盖财务收支情况</w:t>
      </w:r>
      <w:r>
        <w:rPr>
          <w:rFonts w:hint="eastAsia" w:ascii="仿宋_GB2312" w:hAnsi="宋体" w:eastAsia="仿宋_GB2312" w:cs="Times New Roman"/>
          <w:sz w:val="30"/>
          <w:szCs w:val="30"/>
          <w:lang w:val="en-US" w:eastAsia="zh-CN"/>
        </w:rPr>
        <w:t>进行审计</w:t>
      </w:r>
      <w:r>
        <w:rPr>
          <w:rFonts w:hint="eastAsia" w:ascii="仿宋_GB2312" w:hAnsi="宋体" w:eastAsia="仿宋_GB2312" w:cs="Times New Roman"/>
          <w:sz w:val="30"/>
          <w:szCs w:val="30"/>
        </w:rPr>
        <w:t>并出具审计报告。</w:t>
      </w:r>
    </w:p>
    <w:p w14:paraId="3047BE44">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2.除下列情况外，乙方应当对执行业务过程中知悉的甲方信息予以保密：</w:t>
      </w:r>
    </w:p>
    <w:p w14:paraId="0585B429">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（1）取得甲方的授权；</w:t>
      </w:r>
    </w:p>
    <w:p w14:paraId="38C00B11">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 xml:space="preserve">（2）根据法律法规的规定，为法律诉讼准备文件或提供证据，以及向监管机构报告发现的违反法规行为； </w:t>
      </w:r>
    </w:p>
    <w:p w14:paraId="4F9A704B">
      <w:pPr>
        <w:pStyle w:val="3"/>
        <w:ind w:right="-326" w:rightChars="-139" w:firstLine="481" w:firstLineChars="148"/>
        <w:rPr>
          <w:rFonts w:hint="eastAsia" w:ascii="仿宋_GB2312" w:hAnsi="宋体" w:eastAsia="仿宋_GB2312" w:cs="Times New Roman"/>
          <w:sz w:val="30"/>
          <w:szCs w:val="30"/>
        </w:rPr>
      </w:pPr>
      <w:r>
        <w:rPr>
          <w:rFonts w:hint="eastAsia" w:ascii="仿宋_GB2312" w:hAnsi="宋体" w:eastAsia="仿宋_GB2312" w:cs="Times New Roman"/>
          <w:sz w:val="30"/>
          <w:szCs w:val="30"/>
        </w:rPr>
        <w:t>（3）接受行业协会和监管机构依法进行的质量检查；</w:t>
      </w:r>
    </w:p>
    <w:p w14:paraId="62A63061">
      <w:pPr>
        <w:pStyle w:val="3"/>
        <w:ind w:left="2" w:leftChars="1"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（4）监管机构对乙方进行行政处罚（包括监管机构处罚前的调查、听证）以及乙方对此提起行政复议。</w:t>
      </w:r>
    </w:p>
    <w:p w14:paraId="50AB53CD">
      <w:pPr>
        <w:pStyle w:val="13"/>
        <w:spacing w:line="240" w:lineRule="auto"/>
        <w:ind w:right="-326" w:rightChars="-139" w:firstLine="539" w:firstLineChars="166"/>
        <w:rPr>
          <w:rFonts w:hint="eastAsia" w:ascii="黑体" w:hAnsi="黑体" w:eastAsia="黑体" w:cs="Times New Roman"/>
          <w:w w:val="100"/>
          <w:sz w:val="30"/>
          <w:szCs w:val="30"/>
        </w:rPr>
      </w:pPr>
      <w:r>
        <w:rPr>
          <w:rFonts w:hint="eastAsia" w:ascii="黑体" w:hAnsi="黑体" w:eastAsia="黑体" w:cs="Times New Roman"/>
          <w:w w:val="100"/>
          <w:sz w:val="30"/>
          <w:szCs w:val="30"/>
        </w:rPr>
        <w:t>四、审计收费</w:t>
      </w:r>
    </w:p>
    <w:p w14:paraId="2E254D92">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1.本次审计服务的收费是以乙方各级别工作人员在本次工作中所耗费的时间为基础计算的。乙方预计本次审计服务的费用总额为人民币</w:t>
      </w:r>
      <w:r>
        <w:rPr>
          <w:rFonts w:hint="eastAsia" w:ascii="仿宋_GB2312" w:hAnsi="宋体" w:eastAsia="仿宋_GB2312" w:cs="Times New Roman"/>
          <w:sz w:val="30"/>
          <w:szCs w:val="30"/>
          <w:lang w:val="en-US" w:eastAsia="zh-CN"/>
        </w:rPr>
        <w:t>72</w:t>
      </w:r>
      <w:r>
        <w:rPr>
          <w:rFonts w:hint="eastAsia" w:ascii="仿宋_GB2312" w:hAnsi="宋体" w:eastAsia="仿宋_GB2312" w:cs="Times New Roman"/>
          <w:sz w:val="30"/>
          <w:szCs w:val="30"/>
        </w:rPr>
        <w:t>,000.00元（人民币：</w:t>
      </w:r>
      <w:r>
        <w:rPr>
          <w:rFonts w:hint="eastAsia" w:ascii="仿宋_GB2312" w:hAnsi="宋体" w:eastAsia="仿宋_GB2312" w:cs="Times New Roman"/>
          <w:sz w:val="30"/>
          <w:szCs w:val="30"/>
          <w:lang w:val="en-US" w:eastAsia="zh-CN"/>
        </w:rPr>
        <w:t>柒</w:t>
      </w:r>
      <w:r>
        <w:rPr>
          <w:rFonts w:hint="eastAsia" w:ascii="仿宋_GB2312" w:hAnsi="宋体" w:eastAsia="仿宋_GB2312" w:cs="Times New Roman"/>
          <w:sz w:val="30"/>
          <w:szCs w:val="30"/>
        </w:rPr>
        <w:t>万</w:t>
      </w:r>
      <w:r>
        <w:rPr>
          <w:rFonts w:hint="eastAsia" w:ascii="仿宋_GB2312" w:hAnsi="宋体" w:eastAsia="仿宋_GB2312" w:cs="Times New Roman"/>
          <w:sz w:val="30"/>
          <w:szCs w:val="30"/>
          <w:lang w:val="en-US" w:eastAsia="zh-CN"/>
        </w:rPr>
        <w:t>贰仟</w:t>
      </w:r>
      <w:r>
        <w:rPr>
          <w:rFonts w:hint="eastAsia" w:ascii="仿宋_GB2312" w:hAnsi="宋体" w:eastAsia="仿宋_GB2312" w:cs="Times New Roman"/>
          <w:sz w:val="30"/>
          <w:szCs w:val="30"/>
        </w:rPr>
        <w:t>元整）。</w:t>
      </w:r>
    </w:p>
    <w:p w14:paraId="7526F214">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2.甲方应</w:t>
      </w:r>
      <w:r>
        <w:rPr>
          <w:rFonts w:hint="eastAsia" w:ascii="仿宋_GB2312" w:hAnsi="宋体" w:eastAsia="仿宋_GB2312" w:cs="Times New Roman"/>
          <w:sz w:val="30"/>
          <w:szCs w:val="30"/>
          <w:lang w:eastAsia="zh-CN"/>
        </w:rPr>
        <w:t>于2026年</w:t>
      </w:r>
      <w:r>
        <w:rPr>
          <w:rFonts w:hint="eastAsia" w:ascii="仿宋_GB2312" w:hAnsi="宋体" w:eastAsia="仿宋_GB2312" w:cs="Times New Roman"/>
          <w:sz w:val="30"/>
          <w:szCs w:val="30"/>
        </w:rPr>
        <w:t>结束时一次性结清审计费用。</w:t>
      </w:r>
    </w:p>
    <w:p w14:paraId="6E7545EE">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3.如果由于无法预见的原因，致使乙方从事本约定书所涉及的审计服务实际时间较本约定书签订时预计的时间有明显的增加或减少时，甲乙双方应通过协商，相应调整本约定书第四条第1项所述的审计费用。</w:t>
      </w:r>
    </w:p>
    <w:p w14:paraId="1B97DC21">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4.如果由于无法预见的原因，致使乙方人员抵达甲方的工作现场后，本约定书所涉及的审计服务不再进行，甲方不得要求退还预付的审计费用；如上述情况发生于乙方人员完成现场审计工作，并离开甲方的工作现场之后，甲方应另行向乙方按乙方实际已发生的成本支付补偿费，该补偿费应于甲方收到乙方的收款通知之日起十日内支付。</w:t>
      </w:r>
    </w:p>
    <w:p w14:paraId="3EDE55F4">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5.与本次审计有关的其他费用（包括交通费等）由</w:t>
      </w:r>
      <w:r>
        <w:rPr>
          <w:rFonts w:hint="eastAsia" w:ascii="仿宋_GB2312" w:hAnsi="宋体" w:eastAsia="仿宋_GB2312" w:cs="Times New Roman"/>
          <w:sz w:val="30"/>
          <w:szCs w:val="30"/>
          <w:u w:val="single"/>
        </w:rPr>
        <w:t>乙</w:t>
      </w:r>
      <w:r>
        <w:rPr>
          <w:rFonts w:hint="eastAsia" w:ascii="仿宋_GB2312" w:hAnsi="宋体" w:eastAsia="仿宋_GB2312" w:cs="Times New Roman"/>
          <w:sz w:val="30"/>
          <w:szCs w:val="30"/>
        </w:rPr>
        <w:t>方承担。</w:t>
      </w:r>
    </w:p>
    <w:p w14:paraId="4B729858">
      <w:pPr>
        <w:pStyle w:val="13"/>
        <w:spacing w:line="240" w:lineRule="auto"/>
        <w:ind w:right="-326" w:rightChars="-139" w:firstLine="539" w:firstLineChars="166"/>
        <w:rPr>
          <w:rFonts w:hint="eastAsia" w:ascii="黑体" w:hAnsi="黑体" w:eastAsia="黑体" w:cs="Times New Roman"/>
          <w:w w:val="100"/>
          <w:sz w:val="30"/>
          <w:szCs w:val="30"/>
        </w:rPr>
      </w:pPr>
      <w:r>
        <w:rPr>
          <w:rFonts w:hint="eastAsia" w:ascii="黑体" w:hAnsi="黑体" w:eastAsia="黑体" w:cs="Times New Roman"/>
          <w:w w:val="100"/>
          <w:sz w:val="30"/>
          <w:szCs w:val="30"/>
        </w:rPr>
        <w:t>五</w:t>
      </w:r>
      <w:r>
        <w:rPr>
          <w:rFonts w:hint="eastAsia" w:ascii="黑体" w:hAnsi="黑体" w:eastAsia="黑体" w:cs="Times New Roman"/>
          <w:w w:val="100"/>
          <w:sz w:val="30"/>
          <w:szCs w:val="30"/>
          <w:lang w:eastAsia="zh-CN"/>
        </w:rPr>
        <w:t>、</w:t>
      </w:r>
      <w:r>
        <w:rPr>
          <w:rFonts w:hint="eastAsia" w:ascii="黑体" w:hAnsi="黑体" w:eastAsia="黑体" w:cs="Times New Roman"/>
          <w:w w:val="100"/>
          <w:sz w:val="30"/>
          <w:szCs w:val="30"/>
        </w:rPr>
        <w:t>审计报告</w:t>
      </w:r>
      <w:r>
        <w:rPr>
          <w:rFonts w:hint="eastAsia" w:ascii="黑体" w:hAnsi="黑体" w:eastAsia="黑体" w:cs="Times New Roman"/>
          <w:w w:val="100"/>
          <w:sz w:val="30"/>
          <w:szCs w:val="30"/>
          <w:lang w:eastAsia="zh-CN"/>
        </w:rPr>
        <w:t>及其</w:t>
      </w:r>
      <w:r>
        <w:rPr>
          <w:rFonts w:hint="eastAsia" w:ascii="黑体" w:hAnsi="黑体" w:eastAsia="黑体" w:cs="Times New Roman"/>
          <w:w w:val="100"/>
          <w:sz w:val="30"/>
          <w:szCs w:val="30"/>
        </w:rPr>
        <w:t>使用</w:t>
      </w:r>
    </w:p>
    <w:p w14:paraId="7E5C990C">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1.乙方按照《中国注册会计师审计准则第1501号——审计报告》和《中国注册会计师审计准则第1502号——非标准审计报告》规定的格式和类型出具审计报告。</w:t>
      </w:r>
    </w:p>
    <w:p w14:paraId="3F855B0A">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2.乙方向甲方</w:t>
      </w:r>
      <w:r>
        <w:rPr>
          <w:rFonts w:hint="eastAsia" w:ascii="仿宋_GB2312" w:hAnsi="宋体" w:eastAsia="仿宋_GB2312" w:cs="Times New Roman"/>
          <w:sz w:val="30"/>
          <w:szCs w:val="30"/>
          <w:lang w:eastAsia="zh-CN"/>
        </w:rPr>
        <w:t>送达</w:t>
      </w:r>
      <w:r>
        <w:rPr>
          <w:rFonts w:hint="eastAsia" w:ascii="仿宋_GB2312" w:hAnsi="宋体" w:eastAsia="仿宋_GB2312" w:cs="Times New Roman"/>
          <w:sz w:val="30"/>
          <w:szCs w:val="30"/>
        </w:rPr>
        <w:t>审计报告一式</w:t>
      </w:r>
      <w:r>
        <w:rPr>
          <w:rFonts w:hint="eastAsia" w:ascii="仿宋_GB2312" w:hAnsi="宋体" w:eastAsia="仿宋_GB2312" w:cs="Times New Roman"/>
          <w:sz w:val="30"/>
          <w:szCs w:val="30"/>
          <w:u w:val="single"/>
        </w:rPr>
        <w:t xml:space="preserve">  </w:t>
      </w:r>
      <w:r>
        <w:rPr>
          <w:rFonts w:ascii="仿宋_GB2312" w:hAnsi="宋体" w:eastAsia="仿宋_GB2312" w:cs="Times New Roman"/>
          <w:sz w:val="30"/>
          <w:szCs w:val="30"/>
          <w:u w:val="single"/>
        </w:rPr>
        <w:t xml:space="preserve"> </w:t>
      </w:r>
      <w:r>
        <w:rPr>
          <w:rFonts w:hint="eastAsia" w:ascii="仿宋_GB2312" w:hAnsi="宋体" w:eastAsia="仿宋_GB2312" w:cs="Times New Roman"/>
          <w:sz w:val="30"/>
          <w:szCs w:val="30"/>
          <w:u w:val="single"/>
        </w:rPr>
        <w:t xml:space="preserve"> </w:t>
      </w:r>
      <w:r>
        <w:rPr>
          <w:rFonts w:hint="eastAsia" w:ascii="仿宋_GB2312" w:hAnsi="宋体" w:eastAsia="仿宋_GB2312" w:cs="Times New Roman"/>
          <w:sz w:val="30"/>
          <w:szCs w:val="30"/>
        </w:rPr>
        <w:t>份。</w:t>
      </w:r>
    </w:p>
    <w:p w14:paraId="4B9768AF">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3.甲方在提交或对外公布审计报告时，不得修改乙方出具的审计报告。当甲方认为有必要修改会计数据和所作的说明时，应当事先通知乙方，乙方</w:t>
      </w:r>
      <w:r>
        <w:rPr>
          <w:rFonts w:hint="eastAsia" w:ascii="仿宋_GB2312" w:hAnsi="宋体" w:eastAsia="仿宋_GB2312" w:cs="Times New Roman"/>
          <w:sz w:val="30"/>
          <w:szCs w:val="30"/>
          <w:lang w:eastAsia="zh-CN"/>
        </w:rPr>
        <w:t>将考虑有关修改</w:t>
      </w:r>
      <w:r>
        <w:rPr>
          <w:rFonts w:hint="eastAsia" w:ascii="仿宋_GB2312" w:hAnsi="宋体" w:eastAsia="仿宋_GB2312" w:cs="Times New Roman"/>
          <w:sz w:val="30"/>
          <w:szCs w:val="30"/>
        </w:rPr>
        <w:t>对审计报告的影响，必要时，将重新出具审计报告。</w:t>
      </w:r>
    </w:p>
    <w:p w14:paraId="561360E5">
      <w:pPr>
        <w:pStyle w:val="13"/>
        <w:spacing w:line="240" w:lineRule="auto"/>
        <w:ind w:right="-326" w:rightChars="-139" w:firstLine="539" w:firstLineChars="166"/>
        <w:rPr>
          <w:rFonts w:hint="eastAsia" w:ascii="黑体" w:hAnsi="黑体" w:eastAsia="黑体" w:cs="Times New Roman"/>
          <w:w w:val="100"/>
          <w:sz w:val="30"/>
          <w:szCs w:val="30"/>
        </w:rPr>
      </w:pPr>
      <w:r>
        <w:rPr>
          <w:rFonts w:hint="eastAsia" w:ascii="黑体" w:hAnsi="黑体" w:eastAsia="黑体" w:cs="Times New Roman"/>
          <w:w w:val="100"/>
          <w:sz w:val="30"/>
          <w:szCs w:val="30"/>
        </w:rPr>
        <w:t>六、本约定书的有效期间</w:t>
      </w:r>
    </w:p>
    <w:p w14:paraId="104DA2E7">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本约定书自签署之日起生效，并在双方履行完毕本约定书约定的所有义务后终止。但其中</w:t>
      </w:r>
      <w:r>
        <w:rPr>
          <w:rFonts w:hint="eastAsia" w:ascii="仿宋_GB2312" w:hAnsi="宋体" w:eastAsia="仿宋_GB2312" w:cs="Times New Roman"/>
          <w:sz w:val="30"/>
          <w:szCs w:val="30"/>
          <w:lang w:eastAsia="zh-CN"/>
        </w:rPr>
        <w:t>第三条</w:t>
      </w:r>
      <w:r>
        <w:rPr>
          <w:rFonts w:hint="eastAsia" w:ascii="仿宋_GB2312" w:hAnsi="宋体" w:eastAsia="仿宋_GB2312" w:cs="Times New Roman"/>
          <w:sz w:val="30"/>
          <w:szCs w:val="30"/>
        </w:rPr>
        <w:t>（二）2、四、五、八、九、十项并不因本约定书终止而失效。</w:t>
      </w:r>
    </w:p>
    <w:p w14:paraId="6777B379">
      <w:pPr>
        <w:pStyle w:val="13"/>
        <w:spacing w:line="240" w:lineRule="auto"/>
        <w:ind w:right="-326" w:rightChars="-139" w:firstLine="539" w:firstLineChars="166"/>
        <w:rPr>
          <w:rFonts w:hint="eastAsia" w:ascii="黑体" w:hAnsi="黑体" w:eastAsia="黑体" w:cs="Times New Roman"/>
          <w:w w:val="100"/>
          <w:sz w:val="30"/>
          <w:szCs w:val="30"/>
        </w:rPr>
      </w:pPr>
      <w:r>
        <w:rPr>
          <w:rFonts w:hint="eastAsia" w:ascii="黑体" w:hAnsi="黑体" w:eastAsia="黑体" w:cs="Times New Roman"/>
          <w:w w:val="100"/>
          <w:sz w:val="30"/>
          <w:szCs w:val="30"/>
        </w:rPr>
        <w:t>七、约定事项的变更</w:t>
      </w:r>
    </w:p>
    <w:p w14:paraId="4EA9B073">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如果出现不可预见的情况，影响审计工作如期完成，或需要提前出具审计报告，甲、乙双方均可要求变更约定事项，但应及时通知对方，并由双方协商解决。</w:t>
      </w:r>
    </w:p>
    <w:p w14:paraId="2FA4B73B">
      <w:pPr>
        <w:pStyle w:val="13"/>
        <w:spacing w:line="240" w:lineRule="auto"/>
        <w:ind w:right="-326" w:rightChars="-139" w:firstLine="539" w:firstLineChars="166"/>
        <w:rPr>
          <w:rFonts w:hint="eastAsia" w:ascii="黑体" w:hAnsi="黑体" w:eastAsia="黑体" w:cs="Times New Roman"/>
          <w:w w:val="100"/>
          <w:sz w:val="30"/>
          <w:szCs w:val="30"/>
        </w:rPr>
      </w:pPr>
      <w:r>
        <w:rPr>
          <w:rFonts w:hint="eastAsia" w:ascii="黑体" w:hAnsi="黑体" w:eastAsia="黑体" w:cs="Times New Roman"/>
          <w:w w:val="100"/>
          <w:sz w:val="30"/>
          <w:szCs w:val="30"/>
        </w:rPr>
        <w:t>八、终止条款</w:t>
      </w:r>
    </w:p>
    <w:p w14:paraId="0DCB20DF">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1.如果根据乙方的职业道德及其他有关专业职责、适用的法律法规或其他任何法定的要求，乙方认为已不适宜继续为甲方提供本约定书约定的审计服务时，乙方可以采取向甲方提出合理通知的方式终止履行本约定书。</w:t>
      </w:r>
    </w:p>
    <w:p w14:paraId="2D3878C0">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2.在终止业务约定的情况下，乙方有权就其于本约定书终止之日前对约定的审计服务项目所做的工作收取合理的审计费用。</w:t>
      </w:r>
    </w:p>
    <w:p w14:paraId="2F4D714F">
      <w:pPr>
        <w:pStyle w:val="13"/>
        <w:spacing w:line="240" w:lineRule="auto"/>
        <w:ind w:right="-326" w:rightChars="-139" w:firstLine="539" w:firstLineChars="166"/>
        <w:rPr>
          <w:rFonts w:hint="eastAsia" w:ascii="黑体" w:hAnsi="黑体" w:eastAsia="黑体" w:cs="Times New Roman"/>
          <w:w w:val="100"/>
          <w:sz w:val="30"/>
          <w:szCs w:val="30"/>
        </w:rPr>
      </w:pPr>
      <w:r>
        <w:rPr>
          <w:rFonts w:hint="eastAsia" w:ascii="黑体" w:hAnsi="黑体" w:eastAsia="黑体" w:cs="Times New Roman"/>
          <w:w w:val="100"/>
          <w:sz w:val="30"/>
          <w:szCs w:val="30"/>
        </w:rPr>
        <w:t>九、违约责任</w:t>
      </w:r>
    </w:p>
    <w:p w14:paraId="0C209ACE">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甲、乙双方按照《中华人民共和国</w:t>
      </w:r>
      <w:r>
        <w:rPr>
          <w:rFonts w:hint="eastAsia" w:ascii="仿宋_GB2312" w:hAnsi="宋体" w:eastAsia="仿宋_GB2312" w:cs="Times New Roman"/>
          <w:sz w:val="30"/>
          <w:szCs w:val="30"/>
          <w:lang w:val="en-US" w:eastAsia="zh-CN"/>
        </w:rPr>
        <w:t>民法典</w:t>
      </w:r>
      <w:r>
        <w:rPr>
          <w:rFonts w:hint="eastAsia" w:ascii="仿宋_GB2312" w:hAnsi="宋体" w:eastAsia="仿宋_GB2312" w:cs="Times New Roman"/>
          <w:sz w:val="30"/>
          <w:szCs w:val="30"/>
        </w:rPr>
        <w:t>》的规定承担违约责任。</w:t>
      </w:r>
    </w:p>
    <w:p w14:paraId="196AB8BB">
      <w:pPr>
        <w:pStyle w:val="13"/>
        <w:spacing w:line="240" w:lineRule="auto"/>
        <w:ind w:right="-326" w:rightChars="-139" w:firstLine="539" w:firstLineChars="166"/>
        <w:rPr>
          <w:rFonts w:hint="eastAsia" w:ascii="黑体" w:hAnsi="黑体" w:eastAsia="黑体" w:cs="Times New Roman"/>
          <w:w w:val="100"/>
          <w:sz w:val="30"/>
          <w:szCs w:val="30"/>
        </w:rPr>
      </w:pPr>
      <w:r>
        <w:rPr>
          <w:rFonts w:hint="eastAsia" w:ascii="黑体" w:hAnsi="黑体" w:eastAsia="黑体" w:cs="Times New Roman"/>
          <w:w w:val="100"/>
          <w:sz w:val="30"/>
          <w:szCs w:val="30"/>
        </w:rPr>
        <w:t>十、适用法律和争议解决</w:t>
      </w:r>
    </w:p>
    <w:p w14:paraId="6198D5B2">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本约定书的所有方面均应适用中华人民共和国法律进行解释并受其约束。本约定书履行地为乙方出具审计报告所在地，因本约定书所引起的或与本约定书有关的任何纠纷或争议（包括关于本约定书条款的存在、效力或终止，或无效之后果），双方选择以下第</w:t>
      </w:r>
      <w:r>
        <w:rPr>
          <w:rFonts w:hint="eastAsia" w:ascii="仿宋_GB2312" w:hAnsi="宋体" w:eastAsia="仿宋_GB2312" w:cs="Times New Roman"/>
          <w:sz w:val="30"/>
          <w:szCs w:val="30"/>
          <w:u w:val="single"/>
        </w:rPr>
        <w:t xml:space="preserve">   </w:t>
      </w:r>
      <w:r>
        <w:rPr>
          <w:rFonts w:ascii="仿宋_GB2312" w:hAnsi="宋体" w:eastAsia="仿宋_GB2312" w:cs="Times New Roman"/>
          <w:sz w:val="30"/>
          <w:szCs w:val="30"/>
          <w:u w:val="single"/>
        </w:rPr>
        <w:t>1</w:t>
      </w:r>
      <w:r>
        <w:rPr>
          <w:rFonts w:hint="eastAsia" w:ascii="仿宋_GB2312" w:hAnsi="宋体" w:eastAsia="仿宋_GB2312" w:cs="Times New Roman"/>
          <w:sz w:val="30"/>
          <w:szCs w:val="30"/>
          <w:u w:val="single"/>
        </w:rPr>
        <w:t xml:space="preserve">   </w:t>
      </w:r>
      <w:r>
        <w:rPr>
          <w:rFonts w:hint="eastAsia" w:ascii="仿宋_GB2312" w:hAnsi="宋体" w:eastAsia="仿宋_GB2312" w:cs="Times New Roman"/>
          <w:sz w:val="30"/>
          <w:szCs w:val="30"/>
        </w:rPr>
        <w:t>种解决方式：</w:t>
      </w:r>
    </w:p>
    <w:p w14:paraId="3939F0D8">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1. 向有管辖权的人民法院提起诉讼；</w:t>
      </w:r>
    </w:p>
    <w:p w14:paraId="061C175F">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2. 提交所在地仲裁委员会仲裁。</w:t>
      </w:r>
    </w:p>
    <w:p w14:paraId="09FB0108">
      <w:pPr>
        <w:pStyle w:val="13"/>
        <w:spacing w:line="240" w:lineRule="auto"/>
        <w:ind w:right="-326" w:rightChars="-139" w:firstLine="539" w:firstLineChars="166"/>
        <w:rPr>
          <w:rFonts w:hint="eastAsia" w:ascii="黑体" w:hAnsi="黑体" w:eastAsia="黑体" w:cs="Times New Roman"/>
          <w:w w:val="100"/>
          <w:sz w:val="30"/>
          <w:szCs w:val="30"/>
        </w:rPr>
      </w:pPr>
      <w:r>
        <w:rPr>
          <w:rFonts w:hint="eastAsia" w:ascii="黑体" w:hAnsi="黑体" w:eastAsia="黑体" w:cs="Times New Roman"/>
          <w:w w:val="100"/>
          <w:sz w:val="30"/>
          <w:szCs w:val="30"/>
        </w:rPr>
        <w:t>十一、双方对其他有关事项的约定</w:t>
      </w:r>
    </w:p>
    <w:p w14:paraId="059EE774">
      <w:pPr>
        <w:pStyle w:val="3"/>
        <w:ind w:right="-326" w:rightChars="-139" w:firstLine="539" w:firstLineChars="166"/>
        <w:rPr>
          <w:rFonts w:hint="eastAsia" w:ascii="仿宋_GB2312" w:hAnsi="宋体" w:eastAsia="仿宋_GB2312" w:cs="Times New Roman"/>
          <w:sz w:val="30"/>
          <w:szCs w:val="30"/>
        </w:rPr>
      </w:pPr>
      <w:r>
        <w:rPr>
          <w:rFonts w:hint="eastAsia" w:ascii="仿宋_GB2312" w:hAnsi="宋体" w:eastAsia="仿宋_GB2312" w:cs="Times New Roman"/>
          <w:sz w:val="30"/>
          <w:szCs w:val="30"/>
        </w:rPr>
        <w:t>本约定书一式</w:t>
      </w:r>
      <w:r>
        <w:rPr>
          <w:rFonts w:hint="eastAsia" w:ascii="仿宋_GB2312" w:hAnsi="宋体" w:eastAsia="仿宋_GB2312" w:cs="Times New Roman"/>
          <w:sz w:val="30"/>
          <w:szCs w:val="30"/>
          <w:u w:val="single"/>
          <w:lang w:val="en-US" w:eastAsia="zh-CN"/>
        </w:rPr>
        <w:t>四</w:t>
      </w:r>
      <w:r>
        <w:rPr>
          <w:rFonts w:hint="eastAsia" w:ascii="仿宋_GB2312" w:hAnsi="宋体" w:eastAsia="仿宋_GB2312" w:cs="Times New Roman"/>
          <w:sz w:val="30"/>
          <w:szCs w:val="30"/>
        </w:rPr>
        <w:t>份，甲方执</w:t>
      </w:r>
      <w:r>
        <w:rPr>
          <w:rFonts w:hint="eastAsia" w:ascii="仿宋_GB2312" w:hAnsi="宋体" w:eastAsia="仿宋_GB2312" w:cs="Times New Roman"/>
          <w:sz w:val="30"/>
          <w:szCs w:val="30"/>
          <w:u w:val="single"/>
        </w:rPr>
        <w:t>两</w:t>
      </w:r>
      <w:r>
        <w:rPr>
          <w:rFonts w:hint="eastAsia" w:ascii="仿宋_GB2312" w:hAnsi="宋体" w:eastAsia="仿宋_GB2312" w:cs="Times New Roman"/>
          <w:sz w:val="30"/>
          <w:szCs w:val="30"/>
        </w:rPr>
        <w:t>份，乙方执</w:t>
      </w:r>
      <w:r>
        <w:rPr>
          <w:rFonts w:hint="eastAsia" w:ascii="仿宋_GB2312" w:hAnsi="宋体" w:eastAsia="仿宋_GB2312" w:cs="Times New Roman"/>
          <w:sz w:val="30"/>
          <w:szCs w:val="30"/>
          <w:u w:val="single"/>
        </w:rPr>
        <w:t>两</w:t>
      </w:r>
      <w:r>
        <w:rPr>
          <w:rFonts w:hint="eastAsia" w:ascii="仿宋_GB2312" w:hAnsi="宋体" w:eastAsia="仿宋_GB2312" w:cs="Times New Roman"/>
          <w:sz w:val="30"/>
          <w:szCs w:val="30"/>
        </w:rPr>
        <w:t>份，具有同等法律效力。</w:t>
      </w:r>
    </w:p>
    <w:p w14:paraId="4B2D49BF">
      <w:pPr>
        <w:pStyle w:val="3"/>
        <w:ind w:right="-326" w:rightChars="-139" w:firstLine="539" w:firstLineChars="166"/>
        <w:rPr>
          <w:rFonts w:hint="eastAsia" w:ascii="仿宋_GB2312" w:hAnsi="宋体" w:eastAsia="仿宋_GB2312" w:cs="Times New Roman"/>
          <w:sz w:val="30"/>
          <w:szCs w:val="30"/>
          <w:lang w:eastAsia="zh-CN"/>
        </w:rPr>
      </w:pPr>
      <w:r>
        <w:rPr>
          <w:rFonts w:hint="eastAsia" w:ascii="仿宋_GB2312" w:hAnsi="宋体" w:eastAsia="仿宋_GB2312" w:cs="Times New Roman"/>
          <w:sz w:val="30"/>
          <w:szCs w:val="30"/>
        </w:rPr>
        <w:br w:type="page"/>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签章页</w:t>
      </w:r>
      <w:r>
        <w:rPr>
          <w:rFonts w:hint="eastAsia" w:ascii="仿宋_GB2312" w:hAnsi="宋体" w:eastAsia="仿宋_GB2312" w:cs="Times New Roman"/>
          <w:sz w:val="30"/>
          <w:szCs w:val="30"/>
          <w:lang w:eastAsia="zh-CN"/>
        </w:rPr>
        <w:t>）</w:t>
      </w:r>
    </w:p>
    <w:p w14:paraId="30DA157E">
      <w:pPr>
        <w:pStyle w:val="3"/>
        <w:ind w:right="-326" w:rightChars="-139" w:firstLine="539" w:firstLineChars="166"/>
        <w:rPr>
          <w:rFonts w:hint="eastAsia" w:ascii="仿宋_GB2312" w:hAnsi="宋体" w:eastAsia="仿宋_GB2312" w:cs="Times New Roman"/>
          <w:sz w:val="30"/>
          <w:szCs w:val="30"/>
        </w:rPr>
      </w:pPr>
    </w:p>
    <w:p w14:paraId="2C67D8DE">
      <w:pPr>
        <w:pStyle w:val="3"/>
        <w:ind w:right="-326" w:rightChars="-139" w:firstLine="539" w:firstLineChars="166"/>
        <w:rPr>
          <w:rFonts w:hint="default" w:ascii="仿宋_GB2312" w:hAnsi="宋体" w:eastAsia="仿宋_GB2312" w:cs="Times New Roman"/>
          <w:sz w:val="30"/>
          <w:szCs w:val="30"/>
          <w:lang w:val="en-US" w:eastAsia="zh-CN"/>
        </w:rPr>
      </w:pPr>
    </w:p>
    <w:p w14:paraId="29AAD5C7">
      <w:pPr>
        <w:spacing w:line="760" w:lineRule="exact"/>
        <w:ind w:left="-470" w:leftChars="-200" w:right="-232" w:rightChars="-99"/>
        <w:rPr>
          <w:rFonts w:hint="eastAsia" w:ascii="仿宋_GB2312" w:hAnsi="宋体" w:eastAsia="仿宋_GB2312"/>
          <w:sz w:val="32"/>
          <w:szCs w:val="32"/>
        </w:rPr>
      </w:pPr>
      <w:r>
        <w:rPr>
          <w:rFonts w:hint="eastAsia" w:ascii="仿宋_GB2312" w:hAnsi="宋体" w:eastAsia="仿宋_GB2312"/>
          <w:sz w:val="32"/>
          <w:szCs w:val="32"/>
        </w:rPr>
        <w:t>委托单位（甲方签章）：    受托单位（乙方签章）：</w:t>
      </w:r>
    </w:p>
    <w:p w14:paraId="6F1D462E">
      <w:pPr>
        <w:spacing w:line="760" w:lineRule="exact"/>
        <w:ind w:left="-470" w:leftChars="-200" w:right="-232" w:rightChars="-99"/>
        <w:rPr>
          <w:rFonts w:hint="eastAsia" w:ascii="仿宋_GB2312" w:hAnsi="宋体" w:eastAsia="仿宋_GB2312"/>
          <w:sz w:val="32"/>
          <w:szCs w:val="32"/>
        </w:rPr>
      </w:pPr>
      <w:r>
        <w:rPr>
          <w:rFonts w:hint="eastAsia" w:ascii="仿宋_GB2312" w:hAnsi="宋体" w:eastAsia="仿宋_GB2312"/>
          <w:sz w:val="32"/>
          <w:szCs w:val="32"/>
        </w:rPr>
        <w:t xml:space="preserve">法定代表人：             法定代表人： </w:t>
      </w:r>
    </w:p>
    <w:p w14:paraId="1E2B2772">
      <w:pPr>
        <w:spacing w:line="760" w:lineRule="exact"/>
        <w:ind w:left="-470" w:leftChars="-200" w:right="-232" w:rightChars="-99"/>
        <w:rPr>
          <w:rFonts w:hint="eastAsia" w:ascii="仿宋_GB2312" w:hAnsi="宋体" w:eastAsia="仿宋_GB2312"/>
          <w:sz w:val="32"/>
          <w:szCs w:val="32"/>
        </w:rPr>
      </w:pPr>
      <w:r>
        <w:rPr>
          <w:rFonts w:hint="eastAsia" w:ascii="仿宋_GB2312" w:hAnsi="宋体" w:eastAsia="仿宋_GB2312"/>
          <w:sz w:val="32"/>
          <w:szCs w:val="32"/>
        </w:rPr>
        <w:t xml:space="preserve">委托代理人：             委托代理人：                                            </w:t>
      </w:r>
    </w:p>
    <w:p w14:paraId="76B2964E">
      <w:pPr>
        <w:spacing w:line="740" w:lineRule="exact"/>
        <w:ind w:left="-470" w:leftChars="-200" w:right="-232" w:rightChars="-99"/>
        <w:rPr>
          <w:rFonts w:hint="eastAsia" w:ascii="仿宋_GB2312" w:hAnsi="宋体" w:eastAsia="仿宋_GB2312"/>
          <w:sz w:val="32"/>
          <w:szCs w:val="32"/>
        </w:rPr>
      </w:pPr>
      <w:r>
        <w:rPr>
          <w:rFonts w:hint="eastAsia" w:ascii="仿宋_GB2312" w:hAnsi="宋体" w:eastAsia="仿宋_GB2312"/>
          <w:sz w:val="32"/>
          <w:szCs w:val="32"/>
        </w:rPr>
        <w:t>联系电话：               联系电话：0871-65749337</w:t>
      </w:r>
    </w:p>
    <w:p w14:paraId="0F75BF4D">
      <w:pPr>
        <w:spacing w:line="760" w:lineRule="exact"/>
        <w:ind w:left="-470" w:leftChars="-200" w:right="-232" w:rightChars="-99"/>
        <w:rPr>
          <w:rFonts w:hint="eastAsia" w:ascii="仿宋_GB2312" w:hAnsi="宋体" w:eastAsia="仿宋_GB2312"/>
          <w:sz w:val="32"/>
          <w:szCs w:val="32"/>
        </w:rPr>
      </w:pPr>
      <w:r>
        <w:rPr>
          <w:rFonts w:hint="eastAsia" w:ascii="仿宋_GB2312" w:hAnsi="宋体" w:eastAsia="仿宋_GB2312"/>
          <w:sz w:val="32"/>
          <w:szCs w:val="32"/>
        </w:rPr>
        <w:t>传真：                   传真：65749787</w:t>
      </w:r>
    </w:p>
    <w:p w14:paraId="2B9BF309">
      <w:pPr>
        <w:spacing w:line="760" w:lineRule="exact"/>
        <w:ind w:left="-470" w:leftChars="-200" w:right="-232" w:rightChars="-99"/>
        <w:rPr>
          <w:rFonts w:hint="eastAsia" w:ascii="仿宋_GB2312" w:hAnsi="宋体" w:eastAsia="仿宋_GB2312"/>
          <w:sz w:val="32"/>
          <w:szCs w:val="32"/>
        </w:rPr>
      </w:pPr>
      <w:r>
        <w:rPr>
          <w:rFonts w:hint="eastAsia" w:ascii="仿宋_GB2312" w:hAnsi="宋体" w:eastAsia="仿宋_GB2312"/>
          <w:sz w:val="32"/>
          <w:szCs w:val="32"/>
        </w:rPr>
        <w:t>邮编：                   邮编：650224</w:t>
      </w:r>
    </w:p>
    <w:p w14:paraId="44C9D29D">
      <w:pPr>
        <w:spacing w:line="740" w:lineRule="exact"/>
        <w:ind w:left="7644" w:leftChars="-238" w:right="-1184" w:rightChars="-504" w:hanging="8203" w:hangingChars="2378"/>
        <w:rPr>
          <w:rFonts w:hint="eastAsia" w:ascii="仿宋_GB2312" w:hAnsi="宋体" w:eastAsia="仿宋_GB2312"/>
          <w:sz w:val="32"/>
          <w:szCs w:val="32"/>
        </w:rPr>
      </w:pPr>
      <w:r>
        <w:rPr>
          <w:rFonts w:hint="eastAsia" w:ascii="仿宋_GB2312" w:hAnsi="宋体" w:eastAsia="仿宋_GB2312"/>
          <w:sz w:val="32"/>
          <w:szCs w:val="32"/>
        </w:rPr>
        <w:t xml:space="preserve">地址：                   </w:t>
      </w:r>
      <w:r>
        <w:rPr>
          <w:rFonts w:hint="eastAsia" w:ascii="仿宋_GB2312" w:hAnsi="宋体" w:eastAsia="仿宋_GB2312"/>
          <w:spacing w:val="-20"/>
          <w:sz w:val="30"/>
          <w:szCs w:val="30"/>
        </w:rPr>
        <w:t>地址：昆明市小坝路2号金尚俊园C座24楼</w:t>
      </w:r>
    </w:p>
    <w:p w14:paraId="6FBCC982">
      <w:pPr>
        <w:spacing w:line="760" w:lineRule="exact"/>
        <w:ind w:left="-470" w:leftChars="-200" w:right="-474" w:rightChars="-202"/>
        <w:rPr>
          <w:rFonts w:hint="eastAsia" w:ascii="仿宋_GB2312" w:hAnsi="宋体" w:eastAsia="仿宋_GB2312"/>
          <w:w w:val="90"/>
          <w:sz w:val="28"/>
          <w:szCs w:val="28"/>
        </w:rPr>
      </w:pPr>
      <w:r>
        <w:rPr>
          <w:rFonts w:hint="eastAsia" w:ascii="仿宋_GB2312" w:hAnsi="宋体" w:eastAsia="仿宋_GB2312"/>
          <w:sz w:val="32"/>
          <w:szCs w:val="32"/>
        </w:rPr>
        <w:t xml:space="preserve">                           </w:t>
      </w:r>
      <w:r>
        <w:rPr>
          <w:rFonts w:ascii="仿宋_GB2312" w:hAnsi="宋体" w:eastAsia="仿宋_GB2312"/>
          <w:sz w:val="32"/>
          <w:szCs w:val="32"/>
        </w:rPr>
        <w:t xml:space="preserve">     </w:t>
      </w:r>
    </w:p>
    <w:p w14:paraId="7540AFB0">
      <w:pPr>
        <w:spacing w:line="760" w:lineRule="exact"/>
        <w:ind w:left="-470" w:leftChars="-200" w:right="-232" w:rightChars="-99"/>
        <w:rPr>
          <w:rFonts w:hint="eastAsia" w:ascii="仿宋_GB2312" w:hAnsi="宋体" w:eastAsia="仿宋_GB2312"/>
          <w:sz w:val="32"/>
          <w:szCs w:val="32"/>
        </w:rPr>
      </w:pPr>
      <w:r>
        <w:rPr>
          <w:rFonts w:hint="eastAsia" w:ascii="仿宋_GB2312" w:hAnsi="宋体" w:eastAsia="仿宋_GB2312"/>
          <w:sz w:val="32"/>
          <w:szCs w:val="32"/>
          <w:lang w:val="en-US" w:eastAsia="zh-CN"/>
        </w:rPr>
        <w:t>二〇二六</w:t>
      </w:r>
      <w:r>
        <w:rPr>
          <w:rFonts w:hint="eastAsia" w:ascii="仿宋_GB2312" w:hAnsi="宋体" w:eastAsia="仿宋_GB2312"/>
          <w:sz w:val="32"/>
          <w:szCs w:val="32"/>
        </w:rPr>
        <w:t>年</w:t>
      </w:r>
      <w:r>
        <w:rPr>
          <w:rFonts w:hint="eastAsia" w:ascii="仿宋_GB2312" w:hAnsi="宋体" w:eastAsia="仿宋_GB2312"/>
          <w:sz w:val="32"/>
          <w:szCs w:val="32"/>
          <w:lang w:val="en-US" w:eastAsia="zh-CN"/>
        </w:rPr>
        <w:t>六</w:t>
      </w:r>
      <w:r>
        <w:rPr>
          <w:rFonts w:hint="eastAsia" w:ascii="仿宋_GB2312" w:hAnsi="宋体" w:eastAsia="仿宋_GB2312"/>
          <w:sz w:val="32"/>
          <w:szCs w:val="32"/>
        </w:rPr>
        <w:t>月</w:t>
      </w:r>
      <w:r>
        <w:rPr>
          <w:rFonts w:hint="eastAsia" w:ascii="仿宋_GB2312" w:hAnsi="宋体" w:eastAsia="仿宋_GB2312"/>
          <w:sz w:val="32"/>
          <w:szCs w:val="32"/>
          <w:lang w:val="en-US" w:eastAsia="zh-CN"/>
        </w:rPr>
        <w:t>一</w:t>
      </w:r>
      <w:r>
        <w:rPr>
          <w:rFonts w:hint="eastAsia" w:ascii="仿宋_GB2312" w:hAnsi="宋体" w:eastAsia="仿宋_GB2312"/>
          <w:sz w:val="32"/>
          <w:szCs w:val="32"/>
        </w:rPr>
        <w:t xml:space="preserve">日           </w:t>
      </w:r>
      <w:r>
        <w:rPr>
          <w:rFonts w:hint="eastAsia" w:ascii="仿宋_GB2312" w:hAnsi="宋体" w:eastAsia="仿宋_GB2312"/>
          <w:sz w:val="32"/>
          <w:szCs w:val="32"/>
          <w:lang w:eastAsia="zh-CN"/>
        </w:rPr>
        <w:t>二〇二</w:t>
      </w:r>
      <w:r>
        <w:rPr>
          <w:rFonts w:hint="eastAsia" w:ascii="仿宋_GB2312" w:hAnsi="宋体" w:eastAsia="仿宋_GB2312"/>
          <w:sz w:val="32"/>
          <w:szCs w:val="32"/>
          <w:lang w:val="en-US" w:eastAsia="zh-CN"/>
        </w:rPr>
        <w:t>六</w:t>
      </w:r>
      <w:r>
        <w:rPr>
          <w:rFonts w:hint="eastAsia" w:ascii="仿宋_GB2312" w:hAnsi="宋体" w:eastAsia="仿宋_GB2312"/>
          <w:sz w:val="32"/>
          <w:szCs w:val="32"/>
        </w:rPr>
        <w:t>年</w:t>
      </w:r>
      <w:r>
        <w:rPr>
          <w:rFonts w:hint="eastAsia" w:ascii="仿宋_GB2312" w:hAnsi="宋体" w:eastAsia="仿宋_GB2312"/>
          <w:sz w:val="32"/>
          <w:szCs w:val="32"/>
          <w:lang w:val="en-US" w:eastAsia="zh-CN"/>
        </w:rPr>
        <w:t>六</w:t>
      </w:r>
      <w:r>
        <w:rPr>
          <w:rFonts w:hint="eastAsia" w:ascii="仿宋_GB2312" w:hAnsi="宋体" w:eastAsia="仿宋_GB2312"/>
          <w:sz w:val="32"/>
          <w:szCs w:val="32"/>
        </w:rPr>
        <w:t>月</w:t>
      </w:r>
      <w:r>
        <w:rPr>
          <w:rFonts w:hint="eastAsia" w:ascii="仿宋_GB2312" w:hAnsi="宋体" w:eastAsia="仿宋_GB2312"/>
          <w:sz w:val="32"/>
          <w:szCs w:val="32"/>
          <w:lang w:val="en-US" w:eastAsia="zh-CN"/>
        </w:rPr>
        <w:t>一</w:t>
      </w:r>
      <w:r>
        <w:rPr>
          <w:rFonts w:hint="eastAsia" w:ascii="仿宋_GB2312" w:hAnsi="宋体" w:eastAsia="仿宋_GB2312"/>
          <w:sz w:val="32"/>
          <w:szCs w:val="32"/>
        </w:rPr>
        <w:t>日</w:t>
      </w:r>
    </w:p>
    <w:sectPr>
      <w:footerReference r:id="rId7" w:type="first"/>
      <w:headerReference r:id="rId3" w:type="default"/>
      <w:footerReference r:id="rId5" w:type="default"/>
      <w:headerReference r:id="rId4" w:type="even"/>
      <w:footerReference r:id="rId6" w:type="even"/>
      <w:pgSz w:w="11906" w:h="16838"/>
      <w:pgMar w:top="962" w:right="1797" w:bottom="1440" w:left="1797" w:header="567" w:footer="851" w:gutter="0"/>
      <w:pgNumType w:start="0"/>
      <w:cols w:space="720" w:num="1"/>
      <w:titlePg/>
      <w:docGrid w:type="linesAndChars" w:linePitch="608" w:charSpace="52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58ADD42-EA50-4692-98E1-2038F3096A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宋黑简体">
    <w:altName w:val="宋体"/>
    <w:panose1 w:val="02000000000000000000"/>
    <w:charset w:val="86"/>
    <w:family w:val="script"/>
    <w:pitch w:val="default"/>
    <w:sig w:usb0="A00002BF" w:usb1="184F6CFA" w:usb2="00000012" w:usb3="00000000" w:csb0="00040001" w:csb1="00000000"/>
  </w:font>
  <w:font w:name="方正小标宋简体">
    <w:altName w:val="方正舒体"/>
    <w:panose1 w:val="03000509000000000000"/>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embedRegular r:id="rId2" w:fontKey="{9E4B7163-2AAB-4711-BEB0-747FBDCCEFD1}"/>
  </w:font>
  <w:font w:name="Arial Unicode MS">
    <w:altName w:val="Arial Unicode MS"/>
    <w:panose1 w:val="020B0604020202020204"/>
    <w:charset w:val="86"/>
    <w:family w:val="swiss"/>
    <w:pitch w:val="default"/>
    <w:sig w:usb0="FFFFFFFF" w:usb1="E9FFFFFF" w:usb2="0000003F" w:usb3="00000000" w:csb0="603F01FF" w:csb1="FFFF0000"/>
    <w:embedRegular r:id="rId3" w:fontKey="{C54BDEBB-13B3-4510-8F5A-83EB2CAC5F81}"/>
  </w:font>
  <w:font w:name="仿宋_GB2312">
    <w:altName w:val="仿宋"/>
    <w:panose1 w:val="02010609030101010101"/>
    <w:charset w:val="86"/>
    <w:family w:val="auto"/>
    <w:pitch w:val="default"/>
    <w:sig w:usb0="00000001" w:usb1="080E0000" w:usb2="00000000" w:usb3="00000000" w:csb0="00040000" w:csb1="00000000"/>
    <w:embedRegular r:id="rId4" w:fontKey="{6F7BBAB0-EDBC-4EB5-810B-40BC386E7DF4}"/>
  </w:font>
  <w:font w:name="楷体_GB2312">
    <w:altName w:val="楷体"/>
    <w:panose1 w:val="02010609030101010101"/>
    <w:charset w:val="86"/>
    <w:family w:val="modern"/>
    <w:pitch w:val="default"/>
    <w:sig w:usb0="00000001" w:usb1="080E0000" w:usb2="00000000" w:usb3="00000000" w:csb0="00040000" w:csb1="00000000"/>
    <w:embedRegular r:id="rId5" w:fontKey="{9A194F70-9FD7-49E2-836A-D82FE4B99A2D}"/>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WPSEMBED3">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AE087">
    <w:pPr>
      <w:pStyle w:val="5"/>
      <w:ind w:right="-424"/>
      <w:jc w:val="both"/>
    </w:pPr>
    <w:r>
      <w:rPr>
        <w:rFonts w:hint="eastAsia" w:eastAsia="华文新魏"/>
        <w:b/>
        <w:bCs/>
        <w:sz w:val="100"/>
        <w14:shadow w14:blurRad="50800" w14:dist="38100" w14:dir="2700000" w14:sx="100000" w14:sy="100000" w14:kx="0" w14:ky="0" w14:algn="tl">
          <w14:srgbClr w14:val="000000">
            <w14:alpha w14:val="60000"/>
          </w14:srgbClr>
        </w14:shadow>
      </w:rPr>
      <w:drawing>
        <wp:inline distT="0" distB="0" distL="114300" distR="114300">
          <wp:extent cx="229235" cy="229235"/>
          <wp:effectExtent l="0" t="0" r="18415" b="18415"/>
          <wp:docPr id="2" name="图片 1"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标志"/>
                  <pic:cNvPicPr>
                    <a:picLocks noChangeAspect="1"/>
                  </pic:cNvPicPr>
                </pic:nvPicPr>
                <pic:blipFill>
                  <a:blip r:embed="rId1"/>
                  <a:stretch>
                    <a:fillRect/>
                  </a:stretch>
                </pic:blipFill>
                <pic:spPr>
                  <a:xfrm>
                    <a:off x="0" y="0"/>
                    <a:ext cx="229235" cy="229235"/>
                  </a:xfrm>
                  <a:prstGeom prst="rect">
                    <a:avLst/>
                  </a:prstGeom>
                  <a:noFill/>
                  <a:ln>
                    <a:noFill/>
                  </a:ln>
                </pic:spPr>
              </pic:pic>
            </a:graphicData>
          </a:graphic>
        </wp:inline>
      </w:drawing>
    </w:r>
    <w:r>
      <w:rPr>
        <w:rFonts w:hint="eastAsia"/>
        <w:i/>
      </w:rPr>
      <w:t xml:space="preserve">云南云岭天成会计师事务所有限公司              </w:t>
    </w:r>
    <w:r>
      <w:fldChar w:fldCharType="begin"/>
    </w:r>
    <w:r>
      <w:instrText xml:space="preserve">PAGE   \* MERGEFORMAT</w:instrText>
    </w:r>
    <w:r>
      <w:fldChar w:fldCharType="separate"/>
    </w:r>
    <w:r>
      <w:rPr>
        <w:lang w:val="zh-CN"/>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1E9E8">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lang/>
      </w:rPr>
      <w:t>18</w:t>
    </w:r>
    <w:r>
      <w:rPr>
        <w:rStyle w:val="9"/>
      </w:rPr>
      <w:fldChar w:fldCharType="end"/>
    </w:r>
  </w:p>
  <w:p w14:paraId="42529FA8">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11238">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0635F">
    <w:pPr>
      <w:pStyle w:val="6"/>
      <w:jc w:val="both"/>
      <w:rPr>
        <w:rFonts w:hint="eastAsia"/>
        <w:i/>
      </w:rPr>
    </w:pPr>
    <w:r>
      <w:rPr>
        <w:rFonts w:hint="eastAsia"/>
        <w:i/>
      </w:rPr>
      <w:t>公司合同文件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A5824">
    <w:pPr>
      <w:pStyle w:val="6"/>
      <w:jc w:val="both"/>
      <w:rPr>
        <w:rFonts w:hint="eastAsia"/>
      </w:rPr>
    </w:pPr>
    <w:r>
      <w:rPr>
        <w:rFonts w:hint="eastAsia"/>
      </w:rPr>
      <w:t>立信会计师事务所管理有限公司　　　　　　　　　　　　　　　　　　　　　　　　　　　　2007版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24A"/>
    <w:rsid w:val="000102B1"/>
    <w:rsid w:val="00010CDB"/>
    <w:rsid w:val="000236D5"/>
    <w:rsid w:val="00025AF8"/>
    <w:rsid w:val="00027A69"/>
    <w:rsid w:val="00051247"/>
    <w:rsid w:val="00055E7E"/>
    <w:rsid w:val="00082FE4"/>
    <w:rsid w:val="000848BA"/>
    <w:rsid w:val="00084E82"/>
    <w:rsid w:val="000D373C"/>
    <w:rsid w:val="000F4B5A"/>
    <w:rsid w:val="000F6FAD"/>
    <w:rsid w:val="001341E7"/>
    <w:rsid w:val="0014664D"/>
    <w:rsid w:val="001616CD"/>
    <w:rsid w:val="001870E0"/>
    <w:rsid w:val="0019465C"/>
    <w:rsid w:val="001A1339"/>
    <w:rsid w:val="001D404E"/>
    <w:rsid w:val="001F1310"/>
    <w:rsid w:val="002120F1"/>
    <w:rsid w:val="00216F68"/>
    <w:rsid w:val="00250FC4"/>
    <w:rsid w:val="00252242"/>
    <w:rsid w:val="0027561C"/>
    <w:rsid w:val="002A6D0F"/>
    <w:rsid w:val="002D471F"/>
    <w:rsid w:val="00304327"/>
    <w:rsid w:val="00365D07"/>
    <w:rsid w:val="00377EA0"/>
    <w:rsid w:val="003B6E47"/>
    <w:rsid w:val="00401012"/>
    <w:rsid w:val="00447388"/>
    <w:rsid w:val="0045136B"/>
    <w:rsid w:val="00464ED5"/>
    <w:rsid w:val="00466696"/>
    <w:rsid w:val="004966F8"/>
    <w:rsid w:val="004B3745"/>
    <w:rsid w:val="004E424A"/>
    <w:rsid w:val="005039D1"/>
    <w:rsid w:val="005136BD"/>
    <w:rsid w:val="00533519"/>
    <w:rsid w:val="00544E99"/>
    <w:rsid w:val="00550576"/>
    <w:rsid w:val="005769A9"/>
    <w:rsid w:val="005A5560"/>
    <w:rsid w:val="005C2C0A"/>
    <w:rsid w:val="005D07A8"/>
    <w:rsid w:val="005E03D2"/>
    <w:rsid w:val="005E580F"/>
    <w:rsid w:val="005F1762"/>
    <w:rsid w:val="0060292A"/>
    <w:rsid w:val="006133A9"/>
    <w:rsid w:val="00623DAE"/>
    <w:rsid w:val="006350D7"/>
    <w:rsid w:val="00635BE6"/>
    <w:rsid w:val="00650E37"/>
    <w:rsid w:val="006600F4"/>
    <w:rsid w:val="006658C6"/>
    <w:rsid w:val="00665EC8"/>
    <w:rsid w:val="00671190"/>
    <w:rsid w:val="006A41A1"/>
    <w:rsid w:val="006F3290"/>
    <w:rsid w:val="0071201C"/>
    <w:rsid w:val="00713504"/>
    <w:rsid w:val="00722232"/>
    <w:rsid w:val="00741073"/>
    <w:rsid w:val="00752A05"/>
    <w:rsid w:val="00755729"/>
    <w:rsid w:val="007A32E1"/>
    <w:rsid w:val="007C0C76"/>
    <w:rsid w:val="007E15C6"/>
    <w:rsid w:val="007E4B44"/>
    <w:rsid w:val="00810E38"/>
    <w:rsid w:val="00844710"/>
    <w:rsid w:val="00897643"/>
    <w:rsid w:val="008A45CC"/>
    <w:rsid w:val="008D7F71"/>
    <w:rsid w:val="008F3FD5"/>
    <w:rsid w:val="008F5944"/>
    <w:rsid w:val="00946544"/>
    <w:rsid w:val="00953739"/>
    <w:rsid w:val="00964BE5"/>
    <w:rsid w:val="00980085"/>
    <w:rsid w:val="00983E9C"/>
    <w:rsid w:val="0099109C"/>
    <w:rsid w:val="009946F6"/>
    <w:rsid w:val="009E7025"/>
    <w:rsid w:val="009F31F4"/>
    <w:rsid w:val="00A04737"/>
    <w:rsid w:val="00A06737"/>
    <w:rsid w:val="00A103BC"/>
    <w:rsid w:val="00A22427"/>
    <w:rsid w:val="00A22CB9"/>
    <w:rsid w:val="00A77447"/>
    <w:rsid w:val="00A8237C"/>
    <w:rsid w:val="00AD3126"/>
    <w:rsid w:val="00AE22FD"/>
    <w:rsid w:val="00B41682"/>
    <w:rsid w:val="00B56390"/>
    <w:rsid w:val="00B75C46"/>
    <w:rsid w:val="00BC5CE0"/>
    <w:rsid w:val="00BE246C"/>
    <w:rsid w:val="00C0244C"/>
    <w:rsid w:val="00C037F6"/>
    <w:rsid w:val="00C22581"/>
    <w:rsid w:val="00C2267A"/>
    <w:rsid w:val="00C22E8B"/>
    <w:rsid w:val="00C2574E"/>
    <w:rsid w:val="00C27BDC"/>
    <w:rsid w:val="00CC1358"/>
    <w:rsid w:val="00CE1E1C"/>
    <w:rsid w:val="00CF196B"/>
    <w:rsid w:val="00CF3170"/>
    <w:rsid w:val="00D05597"/>
    <w:rsid w:val="00D233E3"/>
    <w:rsid w:val="00D34A4E"/>
    <w:rsid w:val="00D36552"/>
    <w:rsid w:val="00D36C6D"/>
    <w:rsid w:val="00DC10D2"/>
    <w:rsid w:val="00DE207E"/>
    <w:rsid w:val="00DE38EF"/>
    <w:rsid w:val="00E1071B"/>
    <w:rsid w:val="00E258B9"/>
    <w:rsid w:val="00E34567"/>
    <w:rsid w:val="00E47DD1"/>
    <w:rsid w:val="00E703DD"/>
    <w:rsid w:val="00E910A6"/>
    <w:rsid w:val="00E97E1F"/>
    <w:rsid w:val="00EB18A2"/>
    <w:rsid w:val="00EB4FDC"/>
    <w:rsid w:val="00EB5436"/>
    <w:rsid w:val="00EB70D9"/>
    <w:rsid w:val="00EC34F7"/>
    <w:rsid w:val="00EC71BE"/>
    <w:rsid w:val="00ED7CC8"/>
    <w:rsid w:val="00F22CB1"/>
    <w:rsid w:val="00F46E48"/>
    <w:rsid w:val="00F7129D"/>
    <w:rsid w:val="00F7244B"/>
    <w:rsid w:val="00F93167"/>
    <w:rsid w:val="076E3EF6"/>
    <w:rsid w:val="08567C6D"/>
    <w:rsid w:val="131460EC"/>
    <w:rsid w:val="189C0B38"/>
    <w:rsid w:val="1ED72355"/>
    <w:rsid w:val="1FCE5ACF"/>
    <w:rsid w:val="235E53E8"/>
    <w:rsid w:val="26F702B5"/>
    <w:rsid w:val="2C030CBF"/>
    <w:rsid w:val="2D532BEA"/>
    <w:rsid w:val="339F6CB0"/>
    <w:rsid w:val="35226710"/>
    <w:rsid w:val="3B6224F2"/>
    <w:rsid w:val="3FA55881"/>
    <w:rsid w:val="45824330"/>
    <w:rsid w:val="473304A9"/>
    <w:rsid w:val="4D9E5F22"/>
    <w:rsid w:val="50C96C1A"/>
    <w:rsid w:val="616E31BB"/>
    <w:rsid w:val="6592787A"/>
    <w:rsid w:val="72CF145B"/>
    <w:rsid w:val="72EA4146"/>
    <w:rsid w:val="74B742B3"/>
    <w:rsid w:val="7643534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2">
    <w:name w:val="Body Text First Indent"/>
    <w:qFormat/>
    <w:uiPriority w:val="0"/>
    <w:pPr>
      <w:widowControl w:val="0"/>
      <w:autoSpaceDE w:val="0"/>
      <w:autoSpaceDN w:val="0"/>
      <w:adjustRightInd w:val="0"/>
      <w:spacing w:line="312" w:lineRule="auto"/>
      <w:ind w:firstLine="420"/>
    </w:pPr>
    <w:rPr>
      <w:rFonts w:ascii="Times New Roman" w:hAnsi="Times New Roman" w:eastAsia="宋体" w:cs="Times New Roman"/>
      <w:kern w:val="2"/>
      <w:sz w:val="24"/>
      <w:szCs w:val="21"/>
      <w:lang w:val="zh-CN" w:eastAsia="zh-CN" w:bidi="ar-SA"/>
    </w:rPr>
  </w:style>
  <w:style w:type="paragraph" w:styleId="3">
    <w:name w:val="Plain Text"/>
    <w:basedOn w:val="1"/>
    <w:uiPriority w:val="0"/>
    <w:rPr>
      <w:rFonts w:ascii="宋体" w:hAnsi="Courier New" w:cs="Courier New"/>
      <w:szCs w:val="21"/>
    </w:rPr>
  </w:style>
  <w:style w:type="paragraph" w:styleId="4">
    <w:name w:val="Balloon Text"/>
    <w:basedOn w:val="1"/>
    <w:link w:val="10"/>
    <w:uiPriority w:val="0"/>
    <w:rPr>
      <w:sz w:val="18"/>
      <w:szCs w:val="18"/>
    </w:rPr>
  </w:style>
  <w:style w:type="paragraph" w:styleId="5">
    <w:name w:val="footer"/>
    <w:basedOn w:val="1"/>
    <w:link w:val="11"/>
    <w:uiPriority w:val="99"/>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customStyle="1" w:styleId="10">
    <w:name w:val="批注框文本 Char"/>
    <w:link w:val="4"/>
    <w:uiPriority w:val="0"/>
    <w:rPr>
      <w:kern w:val="2"/>
      <w:sz w:val="18"/>
      <w:szCs w:val="18"/>
    </w:rPr>
  </w:style>
  <w:style w:type="character" w:customStyle="1" w:styleId="11">
    <w:name w:val="页脚 Char"/>
    <w:link w:val="5"/>
    <w:uiPriority w:val="99"/>
    <w:rPr>
      <w:kern w:val="2"/>
      <w:sz w:val="18"/>
      <w:szCs w:val="18"/>
    </w:rPr>
  </w:style>
  <w:style w:type="paragraph" w:customStyle="1" w:styleId="12">
    <w:name w:val="节标题"/>
    <w:basedOn w:val="3"/>
    <w:uiPriority w:val="0"/>
    <w:pPr>
      <w:spacing w:line="720" w:lineRule="auto"/>
      <w:ind w:firstLine="200" w:firstLineChars="200"/>
      <w:jc w:val="center"/>
    </w:pPr>
    <w:rPr>
      <w:rFonts w:ascii="方正宋黑简体" w:eastAsia="方正宋黑简体"/>
      <w:sz w:val="28"/>
    </w:rPr>
  </w:style>
  <w:style w:type="paragraph" w:customStyle="1" w:styleId="13">
    <w:name w:val="顿号级标题"/>
    <w:basedOn w:val="3"/>
    <w:uiPriority w:val="0"/>
    <w:pPr>
      <w:adjustRightInd w:val="0"/>
      <w:snapToGrid w:val="0"/>
      <w:spacing w:line="800" w:lineRule="exact"/>
    </w:pPr>
    <w:rPr>
      <w:rFonts w:ascii="方正小标宋简体" w:eastAsia="方正小标宋简体"/>
      <w:w w:val="120"/>
      <w:kern w:val="0"/>
      <w:sz w:val="24"/>
    </w:rPr>
  </w:style>
  <w:style w:type="paragraph" w:customStyle="1" w:styleId="14">
    <w:name w:val="小四号黑变"/>
    <w:basedOn w:val="3"/>
    <w:uiPriority w:val="0"/>
    <w:rPr>
      <w:rFonts w:ascii="方正宋黑简体" w:eastAsia="方正宋黑简体"/>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pcpa</Company>
  <Pages>8</Pages>
  <Words>2901</Words>
  <Characters>3026</Characters>
  <Lines>22</Lines>
  <Paragraphs>6</Paragraphs>
  <TotalTime>3</TotalTime>
  <ScaleCrop>false</ScaleCrop>
  <LinksUpToDate>false</LinksUpToDate>
  <CharactersWithSpaces>3267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2015-10-13T09:05:00Z</dcterms:created>
  <dc:creator>zzl</dc:creator>
  <cp:lastModifiedBy>符号</cp:lastModifiedBy>
  <cp:lastPrinted>2016-08-25T07:10:00Z</cp:lastPrinted>
  <dcterms:modified xsi:type="dcterms:W3CDTF">2026-07-14T07:33:03Z</dcterms:modified>
  <dc:title>审计业务约定书</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eyJoZGlkIjoiNGI0NTYxYTJlZGY2MTJiZTAzNTdkNzA5NGExNjZkYTMiLCJ1c2VySWQiOiIzNjE2NjA5NTcifQ==</vt:lpwstr>
  </property>
  <property fmtid="{D5CDD505-2E9C-101B-9397-08002B2CF9AE}" pid="3" name="KSOProductBuildVer">
    <vt:lpwstr>2052-12.1.0.26895</vt:lpwstr>
  </property>
  <property fmtid="{D5CDD505-2E9C-101B-9397-08002B2CF9AE}" pid="4" name="ICV">
    <vt:lpwstr>2B0E3BB14DDE4454B93CDFE1DDF40981_13</vt:lpwstr>
  </property>
</Properties>
</file>