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80" w:lineRule="exact"/>
        <w:jc w:val="center"/>
        <w:textAlignment w:val="auto"/>
        <w:rPr>
          <w:rFonts w:hint="eastAsia" w:ascii="方正小标宋简体" w:hAnsi="方正小标宋简体" w:eastAsia="方正小标宋简体" w:cs="方正小标宋简体"/>
          <w:sz w:val="44"/>
          <w:szCs w:val="44"/>
          <w:lang w:eastAsia="zh-CN"/>
        </w:rPr>
      </w:pPr>
    </w:p>
    <w:p>
      <w:pPr>
        <w:keepNext w:val="0"/>
        <w:keepLines w:val="0"/>
        <w:pageBreakBefore w:val="0"/>
        <w:widowControl w:val="0"/>
        <w:kinsoku/>
        <w:wordWrap/>
        <w:overflowPunct/>
        <w:topLinePunct w:val="0"/>
        <w:autoSpaceDE/>
        <w:autoSpaceDN/>
        <w:bidi w:val="0"/>
        <w:adjustRightInd/>
        <w:snapToGrid/>
        <w:spacing w:line="68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石林彝族自治县</w:t>
      </w:r>
      <w:r>
        <w:rPr>
          <w:rFonts w:hint="eastAsia" w:ascii="方正小标宋简体" w:hAnsi="方正小标宋简体" w:eastAsia="方正小标宋简体" w:cs="方正小标宋简体"/>
          <w:sz w:val="44"/>
          <w:szCs w:val="44"/>
        </w:rPr>
        <w:t>民政局202</w:t>
      </w:r>
      <w:r>
        <w:rPr>
          <w:rFonts w:hint="eastAsia" w:ascii="方正小标宋简体" w:hAnsi="方正小标宋简体" w:eastAsia="方正小标宋简体" w:cs="方正小标宋简体"/>
          <w:sz w:val="44"/>
          <w:szCs w:val="44"/>
          <w:lang w:val="en-US" w:eastAsia="zh-CN"/>
        </w:rPr>
        <w:t>5</w:t>
      </w:r>
      <w:r>
        <w:rPr>
          <w:rFonts w:hint="eastAsia" w:ascii="方正小标宋简体" w:hAnsi="方正小标宋简体" w:eastAsia="方正小标宋简体" w:cs="方正小标宋简体"/>
          <w:sz w:val="44"/>
          <w:szCs w:val="44"/>
        </w:rPr>
        <w:t>年度中央和</w:t>
      </w:r>
    </w:p>
    <w:p>
      <w:pPr>
        <w:keepNext w:val="0"/>
        <w:keepLines w:val="0"/>
        <w:pageBreakBefore w:val="0"/>
        <w:widowControl w:val="0"/>
        <w:kinsoku/>
        <w:wordWrap/>
        <w:overflowPunct/>
        <w:topLinePunct w:val="0"/>
        <w:autoSpaceDE/>
        <w:autoSpaceDN/>
        <w:bidi w:val="0"/>
        <w:adjustRightInd/>
        <w:snapToGrid/>
        <w:spacing w:line="68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省</w:t>
      </w:r>
      <w:r>
        <w:rPr>
          <w:rFonts w:hint="eastAsia" w:ascii="方正小标宋简体" w:hAnsi="方正小标宋简体" w:eastAsia="方正小标宋简体" w:cs="方正小标宋简体"/>
          <w:sz w:val="44"/>
          <w:szCs w:val="44"/>
          <w:lang w:eastAsia="zh-CN"/>
        </w:rPr>
        <w:t>市</w:t>
      </w:r>
      <w:r>
        <w:rPr>
          <w:rFonts w:hint="eastAsia" w:ascii="方正小标宋简体" w:hAnsi="方正小标宋简体" w:eastAsia="方正小标宋简体" w:cs="方正小标宋简体"/>
          <w:sz w:val="44"/>
          <w:szCs w:val="44"/>
        </w:rPr>
        <w:t>级福利彩票公益金使用情况公告</w:t>
      </w:r>
    </w:p>
    <w:p>
      <w:pPr>
        <w:rPr>
          <w:rFonts w:hint="eastAsia"/>
          <w:sz w:val="30"/>
          <w:szCs w:val="30"/>
        </w:rPr>
      </w:pPr>
      <w:r>
        <w:rPr>
          <w:rFonts w:hint="eastAsia"/>
          <w:sz w:val="30"/>
          <w:szCs w:val="30"/>
        </w:rPr>
        <w:t>　　　</w:t>
      </w:r>
    </w:p>
    <w:p>
      <w:pPr>
        <w:keepNext w:val="0"/>
        <w:keepLines w:val="0"/>
        <w:pageBreakBefore w:val="0"/>
        <w:kinsoku/>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按照《云南省财政厅关于转发〈彩票公益金管理办法〉的通知》（云财综〔2021〕28号）要求，现将</w:t>
      </w:r>
      <w:r>
        <w:rPr>
          <w:rFonts w:hint="eastAsia" w:ascii="仿宋_GB2312" w:hAnsi="仿宋_GB2312" w:eastAsia="仿宋_GB2312" w:cs="仿宋_GB2312"/>
          <w:sz w:val="32"/>
          <w:szCs w:val="32"/>
          <w:lang w:eastAsia="zh-CN"/>
        </w:rPr>
        <w:t>石林彝族自治县</w:t>
      </w:r>
      <w:r>
        <w:rPr>
          <w:rFonts w:hint="eastAsia" w:ascii="仿宋_GB2312" w:hAnsi="仿宋_GB2312" w:eastAsia="仿宋_GB2312" w:cs="仿宋_GB2312"/>
          <w:sz w:val="32"/>
          <w:szCs w:val="32"/>
        </w:rPr>
        <w:t>民政局202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年度中央和省</w:t>
      </w:r>
      <w:r>
        <w:rPr>
          <w:rFonts w:hint="eastAsia" w:ascii="仿宋_GB2312" w:hAnsi="仿宋_GB2312" w:eastAsia="仿宋_GB2312" w:cs="仿宋_GB2312"/>
          <w:sz w:val="32"/>
          <w:szCs w:val="32"/>
          <w:lang w:eastAsia="zh-CN"/>
        </w:rPr>
        <w:t>市</w:t>
      </w:r>
      <w:r>
        <w:rPr>
          <w:rFonts w:hint="eastAsia" w:ascii="仿宋_GB2312" w:hAnsi="仿宋_GB2312" w:eastAsia="仿宋_GB2312" w:cs="仿宋_GB2312"/>
          <w:sz w:val="32"/>
          <w:szCs w:val="32"/>
        </w:rPr>
        <w:t>级彩票公益金使用情况公告如下。</w:t>
      </w:r>
    </w:p>
    <w:p>
      <w:pPr>
        <w:keepNext w:val="0"/>
        <w:keepLines w:val="0"/>
        <w:pageBreakBefore w:val="0"/>
        <w:kinsoku/>
        <w:wordWrap/>
        <w:overflowPunct/>
        <w:topLinePunct w:val="0"/>
        <w:bidi w:val="0"/>
        <w:snapToGrid/>
        <w:spacing w:line="560" w:lineRule="exact"/>
        <w:ind w:firstLine="0" w:firstLineChars="0"/>
        <w:textAlignment w:val="auto"/>
        <w:rPr>
          <w:rFonts w:hint="eastAsia" w:ascii="黑体" w:hAnsi="黑体" w:eastAsia="黑体" w:cs="黑体"/>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　一、中央和省</w:t>
      </w:r>
      <w:r>
        <w:rPr>
          <w:rFonts w:hint="eastAsia" w:ascii="黑体" w:hAnsi="黑体" w:eastAsia="黑体" w:cs="黑体"/>
          <w:sz w:val="32"/>
          <w:szCs w:val="32"/>
          <w:lang w:eastAsia="zh-CN"/>
        </w:rPr>
        <w:t>市</w:t>
      </w:r>
      <w:r>
        <w:rPr>
          <w:rFonts w:hint="eastAsia" w:ascii="黑体" w:hAnsi="黑体" w:eastAsia="黑体" w:cs="黑体"/>
          <w:sz w:val="32"/>
          <w:szCs w:val="32"/>
        </w:rPr>
        <w:t>级彩票公益金支持情况</w:t>
      </w:r>
    </w:p>
    <w:p>
      <w:pPr>
        <w:keepNext w:val="0"/>
        <w:keepLines w:val="0"/>
        <w:pageBreakBefore w:val="0"/>
        <w:kinsoku/>
        <w:wordWrap/>
        <w:overflowPunct/>
        <w:topLinePunct w:val="0"/>
        <w:bidi w:val="0"/>
        <w:snapToGrid/>
        <w:spacing w:line="560" w:lineRule="exact"/>
        <w:ind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上级下达石林彝族自治县民政局</w:t>
      </w:r>
      <w:r>
        <w:rPr>
          <w:rFonts w:hint="eastAsia" w:ascii="仿宋_GB2312" w:hAnsi="仿宋_GB2312" w:eastAsia="仿宋_GB2312" w:cs="仿宋_GB2312"/>
          <w:sz w:val="32"/>
          <w:szCs w:val="32"/>
        </w:rPr>
        <w:t>彩票公益金共计</w:t>
      </w:r>
      <w:r>
        <w:rPr>
          <w:rFonts w:hint="eastAsia" w:ascii="仿宋_GB2312" w:hAnsi="仿宋_GB2312" w:eastAsia="仿宋_GB2312" w:cs="仿宋_GB2312"/>
          <w:sz w:val="32"/>
          <w:szCs w:val="32"/>
          <w:lang w:val="en-US" w:eastAsia="zh-CN"/>
        </w:rPr>
        <w:t>336.11</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财政实际拨款</w:t>
      </w:r>
      <w:r>
        <w:rPr>
          <w:rFonts w:hint="eastAsia" w:ascii="仿宋_GB2312" w:hAnsi="仿宋_GB2312" w:eastAsia="仿宋_GB2312" w:cs="仿宋_GB2312"/>
          <w:sz w:val="32"/>
          <w:szCs w:val="32"/>
          <w:lang w:val="en-US" w:eastAsia="zh-CN"/>
        </w:rPr>
        <w:t>336.11万元，资金到位率100%。</w:t>
      </w:r>
      <w:r>
        <w:rPr>
          <w:rFonts w:hint="eastAsia" w:ascii="仿宋_GB2312" w:hAnsi="仿宋_GB2312" w:eastAsia="仿宋_GB2312" w:cs="仿宋_GB2312"/>
          <w:b w:val="0"/>
          <w:i w:val="0"/>
          <w:caps w:val="0"/>
          <w:color w:val="222222"/>
          <w:spacing w:val="8"/>
          <w:sz w:val="32"/>
          <w:szCs w:val="32"/>
          <w:shd w:val="clear" w:fill="FFFFFF"/>
        </w:rPr>
        <w:t>其中：中央福利彩票公益金</w:t>
      </w:r>
      <w:r>
        <w:rPr>
          <w:rFonts w:hint="eastAsia" w:ascii="仿宋_GB2312" w:hAnsi="仿宋_GB2312" w:eastAsia="仿宋_GB2312" w:cs="仿宋_GB2312"/>
          <w:b w:val="0"/>
          <w:i w:val="0"/>
          <w:caps w:val="0"/>
          <w:color w:val="222222"/>
          <w:spacing w:val="8"/>
          <w:sz w:val="32"/>
          <w:szCs w:val="32"/>
          <w:shd w:val="clear" w:fill="FFFFFF"/>
          <w:lang w:val="en-US" w:eastAsia="zh-CN"/>
        </w:rPr>
        <w:t>17.84</w:t>
      </w:r>
      <w:r>
        <w:rPr>
          <w:rFonts w:hint="eastAsia" w:ascii="仿宋_GB2312" w:hAnsi="仿宋_GB2312" w:eastAsia="仿宋_GB2312" w:cs="仿宋_GB2312"/>
          <w:b w:val="0"/>
          <w:i w:val="0"/>
          <w:caps w:val="0"/>
          <w:color w:val="222222"/>
          <w:spacing w:val="8"/>
          <w:sz w:val="32"/>
          <w:szCs w:val="32"/>
          <w:shd w:val="clear" w:fill="FFFFFF"/>
        </w:rPr>
        <w:t>万元，</w:t>
      </w:r>
      <w:r>
        <w:rPr>
          <w:rFonts w:hint="eastAsia" w:ascii="仿宋_GB2312" w:hAnsi="仿宋_GB2312" w:eastAsia="仿宋_GB2312" w:cs="仿宋_GB2312"/>
          <w:b w:val="0"/>
          <w:i w:val="0"/>
          <w:caps w:val="0"/>
          <w:color w:val="222222"/>
          <w:spacing w:val="8"/>
          <w:sz w:val="32"/>
          <w:szCs w:val="32"/>
          <w:shd w:val="clear" w:fill="FFFFFF"/>
          <w:lang w:eastAsia="zh-CN"/>
        </w:rPr>
        <w:t>省级福利彩票公益金</w:t>
      </w:r>
      <w:r>
        <w:rPr>
          <w:rFonts w:hint="eastAsia" w:ascii="仿宋_GB2312" w:hAnsi="仿宋_GB2312" w:eastAsia="仿宋_GB2312" w:cs="仿宋_GB2312"/>
          <w:b w:val="0"/>
          <w:i w:val="0"/>
          <w:caps w:val="0"/>
          <w:color w:val="222222"/>
          <w:spacing w:val="8"/>
          <w:sz w:val="32"/>
          <w:szCs w:val="32"/>
          <w:shd w:val="clear" w:fill="FFFFFF"/>
          <w:lang w:val="en-US" w:eastAsia="zh-CN"/>
        </w:rPr>
        <w:t>247.82万元，</w:t>
      </w:r>
      <w:r>
        <w:rPr>
          <w:rFonts w:hint="eastAsia" w:ascii="仿宋_GB2312" w:hAnsi="仿宋_GB2312" w:eastAsia="仿宋_GB2312" w:cs="仿宋_GB2312"/>
          <w:b w:val="0"/>
          <w:i w:val="0"/>
          <w:caps w:val="0"/>
          <w:color w:val="222222"/>
          <w:spacing w:val="8"/>
          <w:sz w:val="32"/>
          <w:szCs w:val="32"/>
          <w:shd w:val="clear" w:fill="FFFFFF"/>
        </w:rPr>
        <w:t>市本级福利彩票公益金</w:t>
      </w:r>
      <w:r>
        <w:rPr>
          <w:rFonts w:hint="eastAsia" w:ascii="仿宋_GB2312" w:hAnsi="仿宋_GB2312" w:eastAsia="仿宋_GB2312" w:cs="仿宋_GB2312"/>
          <w:b w:val="0"/>
          <w:i w:val="0"/>
          <w:caps w:val="0"/>
          <w:color w:val="222222"/>
          <w:spacing w:val="8"/>
          <w:sz w:val="32"/>
          <w:szCs w:val="32"/>
          <w:shd w:val="clear" w:fill="FFFFFF"/>
          <w:lang w:val="en-US" w:eastAsia="zh-CN"/>
        </w:rPr>
        <w:t>70.45</w:t>
      </w:r>
      <w:r>
        <w:rPr>
          <w:rFonts w:hint="eastAsia" w:ascii="仿宋_GB2312" w:hAnsi="仿宋_GB2312" w:eastAsia="仿宋_GB2312" w:cs="仿宋_GB2312"/>
          <w:b w:val="0"/>
          <w:i w:val="0"/>
          <w:caps w:val="0"/>
          <w:color w:val="222222"/>
          <w:spacing w:val="8"/>
          <w:sz w:val="32"/>
          <w:szCs w:val="32"/>
          <w:shd w:val="clear" w:fill="FFFFFF"/>
        </w:rPr>
        <w:t>万元。</w:t>
      </w:r>
    </w:p>
    <w:p>
      <w:pPr>
        <w:keepNext w:val="0"/>
        <w:keepLines w:val="0"/>
        <w:pageBreakBefore w:val="0"/>
        <w:kinsoku/>
        <w:wordWrap/>
        <w:overflowPunct/>
        <w:topLinePunct w:val="0"/>
        <w:bidi w:val="0"/>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二、资助项目及执行情况</w:t>
      </w:r>
    </w:p>
    <w:p>
      <w:pPr>
        <w:pStyle w:val="6"/>
        <w:keepNext w:val="0"/>
        <w:keepLines w:val="0"/>
        <w:pageBreakBefore w:val="0"/>
        <w:widowControl w:val="0"/>
        <w:kinsoku/>
        <w:wordWrap w:val="0"/>
        <w:overflowPunct/>
        <w:topLinePunct w:val="0"/>
        <w:autoSpaceDE w:val="0"/>
        <w:autoSpaceDN w:val="0"/>
        <w:bidi w:val="0"/>
        <w:adjustRightInd w:val="0"/>
        <w:snapToGrid/>
        <w:spacing w:line="560" w:lineRule="exact"/>
        <w:ind w:firstLine="640" w:firstLineChars="200"/>
        <w:textAlignment w:val="auto"/>
        <w:rPr>
          <w:rFonts w:hint="eastAsia" w:ascii="仿宋_GB2312" w:hAnsi="仿宋_GB2312" w:eastAsia="仿宋_GB2312" w:cs="仿宋_GB2312"/>
          <w:i w:val="0"/>
          <w:caps w:val="0"/>
          <w:color w:val="333333"/>
          <w:spacing w:val="0"/>
          <w:sz w:val="32"/>
          <w:szCs w:val="32"/>
          <w:shd w:val="clear" w:fill="FFFFFF"/>
        </w:rPr>
      </w:pPr>
      <w:r>
        <w:rPr>
          <w:rFonts w:hint="eastAsia" w:ascii="仿宋_GB2312" w:hAnsi="仿宋_GB2312" w:eastAsia="仿宋_GB2312" w:cs="仿宋_GB2312"/>
          <w:sz w:val="32"/>
          <w:szCs w:val="32"/>
          <w:lang w:eastAsia="zh-CN"/>
        </w:rPr>
        <w:t>根据《昆明市财政局 昆明市民政局关于下达2025年中央集中彩票公益金支持社会福利事业专项资金的通知》（昆财社〔202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26</w:t>
      </w:r>
      <w:r>
        <w:rPr>
          <w:rFonts w:hint="eastAsia" w:ascii="仿宋_GB2312" w:hAnsi="仿宋_GB2312" w:eastAsia="仿宋_GB2312" w:cs="仿宋_GB2312"/>
          <w:sz w:val="32"/>
          <w:szCs w:val="32"/>
          <w:lang w:eastAsia="zh-CN"/>
        </w:rPr>
        <w:t>号）</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昆明市财政局 昆明市民政局</w:t>
      </w:r>
      <w:r>
        <w:rPr>
          <w:rFonts w:hint="eastAsia" w:ascii="仿宋_GB2312" w:hAnsi="仿宋_GB2312" w:eastAsia="仿宋_GB2312" w:cs="仿宋_GB2312"/>
          <w:sz w:val="32"/>
          <w:szCs w:val="32"/>
          <w:lang w:val="en-US" w:eastAsia="zh-CN"/>
        </w:rPr>
        <w:t>关于下达2025年中央专项彩票公益金支持居家和社区基本养老服务提升行动项目资金的通知》（昆财社〔2025〕134号），共</w:t>
      </w:r>
      <w:r>
        <w:rPr>
          <w:rFonts w:hint="eastAsia" w:ascii="仿宋_GB2312" w:hAnsi="仿宋_GB2312" w:eastAsia="仿宋_GB2312" w:cs="仿宋_GB2312"/>
          <w:sz w:val="32"/>
          <w:szCs w:val="32"/>
          <w:lang w:eastAsia="zh-CN"/>
        </w:rPr>
        <w:t>下达中央福利彩票公益金</w:t>
      </w:r>
      <w:r>
        <w:rPr>
          <w:rFonts w:hint="eastAsia" w:ascii="仿宋_GB2312" w:hAnsi="仿宋_GB2312" w:eastAsia="仿宋_GB2312" w:cs="仿宋_GB2312"/>
          <w:sz w:val="32"/>
          <w:szCs w:val="32"/>
          <w:lang w:val="en-US" w:eastAsia="zh-CN"/>
        </w:rPr>
        <w:t>17.84万元</w:t>
      </w:r>
      <w:r>
        <w:rPr>
          <w:rFonts w:hint="eastAsia" w:ascii="仿宋_GB2312" w:hAnsi="仿宋_GB2312" w:eastAsia="仿宋_GB2312" w:cs="仿宋_GB2312"/>
          <w:i w:val="0"/>
          <w:caps w:val="0"/>
          <w:color w:val="333333"/>
          <w:spacing w:val="0"/>
          <w:sz w:val="32"/>
          <w:szCs w:val="32"/>
          <w:shd w:val="clear" w:fill="FFFFFF"/>
        </w:rPr>
        <w:t>。</w:t>
      </w:r>
    </w:p>
    <w:p>
      <w:pPr>
        <w:pStyle w:val="6"/>
        <w:keepNext w:val="0"/>
        <w:keepLines w:val="0"/>
        <w:pageBreakBefore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根据《</w:t>
      </w:r>
      <w:r>
        <w:rPr>
          <w:rFonts w:hint="eastAsia" w:ascii="仿宋_GB2312" w:hAnsi="仿宋_GB2312" w:eastAsia="仿宋_GB2312" w:cs="仿宋_GB2312"/>
          <w:sz w:val="32"/>
          <w:szCs w:val="32"/>
          <w:lang w:eastAsia="zh-CN"/>
        </w:rPr>
        <w:t>昆明市财政局 昆明市民政局</w:t>
      </w:r>
      <w:r>
        <w:rPr>
          <w:rFonts w:hint="eastAsia" w:ascii="仿宋_GB2312" w:hAnsi="仿宋_GB2312" w:eastAsia="仿宋_GB2312" w:cs="仿宋_GB2312"/>
          <w:i w:val="0"/>
          <w:caps w:val="0"/>
          <w:color w:val="333333"/>
          <w:spacing w:val="0"/>
          <w:sz w:val="32"/>
          <w:szCs w:val="32"/>
          <w:shd w:val="clear" w:fill="FFFFFF"/>
          <w:lang w:val="en-US" w:eastAsia="zh-CN"/>
        </w:rPr>
        <w:t>关于下达2025年第一批省级福利彩票公益金的通知》（昆财社〔2025〕105号）；《昆明市财政局昆明市民政局关于下达2025年第二批省级福利彩票公益金的通知》（昆财社〔2025〕130号）；《昆明市财政局 昆明市民政局关于下达2024年第六批省级福利彩票公益金的通知》（昆财社〔2025〕28号）共下达省级级福利彩票公益金247.82万元。</w:t>
      </w:r>
    </w:p>
    <w:p>
      <w:pPr>
        <w:pStyle w:val="6"/>
        <w:keepNext w:val="0"/>
        <w:keepLines w:val="0"/>
        <w:pageBreakBefore w:val="0"/>
        <w:kinsoku/>
        <w:wordWrap/>
        <w:overflowPunct/>
        <w:topLinePunct w:val="0"/>
        <w:bidi w:val="0"/>
        <w:snapToGrid/>
        <w:spacing w:line="560" w:lineRule="exact"/>
        <w:ind w:firstLine="640" w:firstLineChars="200"/>
        <w:textAlignment w:val="auto"/>
        <w:rPr>
          <w:rFonts w:hint="default"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根据《</w:t>
      </w:r>
      <w:r>
        <w:rPr>
          <w:rFonts w:hint="eastAsia" w:ascii="仿宋_GB2312" w:hAnsi="仿宋_GB2312" w:eastAsia="仿宋_GB2312" w:cs="仿宋_GB2312"/>
          <w:sz w:val="32"/>
          <w:szCs w:val="32"/>
          <w:lang w:eastAsia="zh-CN"/>
        </w:rPr>
        <w:t>昆明市财政局昆明市民政局关于下达2025年全市特殊困难群体火化补助资金的通知</w:t>
      </w:r>
      <w:r>
        <w:rPr>
          <w:rFonts w:hint="eastAsia" w:ascii="仿宋_GB2312" w:hAnsi="仿宋_GB2312" w:eastAsia="仿宋_GB2312" w:cs="仿宋_GB2312"/>
          <w:i w:val="0"/>
          <w:caps w:val="0"/>
          <w:color w:val="333333"/>
          <w:spacing w:val="0"/>
          <w:sz w:val="32"/>
          <w:szCs w:val="32"/>
          <w:shd w:val="clear" w:fill="FFFFFF"/>
          <w:lang w:val="en-US" w:eastAsia="zh-CN"/>
        </w:rPr>
        <w:t>》（</w:t>
      </w:r>
      <w:r>
        <w:rPr>
          <w:rFonts w:hint="eastAsia" w:ascii="仿宋_GB2312" w:hAnsi="仿宋_GB2312" w:eastAsia="仿宋_GB2312" w:cs="仿宋_GB2312"/>
          <w:sz w:val="32"/>
          <w:szCs w:val="32"/>
          <w:lang w:eastAsia="zh-CN"/>
        </w:rPr>
        <w:t>昆财社〔2025〕69号</w:t>
      </w:r>
      <w:r>
        <w:rPr>
          <w:rFonts w:hint="eastAsia" w:ascii="仿宋_GB2312" w:hAnsi="仿宋_GB2312" w:eastAsia="仿宋_GB2312" w:cs="仿宋_GB2312"/>
          <w:i w:val="0"/>
          <w:caps w:val="0"/>
          <w:color w:val="333333"/>
          <w:spacing w:val="0"/>
          <w:sz w:val="32"/>
          <w:szCs w:val="32"/>
          <w:shd w:val="clear" w:fill="FFFFFF"/>
          <w:lang w:val="en-US" w:eastAsia="zh-CN"/>
        </w:rPr>
        <w:t>）;《昆明市财政局昆明市民政局关于下达2025年全市农村公益性公墓建设补助资金的通知》（昆财社〔2025〕70号）;《</w:t>
      </w:r>
      <w:r>
        <w:rPr>
          <w:rFonts w:hint="eastAsia" w:ascii="仿宋_GB2312" w:hAnsi="仿宋_GB2312" w:eastAsia="仿宋_GB2312" w:cs="仿宋_GB2312"/>
          <w:sz w:val="32"/>
          <w:szCs w:val="32"/>
          <w:lang w:eastAsia="zh-CN"/>
        </w:rPr>
        <w:t>昆明市财政局昆明市民政局关于调剂下达2025年敬老月活动资金的通知</w:t>
      </w:r>
      <w:r>
        <w:rPr>
          <w:rFonts w:hint="eastAsia" w:ascii="仿宋_GB2312" w:hAnsi="仿宋_GB2312" w:eastAsia="仿宋_GB2312" w:cs="仿宋_GB2312"/>
          <w:i w:val="0"/>
          <w:caps w:val="0"/>
          <w:color w:val="333333"/>
          <w:spacing w:val="0"/>
          <w:sz w:val="32"/>
          <w:szCs w:val="32"/>
          <w:shd w:val="clear" w:fill="FFFFFF"/>
          <w:lang w:val="en-US" w:eastAsia="zh-CN"/>
        </w:rPr>
        <w:t>》（</w:t>
      </w:r>
      <w:r>
        <w:rPr>
          <w:rFonts w:hint="eastAsia" w:ascii="仿宋_GB2312" w:hAnsi="仿宋_GB2312" w:eastAsia="仿宋_GB2312" w:cs="仿宋_GB2312"/>
          <w:sz w:val="32"/>
          <w:szCs w:val="32"/>
          <w:lang w:eastAsia="zh-CN"/>
        </w:rPr>
        <w:t>昆财社〔2025〕126号</w:t>
      </w:r>
      <w:r>
        <w:rPr>
          <w:rFonts w:hint="eastAsia" w:ascii="仿宋_GB2312" w:hAnsi="仿宋_GB2312" w:eastAsia="仿宋_GB2312" w:cs="仿宋_GB2312"/>
          <w:i w:val="0"/>
          <w:caps w:val="0"/>
          <w:color w:val="333333"/>
          <w:spacing w:val="0"/>
          <w:sz w:val="32"/>
          <w:szCs w:val="32"/>
          <w:shd w:val="clear" w:fill="FFFFFF"/>
          <w:lang w:val="en-US" w:eastAsia="zh-CN"/>
        </w:rPr>
        <w:t>），共下达市级福利彩票公益金70.45万元。</w:t>
      </w:r>
    </w:p>
    <w:p>
      <w:pPr>
        <w:pStyle w:val="6"/>
        <w:keepNext w:val="0"/>
        <w:keepLines w:val="0"/>
        <w:pageBreakBefore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依据福利彩票“扶老、助残、救孤、济困”的发行宗旨，按照彩票公益金专项资金使用原则，</w:t>
      </w:r>
      <w:r>
        <w:rPr>
          <w:rFonts w:hint="eastAsia" w:ascii="仿宋_GB2312" w:hAnsi="仿宋_GB2312" w:eastAsia="仿宋_GB2312" w:cs="仿宋_GB2312"/>
          <w:sz w:val="32"/>
          <w:szCs w:val="32"/>
          <w:lang w:eastAsia="zh-CN"/>
        </w:rPr>
        <w:t>用于</w:t>
      </w:r>
      <w:r>
        <w:rPr>
          <w:rFonts w:hint="eastAsia" w:ascii="仿宋_GB2312" w:hAnsi="仿宋_GB2312" w:eastAsia="仿宋_GB2312" w:cs="仿宋_GB2312"/>
          <w:sz w:val="32"/>
          <w:szCs w:val="32"/>
        </w:rPr>
        <w:t>老年人福利、儿童福利、城乡社区服务体系建设、殡葬服务、社会工作和志愿服务等</w:t>
      </w:r>
      <w:r>
        <w:rPr>
          <w:rFonts w:hint="eastAsia" w:ascii="仿宋_GB2312" w:hAnsi="仿宋_GB2312" w:eastAsia="仿宋_GB2312" w:cs="仿宋_GB2312"/>
          <w:sz w:val="32"/>
          <w:szCs w:val="32"/>
          <w:lang w:eastAsia="zh-CN"/>
        </w:rPr>
        <w:t>公益类事业发展</w:t>
      </w:r>
      <w:r>
        <w:rPr>
          <w:rFonts w:hint="eastAsia" w:ascii="仿宋_GB2312" w:hAnsi="仿宋_GB2312" w:eastAsia="仿宋_GB2312" w:cs="仿宋_GB2312"/>
          <w:sz w:val="32"/>
          <w:szCs w:val="32"/>
        </w:rPr>
        <w:t>。</w:t>
      </w:r>
    </w:p>
    <w:p>
      <w:pPr>
        <w:keepNext w:val="0"/>
        <w:keepLines w:val="0"/>
        <w:pageBreakBefore w:val="0"/>
        <w:kinsoku/>
        <w:wordWrap/>
        <w:overflowPunct/>
        <w:topLinePunct w:val="0"/>
        <w:bidi w:val="0"/>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（一）中央福利彩票公益金</w:t>
      </w:r>
    </w:p>
    <w:p>
      <w:pPr>
        <w:keepNext w:val="0"/>
        <w:keepLines w:val="0"/>
        <w:pageBreakBefore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儿童福利类项目</w:t>
      </w:r>
      <w:r>
        <w:rPr>
          <w:rFonts w:hint="eastAsia" w:ascii="仿宋_GB2312" w:hAnsi="仿宋_GB2312" w:eastAsia="仿宋_GB2312" w:cs="仿宋_GB2312"/>
          <w:sz w:val="32"/>
          <w:szCs w:val="32"/>
          <w:lang w:val="en-US" w:eastAsia="zh-CN"/>
        </w:rPr>
        <w:t>4.00</w:t>
      </w:r>
      <w:r>
        <w:rPr>
          <w:rFonts w:hint="eastAsia" w:ascii="仿宋_GB2312" w:hAnsi="仿宋_GB2312" w:eastAsia="仿宋_GB2312" w:cs="仿宋_GB2312"/>
          <w:sz w:val="32"/>
          <w:szCs w:val="32"/>
        </w:rPr>
        <w:t>万元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下达</w:t>
      </w:r>
      <w:r>
        <w:rPr>
          <w:rFonts w:hint="eastAsia" w:ascii="仿宋_GB2312" w:hAnsi="仿宋_GB2312" w:eastAsia="仿宋_GB2312" w:cs="仿宋_GB2312"/>
          <w:sz w:val="32"/>
          <w:szCs w:val="32"/>
        </w:rPr>
        <w:t>儿童福利类项目</w:t>
      </w:r>
      <w:r>
        <w:rPr>
          <w:rFonts w:hint="eastAsia" w:ascii="仿宋_GB2312" w:hAnsi="仿宋_GB2312" w:eastAsia="仿宋_GB2312" w:cs="仿宋_GB2312"/>
          <w:sz w:val="32"/>
          <w:szCs w:val="32"/>
          <w:lang w:val="en-US" w:eastAsia="zh-CN"/>
        </w:rPr>
        <w:t>4.00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，主要</w:t>
      </w:r>
      <w:r>
        <w:rPr>
          <w:rFonts w:hint="eastAsia" w:ascii="仿宋_GB2312" w:hAnsi="仿宋_GB2312" w:eastAsia="仿宋_GB2312" w:cs="仿宋_GB2312"/>
          <w:sz w:val="32"/>
          <w:szCs w:val="32"/>
          <w:lang w:val="en-US" w:eastAsia="zh-CN"/>
        </w:rPr>
        <w:t>用于</w:t>
      </w:r>
      <w:r>
        <w:rPr>
          <w:rFonts w:hint="eastAsia" w:ascii="仿宋_GB2312" w:hAnsi="仿宋_GB2312" w:eastAsia="仿宋_GB2312" w:cs="仿宋_GB2312"/>
          <w:sz w:val="32"/>
          <w:szCs w:val="32"/>
        </w:rPr>
        <w:t>孤儿助学项目。</w:t>
      </w:r>
    </w:p>
    <w:p>
      <w:pPr>
        <w:pStyle w:val="6"/>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2.老年人福利类项目13.84万元</w:t>
      </w:r>
    </w:p>
    <w:p>
      <w:pPr>
        <w:pStyle w:val="6"/>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下达老年人福利类项目13.84万元，主要用于支持居家和社区基本养老服务提升行动项目。</w:t>
      </w:r>
    </w:p>
    <w:p>
      <w:pPr>
        <w:keepNext w:val="0"/>
        <w:keepLines w:val="0"/>
        <w:pageBreakBefore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（二）省级彩票公益金</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0" w:beforeAutospacing="0" w:after="0" w:afterAutospacing="0" w:line="560" w:lineRule="exact"/>
        <w:ind w:left="0" w:right="6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1.社会公益类项目124.00万元</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0" w:beforeAutospacing="0" w:after="0" w:afterAutospacing="0" w:line="560" w:lineRule="exact"/>
        <w:ind w:left="0" w:right="6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2"/>
          <w:sz w:val="32"/>
          <w:szCs w:val="32"/>
          <w:lang w:val="en-US" w:eastAsia="zh-CN" w:bidi="ar-SA"/>
        </w:rPr>
        <w:t>下达社会公益类项目124.00万元，主要用于我县特殊困难群体火化补助项目、婚姻规范化试点项目、婚姻家庭辅导服务项目和基层老年人活动中心建设补助项目。</w:t>
      </w: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 xml:space="preserve"> </w:t>
      </w:r>
    </w:p>
    <w:p>
      <w:pPr>
        <w:pStyle w:val="6"/>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2.老年人福利类项目123.82万元</w:t>
      </w:r>
    </w:p>
    <w:p>
      <w:pPr>
        <w:pStyle w:val="6"/>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下达老年人福利类项目123.82万元，主要用于社会力量兴办养老机构一次性建设补助、旅居养老示范点建设补助、低保特困老年人能力评估服务和老年志愿服务活动。</w:t>
      </w:r>
    </w:p>
    <w:p>
      <w:pPr>
        <w:keepNext w:val="0"/>
        <w:keepLines w:val="0"/>
        <w:pageBreakBefore w:val="0"/>
        <w:kinsoku/>
        <w:wordWrap/>
        <w:overflowPunct/>
        <w:topLinePunct w:val="0"/>
        <w:bidi w:val="0"/>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color w:val="000000"/>
          <w:kern w:val="0"/>
          <w:sz w:val="32"/>
          <w:szCs w:val="32"/>
          <w:lang w:val="en-US" w:eastAsia="zh-CN"/>
        </w:rPr>
        <w:t>（三）</w:t>
      </w:r>
      <w:r>
        <w:rPr>
          <w:rFonts w:hint="eastAsia" w:ascii="楷体_GB2312" w:hAnsi="楷体_GB2312" w:eastAsia="楷体_GB2312" w:cs="楷体_GB2312"/>
          <w:sz w:val="32"/>
          <w:szCs w:val="32"/>
          <w:lang w:eastAsia="zh-CN"/>
        </w:rPr>
        <w:t>市</w:t>
      </w:r>
      <w:r>
        <w:rPr>
          <w:rFonts w:hint="eastAsia" w:ascii="楷体_GB2312" w:hAnsi="楷体_GB2312" w:eastAsia="楷体_GB2312" w:cs="楷体_GB2312"/>
          <w:sz w:val="32"/>
          <w:szCs w:val="32"/>
        </w:rPr>
        <w:t>级彩票公益金</w:t>
      </w:r>
    </w:p>
    <w:p>
      <w:pPr>
        <w:keepNext w:val="0"/>
        <w:keepLines w:val="0"/>
        <w:pageBreakBefore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kern w:val="2"/>
          <w:sz w:val="32"/>
          <w:szCs w:val="32"/>
          <w:lang w:val="en-US" w:eastAsia="zh-CN" w:bidi="ar-SA"/>
        </w:rPr>
        <w:t>社会公益类项目70.00</w:t>
      </w:r>
      <w:r>
        <w:rPr>
          <w:rFonts w:hint="eastAsia" w:ascii="仿宋_GB2312" w:hAnsi="仿宋_GB2312" w:eastAsia="仿宋_GB2312" w:cs="仿宋_GB2312"/>
          <w:sz w:val="32"/>
          <w:szCs w:val="32"/>
          <w:lang w:val="en-US" w:eastAsia="zh-CN"/>
        </w:rPr>
        <w:t>万元。</w:t>
      </w:r>
    </w:p>
    <w:p>
      <w:pPr>
        <w:keepNext w:val="0"/>
        <w:keepLines w:val="0"/>
        <w:pageBreakBefore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下达社会公益类项目70.00万元，主要用于我县特殊困难群体火化补助项目、农村公益性公墓建设项目。</w:t>
      </w:r>
    </w:p>
    <w:p>
      <w:pPr>
        <w:pStyle w:val="6"/>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kern w:val="2"/>
          <w:sz w:val="32"/>
          <w:szCs w:val="32"/>
          <w:lang w:val="en-US" w:eastAsia="zh-CN" w:bidi="ar-SA"/>
        </w:rPr>
        <w:t>老年福利类项目0.45</w:t>
      </w:r>
      <w:r>
        <w:rPr>
          <w:rFonts w:hint="eastAsia" w:ascii="仿宋_GB2312" w:hAnsi="仿宋_GB2312" w:eastAsia="仿宋_GB2312" w:cs="仿宋_GB2312"/>
          <w:sz w:val="32"/>
          <w:szCs w:val="32"/>
          <w:lang w:val="en-US" w:eastAsia="zh-CN"/>
        </w:rPr>
        <w:t>万元。</w:t>
      </w:r>
    </w:p>
    <w:p>
      <w:pPr>
        <w:pStyle w:val="6"/>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textAlignment w:val="auto"/>
        <w:rPr>
          <w:rFonts w:hint="default"/>
          <w:lang w:val="en-US" w:eastAsia="zh-CN"/>
        </w:rPr>
      </w:pPr>
      <w:r>
        <w:rPr>
          <w:rFonts w:hint="eastAsia" w:ascii="仿宋_GB2312" w:hAnsi="仿宋_GB2312" w:eastAsia="仿宋_GB2312" w:cs="仿宋_GB2312"/>
          <w:sz w:val="32"/>
          <w:szCs w:val="32"/>
          <w:lang w:val="en-US" w:eastAsia="zh-CN"/>
        </w:rPr>
        <w:t>下达老年人福利类项目0.45万元，主要用于敬老月走访慰问活动。</w:t>
      </w:r>
    </w:p>
    <w:p>
      <w:pPr>
        <w:keepNext w:val="0"/>
        <w:keepLines w:val="0"/>
        <w:pageBreakBefore w:val="0"/>
        <w:numPr>
          <w:ilvl w:val="0"/>
          <w:numId w:val="0"/>
        </w:numPr>
        <w:kinsoku/>
        <w:wordWrap/>
        <w:overflowPunct/>
        <w:topLinePunct w:val="0"/>
        <w:bidi w:val="0"/>
        <w:snapToGrid/>
        <w:spacing w:line="560" w:lineRule="exact"/>
        <w:ind w:firstLine="643" w:firstLineChars="200"/>
        <w:textAlignment w:val="auto"/>
        <w:rPr>
          <w:rFonts w:hint="eastAsia" w:ascii="黑体" w:hAnsi="黑体" w:eastAsia="黑体" w:cs="黑体"/>
          <w:b/>
          <w:bCs/>
          <w:sz w:val="32"/>
          <w:szCs w:val="32"/>
        </w:rPr>
      </w:pPr>
      <w:r>
        <w:rPr>
          <w:rFonts w:hint="eastAsia" w:ascii="黑体" w:hAnsi="黑体" w:eastAsia="黑体" w:cs="黑体"/>
          <w:b/>
          <w:bCs/>
          <w:sz w:val="32"/>
          <w:szCs w:val="32"/>
          <w:lang w:eastAsia="zh-CN"/>
        </w:rPr>
        <w:t>三、</w:t>
      </w:r>
      <w:r>
        <w:rPr>
          <w:rFonts w:hint="eastAsia" w:ascii="黑体" w:hAnsi="黑体" w:eastAsia="黑体" w:cs="黑体"/>
          <w:b/>
          <w:bCs/>
          <w:sz w:val="32"/>
          <w:szCs w:val="32"/>
        </w:rPr>
        <w:t>实际成效</w:t>
      </w:r>
    </w:p>
    <w:p>
      <w:pPr>
        <w:keepNext w:val="0"/>
        <w:keepLines w:val="0"/>
        <w:pageBreakBefore w:val="0"/>
        <w:numPr>
          <w:ilvl w:val="0"/>
          <w:numId w:val="0"/>
        </w:numPr>
        <w:kinsoku/>
        <w:wordWrap/>
        <w:overflowPunct/>
        <w:topLinePunct w:val="0"/>
        <w:bidi w:val="0"/>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（一）儿童福利类项目</w:t>
      </w:r>
    </w:p>
    <w:p>
      <w:pPr>
        <w:keepNext w:val="0"/>
        <w:keepLines w:val="0"/>
        <w:pageBreakBefore w:val="0"/>
        <w:numPr>
          <w:ilvl w:val="0"/>
          <w:numId w:val="0"/>
        </w:numPr>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孤儿助学方面，对我县辖区内年满18周岁仍在普通全日制本科学校、普通全日制专科学校、高等职业学校等高等院校及中等职业学校就读的</w:t>
      </w:r>
      <w:bookmarkStart w:id="0" w:name="_GoBack"/>
      <w:bookmarkEnd w:id="0"/>
      <w:r>
        <w:rPr>
          <w:rFonts w:hint="eastAsia" w:ascii="仿宋_GB2312" w:hAnsi="仿宋_GB2312" w:eastAsia="仿宋_GB2312" w:cs="仿宋_GB2312"/>
          <w:kern w:val="2"/>
          <w:sz w:val="32"/>
          <w:szCs w:val="32"/>
          <w:lang w:val="en-US" w:eastAsia="zh-CN" w:bidi="ar-SA"/>
        </w:rPr>
        <w:t>孤儿，按季度2500元/人的标准发放。该项目的实施使孤儿在生活、学习等方面经济负担切实得到有效缓解,帮助其顺利完成学业，让他们充分感受到党和政府的温暖。</w:t>
      </w:r>
    </w:p>
    <w:p>
      <w:pPr>
        <w:keepNext w:val="0"/>
        <w:keepLines w:val="0"/>
        <w:pageBreakBefore w:val="0"/>
        <w:numPr>
          <w:ilvl w:val="0"/>
          <w:numId w:val="0"/>
        </w:numPr>
        <w:kinsoku/>
        <w:wordWrap/>
        <w:overflowPunct/>
        <w:topLinePunct w:val="0"/>
        <w:bidi w:val="0"/>
        <w:snapToGrid/>
        <w:spacing w:line="560" w:lineRule="exact"/>
        <w:ind w:firstLine="640" w:firstLineChars="200"/>
        <w:textAlignment w:val="auto"/>
        <w:rPr>
          <w:rFonts w:hint="eastAsia" w:ascii="楷体_GB2312" w:hAnsi="楷体_GB2312" w:eastAsia="楷体_GB2312" w:cs="楷体_GB2312"/>
          <w:sz w:val="32"/>
          <w:szCs w:val="32"/>
          <w:highlight w:val="none"/>
          <w:lang w:val="en-US" w:eastAsia="zh-CN"/>
        </w:rPr>
      </w:pPr>
      <w:r>
        <w:rPr>
          <w:rFonts w:hint="eastAsia" w:ascii="楷体_GB2312" w:hAnsi="楷体_GB2312" w:eastAsia="楷体_GB2312" w:cs="楷体_GB2312"/>
          <w:sz w:val="32"/>
          <w:szCs w:val="32"/>
          <w:highlight w:val="none"/>
          <w:lang w:val="en-US" w:eastAsia="zh-CN"/>
        </w:rPr>
        <w:t>（二）老年人福利类项目</w:t>
      </w:r>
    </w:p>
    <w:p>
      <w:pPr>
        <w:keepNext w:val="0"/>
        <w:keepLines w:val="0"/>
        <w:pageBreakBefore w:val="0"/>
        <w:numPr>
          <w:ilvl w:val="0"/>
          <w:numId w:val="0"/>
        </w:numPr>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一是支持居家和社区基本养老服务提升行动项目资金，专项用于支持发展老年助餐服务，具体用于支持各乡镇（街道）具有一定服务规模、运营相对稳定成熟的老年助餐点购置或更新相关设施设备。</w:t>
      </w:r>
    </w:p>
    <w:p>
      <w:pPr>
        <w:pStyle w:val="2"/>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eastAsia" w:ascii="仿宋_GB2312" w:hAnsi="仿宋_GB2312" w:eastAsia="仿宋_GB2312" w:cs="仿宋_GB2312"/>
          <w:b w:val="0"/>
          <w:bCs w:val="0"/>
          <w:color w:val="auto"/>
          <w:kern w:val="2"/>
          <w:sz w:val="32"/>
          <w:szCs w:val="32"/>
          <w:u w:val="none"/>
          <w:lang w:val="en-US" w:eastAsia="zh-CN" w:bidi="ar-SA"/>
        </w:rPr>
      </w:pPr>
      <w:r>
        <w:rPr>
          <w:rFonts w:hint="eastAsia" w:ascii="仿宋_GB2312" w:hAnsi="仿宋_GB2312" w:eastAsia="仿宋_GB2312" w:cs="仿宋_GB2312"/>
          <w:b w:val="0"/>
          <w:bCs w:val="0"/>
          <w:color w:val="auto"/>
          <w:kern w:val="2"/>
          <w:sz w:val="32"/>
          <w:szCs w:val="32"/>
          <w:u w:val="none"/>
          <w:lang w:val="en-US" w:eastAsia="zh-CN" w:bidi="ar-SA"/>
        </w:rPr>
        <w:t>二是社会力量兴办养老机构一次性建设补助资金，用于社会力量兴办养老机构建设或改造支出、配套设施及设备购置等。</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三是旅居养老示范点建设补助资金，支持杏林大观园旅居养老企业进行服务设施建设、适老化升级改造、旅居养老服务协作机制（平台）建设，宣传推介、展览展示、成果（经验）交流等。</w:t>
      </w:r>
    </w:p>
    <w:p>
      <w:pPr>
        <w:pStyle w:val="2"/>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eastAsia" w:ascii="仿宋_GB2312" w:hAnsi="仿宋_GB2312" w:eastAsia="仿宋_GB2312" w:cs="仿宋_GB2312"/>
          <w:b w:val="0"/>
          <w:bCs w:val="0"/>
          <w:color w:val="auto"/>
          <w:kern w:val="2"/>
          <w:sz w:val="32"/>
          <w:szCs w:val="32"/>
          <w:u w:val="none"/>
          <w:lang w:val="en-US" w:eastAsia="zh-CN" w:bidi="ar-SA"/>
        </w:rPr>
      </w:pPr>
      <w:r>
        <w:rPr>
          <w:rFonts w:hint="eastAsia" w:ascii="仿宋_GB2312" w:hAnsi="仿宋_GB2312" w:eastAsia="仿宋_GB2312" w:cs="仿宋_GB2312"/>
          <w:b w:val="0"/>
          <w:bCs w:val="0"/>
          <w:color w:val="auto"/>
          <w:kern w:val="2"/>
          <w:sz w:val="32"/>
          <w:szCs w:val="32"/>
          <w:u w:val="none"/>
          <w:lang w:val="en-US" w:eastAsia="zh-CN" w:bidi="ar-SA"/>
        </w:rPr>
        <w:t>四是低保特困老年人能力评估服务经费，用于支持老年人能力评估(60岁以上低保、特困在保对象中残疾人及部分社会老年人)。</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kern w:val="2"/>
          <w:sz w:val="32"/>
          <w:szCs w:val="32"/>
          <w:u w:val="none"/>
          <w:lang w:val="en-US" w:eastAsia="zh-CN" w:bidi="ar-SA"/>
        </w:rPr>
      </w:pPr>
      <w:r>
        <w:rPr>
          <w:rFonts w:hint="eastAsia" w:ascii="仿宋_GB2312" w:hAnsi="仿宋_GB2312" w:eastAsia="仿宋_GB2312" w:cs="仿宋_GB2312"/>
          <w:b w:val="0"/>
          <w:bCs w:val="0"/>
          <w:color w:val="auto"/>
          <w:kern w:val="2"/>
          <w:sz w:val="32"/>
          <w:szCs w:val="32"/>
          <w:u w:val="none"/>
          <w:lang w:val="en-US" w:eastAsia="zh-CN" w:bidi="ar-SA"/>
        </w:rPr>
        <w:t>五是老年志愿服务活动经费，用于“云尚有你·银龄彩云南”老年志愿服务活动补助，老年志愿服务活动兼顾养老、敬老、为老三重价值；既丰富老年人精神生活、激活晚年价值，又充实基层治理力量，传承传统美德，减轻公共服务压力，树立“老有所为，老有所乐”社会新风气。</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kern w:val="2"/>
          <w:sz w:val="32"/>
          <w:szCs w:val="32"/>
          <w:u w:val="none"/>
          <w:lang w:val="en-US" w:eastAsia="zh-CN" w:bidi="ar-SA"/>
        </w:rPr>
      </w:pPr>
      <w:r>
        <w:rPr>
          <w:rFonts w:hint="eastAsia" w:ascii="仿宋_GB2312" w:hAnsi="仿宋_GB2312" w:eastAsia="仿宋_GB2312" w:cs="仿宋_GB2312"/>
          <w:b w:val="0"/>
          <w:bCs w:val="0"/>
          <w:color w:val="auto"/>
          <w:kern w:val="2"/>
          <w:sz w:val="32"/>
          <w:szCs w:val="32"/>
          <w:u w:val="none"/>
          <w:lang w:val="en-US" w:eastAsia="zh-CN" w:bidi="ar-SA"/>
        </w:rPr>
        <w:t>六是敬老月走访慰问活动资金，用于特殊困难老年人慰问，让老年人享受到党和政府、社会的关怀关心。</w:t>
      </w:r>
    </w:p>
    <w:p>
      <w:pPr>
        <w:keepNext w:val="0"/>
        <w:keepLines w:val="0"/>
        <w:pageBreakBefore w:val="0"/>
        <w:kinsoku/>
        <w:wordWrap/>
        <w:overflowPunct/>
        <w:topLinePunct w:val="0"/>
        <w:bidi w:val="0"/>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lang w:eastAsia="zh-CN"/>
        </w:rPr>
        <w:t>三</w:t>
      </w: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lang w:eastAsia="zh-CN"/>
        </w:rPr>
        <w:t>社会公益</w:t>
      </w:r>
      <w:r>
        <w:rPr>
          <w:rFonts w:hint="eastAsia" w:ascii="楷体_GB2312" w:hAnsi="楷体_GB2312" w:eastAsia="楷体_GB2312" w:cs="楷体_GB2312"/>
          <w:sz w:val="32"/>
          <w:szCs w:val="32"/>
        </w:rPr>
        <w:t>类项目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一是</w:t>
      </w:r>
      <w:r>
        <w:rPr>
          <w:rFonts w:hint="eastAsia" w:ascii="仿宋_GB2312" w:hAnsi="仿宋_GB2312" w:eastAsia="仿宋_GB2312" w:cs="仿宋_GB2312"/>
          <w:sz w:val="32"/>
          <w:szCs w:val="32"/>
        </w:rPr>
        <w:t>特殊困难群体火化补助方面</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对符合火化补助条件的农村五保、城乡低保等特殊困难群体，给予每户死亡人员家庭补助1000元的火化费。</w:t>
      </w:r>
      <w:r>
        <w:rPr>
          <w:rFonts w:hint="eastAsia" w:ascii="仿宋_GB2312" w:hAnsi="仿宋_GB2312" w:eastAsia="仿宋_GB2312" w:cs="仿宋_GB2312"/>
          <w:sz w:val="32"/>
          <w:szCs w:val="32"/>
          <w:lang w:eastAsia="zh-CN"/>
        </w:rPr>
        <w:t>进一步</w:t>
      </w:r>
      <w:r>
        <w:rPr>
          <w:rFonts w:hint="eastAsia" w:ascii="仿宋_GB2312" w:hAnsi="仿宋_GB2312" w:eastAsia="仿宋_GB2312" w:cs="仿宋_GB2312"/>
          <w:color w:val="000000"/>
          <w:sz w:val="32"/>
          <w:szCs w:val="32"/>
        </w:rPr>
        <w:t>缓解特殊困难人员丧葬压力，</w:t>
      </w:r>
      <w:r>
        <w:rPr>
          <w:rFonts w:hint="eastAsia" w:ascii="仿宋_GB2312" w:hAnsi="仿宋_GB2312" w:eastAsia="仿宋_GB2312" w:cs="仿宋_GB2312"/>
          <w:sz w:val="32"/>
          <w:szCs w:val="32"/>
        </w:rPr>
        <w:t>有效保障了特殊困难群体基本殡葬服务需求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000000"/>
          <w:sz w:val="32"/>
          <w:szCs w:val="32"/>
        </w:rPr>
        <w:t>维护社会稳定，促进经济社会良性发展的一项重要措施，推动社会和谐与进步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通过全面落实殡葬惠民政策，使特殊困难群体真正感受到了各级党委政府的关心和关怀，惠民殡葬工作得到扎实推进。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lang w:eastAsia="zh-CN"/>
        </w:rPr>
      </w:pPr>
      <w:r>
        <w:rPr>
          <w:rFonts w:hint="eastAsia" w:ascii="仿宋_GB2312" w:hAnsi="仿宋_GB2312" w:eastAsia="仿宋_GB2312" w:cs="仿宋_GB2312"/>
          <w:sz w:val="32"/>
          <w:szCs w:val="32"/>
          <w:lang w:eastAsia="zh-CN"/>
        </w:rPr>
        <w:t>二是婚姻规范化试点项目，在桃园湖建设了公园式婚姻登记试点，探索形成婚俗改革工作体制机制，注入新的时代元素，逐步创新推出年轻人喜闻乐见的婚俗礼仪，坚持以深化婚俗文化为切入点，加强婚姻登记机关规范化建设，拓展婚姻登记管理的广度、深度，引导群众革除陈规陋习，弘扬公序良俗，倡导文明新风，持续推进婚俗改革落地见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highlight w:val="yellow"/>
          <w:lang w:eastAsia="zh-CN"/>
        </w:rPr>
      </w:pPr>
      <w:r>
        <w:rPr>
          <w:rFonts w:hint="eastAsia" w:ascii="仿宋_GB2312" w:hAnsi="仿宋_GB2312" w:eastAsia="仿宋_GB2312" w:cs="仿宋_GB2312"/>
          <w:sz w:val="32"/>
          <w:szCs w:val="32"/>
          <w:highlight w:val="none"/>
          <w:lang w:eastAsia="zh-CN"/>
        </w:rPr>
        <w:t>三是婚姻家庭辅导服务项目，</w:t>
      </w:r>
      <w:r>
        <w:rPr>
          <w:rFonts w:hint="eastAsia" w:eastAsia="仿宋_GB2312"/>
          <w:sz w:val="32"/>
          <w:szCs w:val="32"/>
          <w:highlight w:val="none"/>
        </w:rPr>
        <w:t>通过婚姻质量及家庭关系评估、婚姻家庭冲突调适、情感危机处置和亲子关</w:t>
      </w:r>
      <w:r>
        <w:rPr>
          <w:rFonts w:hint="eastAsia" w:eastAsia="仿宋_GB2312"/>
          <w:sz w:val="32"/>
          <w:szCs w:val="32"/>
        </w:rPr>
        <w:t>系指导等内容帮助其正确理性面对婚姻家庭关系中存在的问题和矛盾，掌握经营婚姻、化解婚姻危机的技巧，通过辅导帮助其学习成长，正确看待婚姻的意义、自己的角色和责任，减少不良家庭对孩子及家庭成员的伤害，更好地适应美好生活。进一步加快推进石林县婚姻家庭纠纷调解工作的规范化建设，实现婚调服务工作纵向有进步，横向有进位，助推石林“平安家庭”建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四是农村公益性公墓建设方面，对鹿阜街道公墓进行改扩建，不断提高公益性安葬（放）设施乡镇覆盖率，加强殡葬事业投入，补齐殡葬公共服务设施短板，优化殡葬服务供给，促进殡葬事业发展。</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五是基层老年人活动中心建设补助资金，按省老体协补助方案分配专项用于石林彝族自治县老年人体育场地设施提升改造项目、板桥街道办事处黄家村委会老年人体育场地提升改造项目、石林街道办事处松子园村委会老年人体育场地提升改造项目，属于石林彝族自治县教育体育局项目，已将项目资金指标文件下达教育体育局及板桥街道和石林街道实施。</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kern w:val="2"/>
          <w:sz w:val="32"/>
          <w:szCs w:val="32"/>
          <w:lang w:val="en-US" w:eastAsia="zh-CN" w:bidi="ar-SA"/>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560" w:lineRule="exact"/>
        <w:ind w:left="0" w:right="0" w:firstLine="640" w:firstLineChars="200"/>
        <w:jc w:val="both"/>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四、福彩公益金管理情况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560" w:lineRule="exact"/>
        <w:ind w:left="0" w:right="0" w:firstLine="0" w:firstLine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222222"/>
          <w:spacing w:val="8"/>
          <w:sz w:val="32"/>
          <w:szCs w:val="32"/>
          <w:shd w:val="clear" w:fill="FFFFFF"/>
        </w:rPr>
        <w:t>     </w:t>
      </w:r>
      <w:r>
        <w:rPr>
          <w:rFonts w:hint="eastAsia" w:ascii="仿宋_GB2312" w:hAnsi="仿宋_GB2312" w:eastAsia="仿宋_GB2312" w:cs="仿宋_GB2312"/>
          <w:color w:val="000000"/>
          <w:kern w:val="0"/>
          <w:sz w:val="32"/>
          <w:szCs w:val="32"/>
          <w:lang w:val="en-US" w:eastAsia="zh-CN" w:bidi="ar-SA"/>
        </w:rPr>
        <w:t>严格执行《预算法》及会计核算、政府性基金预算管理规定，按要求进行项目预算申报及绩效管理，实行专款专用。福彩公益金使用规范安全，发挥了较好的社会效益。同时，为加强对福彩公益金使用的监管力度，确保每一笔资金使用的合规性、合理性；主动接受财政、审计部门对彩票公益金使用情况进行监督检查，规范了资金的运行。</w:t>
      </w:r>
      <w:r>
        <w:rPr>
          <w:rFonts w:hint="eastAsia" w:ascii="仿宋_GB2312" w:hAnsi="仿宋_GB2312" w:eastAsia="仿宋_GB2312" w:cs="仿宋_GB2312"/>
          <w:sz w:val="32"/>
          <w:szCs w:val="32"/>
        </w:rPr>
        <w:t>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特此公告。</w:t>
      </w:r>
    </w:p>
    <w:p>
      <w:pPr>
        <w:keepNext w:val="0"/>
        <w:keepLines w:val="0"/>
        <w:pageBreakBefore w:val="0"/>
        <w:kinsoku/>
        <w:wordWrap/>
        <w:overflowPunct/>
        <w:topLinePunct w:val="0"/>
        <w:bidi w:val="0"/>
        <w:snapToGrid/>
        <w:spacing w:line="56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pPr>
        <w:keepNext w:val="0"/>
        <w:keepLines w:val="0"/>
        <w:pageBreakBefore w:val="0"/>
        <w:kinsoku/>
        <w:wordWrap/>
        <w:overflowPunct/>
        <w:topLinePunct w:val="0"/>
        <w:bidi w:val="0"/>
        <w:snapToGrid/>
        <w:spacing w:line="56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pPr>
        <w:keepNext w:val="0"/>
        <w:keepLines w:val="0"/>
        <w:pageBreakBefore w:val="0"/>
        <w:kinsoku/>
        <w:wordWrap/>
        <w:overflowPunct/>
        <w:topLinePunct w:val="0"/>
        <w:bidi w:val="0"/>
        <w:snapToGrid/>
        <w:spacing w:line="560" w:lineRule="exact"/>
        <w:ind w:firstLine="0" w:firstLineChars="0"/>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石林彝族自治县</w:t>
      </w:r>
      <w:r>
        <w:rPr>
          <w:rFonts w:hint="eastAsia" w:ascii="仿宋_GB2312" w:hAnsi="仿宋_GB2312" w:eastAsia="仿宋_GB2312" w:cs="仿宋_GB2312"/>
          <w:sz w:val="32"/>
          <w:szCs w:val="32"/>
        </w:rPr>
        <w:t xml:space="preserve">民政局        </w:t>
      </w:r>
    </w:p>
    <w:p>
      <w:pPr>
        <w:keepNext w:val="0"/>
        <w:keepLines w:val="0"/>
        <w:pageBreakBefore w:val="0"/>
        <w:kinsoku/>
        <w:wordWrap/>
        <w:overflowPunct/>
        <w:topLinePunct w:val="0"/>
        <w:bidi w:val="0"/>
        <w:snapToGrid/>
        <w:spacing w:line="560" w:lineRule="exact"/>
        <w:ind w:firstLine="0" w:firstLineChars="0"/>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年6月</w:t>
      </w:r>
      <w:r>
        <w:rPr>
          <w:rFonts w:hint="eastAsia" w:ascii="仿宋_GB2312" w:hAnsi="仿宋_GB2312" w:eastAsia="仿宋_GB2312" w:cs="仿宋_GB2312"/>
          <w:sz w:val="32"/>
          <w:szCs w:val="32"/>
          <w:lang w:val="en-US" w:eastAsia="zh-CN"/>
        </w:rPr>
        <w:t>29</w:t>
      </w:r>
      <w:r>
        <w:rPr>
          <w:rFonts w:hint="eastAsia" w:ascii="仿宋_GB2312" w:hAnsi="仿宋_GB2312" w:eastAsia="仿宋_GB2312" w:cs="仿宋_GB2312"/>
          <w:sz w:val="32"/>
          <w:szCs w:val="32"/>
        </w:rPr>
        <w:t xml:space="preserve">日      </w:t>
      </w:r>
    </w:p>
    <w:sectPr>
      <w:pgSz w:w="11906" w:h="16838"/>
      <w:pgMar w:top="1531" w:right="1474" w:bottom="1417"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I5Y2YxYmQ1MmVjZmI5YzdlOTQ0YWRkZWI5MWNkMGEifQ=="/>
  </w:docVars>
  <w:rsids>
    <w:rsidRoot w:val="78DD4849"/>
    <w:rsid w:val="03C25AB9"/>
    <w:rsid w:val="03D92321"/>
    <w:rsid w:val="047E0C2E"/>
    <w:rsid w:val="0489377A"/>
    <w:rsid w:val="05CF6FC5"/>
    <w:rsid w:val="0677352A"/>
    <w:rsid w:val="067831E7"/>
    <w:rsid w:val="06A2436E"/>
    <w:rsid w:val="06E53AF2"/>
    <w:rsid w:val="084D1751"/>
    <w:rsid w:val="088674E1"/>
    <w:rsid w:val="08E266A1"/>
    <w:rsid w:val="09F83A63"/>
    <w:rsid w:val="0A515D78"/>
    <w:rsid w:val="0F0E5742"/>
    <w:rsid w:val="127B3F39"/>
    <w:rsid w:val="13315B1C"/>
    <w:rsid w:val="142A5125"/>
    <w:rsid w:val="144C1762"/>
    <w:rsid w:val="155F369B"/>
    <w:rsid w:val="15840CAF"/>
    <w:rsid w:val="16FB7141"/>
    <w:rsid w:val="178428D7"/>
    <w:rsid w:val="18706357"/>
    <w:rsid w:val="18E83993"/>
    <w:rsid w:val="1A153EDB"/>
    <w:rsid w:val="1B026FDC"/>
    <w:rsid w:val="1C9142AF"/>
    <w:rsid w:val="1D570DEA"/>
    <w:rsid w:val="1E1E766F"/>
    <w:rsid w:val="1E2C04C7"/>
    <w:rsid w:val="1E2D05DA"/>
    <w:rsid w:val="1FE663A5"/>
    <w:rsid w:val="21E6709A"/>
    <w:rsid w:val="23825025"/>
    <w:rsid w:val="23CE4359"/>
    <w:rsid w:val="24B442AB"/>
    <w:rsid w:val="24D14B72"/>
    <w:rsid w:val="25F1264D"/>
    <w:rsid w:val="261C0F13"/>
    <w:rsid w:val="27DA5950"/>
    <w:rsid w:val="293C4333"/>
    <w:rsid w:val="294F67BD"/>
    <w:rsid w:val="29F974FF"/>
    <w:rsid w:val="2A992242"/>
    <w:rsid w:val="2CEE4744"/>
    <w:rsid w:val="2DC747E2"/>
    <w:rsid w:val="30106F1C"/>
    <w:rsid w:val="30D54158"/>
    <w:rsid w:val="30FD2564"/>
    <w:rsid w:val="310835FF"/>
    <w:rsid w:val="3127674E"/>
    <w:rsid w:val="31A075BA"/>
    <w:rsid w:val="33A96152"/>
    <w:rsid w:val="33BF02F5"/>
    <w:rsid w:val="34E474E7"/>
    <w:rsid w:val="3506407A"/>
    <w:rsid w:val="38424D57"/>
    <w:rsid w:val="3C04597D"/>
    <w:rsid w:val="40567F51"/>
    <w:rsid w:val="40D95790"/>
    <w:rsid w:val="414D216F"/>
    <w:rsid w:val="4236566E"/>
    <w:rsid w:val="430054E9"/>
    <w:rsid w:val="43775DC1"/>
    <w:rsid w:val="43C46E6F"/>
    <w:rsid w:val="43CC7746"/>
    <w:rsid w:val="44281CA8"/>
    <w:rsid w:val="443C7B7F"/>
    <w:rsid w:val="44436955"/>
    <w:rsid w:val="447659E0"/>
    <w:rsid w:val="44FE17D3"/>
    <w:rsid w:val="44FF683E"/>
    <w:rsid w:val="45CD49FF"/>
    <w:rsid w:val="46D25421"/>
    <w:rsid w:val="49B40DFB"/>
    <w:rsid w:val="4A81724A"/>
    <w:rsid w:val="4B350E05"/>
    <w:rsid w:val="4C6602F3"/>
    <w:rsid w:val="4C7065AF"/>
    <w:rsid w:val="4C9B01D5"/>
    <w:rsid w:val="4CBE1458"/>
    <w:rsid w:val="4D19538D"/>
    <w:rsid w:val="4E4B541A"/>
    <w:rsid w:val="4E9769C9"/>
    <w:rsid w:val="4F661476"/>
    <w:rsid w:val="50C015CC"/>
    <w:rsid w:val="50C77614"/>
    <w:rsid w:val="513B1B51"/>
    <w:rsid w:val="51CD07BB"/>
    <w:rsid w:val="5204701C"/>
    <w:rsid w:val="54604C7D"/>
    <w:rsid w:val="54E106CE"/>
    <w:rsid w:val="55BE6C16"/>
    <w:rsid w:val="566662CB"/>
    <w:rsid w:val="5677786A"/>
    <w:rsid w:val="56825BFB"/>
    <w:rsid w:val="569705DA"/>
    <w:rsid w:val="56DC65AD"/>
    <w:rsid w:val="57A32135"/>
    <w:rsid w:val="58A71E78"/>
    <w:rsid w:val="58C02C27"/>
    <w:rsid w:val="594B060D"/>
    <w:rsid w:val="59E35308"/>
    <w:rsid w:val="5B15734C"/>
    <w:rsid w:val="5B8C403F"/>
    <w:rsid w:val="5DD92690"/>
    <w:rsid w:val="5E2C6C67"/>
    <w:rsid w:val="5F633945"/>
    <w:rsid w:val="5FE4780E"/>
    <w:rsid w:val="61AC2EB1"/>
    <w:rsid w:val="61B50C37"/>
    <w:rsid w:val="62F0715F"/>
    <w:rsid w:val="631971BE"/>
    <w:rsid w:val="634023E1"/>
    <w:rsid w:val="645B3E33"/>
    <w:rsid w:val="64ED1CC6"/>
    <w:rsid w:val="66A56879"/>
    <w:rsid w:val="66F04C30"/>
    <w:rsid w:val="674174E1"/>
    <w:rsid w:val="688E364C"/>
    <w:rsid w:val="68BE0B64"/>
    <w:rsid w:val="68FA3592"/>
    <w:rsid w:val="696B7D83"/>
    <w:rsid w:val="698E432E"/>
    <w:rsid w:val="699203F2"/>
    <w:rsid w:val="6ADD421C"/>
    <w:rsid w:val="6AEC5D89"/>
    <w:rsid w:val="6B72274A"/>
    <w:rsid w:val="6E637D3E"/>
    <w:rsid w:val="70B51404"/>
    <w:rsid w:val="70F85622"/>
    <w:rsid w:val="710870BC"/>
    <w:rsid w:val="73A27EDB"/>
    <w:rsid w:val="73C12E76"/>
    <w:rsid w:val="747D6E1D"/>
    <w:rsid w:val="752755FB"/>
    <w:rsid w:val="763D6789"/>
    <w:rsid w:val="76A17F83"/>
    <w:rsid w:val="78DD4849"/>
    <w:rsid w:val="7A3D371A"/>
    <w:rsid w:val="7A560C6E"/>
    <w:rsid w:val="7A5C6CF1"/>
    <w:rsid w:val="7AF741CD"/>
    <w:rsid w:val="7C0C4827"/>
    <w:rsid w:val="7C4D4037"/>
    <w:rsid w:val="7C8E521B"/>
    <w:rsid w:val="7D087430"/>
    <w:rsid w:val="7D2A235C"/>
    <w:rsid w:val="7E541651"/>
    <w:rsid w:val="7E610966"/>
    <w:rsid w:val="7E6A301C"/>
    <w:rsid w:val="7F6C4B0B"/>
    <w:rsid w:val="7FD7513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0"/>
    <w:pPr>
      <w:keepNext/>
      <w:keepLines/>
      <w:spacing w:before="260" w:after="260" w:line="416" w:lineRule="atLeast"/>
      <w:outlineLvl w:val="1"/>
    </w:pPr>
    <w:rPr>
      <w:rFonts w:ascii="Arial" w:hAnsi="Arial" w:eastAsia="黑体"/>
      <w:b/>
      <w:bCs/>
      <w:color w:val="000000"/>
      <w:kern w:val="0"/>
      <w:szCs w:val="32"/>
      <w:u w:val="none" w:color="000000"/>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6">
    <w:name w:val="Default"/>
    <w:qFormat/>
    <w:uiPriority w:val="0"/>
    <w:pPr>
      <w:widowControl w:val="0"/>
      <w:autoSpaceDE w:val="0"/>
      <w:autoSpaceDN w:val="0"/>
      <w:adjustRightInd w:val="0"/>
    </w:pPr>
    <w:rPr>
      <w:rFonts w:ascii="Calibri" w:hAnsi="Calibri" w:eastAsia="宋体" w:cs="Times New Roman"/>
      <w:color w:val="000000"/>
      <w:sz w:val="24"/>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昆明市石林县党政机关单位</Company>
  <Pages>1</Pages>
  <Words>0</Words>
  <Characters>0</Characters>
  <Lines>0</Lines>
  <Paragraphs>0</Paragraphs>
  <TotalTime>9</TotalTime>
  <ScaleCrop>false</ScaleCrop>
  <LinksUpToDate>false</LinksUpToDate>
  <CharactersWithSpaces>0</CharactersWithSpaces>
  <Application>WPS Office_11.8.2.12089_F1E327BC-269C-435d-A152-05C5408002CA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2022-07-01T10:30:00Z</dcterms:created>
  <dc:creator>石林县民政局</dc:creator>
  <cp:lastModifiedBy>石林彝族自治县民政局</cp:lastModifiedBy>
  <cp:lastPrinted>2026-06-29T03:28:00Z</cp:lastPrinted>
  <dcterms:modified xsi:type="dcterms:W3CDTF">2026-06-29T06:15:39Z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2052-11.8.2.12089</vt:lpwstr>
  </property>
  <property fmtid="{D5CDD505-2E9C-101B-9397-08002B2CF9AE}" pid="3" name="ICV">
    <vt:lpwstr>8111153975FF459A90287BD413B1E462_12</vt:lpwstr>
  </property>
</Properties>
</file>