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7DFA8">
      <w:pPr>
        <w:widowControl/>
        <w:spacing w:before="240"/>
        <w:jc w:val="right"/>
        <w:rPr>
          <w:rFonts w:ascii="仿宋" w:hAnsi="仿宋" w:eastAsia="仿宋" w:cs="宋体"/>
          <w:b/>
          <w:color w:val="auto"/>
          <w:sz w:val="36"/>
          <w:szCs w:val="44"/>
        </w:rPr>
      </w:pPr>
    </w:p>
    <w:p w14:paraId="41E7AB87">
      <w:pPr>
        <w:widowControl/>
        <w:spacing w:line="360" w:lineRule="auto"/>
        <w:jc w:val="center"/>
        <w:rPr>
          <w:rFonts w:ascii="仿宋" w:hAnsi="仿宋" w:eastAsia="仿宋" w:cs="宋体"/>
          <w:b/>
          <w:color w:val="auto"/>
          <w:sz w:val="48"/>
          <w:szCs w:val="48"/>
        </w:rPr>
      </w:pPr>
      <w:r>
        <w:rPr>
          <w:rFonts w:hint="eastAsia" w:ascii="仿宋" w:hAnsi="仿宋" w:eastAsia="仿宋" w:cs="宋体"/>
          <w:b/>
          <w:color w:val="auto"/>
          <w:sz w:val="48"/>
          <w:szCs w:val="48"/>
        </w:rPr>
        <w:t>石林彝族自治县自然资源局购买破坏耕地司法鉴定服务</w:t>
      </w:r>
    </w:p>
    <w:p w14:paraId="65CABC00">
      <w:pPr>
        <w:widowControl/>
        <w:spacing w:line="360" w:lineRule="auto"/>
        <w:rPr>
          <w:rFonts w:ascii="仿宋" w:hAnsi="仿宋" w:eastAsia="仿宋" w:cs="宋体"/>
          <w:b/>
          <w:color w:val="auto"/>
          <w:sz w:val="52"/>
          <w:szCs w:val="52"/>
        </w:rPr>
      </w:pPr>
    </w:p>
    <w:p w14:paraId="0BD40BC4">
      <w:pPr>
        <w:widowControl/>
        <w:spacing w:line="480" w:lineRule="auto"/>
        <w:rPr>
          <w:rFonts w:ascii="仿宋" w:hAnsi="仿宋" w:eastAsia="仿宋" w:cs="宋体"/>
          <w:b/>
          <w:color w:val="auto"/>
          <w:sz w:val="52"/>
          <w:szCs w:val="52"/>
        </w:rPr>
      </w:pPr>
    </w:p>
    <w:p w14:paraId="17F8C589">
      <w:pPr>
        <w:spacing w:line="360" w:lineRule="auto"/>
        <w:jc w:val="center"/>
        <w:rPr>
          <w:rFonts w:ascii="仿宋" w:hAnsi="仿宋" w:eastAsia="仿宋" w:cs="宋体"/>
          <w:b/>
          <w:color w:val="auto"/>
          <w:sz w:val="96"/>
          <w:szCs w:val="64"/>
        </w:rPr>
      </w:pPr>
      <w:r>
        <w:rPr>
          <w:rFonts w:hint="eastAsia" w:ascii="仿宋" w:hAnsi="仿宋" w:eastAsia="仿宋" w:cs="宋体"/>
          <w:b/>
          <w:color w:val="auto"/>
          <w:sz w:val="96"/>
          <w:szCs w:val="64"/>
        </w:rPr>
        <w:t>竞争性磋商文件</w:t>
      </w:r>
    </w:p>
    <w:p w14:paraId="2E4FCD7C">
      <w:pPr>
        <w:spacing w:line="360" w:lineRule="auto"/>
        <w:jc w:val="center"/>
        <w:rPr>
          <w:rFonts w:ascii="仿宋" w:hAnsi="仿宋" w:eastAsia="仿宋" w:cs="宋体"/>
          <w:b/>
          <w:color w:val="auto"/>
          <w:sz w:val="28"/>
          <w:szCs w:val="32"/>
        </w:rPr>
      </w:pPr>
      <w:r>
        <w:rPr>
          <w:rFonts w:hint="eastAsia" w:ascii="仿宋" w:hAnsi="仿宋" w:eastAsia="仿宋" w:cs="宋体"/>
          <w:b/>
          <w:color w:val="auto"/>
          <w:sz w:val="28"/>
          <w:szCs w:val="32"/>
        </w:rPr>
        <w:t>项目编号：同招2026-06-344</w:t>
      </w:r>
    </w:p>
    <w:p w14:paraId="4D648E0E">
      <w:pPr>
        <w:spacing w:line="480" w:lineRule="auto"/>
        <w:rPr>
          <w:rFonts w:ascii="仿宋" w:hAnsi="仿宋" w:eastAsia="仿宋" w:cs="宋体"/>
          <w:b/>
          <w:color w:val="auto"/>
          <w:sz w:val="32"/>
          <w:szCs w:val="32"/>
        </w:rPr>
      </w:pPr>
    </w:p>
    <w:p w14:paraId="1DAA59C1">
      <w:pPr>
        <w:spacing w:line="360" w:lineRule="auto"/>
        <w:rPr>
          <w:rFonts w:ascii="仿宋" w:hAnsi="仿宋" w:eastAsia="仿宋" w:cs="宋体"/>
          <w:b/>
          <w:color w:val="auto"/>
          <w:sz w:val="32"/>
          <w:szCs w:val="32"/>
        </w:rPr>
      </w:pPr>
    </w:p>
    <w:p w14:paraId="160BE006">
      <w:pPr>
        <w:spacing w:line="360" w:lineRule="auto"/>
        <w:rPr>
          <w:rFonts w:ascii="仿宋" w:hAnsi="仿宋" w:eastAsia="仿宋" w:cs="宋体"/>
          <w:b/>
          <w:color w:val="auto"/>
          <w:sz w:val="32"/>
          <w:szCs w:val="32"/>
        </w:rPr>
      </w:pPr>
    </w:p>
    <w:p w14:paraId="6F71F924">
      <w:pPr>
        <w:spacing w:line="360" w:lineRule="auto"/>
        <w:rPr>
          <w:rFonts w:ascii="仿宋" w:hAnsi="仿宋" w:eastAsia="仿宋" w:cs="宋体"/>
          <w:b/>
          <w:color w:val="auto"/>
          <w:sz w:val="32"/>
          <w:szCs w:val="32"/>
        </w:rPr>
      </w:pPr>
    </w:p>
    <w:p w14:paraId="13062F88">
      <w:pPr>
        <w:spacing w:line="360" w:lineRule="auto"/>
        <w:rPr>
          <w:rFonts w:ascii="仿宋" w:hAnsi="仿宋" w:eastAsia="仿宋" w:cs="宋体"/>
          <w:b/>
          <w:color w:val="auto"/>
          <w:sz w:val="32"/>
          <w:szCs w:val="32"/>
        </w:rPr>
      </w:pPr>
    </w:p>
    <w:p w14:paraId="3601DAA5">
      <w:pPr>
        <w:spacing w:line="360" w:lineRule="auto"/>
        <w:rPr>
          <w:rFonts w:ascii="仿宋" w:hAnsi="仿宋" w:eastAsia="仿宋" w:cs="宋体"/>
          <w:b/>
          <w:color w:val="auto"/>
          <w:sz w:val="32"/>
          <w:szCs w:val="32"/>
        </w:rPr>
      </w:pPr>
    </w:p>
    <w:p w14:paraId="492950ED">
      <w:pPr>
        <w:spacing w:line="480" w:lineRule="auto"/>
        <w:ind w:left="643" w:leftChars="306"/>
        <w:rPr>
          <w:rFonts w:ascii="仿宋" w:hAnsi="仿宋" w:eastAsia="仿宋" w:cs="宋体"/>
          <w:b/>
          <w:color w:val="auto"/>
          <w:sz w:val="32"/>
          <w:szCs w:val="36"/>
        </w:rPr>
      </w:pPr>
      <w:r>
        <w:rPr>
          <w:rFonts w:hint="eastAsia" w:ascii="仿宋" w:hAnsi="仿宋" w:eastAsia="仿宋" w:cs="宋体"/>
          <w:b/>
          <w:color w:val="auto"/>
          <w:sz w:val="32"/>
          <w:szCs w:val="36"/>
        </w:rPr>
        <w:t>采购人：石林彝族自治县自然资源局</w:t>
      </w:r>
    </w:p>
    <w:p w14:paraId="1DBC2374">
      <w:pPr>
        <w:spacing w:line="480" w:lineRule="auto"/>
        <w:ind w:firstLine="643" w:firstLineChars="200"/>
        <w:rPr>
          <w:rFonts w:ascii="仿宋" w:hAnsi="仿宋" w:eastAsia="仿宋" w:cs="宋体"/>
          <w:b/>
          <w:color w:val="auto"/>
          <w:sz w:val="32"/>
          <w:szCs w:val="36"/>
        </w:rPr>
      </w:pPr>
      <w:r>
        <w:rPr>
          <w:rFonts w:hint="eastAsia" w:ascii="仿宋" w:hAnsi="仿宋" w:eastAsia="仿宋" w:cs="宋体"/>
          <w:b/>
          <w:color w:val="auto"/>
          <w:sz w:val="32"/>
          <w:szCs w:val="36"/>
        </w:rPr>
        <w:t>采购代理机构：昆明市同力建设工程咨询有限公司</w:t>
      </w:r>
    </w:p>
    <w:p w14:paraId="05A190EF">
      <w:pPr>
        <w:spacing w:line="480" w:lineRule="auto"/>
        <w:ind w:firstLine="643" w:firstLineChars="200"/>
        <w:rPr>
          <w:rFonts w:ascii="仿宋" w:hAnsi="仿宋" w:eastAsia="仿宋"/>
          <w:b/>
          <w:bCs/>
          <w:color w:val="auto"/>
          <w:w w:val="95"/>
          <w:sz w:val="32"/>
        </w:rPr>
      </w:pPr>
      <w:r>
        <w:rPr>
          <w:rFonts w:hint="eastAsia" w:ascii="仿宋" w:hAnsi="仿宋" w:eastAsia="仿宋" w:cs="宋体"/>
          <w:b/>
          <w:color w:val="auto"/>
          <w:sz w:val="32"/>
          <w:szCs w:val="36"/>
        </w:rPr>
        <w:t>日  期：</w:t>
      </w:r>
      <w:r>
        <w:rPr>
          <w:rFonts w:ascii="仿宋" w:hAnsi="仿宋" w:eastAsia="仿宋"/>
          <w:b/>
          <w:bCs/>
          <w:color w:val="auto"/>
          <w:w w:val="95"/>
          <w:sz w:val="32"/>
        </w:rPr>
        <w:t>二〇二</w:t>
      </w:r>
      <w:r>
        <w:rPr>
          <w:rFonts w:hint="eastAsia" w:ascii="仿宋" w:hAnsi="仿宋" w:eastAsia="仿宋"/>
          <w:b/>
          <w:bCs/>
          <w:color w:val="auto"/>
          <w:w w:val="95"/>
          <w:sz w:val="32"/>
        </w:rPr>
        <w:t>六</w:t>
      </w:r>
      <w:r>
        <w:rPr>
          <w:rFonts w:ascii="仿宋" w:hAnsi="仿宋" w:eastAsia="仿宋"/>
          <w:b/>
          <w:bCs/>
          <w:color w:val="auto"/>
          <w:w w:val="95"/>
          <w:sz w:val="32"/>
        </w:rPr>
        <w:t>年</w:t>
      </w:r>
      <w:r>
        <w:rPr>
          <w:rFonts w:hint="eastAsia" w:ascii="仿宋" w:hAnsi="仿宋" w:eastAsia="仿宋"/>
          <w:b/>
          <w:bCs/>
          <w:color w:val="auto"/>
          <w:w w:val="95"/>
          <w:sz w:val="32"/>
        </w:rPr>
        <w:t>六</w:t>
      </w:r>
      <w:r>
        <w:rPr>
          <w:rFonts w:ascii="仿宋" w:hAnsi="仿宋" w:eastAsia="仿宋"/>
          <w:b/>
          <w:bCs/>
          <w:color w:val="auto"/>
          <w:w w:val="95"/>
          <w:sz w:val="32"/>
        </w:rPr>
        <w:t>月</w:t>
      </w:r>
    </w:p>
    <w:p w14:paraId="55DE2677">
      <w:pPr>
        <w:spacing w:line="360" w:lineRule="auto"/>
        <w:ind w:firstLine="880" w:firstLineChars="200"/>
        <w:jc w:val="center"/>
        <w:rPr>
          <w:rFonts w:ascii="仿宋" w:hAnsi="仿宋" w:eastAsia="仿宋" w:cs="宋体"/>
          <w:b/>
          <w:bCs/>
          <w:color w:val="auto"/>
          <w:sz w:val="44"/>
          <w:szCs w:val="36"/>
        </w:rPr>
      </w:pPr>
      <w:r>
        <w:rPr>
          <w:rFonts w:hint="eastAsia" w:ascii="仿宋" w:hAnsi="仿宋" w:eastAsia="仿宋" w:cs="宋体"/>
          <w:color w:val="auto"/>
          <w:sz w:val="44"/>
          <w:szCs w:val="36"/>
        </w:rPr>
        <w:br w:type="page"/>
      </w:r>
      <w:r>
        <w:rPr>
          <w:rFonts w:hint="eastAsia" w:ascii="仿宋" w:hAnsi="仿宋" w:eastAsia="仿宋" w:cs="宋体"/>
          <w:b/>
          <w:bCs/>
          <w:color w:val="auto"/>
          <w:sz w:val="44"/>
          <w:szCs w:val="36"/>
        </w:rPr>
        <w:t>目  录</w:t>
      </w:r>
    </w:p>
    <w:p w14:paraId="65363BE8">
      <w:pPr>
        <w:pStyle w:val="40"/>
        <w:tabs>
          <w:tab w:val="right" w:leader="dot" w:pos="9628"/>
        </w:tabs>
        <w:rPr>
          <w:rFonts w:ascii="仿宋" w:hAnsi="仿宋" w:eastAsia="仿宋"/>
          <w:color w:val="auto"/>
          <w:szCs w:val="21"/>
        </w:rPr>
      </w:pPr>
      <w:r>
        <w:rPr>
          <w:rFonts w:hint="eastAsia" w:ascii="仿宋" w:hAnsi="仿宋" w:eastAsia="仿宋" w:cs="宋体"/>
          <w:bCs/>
          <w:color w:val="auto"/>
          <w:szCs w:val="21"/>
        </w:rPr>
        <w:fldChar w:fldCharType="begin"/>
      </w:r>
      <w:r>
        <w:rPr>
          <w:rFonts w:hint="eastAsia" w:ascii="仿宋" w:hAnsi="仿宋" w:eastAsia="仿宋" w:cs="宋体"/>
          <w:bCs/>
          <w:color w:val="auto"/>
          <w:szCs w:val="21"/>
        </w:rPr>
        <w:instrText xml:space="preserve"> TOC \o "1-3" \h \z \u </w:instrText>
      </w:r>
      <w:r>
        <w:rPr>
          <w:rFonts w:hint="eastAsia" w:ascii="仿宋" w:hAnsi="仿宋" w:eastAsia="仿宋" w:cs="宋体"/>
          <w:bCs/>
          <w:color w:val="auto"/>
          <w:szCs w:val="21"/>
        </w:rPr>
        <w:fldChar w:fldCharType="separate"/>
      </w:r>
      <w:r>
        <w:rPr>
          <w:color w:val="auto"/>
        </w:rPr>
        <w:fldChar w:fldCharType="begin"/>
      </w:r>
      <w:r>
        <w:rPr>
          <w:color w:val="auto"/>
        </w:rPr>
        <w:instrText xml:space="preserve"> HYPERLINK \l "_Toc232004894" </w:instrText>
      </w:r>
      <w:r>
        <w:rPr>
          <w:color w:val="auto"/>
        </w:rPr>
        <w:fldChar w:fldCharType="separate"/>
      </w:r>
      <w:r>
        <w:rPr>
          <w:rStyle w:val="71"/>
          <w:rFonts w:ascii="仿宋" w:hAnsi="仿宋" w:eastAsia="仿宋" w:cs="宋体"/>
          <w:color w:val="auto"/>
          <w:szCs w:val="21"/>
        </w:rPr>
        <w:t>第一章 竞争性磋商公告</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_Toc232004894 \h </w:instrText>
      </w:r>
      <w:r>
        <w:rPr>
          <w:rFonts w:ascii="仿宋" w:hAnsi="仿宋" w:eastAsia="仿宋"/>
          <w:color w:val="auto"/>
          <w:szCs w:val="21"/>
        </w:rPr>
        <w:fldChar w:fldCharType="separate"/>
      </w:r>
      <w:r>
        <w:rPr>
          <w:rFonts w:ascii="仿宋" w:hAnsi="仿宋" w:eastAsia="仿宋"/>
          <w:color w:val="auto"/>
          <w:szCs w:val="21"/>
        </w:rPr>
        <w:t>3</w:t>
      </w:r>
      <w:r>
        <w:rPr>
          <w:rFonts w:ascii="仿宋" w:hAnsi="仿宋" w:eastAsia="仿宋"/>
          <w:color w:val="auto"/>
          <w:szCs w:val="21"/>
        </w:rPr>
        <w:fldChar w:fldCharType="end"/>
      </w:r>
      <w:r>
        <w:rPr>
          <w:rFonts w:ascii="仿宋" w:hAnsi="仿宋" w:eastAsia="仿宋"/>
          <w:color w:val="auto"/>
          <w:szCs w:val="21"/>
        </w:rPr>
        <w:fldChar w:fldCharType="end"/>
      </w:r>
    </w:p>
    <w:p w14:paraId="2E58A7BD">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"_Toc232004895" </w:instrText>
      </w:r>
      <w:r>
        <w:rPr>
          <w:color w:val="auto"/>
        </w:rPr>
        <w:fldChar w:fldCharType="separate"/>
      </w:r>
      <w:r>
        <w:rPr>
          <w:rStyle w:val="71"/>
          <w:rFonts w:ascii="仿宋" w:hAnsi="仿宋" w:eastAsia="仿宋" w:cs="宋体"/>
          <w:color w:val="auto"/>
          <w:szCs w:val="21"/>
        </w:rPr>
        <w:t>一、项目基本情况</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_Toc232004895 \h </w:instrText>
      </w:r>
      <w:r>
        <w:rPr>
          <w:rFonts w:ascii="仿宋" w:hAnsi="仿宋" w:eastAsia="仿宋"/>
          <w:color w:val="auto"/>
          <w:szCs w:val="21"/>
        </w:rPr>
        <w:fldChar w:fldCharType="separate"/>
      </w:r>
      <w:r>
        <w:rPr>
          <w:rFonts w:ascii="仿宋" w:hAnsi="仿宋" w:eastAsia="仿宋"/>
          <w:color w:val="auto"/>
          <w:szCs w:val="21"/>
        </w:rPr>
        <w:t>3</w:t>
      </w:r>
      <w:r>
        <w:rPr>
          <w:rFonts w:ascii="仿宋" w:hAnsi="仿宋" w:eastAsia="仿宋"/>
          <w:color w:val="auto"/>
          <w:szCs w:val="21"/>
        </w:rPr>
        <w:fldChar w:fldCharType="end"/>
      </w:r>
      <w:r>
        <w:rPr>
          <w:rFonts w:ascii="仿宋" w:hAnsi="仿宋" w:eastAsia="仿宋"/>
          <w:color w:val="auto"/>
          <w:szCs w:val="21"/>
        </w:rPr>
        <w:fldChar w:fldCharType="end"/>
      </w:r>
    </w:p>
    <w:p w14:paraId="71A16EB3">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"_Toc232004896" </w:instrText>
      </w:r>
      <w:r>
        <w:rPr>
          <w:color w:val="auto"/>
        </w:rPr>
        <w:fldChar w:fldCharType="separate"/>
      </w:r>
      <w:r>
        <w:rPr>
          <w:rStyle w:val="71"/>
          <w:rFonts w:ascii="仿宋" w:hAnsi="仿宋" w:eastAsia="仿宋" w:cs="宋体"/>
          <w:color w:val="auto"/>
          <w:szCs w:val="21"/>
        </w:rPr>
        <w:t>二、供应商的资格要求</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_Toc232004896 \h </w:instrText>
      </w:r>
      <w:r>
        <w:rPr>
          <w:rFonts w:ascii="仿宋" w:hAnsi="仿宋" w:eastAsia="仿宋"/>
          <w:color w:val="auto"/>
          <w:szCs w:val="21"/>
        </w:rPr>
        <w:fldChar w:fldCharType="separate"/>
      </w:r>
      <w:r>
        <w:rPr>
          <w:rFonts w:ascii="仿宋" w:hAnsi="仿宋" w:eastAsia="仿宋"/>
          <w:color w:val="auto"/>
          <w:szCs w:val="21"/>
        </w:rPr>
        <w:t>3</w:t>
      </w:r>
      <w:r>
        <w:rPr>
          <w:rFonts w:ascii="仿宋" w:hAnsi="仿宋" w:eastAsia="仿宋"/>
          <w:color w:val="auto"/>
          <w:szCs w:val="21"/>
        </w:rPr>
        <w:fldChar w:fldCharType="end"/>
      </w:r>
      <w:r>
        <w:rPr>
          <w:rFonts w:ascii="仿宋" w:hAnsi="仿宋" w:eastAsia="仿宋"/>
          <w:color w:val="auto"/>
          <w:szCs w:val="21"/>
        </w:rPr>
        <w:fldChar w:fldCharType="end"/>
      </w:r>
    </w:p>
    <w:p w14:paraId="3AAF1236">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"_Toc232004897" </w:instrText>
      </w:r>
      <w:r>
        <w:rPr>
          <w:color w:val="auto"/>
        </w:rPr>
        <w:fldChar w:fldCharType="separate"/>
      </w:r>
      <w:r>
        <w:rPr>
          <w:rStyle w:val="71"/>
          <w:rFonts w:ascii="仿宋" w:hAnsi="仿宋" w:eastAsia="仿宋" w:cs="宋体"/>
          <w:color w:val="auto"/>
          <w:szCs w:val="21"/>
        </w:rPr>
        <w:t>三、获取竞争性磋商文件</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_Toc232004897 \h </w:instrText>
      </w:r>
      <w:r>
        <w:rPr>
          <w:rFonts w:ascii="仿宋" w:hAnsi="仿宋" w:eastAsia="仿宋"/>
          <w:color w:val="auto"/>
          <w:szCs w:val="21"/>
        </w:rPr>
        <w:fldChar w:fldCharType="separate"/>
      </w:r>
      <w:r>
        <w:rPr>
          <w:rFonts w:ascii="仿宋" w:hAnsi="仿宋" w:eastAsia="仿宋"/>
          <w:color w:val="auto"/>
          <w:szCs w:val="21"/>
        </w:rPr>
        <w:t>5</w:t>
      </w:r>
      <w:r>
        <w:rPr>
          <w:rFonts w:ascii="仿宋" w:hAnsi="仿宋" w:eastAsia="仿宋"/>
          <w:color w:val="auto"/>
          <w:szCs w:val="21"/>
        </w:rPr>
        <w:fldChar w:fldCharType="end"/>
      </w:r>
      <w:r>
        <w:rPr>
          <w:rFonts w:ascii="仿宋" w:hAnsi="仿宋" w:eastAsia="仿宋"/>
          <w:color w:val="auto"/>
          <w:szCs w:val="21"/>
        </w:rPr>
        <w:fldChar w:fldCharType="end"/>
      </w:r>
    </w:p>
    <w:p w14:paraId="2AC5EC75">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"_Toc232004898" </w:instrText>
      </w:r>
      <w:r>
        <w:rPr>
          <w:color w:val="auto"/>
        </w:rPr>
        <w:fldChar w:fldCharType="separate"/>
      </w:r>
      <w:r>
        <w:rPr>
          <w:rStyle w:val="71"/>
          <w:rFonts w:ascii="仿宋" w:hAnsi="仿宋" w:eastAsia="仿宋" w:cs="宋体"/>
          <w:color w:val="auto"/>
          <w:szCs w:val="21"/>
        </w:rPr>
        <w:t>四、响应文件提交</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_Toc232004898 \h </w:instrText>
      </w:r>
      <w:r>
        <w:rPr>
          <w:rFonts w:ascii="仿宋" w:hAnsi="仿宋" w:eastAsia="仿宋"/>
          <w:color w:val="auto"/>
          <w:szCs w:val="21"/>
        </w:rPr>
        <w:fldChar w:fldCharType="separate"/>
      </w:r>
      <w:r>
        <w:rPr>
          <w:rFonts w:ascii="仿宋" w:hAnsi="仿宋" w:eastAsia="仿宋"/>
          <w:color w:val="auto"/>
          <w:szCs w:val="21"/>
        </w:rPr>
        <w:t>7</w:t>
      </w:r>
      <w:r>
        <w:rPr>
          <w:rFonts w:ascii="仿宋" w:hAnsi="仿宋" w:eastAsia="仿宋"/>
          <w:color w:val="auto"/>
          <w:szCs w:val="21"/>
        </w:rPr>
        <w:fldChar w:fldCharType="end"/>
      </w:r>
      <w:r>
        <w:rPr>
          <w:rFonts w:ascii="仿宋" w:hAnsi="仿宋" w:eastAsia="仿宋"/>
          <w:color w:val="auto"/>
          <w:szCs w:val="21"/>
        </w:rPr>
        <w:fldChar w:fldCharType="end"/>
      </w:r>
    </w:p>
    <w:p w14:paraId="027B0ADE">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"_Toc232004899" </w:instrText>
      </w:r>
      <w:r>
        <w:rPr>
          <w:color w:val="auto"/>
        </w:rPr>
        <w:fldChar w:fldCharType="separate"/>
      </w:r>
      <w:r>
        <w:rPr>
          <w:rStyle w:val="71"/>
          <w:rFonts w:ascii="仿宋" w:hAnsi="仿宋" w:eastAsia="仿宋" w:cs="宋体"/>
          <w:color w:val="auto"/>
          <w:szCs w:val="21"/>
        </w:rPr>
        <w:t>五、开启</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_Toc232004899 \h </w:instrText>
      </w:r>
      <w:r>
        <w:rPr>
          <w:rFonts w:ascii="仿宋" w:hAnsi="仿宋" w:eastAsia="仿宋"/>
          <w:color w:val="auto"/>
          <w:szCs w:val="21"/>
        </w:rPr>
        <w:fldChar w:fldCharType="separate"/>
      </w:r>
      <w:r>
        <w:rPr>
          <w:rFonts w:ascii="仿宋" w:hAnsi="仿宋" w:eastAsia="仿宋"/>
          <w:color w:val="auto"/>
          <w:szCs w:val="21"/>
        </w:rPr>
        <w:t>7</w:t>
      </w:r>
      <w:r>
        <w:rPr>
          <w:rFonts w:ascii="仿宋" w:hAnsi="仿宋" w:eastAsia="仿宋"/>
          <w:color w:val="auto"/>
          <w:szCs w:val="21"/>
        </w:rPr>
        <w:fldChar w:fldCharType="end"/>
      </w:r>
      <w:r>
        <w:rPr>
          <w:rFonts w:ascii="仿宋" w:hAnsi="仿宋" w:eastAsia="仿宋"/>
          <w:color w:val="auto"/>
          <w:szCs w:val="21"/>
        </w:rPr>
        <w:fldChar w:fldCharType="end"/>
      </w:r>
    </w:p>
    <w:p w14:paraId="4B44FFE1">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"_Toc232004900" </w:instrText>
      </w:r>
      <w:r>
        <w:rPr>
          <w:color w:val="auto"/>
        </w:rPr>
        <w:fldChar w:fldCharType="separate"/>
      </w:r>
      <w:r>
        <w:rPr>
          <w:rStyle w:val="71"/>
          <w:rFonts w:ascii="仿宋" w:hAnsi="仿宋" w:eastAsia="仿宋" w:cs="宋体"/>
          <w:color w:val="auto"/>
          <w:szCs w:val="21"/>
        </w:rPr>
        <w:t>六、公告期限</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_Toc232004900 \h </w:instrText>
      </w:r>
      <w:r>
        <w:rPr>
          <w:rFonts w:ascii="仿宋" w:hAnsi="仿宋" w:eastAsia="仿宋"/>
          <w:color w:val="auto"/>
          <w:szCs w:val="21"/>
        </w:rPr>
        <w:fldChar w:fldCharType="separate"/>
      </w:r>
      <w:r>
        <w:rPr>
          <w:rFonts w:ascii="仿宋" w:hAnsi="仿宋" w:eastAsia="仿宋"/>
          <w:color w:val="auto"/>
          <w:szCs w:val="21"/>
        </w:rPr>
        <w:t>7</w:t>
      </w:r>
      <w:r>
        <w:rPr>
          <w:rFonts w:ascii="仿宋" w:hAnsi="仿宋" w:eastAsia="仿宋"/>
          <w:color w:val="auto"/>
          <w:szCs w:val="21"/>
        </w:rPr>
        <w:fldChar w:fldCharType="end"/>
      </w:r>
      <w:r>
        <w:rPr>
          <w:rFonts w:ascii="仿宋" w:hAnsi="仿宋" w:eastAsia="仿宋"/>
          <w:color w:val="auto"/>
          <w:szCs w:val="21"/>
        </w:rPr>
        <w:fldChar w:fldCharType="end"/>
      </w:r>
    </w:p>
    <w:p w14:paraId="489A1CE1">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"_Toc232004901" </w:instrText>
      </w:r>
      <w:r>
        <w:rPr>
          <w:color w:val="auto"/>
        </w:rPr>
        <w:fldChar w:fldCharType="separate"/>
      </w:r>
      <w:r>
        <w:rPr>
          <w:rStyle w:val="71"/>
          <w:rFonts w:ascii="仿宋" w:hAnsi="仿宋" w:eastAsia="仿宋" w:cs="宋体"/>
          <w:color w:val="auto"/>
          <w:szCs w:val="21"/>
        </w:rPr>
        <w:t>七、其他补充事宜</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_Toc232004901 \h </w:instrText>
      </w:r>
      <w:r>
        <w:rPr>
          <w:rFonts w:ascii="仿宋" w:hAnsi="仿宋" w:eastAsia="仿宋"/>
          <w:color w:val="auto"/>
          <w:szCs w:val="21"/>
        </w:rPr>
        <w:fldChar w:fldCharType="separate"/>
      </w:r>
      <w:r>
        <w:rPr>
          <w:rFonts w:ascii="仿宋" w:hAnsi="仿宋" w:eastAsia="仿宋"/>
          <w:color w:val="auto"/>
          <w:szCs w:val="21"/>
        </w:rPr>
        <w:t>7</w:t>
      </w:r>
      <w:r>
        <w:rPr>
          <w:rFonts w:ascii="仿宋" w:hAnsi="仿宋" w:eastAsia="仿宋"/>
          <w:color w:val="auto"/>
          <w:szCs w:val="21"/>
        </w:rPr>
        <w:fldChar w:fldCharType="end"/>
      </w:r>
      <w:r>
        <w:rPr>
          <w:rFonts w:ascii="仿宋" w:hAnsi="仿宋" w:eastAsia="仿宋"/>
          <w:color w:val="auto"/>
          <w:szCs w:val="21"/>
        </w:rPr>
        <w:fldChar w:fldCharType="end"/>
      </w:r>
    </w:p>
    <w:p w14:paraId="4772327F">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"_Toc232004902" </w:instrText>
      </w:r>
      <w:r>
        <w:rPr>
          <w:color w:val="auto"/>
        </w:rPr>
        <w:fldChar w:fldCharType="separate"/>
      </w:r>
      <w:r>
        <w:rPr>
          <w:rStyle w:val="71"/>
          <w:rFonts w:ascii="仿宋" w:hAnsi="仿宋" w:eastAsia="仿宋" w:cs="宋体"/>
          <w:color w:val="auto"/>
          <w:szCs w:val="21"/>
        </w:rPr>
        <w:t>八、凡对本次采购提出询问，请按以下方式联系。</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_Toc232004902 \h </w:instrText>
      </w:r>
      <w:r>
        <w:rPr>
          <w:rFonts w:ascii="仿宋" w:hAnsi="仿宋" w:eastAsia="仿宋"/>
          <w:color w:val="auto"/>
          <w:szCs w:val="21"/>
        </w:rPr>
        <w:fldChar w:fldCharType="separate"/>
      </w:r>
      <w:r>
        <w:rPr>
          <w:rFonts w:ascii="仿宋" w:hAnsi="仿宋" w:eastAsia="仿宋"/>
          <w:color w:val="auto"/>
          <w:szCs w:val="21"/>
        </w:rPr>
        <w:t>7</w:t>
      </w:r>
      <w:r>
        <w:rPr>
          <w:rFonts w:ascii="仿宋" w:hAnsi="仿宋" w:eastAsia="仿宋"/>
          <w:color w:val="auto"/>
          <w:szCs w:val="21"/>
        </w:rPr>
        <w:fldChar w:fldCharType="end"/>
      </w:r>
      <w:r>
        <w:rPr>
          <w:rFonts w:ascii="仿宋" w:hAnsi="仿宋" w:eastAsia="仿宋"/>
          <w:color w:val="auto"/>
          <w:szCs w:val="21"/>
        </w:rPr>
        <w:fldChar w:fldCharType="end"/>
      </w:r>
    </w:p>
    <w:p w14:paraId="7D42808A">
      <w:pPr>
        <w:pStyle w:val="40"/>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"_Toc232004903" </w:instrText>
      </w:r>
      <w:r>
        <w:rPr>
          <w:color w:val="auto"/>
        </w:rPr>
        <w:fldChar w:fldCharType="separate"/>
      </w:r>
      <w:r>
        <w:rPr>
          <w:rStyle w:val="71"/>
          <w:rFonts w:ascii="仿宋" w:hAnsi="仿宋" w:eastAsia="仿宋" w:cs="宋体"/>
          <w:color w:val="auto"/>
          <w:szCs w:val="21"/>
        </w:rPr>
        <w:t>第二章 供应商须知前附表</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_Toc232004903 \h </w:instrText>
      </w:r>
      <w:r>
        <w:rPr>
          <w:rFonts w:ascii="仿宋" w:hAnsi="仿宋" w:eastAsia="仿宋"/>
          <w:color w:val="auto"/>
          <w:szCs w:val="21"/>
        </w:rPr>
        <w:fldChar w:fldCharType="separate"/>
      </w:r>
      <w:r>
        <w:rPr>
          <w:rFonts w:ascii="仿宋" w:hAnsi="仿宋" w:eastAsia="仿宋"/>
          <w:color w:val="auto"/>
          <w:szCs w:val="21"/>
        </w:rPr>
        <w:t>9</w:t>
      </w:r>
      <w:r>
        <w:rPr>
          <w:rFonts w:ascii="仿宋" w:hAnsi="仿宋" w:eastAsia="仿宋"/>
          <w:color w:val="auto"/>
          <w:szCs w:val="21"/>
        </w:rPr>
        <w:fldChar w:fldCharType="end"/>
      </w:r>
      <w:r>
        <w:rPr>
          <w:rFonts w:ascii="仿宋" w:hAnsi="仿宋" w:eastAsia="仿宋"/>
          <w:color w:val="auto"/>
          <w:szCs w:val="21"/>
        </w:rPr>
        <w:fldChar w:fldCharType="end"/>
      </w:r>
    </w:p>
    <w:p w14:paraId="1CDEA98D">
      <w:pPr>
        <w:pStyle w:val="30"/>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"_Toc232004904" </w:instrText>
      </w:r>
      <w:r>
        <w:rPr>
          <w:color w:val="auto"/>
        </w:rPr>
        <w:fldChar w:fldCharType="separate"/>
      </w:r>
      <w:r>
        <w:rPr>
          <w:rStyle w:val="71"/>
          <w:rFonts w:ascii="仿宋" w:hAnsi="仿宋" w:eastAsia="仿宋" w:cs="宋体"/>
          <w:bCs/>
          <w:color w:val="auto"/>
          <w:szCs w:val="21"/>
        </w:rPr>
        <w:t>一、总则</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_Toc232004904 \h </w:instrText>
      </w:r>
      <w:r>
        <w:rPr>
          <w:rFonts w:ascii="仿宋" w:hAnsi="仿宋" w:eastAsia="仿宋"/>
          <w:color w:val="auto"/>
          <w:szCs w:val="21"/>
        </w:rPr>
        <w:fldChar w:fldCharType="separate"/>
      </w:r>
      <w:r>
        <w:rPr>
          <w:rFonts w:ascii="仿宋" w:hAnsi="仿宋" w:eastAsia="仿宋"/>
          <w:color w:val="auto"/>
          <w:szCs w:val="21"/>
        </w:rPr>
        <w:t>17</w:t>
      </w:r>
      <w:r>
        <w:rPr>
          <w:rFonts w:ascii="仿宋" w:hAnsi="仿宋" w:eastAsia="仿宋"/>
          <w:color w:val="auto"/>
          <w:szCs w:val="21"/>
        </w:rPr>
        <w:fldChar w:fldCharType="end"/>
      </w:r>
      <w:r>
        <w:rPr>
          <w:rFonts w:ascii="仿宋" w:hAnsi="仿宋" w:eastAsia="仿宋"/>
          <w:color w:val="auto"/>
          <w:szCs w:val="21"/>
        </w:rPr>
        <w:fldChar w:fldCharType="end"/>
      </w:r>
    </w:p>
    <w:p w14:paraId="53D96A23">
      <w:pPr>
        <w:pStyle w:val="30"/>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"_Toc232004905" </w:instrText>
      </w:r>
      <w:r>
        <w:rPr>
          <w:color w:val="auto"/>
        </w:rPr>
        <w:fldChar w:fldCharType="separate"/>
      </w:r>
      <w:r>
        <w:rPr>
          <w:rStyle w:val="71"/>
          <w:rFonts w:ascii="仿宋" w:hAnsi="仿宋" w:eastAsia="仿宋" w:cs="宋体"/>
          <w:bCs/>
          <w:color w:val="auto"/>
          <w:szCs w:val="21"/>
        </w:rPr>
        <w:t>二、竞争性磋商文件</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_Toc232004905 \h </w:instrText>
      </w:r>
      <w:r>
        <w:rPr>
          <w:rFonts w:ascii="仿宋" w:hAnsi="仿宋" w:eastAsia="仿宋"/>
          <w:color w:val="auto"/>
          <w:szCs w:val="21"/>
        </w:rPr>
        <w:fldChar w:fldCharType="separate"/>
      </w:r>
      <w:r>
        <w:rPr>
          <w:rFonts w:ascii="仿宋" w:hAnsi="仿宋" w:eastAsia="仿宋"/>
          <w:color w:val="auto"/>
          <w:szCs w:val="21"/>
        </w:rPr>
        <w:t>18</w:t>
      </w:r>
      <w:r>
        <w:rPr>
          <w:rFonts w:ascii="仿宋" w:hAnsi="仿宋" w:eastAsia="仿宋"/>
          <w:color w:val="auto"/>
          <w:szCs w:val="21"/>
        </w:rPr>
        <w:fldChar w:fldCharType="end"/>
      </w:r>
      <w:r>
        <w:rPr>
          <w:rFonts w:ascii="仿宋" w:hAnsi="仿宋" w:eastAsia="仿宋"/>
          <w:color w:val="auto"/>
          <w:szCs w:val="21"/>
        </w:rPr>
        <w:fldChar w:fldCharType="end"/>
      </w:r>
    </w:p>
    <w:p w14:paraId="41B58015">
      <w:pPr>
        <w:pStyle w:val="30"/>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"_Toc232004906" </w:instrText>
      </w:r>
      <w:r>
        <w:rPr>
          <w:color w:val="auto"/>
        </w:rPr>
        <w:fldChar w:fldCharType="separate"/>
      </w:r>
      <w:r>
        <w:rPr>
          <w:rStyle w:val="71"/>
          <w:rFonts w:ascii="仿宋" w:hAnsi="仿宋" w:eastAsia="仿宋" w:cs="宋体"/>
          <w:bCs/>
          <w:color w:val="auto"/>
          <w:szCs w:val="21"/>
        </w:rPr>
        <w:t>三、响应文件</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_Toc232004906 \h </w:instrText>
      </w:r>
      <w:r>
        <w:rPr>
          <w:rFonts w:ascii="仿宋" w:hAnsi="仿宋" w:eastAsia="仿宋"/>
          <w:color w:val="auto"/>
          <w:szCs w:val="21"/>
        </w:rPr>
        <w:fldChar w:fldCharType="separate"/>
      </w:r>
      <w:r>
        <w:rPr>
          <w:rFonts w:ascii="仿宋" w:hAnsi="仿宋" w:eastAsia="仿宋"/>
          <w:color w:val="auto"/>
          <w:szCs w:val="21"/>
        </w:rPr>
        <w:t>19</w:t>
      </w:r>
      <w:r>
        <w:rPr>
          <w:rFonts w:ascii="仿宋" w:hAnsi="仿宋" w:eastAsia="仿宋"/>
          <w:color w:val="auto"/>
          <w:szCs w:val="21"/>
        </w:rPr>
        <w:fldChar w:fldCharType="end"/>
      </w:r>
      <w:r>
        <w:rPr>
          <w:rFonts w:ascii="仿宋" w:hAnsi="仿宋" w:eastAsia="仿宋"/>
          <w:color w:val="auto"/>
          <w:szCs w:val="21"/>
        </w:rPr>
        <w:fldChar w:fldCharType="end"/>
      </w:r>
    </w:p>
    <w:p w14:paraId="5F7C6DF2">
      <w:pPr>
        <w:pStyle w:val="30"/>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"_Toc232004907" </w:instrText>
      </w:r>
      <w:r>
        <w:rPr>
          <w:color w:val="auto"/>
        </w:rPr>
        <w:fldChar w:fldCharType="separate"/>
      </w:r>
      <w:r>
        <w:rPr>
          <w:rStyle w:val="71"/>
          <w:rFonts w:ascii="仿宋" w:hAnsi="仿宋" w:eastAsia="仿宋" w:cs="宋体"/>
          <w:bCs/>
          <w:color w:val="auto"/>
          <w:szCs w:val="21"/>
        </w:rPr>
        <w:t>四、响应文件的递交</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_Toc232004907 \h </w:instrText>
      </w:r>
      <w:r>
        <w:rPr>
          <w:rFonts w:ascii="仿宋" w:hAnsi="仿宋" w:eastAsia="仿宋"/>
          <w:color w:val="auto"/>
          <w:szCs w:val="21"/>
        </w:rPr>
        <w:fldChar w:fldCharType="separate"/>
      </w:r>
      <w:r>
        <w:rPr>
          <w:rFonts w:ascii="仿宋" w:hAnsi="仿宋" w:eastAsia="仿宋"/>
          <w:color w:val="auto"/>
          <w:szCs w:val="21"/>
        </w:rPr>
        <w:t>20</w:t>
      </w:r>
      <w:r>
        <w:rPr>
          <w:rFonts w:ascii="仿宋" w:hAnsi="仿宋" w:eastAsia="仿宋"/>
          <w:color w:val="auto"/>
          <w:szCs w:val="21"/>
        </w:rPr>
        <w:fldChar w:fldCharType="end"/>
      </w:r>
      <w:r>
        <w:rPr>
          <w:rFonts w:ascii="仿宋" w:hAnsi="仿宋" w:eastAsia="仿宋"/>
          <w:color w:val="auto"/>
          <w:szCs w:val="21"/>
        </w:rPr>
        <w:fldChar w:fldCharType="end"/>
      </w:r>
    </w:p>
    <w:p w14:paraId="1DC0D064">
      <w:pPr>
        <w:pStyle w:val="30"/>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"_Toc232004908" </w:instrText>
      </w:r>
      <w:r>
        <w:rPr>
          <w:color w:val="auto"/>
        </w:rPr>
        <w:fldChar w:fldCharType="separate"/>
      </w:r>
      <w:r>
        <w:rPr>
          <w:rStyle w:val="71"/>
          <w:rFonts w:ascii="仿宋" w:hAnsi="仿宋" w:eastAsia="仿宋" w:cs="宋体"/>
          <w:bCs/>
          <w:color w:val="auto"/>
          <w:szCs w:val="21"/>
        </w:rPr>
        <w:t>五、竞争性磋商</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_Toc232004908 \h </w:instrText>
      </w:r>
      <w:r>
        <w:rPr>
          <w:rFonts w:ascii="仿宋" w:hAnsi="仿宋" w:eastAsia="仿宋"/>
          <w:color w:val="auto"/>
          <w:szCs w:val="21"/>
        </w:rPr>
        <w:fldChar w:fldCharType="separate"/>
      </w:r>
      <w:r>
        <w:rPr>
          <w:rFonts w:ascii="仿宋" w:hAnsi="仿宋" w:eastAsia="仿宋"/>
          <w:color w:val="auto"/>
          <w:szCs w:val="21"/>
        </w:rPr>
        <w:t>20</w:t>
      </w:r>
      <w:r>
        <w:rPr>
          <w:rFonts w:ascii="仿宋" w:hAnsi="仿宋" w:eastAsia="仿宋"/>
          <w:color w:val="auto"/>
          <w:szCs w:val="21"/>
        </w:rPr>
        <w:fldChar w:fldCharType="end"/>
      </w:r>
      <w:r>
        <w:rPr>
          <w:rFonts w:ascii="仿宋" w:hAnsi="仿宋" w:eastAsia="仿宋"/>
          <w:color w:val="auto"/>
          <w:szCs w:val="21"/>
        </w:rPr>
        <w:fldChar w:fldCharType="end"/>
      </w:r>
    </w:p>
    <w:p w14:paraId="0790F575">
      <w:pPr>
        <w:pStyle w:val="30"/>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"_Toc232004909" </w:instrText>
      </w:r>
      <w:r>
        <w:rPr>
          <w:color w:val="auto"/>
        </w:rPr>
        <w:fldChar w:fldCharType="separate"/>
      </w:r>
      <w:r>
        <w:rPr>
          <w:rStyle w:val="71"/>
          <w:rFonts w:ascii="仿宋" w:hAnsi="仿宋" w:eastAsia="仿宋" w:cs="宋体"/>
          <w:bCs/>
          <w:color w:val="auto"/>
          <w:szCs w:val="21"/>
        </w:rPr>
        <w:t>六、确定成交商</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_Toc232004909 \h </w:instrText>
      </w:r>
      <w:r>
        <w:rPr>
          <w:rFonts w:ascii="仿宋" w:hAnsi="仿宋" w:eastAsia="仿宋"/>
          <w:color w:val="auto"/>
          <w:szCs w:val="21"/>
        </w:rPr>
        <w:fldChar w:fldCharType="separate"/>
      </w:r>
      <w:r>
        <w:rPr>
          <w:rFonts w:ascii="仿宋" w:hAnsi="仿宋" w:eastAsia="仿宋"/>
          <w:color w:val="auto"/>
          <w:szCs w:val="21"/>
        </w:rPr>
        <w:t>20</w:t>
      </w:r>
      <w:r>
        <w:rPr>
          <w:rFonts w:ascii="仿宋" w:hAnsi="仿宋" w:eastAsia="仿宋"/>
          <w:color w:val="auto"/>
          <w:szCs w:val="21"/>
        </w:rPr>
        <w:fldChar w:fldCharType="end"/>
      </w:r>
      <w:r>
        <w:rPr>
          <w:rFonts w:ascii="仿宋" w:hAnsi="仿宋" w:eastAsia="仿宋"/>
          <w:color w:val="auto"/>
          <w:szCs w:val="21"/>
        </w:rPr>
        <w:fldChar w:fldCharType="end"/>
      </w:r>
    </w:p>
    <w:p w14:paraId="12A7F3B6">
      <w:pPr>
        <w:pStyle w:val="30"/>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"_Toc232004910" </w:instrText>
      </w:r>
      <w:r>
        <w:rPr>
          <w:color w:val="auto"/>
        </w:rPr>
        <w:fldChar w:fldCharType="separate"/>
      </w:r>
      <w:r>
        <w:rPr>
          <w:rStyle w:val="71"/>
          <w:rFonts w:ascii="仿宋" w:hAnsi="仿宋" w:eastAsia="仿宋" w:cs="宋体"/>
          <w:bCs/>
          <w:color w:val="auto"/>
          <w:szCs w:val="21"/>
        </w:rPr>
        <w:t>七、合同授予</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_Toc232004910 \h </w:instrText>
      </w:r>
      <w:r>
        <w:rPr>
          <w:rFonts w:ascii="仿宋" w:hAnsi="仿宋" w:eastAsia="仿宋"/>
          <w:color w:val="auto"/>
          <w:szCs w:val="21"/>
        </w:rPr>
        <w:fldChar w:fldCharType="separate"/>
      </w:r>
      <w:r>
        <w:rPr>
          <w:rFonts w:ascii="仿宋" w:hAnsi="仿宋" w:eastAsia="仿宋"/>
          <w:color w:val="auto"/>
          <w:szCs w:val="21"/>
        </w:rPr>
        <w:t>21</w:t>
      </w:r>
      <w:r>
        <w:rPr>
          <w:rFonts w:ascii="仿宋" w:hAnsi="仿宋" w:eastAsia="仿宋"/>
          <w:color w:val="auto"/>
          <w:szCs w:val="21"/>
        </w:rPr>
        <w:fldChar w:fldCharType="end"/>
      </w:r>
      <w:r>
        <w:rPr>
          <w:rFonts w:ascii="仿宋" w:hAnsi="仿宋" w:eastAsia="仿宋"/>
          <w:color w:val="auto"/>
          <w:szCs w:val="21"/>
        </w:rPr>
        <w:fldChar w:fldCharType="end"/>
      </w:r>
    </w:p>
    <w:p w14:paraId="3502CD45">
      <w:pPr>
        <w:pStyle w:val="30"/>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"_Toc232004911" </w:instrText>
      </w:r>
      <w:r>
        <w:rPr>
          <w:color w:val="auto"/>
        </w:rPr>
        <w:fldChar w:fldCharType="separate"/>
      </w:r>
      <w:r>
        <w:rPr>
          <w:rStyle w:val="71"/>
          <w:rFonts w:ascii="仿宋" w:hAnsi="仿宋" w:eastAsia="仿宋" w:cs="宋体"/>
          <w:bCs/>
          <w:color w:val="auto"/>
          <w:szCs w:val="21"/>
        </w:rPr>
        <w:t>八、质疑及投诉</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_Toc232004911 \h </w:instrText>
      </w:r>
      <w:r>
        <w:rPr>
          <w:rFonts w:ascii="仿宋" w:hAnsi="仿宋" w:eastAsia="仿宋"/>
          <w:color w:val="auto"/>
          <w:szCs w:val="21"/>
        </w:rPr>
        <w:fldChar w:fldCharType="separate"/>
      </w:r>
      <w:r>
        <w:rPr>
          <w:rFonts w:ascii="仿宋" w:hAnsi="仿宋" w:eastAsia="仿宋"/>
          <w:color w:val="auto"/>
          <w:szCs w:val="21"/>
        </w:rPr>
        <w:t>21</w:t>
      </w:r>
      <w:r>
        <w:rPr>
          <w:rFonts w:ascii="仿宋" w:hAnsi="仿宋" w:eastAsia="仿宋"/>
          <w:color w:val="auto"/>
          <w:szCs w:val="21"/>
        </w:rPr>
        <w:fldChar w:fldCharType="end"/>
      </w:r>
      <w:r>
        <w:rPr>
          <w:rFonts w:ascii="仿宋" w:hAnsi="仿宋" w:eastAsia="仿宋"/>
          <w:color w:val="auto"/>
          <w:szCs w:val="21"/>
        </w:rPr>
        <w:fldChar w:fldCharType="end"/>
      </w:r>
    </w:p>
    <w:p w14:paraId="740C9254">
      <w:pPr>
        <w:pStyle w:val="40"/>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"_Toc232004912" </w:instrText>
      </w:r>
      <w:r>
        <w:rPr>
          <w:color w:val="auto"/>
        </w:rPr>
        <w:fldChar w:fldCharType="separate"/>
      </w:r>
      <w:r>
        <w:rPr>
          <w:rStyle w:val="71"/>
          <w:rFonts w:ascii="仿宋" w:hAnsi="仿宋" w:eastAsia="仿宋" w:cs="宋体"/>
          <w:color w:val="auto"/>
          <w:szCs w:val="21"/>
        </w:rPr>
        <w:t>第三章 评审办法（综合评分法）</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_Toc232004912 \h </w:instrText>
      </w:r>
      <w:r>
        <w:rPr>
          <w:rFonts w:ascii="仿宋" w:hAnsi="仿宋" w:eastAsia="仿宋"/>
          <w:color w:val="auto"/>
          <w:szCs w:val="21"/>
        </w:rPr>
        <w:fldChar w:fldCharType="separate"/>
      </w:r>
      <w:r>
        <w:rPr>
          <w:rFonts w:ascii="仿宋" w:hAnsi="仿宋" w:eastAsia="仿宋"/>
          <w:color w:val="auto"/>
          <w:szCs w:val="21"/>
        </w:rPr>
        <w:t>24</w:t>
      </w:r>
      <w:r>
        <w:rPr>
          <w:rFonts w:ascii="仿宋" w:hAnsi="仿宋" w:eastAsia="仿宋"/>
          <w:color w:val="auto"/>
          <w:szCs w:val="21"/>
        </w:rPr>
        <w:fldChar w:fldCharType="end"/>
      </w:r>
      <w:r>
        <w:rPr>
          <w:rFonts w:ascii="仿宋" w:hAnsi="仿宋" w:eastAsia="仿宋"/>
          <w:color w:val="auto"/>
          <w:szCs w:val="21"/>
        </w:rPr>
        <w:fldChar w:fldCharType="end"/>
      </w:r>
    </w:p>
    <w:p w14:paraId="6CAFC9E7">
      <w:pPr>
        <w:pStyle w:val="40"/>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"_Toc232004920" </w:instrText>
      </w:r>
      <w:r>
        <w:rPr>
          <w:color w:val="auto"/>
        </w:rPr>
        <w:fldChar w:fldCharType="separate"/>
      </w:r>
      <w:r>
        <w:rPr>
          <w:rStyle w:val="71"/>
          <w:rFonts w:ascii="仿宋" w:hAnsi="仿宋" w:eastAsia="仿宋" w:cs="宋体"/>
          <w:color w:val="auto"/>
          <w:szCs w:val="21"/>
        </w:rPr>
        <w:t>第四章 采购</w:t>
      </w:r>
      <w:bookmarkStart w:id="0" w:name="_Hlt232166875"/>
      <w:r>
        <w:rPr>
          <w:rStyle w:val="71"/>
          <w:rFonts w:ascii="仿宋" w:hAnsi="仿宋" w:eastAsia="仿宋" w:cs="宋体"/>
          <w:color w:val="auto"/>
          <w:szCs w:val="21"/>
        </w:rPr>
        <w:t>需</w:t>
      </w:r>
      <w:bookmarkEnd w:id="0"/>
      <w:r>
        <w:rPr>
          <w:rStyle w:val="71"/>
          <w:rFonts w:ascii="仿宋" w:hAnsi="仿宋" w:eastAsia="仿宋" w:cs="宋体"/>
          <w:color w:val="auto"/>
          <w:szCs w:val="21"/>
        </w:rPr>
        <w:t>求</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_Toc232004920 \h </w:instrText>
      </w:r>
      <w:r>
        <w:rPr>
          <w:rFonts w:ascii="仿宋" w:hAnsi="仿宋" w:eastAsia="仿宋"/>
          <w:color w:val="auto"/>
          <w:szCs w:val="21"/>
        </w:rPr>
        <w:fldChar w:fldCharType="separate"/>
      </w:r>
      <w:r>
        <w:rPr>
          <w:rFonts w:ascii="仿宋" w:hAnsi="仿宋" w:eastAsia="仿宋"/>
          <w:color w:val="auto"/>
          <w:szCs w:val="21"/>
        </w:rPr>
        <w:t>39</w:t>
      </w:r>
      <w:r>
        <w:rPr>
          <w:rFonts w:ascii="仿宋" w:hAnsi="仿宋" w:eastAsia="仿宋"/>
          <w:color w:val="auto"/>
          <w:szCs w:val="21"/>
        </w:rPr>
        <w:fldChar w:fldCharType="end"/>
      </w:r>
      <w:r>
        <w:rPr>
          <w:rFonts w:ascii="仿宋" w:hAnsi="仿宋" w:eastAsia="仿宋"/>
          <w:color w:val="auto"/>
          <w:szCs w:val="21"/>
        </w:rPr>
        <w:fldChar w:fldCharType="end"/>
      </w:r>
    </w:p>
    <w:p w14:paraId="42C7724F">
      <w:pPr>
        <w:pStyle w:val="40"/>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"_Toc232004921" </w:instrText>
      </w:r>
      <w:r>
        <w:rPr>
          <w:color w:val="auto"/>
        </w:rPr>
        <w:fldChar w:fldCharType="separate"/>
      </w:r>
      <w:r>
        <w:rPr>
          <w:rStyle w:val="71"/>
          <w:rFonts w:ascii="仿宋" w:hAnsi="仿宋" w:eastAsia="仿宋" w:cs="宋体"/>
          <w:color w:val="auto"/>
          <w:szCs w:val="21"/>
        </w:rPr>
        <w:t>第五章 合同主要条款</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_Toc232004921 \h </w:instrText>
      </w:r>
      <w:r>
        <w:rPr>
          <w:rFonts w:ascii="仿宋" w:hAnsi="仿宋" w:eastAsia="仿宋"/>
          <w:color w:val="auto"/>
          <w:szCs w:val="21"/>
        </w:rPr>
        <w:fldChar w:fldCharType="separate"/>
      </w:r>
      <w:r>
        <w:rPr>
          <w:rFonts w:ascii="仿宋" w:hAnsi="仿宋" w:eastAsia="仿宋"/>
          <w:color w:val="auto"/>
          <w:szCs w:val="21"/>
        </w:rPr>
        <w:t>41</w:t>
      </w:r>
      <w:r>
        <w:rPr>
          <w:rFonts w:ascii="仿宋" w:hAnsi="仿宋" w:eastAsia="仿宋"/>
          <w:color w:val="auto"/>
          <w:szCs w:val="21"/>
        </w:rPr>
        <w:fldChar w:fldCharType="end"/>
      </w:r>
      <w:r>
        <w:rPr>
          <w:rFonts w:ascii="仿宋" w:hAnsi="仿宋" w:eastAsia="仿宋"/>
          <w:color w:val="auto"/>
          <w:szCs w:val="21"/>
        </w:rPr>
        <w:fldChar w:fldCharType="end"/>
      </w:r>
    </w:p>
    <w:p w14:paraId="14E23763">
      <w:pPr>
        <w:pStyle w:val="40"/>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"_Toc232004922" </w:instrText>
      </w:r>
      <w:r>
        <w:rPr>
          <w:color w:val="auto"/>
        </w:rPr>
        <w:fldChar w:fldCharType="separate"/>
      </w:r>
      <w:r>
        <w:rPr>
          <w:rStyle w:val="71"/>
          <w:rFonts w:ascii="仿宋" w:hAnsi="仿宋" w:eastAsia="仿宋" w:cs="宋体"/>
          <w:color w:val="auto"/>
          <w:szCs w:val="21"/>
        </w:rPr>
        <w:t>第六章 响应文件格式</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_Toc232004922 \h </w:instrText>
      </w:r>
      <w:r>
        <w:rPr>
          <w:rFonts w:ascii="仿宋" w:hAnsi="仿宋" w:eastAsia="仿宋"/>
          <w:color w:val="auto"/>
          <w:szCs w:val="21"/>
        </w:rPr>
        <w:fldChar w:fldCharType="separate"/>
      </w:r>
      <w:r>
        <w:rPr>
          <w:rFonts w:ascii="仿宋" w:hAnsi="仿宋" w:eastAsia="仿宋"/>
          <w:color w:val="auto"/>
          <w:szCs w:val="21"/>
        </w:rPr>
        <w:t>46</w:t>
      </w:r>
      <w:r>
        <w:rPr>
          <w:rFonts w:ascii="仿宋" w:hAnsi="仿宋" w:eastAsia="仿宋"/>
          <w:color w:val="auto"/>
          <w:szCs w:val="21"/>
        </w:rPr>
        <w:fldChar w:fldCharType="end"/>
      </w:r>
      <w:r>
        <w:rPr>
          <w:rFonts w:ascii="仿宋" w:hAnsi="仿宋" w:eastAsia="仿宋"/>
          <w:color w:val="auto"/>
          <w:szCs w:val="21"/>
        </w:rPr>
        <w:fldChar w:fldCharType="end"/>
      </w:r>
    </w:p>
    <w:p w14:paraId="0425E616">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"_Toc232004923" </w:instrText>
      </w:r>
      <w:r>
        <w:rPr>
          <w:color w:val="auto"/>
        </w:rPr>
        <w:fldChar w:fldCharType="separate"/>
      </w:r>
      <w:r>
        <w:rPr>
          <w:rStyle w:val="71"/>
          <w:rFonts w:ascii="仿宋" w:hAnsi="仿宋" w:eastAsia="仿宋" w:cs="宋体"/>
          <w:color w:val="auto"/>
          <w:szCs w:val="21"/>
        </w:rPr>
        <w:t>（一）资格部分格式</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_Toc232004923 \h </w:instrText>
      </w:r>
      <w:r>
        <w:rPr>
          <w:rFonts w:ascii="仿宋" w:hAnsi="仿宋" w:eastAsia="仿宋"/>
          <w:color w:val="auto"/>
          <w:szCs w:val="21"/>
        </w:rPr>
        <w:fldChar w:fldCharType="separate"/>
      </w:r>
      <w:r>
        <w:rPr>
          <w:rFonts w:ascii="仿宋" w:hAnsi="仿宋" w:eastAsia="仿宋"/>
          <w:color w:val="auto"/>
          <w:szCs w:val="21"/>
        </w:rPr>
        <w:t>47</w:t>
      </w:r>
      <w:r>
        <w:rPr>
          <w:rFonts w:ascii="仿宋" w:hAnsi="仿宋" w:eastAsia="仿宋"/>
          <w:color w:val="auto"/>
          <w:szCs w:val="21"/>
        </w:rPr>
        <w:fldChar w:fldCharType="end"/>
      </w:r>
      <w:r>
        <w:rPr>
          <w:rFonts w:ascii="仿宋" w:hAnsi="仿宋" w:eastAsia="仿宋"/>
          <w:color w:val="auto"/>
          <w:szCs w:val="21"/>
        </w:rPr>
        <w:fldChar w:fldCharType="end"/>
      </w:r>
    </w:p>
    <w:p w14:paraId="6E4C5253">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"_Toc232004924" </w:instrText>
      </w:r>
      <w:r>
        <w:rPr>
          <w:color w:val="auto"/>
        </w:rPr>
        <w:fldChar w:fldCharType="separate"/>
      </w:r>
      <w:r>
        <w:rPr>
          <w:rStyle w:val="71"/>
          <w:rFonts w:ascii="仿宋" w:hAnsi="仿宋" w:eastAsia="仿宋"/>
          <w:color w:val="auto"/>
          <w:szCs w:val="21"/>
        </w:rPr>
        <w:t>一、符合《中华人民共和国政府采购法》第二十二条的规定</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_Toc232004924 \h </w:instrText>
      </w:r>
      <w:r>
        <w:rPr>
          <w:rFonts w:ascii="仿宋" w:hAnsi="仿宋" w:eastAsia="仿宋"/>
          <w:color w:val="auto"/>
          <w:szCs w:val="21"/>
        </w:rPr>
        <w:fldChar w:fldCharType="separate"/>
      </w:r>
      <w:r>
        <w:rPr>
          <w:rFonts w:ascii="仿宋" w:hAnsi="仿宋" w:eastAsia="仿宋"/>
          <w:color w:val="auto"/>
          <w:szCs w:val="21"/>
        </w:rPr>
        <w:t>47</w:t>
      </w:r>
      <w:r>
        <w:rPr>
          <w:rFonts w:ascii="仿宋" w:hAnsi="仿宋" w:eastAsia="仿宋"/>
          <w:color w:val="auto"/>
          <w:szCs w:val="21"/>
        </w:rPr>
        <w:fldChar w:fldCharType="end"/>
      </w:r>
      <w:r>
        <w:rPr>
          <w:rFonts w:ascii="仿宋" w:hAnsi="仿宋" w:eastAsia="仿宋"/>
          <w:color w:val="auto"/>
          <w:szCs w:val="21"/>
        </w:rPr>
        <w:fldChar w:fldCharType="end"/>
      </w:r>
    </w:p>
    <w:p w14:paraId="3B54D14D">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"_Toc232004925" </w:instrText>
      </w:r>
      <w:r>
        <w:rPr>
          <w:color w:val="auto"/>
        </w:rPr>
        <w:fldChar w:fldCharType="separate"/>
      </w:r>
      <w:r>
        <w:rPr>
          <w:rStyle w:val="71"/>
          <w:rFonts w:ascii="仿宋" w:hAnsi="仿宋" w:eastAsia="仿宋"/>
          <w:color w:val="auto"/>
          <w:szCs w:val="21"/>
        </w:rPr>
        <w:t>二、资格证明材料</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_Toc232004925 \h </w:instrText>
      </w:r>
      <w:r>
        <w:rPr>
          <w:rFonts w:ascii="仿宋" w:hAnsi="仿宋" w:eastAsia="仿宋"/>
          <w:color w:val="auto"/>
          <w:szCs w:val="21"/>
        </w:rPr>
        <w:fldChar w:fldCharType="separate"/>
      </w:r>
      <w:r>
        <w:rPr>
          <w:rFonts w:ascii="仿宋" w:hAnsi="仿宋" w:eastAsia="仿宋"/>
          <w:color w:val="auto"/>
          <w:szCs w:val="21"/>
        </w:rPr>
        <w:t>49</w:t>
      </w:r>
      <w:r>
        <w:rPr>
          <w:rFonts w:ascii="仿宋" w:hAnsi="仿宋" w:eastAsia="仿宋"/>
          <w:color w:val="auto"/>
          <w:szCs w:val="21"/>
        </w:rPr>
        <w:fldChar w:fldCharType="end"/>
      </w:r>
      <w:r>
        <w:rPr>
          <w:rFonts w:ascii="仿宋" w:hAnsi="仿宋" w:eastAsia="仿宋"/>
          <w:color w:val="auto"/>
          <w:szCs w:val="21"/>
        </w:rPr>
        <w:fldChar w:fldCharType="end"/>
      </w:r>
    </w:p>
    <w:p w14:paraId="622988BE">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"_Toc232004926" </w:instrText>
      </w:r>
      <w:r>
        <w:rPr>
          <w:color w:val="auto"/>
        </w:rPr>
        <w:fldChar w:fldCharType="separate"/>
      </w:r>
      <w:r>
        <w:rPr>
          <w:rStyle w:val="71"/>
          <w:rFonts w:ascii="仿宋" w:hAnsi="仿宋" w:eastAsia="仿宋" w:cs="宋体"/>
          <w:color w:val="auto"/>
          <w:szCs w:val="21"/>
        </w:rPr>
        <w:t>三、中小企业声明函（服务）</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_Toc232004926 \h </w:instrText>
      </w:r>
      <w:r>
        <w:rPr>
          <w:rFonts w:ascii="仿宋" w:hAnsi="仿宋" w:eastAsia="仿宋"/>
          <w:color w:val="auto"/>
          <w:szCs w:val="21"/>
        </w:rPr>
        <w:fldChar w:fldCharType="separate"/>
      </w:r>
      <w:r>
        <w:rPr>
          <w:rFonts w:ascii="仿宋" w:hAnsi="仿宋" w:eastAsia="仿宋"/>
          <w:color w:val="auto"/>
          <w:szCs w:val="21"/>
        </w:rPr>
        <w:t>50</w:t>
      </w:r>
      <w:r>
        <w:rPr>
          <w:rFonts w:ascii="仿宋" w:hAnsi="仿宋" w:eastAsia="仿宋"/>
          <w:color w:val="auto"/>
          <w:szCs w:val="21"/>
        </w:rPr>
        <w:fldChar w:fldCharType="end"/>
      </w:r>
      <w:r>
        <w:rPr>
          <w:rFonts w:ascii="仿宋" w:hAnsi="仿宋" w:eastAsia="仿宋"/>
          <w:color w:val="auto"/>
          <w:szCs w:val="21"/>
        </w:rPr>
        <w:fldChar w:fldCharType="end"/>
      </w:r>
    </w:p>
    <w:p w14:paraId="26B31C13">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"_Toc232004927" </w:instrText>
      </w:r>
      <w:r>
        <w:rPr>
          <w:color w:val="auto"/>
        </w:rPr>
        <w:fldChar w:fldCharType="separate"/>
      </w:r>
      <w:r>
        <w:rPr>
          <w:rStyle w:val="71"/>
          <w:rFonts w:ascii="仿宋" w:hAnsi="仿宋" w:eastAsia="仿宋" w:cs="宋体"/>
          <w:color w:val="auto"/>
          <w:szCs w:val="21"/>
        </w:rPr>
        <w:t>四、残疾人福利性单位声明函</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_Toc232004927 \h </w:instrText>
      </w:r>
      <w:r>
        <w:rPr>
          <w:rFonts w:ascii="仿宋" w:hAnsi="仿宋" w:eastAsia="仿宋"/>
          <w:color w:val="auto"/>
          <w:szCs w:val="21"/>
        </w:rPr>
        <w:fldChar w:fldCharType="separate"/>
      </w:r>
      <w:r>
        <w:rPr>
          <w:rFonts w:ascii="仿宋" w:hAnsi="仿宋" w:eastAsia="仿宋"/>
          <w:color w:val="auto"/>
          <w:szCs w:val="21"/>
        </w:rPr>
        <w:t>53</w:t>
      </w:r>
      <w:r>
        <w:rPr>
          <w:rFonts w:ascii="仿宋" w:hAnsi="仿宋" w:eastAsia="仿宋"/>
          <w:color w:val="auto"/>
          <w:szCs w:val="21"/>
        </w:rPr>
        <w:fldChar w:fldCharType="end"/>
      </w:r>
      <w:r>
        <w:rPr>
          <w:rFonts w:ascii="仿宋" w:hAnsi="仿宋" w:eastAsia="仿宋"/>
          <w:color w:val="auto"/>
          <w:szCs w:val="21"/>
        </w:rPr>
        <w:fldChar w:fldCharType="end"/>
      </w:r>
    </w:p>
    <w:p w14:paraId="7A17B135">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"_Toc232004928" </w:instrText>
      </w:r>
      <w:r>
        <w:rPr>
          <w:color w:val="auto"/>
        </w:rPr>
        <w:fldChar w:fldCharType="separate"/>
      </w:r>
      <w:r>
        <w:rPr>
          <w:rStyle w:val="71"/>
          <w:rFonts w:ascii="仿宋" w:hAnsi="仿宋" w:eastAsia="仿宋" w:cs="宋体"/>
          <w:color w:val="auto"/>
          <w:szCs w:val="21"/>
        </w:rPr>
        <w:t>五、监狱企业证明文件</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_Toc232004928 \h </w:instrText>
      </w:r>
      <w:r>
        <w:rPr>
          <w:rFonts w:ascii="仿宋" w:hAnsi="仿宋" w:eastAsia="仿宋"/>
          <w:color w:val="auto"/>
          <w:szCs w:val="21"/>
        </w:rPr>
        <w:fldChar w:fldCharType="separate"/>
      </w:r>
      <w:r>
        <w:rPr>
          <w:rFonts w:ascii="仿宋" w:hAnsi="仿宋" w:eastAsia="仿宋"/>
          <w:color w:val="auto"/>
          <w:szCs w:val="21"/>
        </w:rPr>
        <w:t>54</w:t>
      </w:r>
      <w:r>
        <w:rPr>
          <w:rFonts w:ascii="仿宋" w:hAnsi="仿宋" w:eastAsia="仿宋"/>
          <w:color w:val="auto"/>
          <w:szCs w:val="21"/>
        </w:rPr>
        <w:fldChar w:fldCharType="end"/>
      </w:r>
      <w:r>
        <w:rPr>
          <w:rFonts w:ascii="仿宋" w:hAnsi="仿宋" w:eastAsia="仿宋"/>
          <w:color w:val="auto"/>
          <w:szCs w:val="21"/>
        </w:rPr>
        <w:fldChar w:fldCharType="end"/>
      </w:r>
    </w:p>
    <w:p w14:paraId="347468D4">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"_Toc232004929" </w:instrText>
      </w:r>
      <w:r>
        <w:rPr>
          <w:color w:val="auto"/>
        </w:rPr>
        <w:fldChar w:fldCharType="separate"/>
      </w:r>
      <w:r>
        <w:rPr>
          <w:rStyle w:val="71"/>
          <w:rFonts w:ascii="仿宋" w:hAnsi="仿宋" w:eastAsia="仿宋" w:cs="宋体"/>
          <w:color w:val="auto"/>
          <w:szCs w:val="21"/>
        </w:rPr>
        <w:t>（二）商务及报价部分格式</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_Toc232004929 \h </w:instrText>
      </w:r>
      <w:r>
        <w:rPr>
          <w:rFonts w:ascii="仿宋" w:hAnsi="仿宋" w:eastAsia="仿宋"/>
          <w:color w:val="auto"/>
          <w:szCs w:val="21"/>
        </w:rPr>
        <w:fldChar w:fldCharType="separate"/>
      </w:r>
      <w:r>
        <w:rPr>
          <w:rFonts w:ascii="仿宋" w:hAnsi="仿宋" w:eastAsia="仿宋"/>
          <w:color w:val="auto"/>
          <w:szCs w:val="21"/>
        </w:rPr>
        <w:t>55</w:t>
      </w:r>
      <w:r>
        <w:rPr>
          <w:rFonts w:ascii="仿宋" w:hAnsi="仿宋" w:eastAsia="仿宋"/>
          <w:color w:val="auto"/>
          <w:szCs w:val="21"/>
        </w:rPr>
        <w:fldChar w:fldCharType="end"/>
      </w:r>
      <w:r>
        <w:rPr>
          <w:rFonts w:ascii="仿宋" w:hAnsi="仿宋" w:eastAsia="仿宋"/>
          <w:color w:val="auto"/>
          <w:szCs w:val="21"/>
        </w:rPr>
        <w:fldChar w:fldCharType="end"/>
      </w:r>
    </w:p>
    <w:p w14:paraId="27C3F9BA">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"_Toc232004930" </w:instrText>
      </w:r>
      <w:r>
        <w:rPr>
          <w:color w:val="auto"/>
        </w:rPr>
        <w:fldChar w:fldCharType="separate"/>
      </w:r>
      <w:r>
        <w:rPr>
          <w:rStyle w:val="71"/>
          <w:rFonts w:ascii="仿宋" w:hAnsi="仿宋" w:eastAsia="仿宋" w:cs="宋体"/>
          <w:color w:val="auto"/>
          <w:szCs w:val="21"/>
        </w:rPr>
        <w:t>一、磋商一览表（首次报价）</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_Toc232004930 \h </w:instrText>
      </w:r>
      <w:r>
        <w:rPr>
          <w:rFonts w:ascii="仿宋" w:hAnsi="仿宋" w:eastAsia="仿宋"/>
          <w:color w:val="auto"/>
          <w:szCs w:val="21"/>
        </w:rPr>
        <w:fldChar w:fldCharType="separate"/>
      </w:r>
      <w:r>
        <w:rPr>
          <w:rFonts w:ascii="仿宋" w:hAnsi="仿宋" w:eastAsia="仿宋"/>
          <w:color w:val="auto"/>
          <w:szCs w:val="21"/>
        </w:rPr>
        <w:t>55</w:t>
      </w:r>
      <w:r>
        <w:rPr>
          <w:rFonts w:ascii="仿宋" w:hAnsi="仿宋" w:eastAsia="仿宋"/>
          <w:color w:val="auto"/>
          <w:szCs w:val="21"/>
        </w:rPr>
        <w:fldChar w:fldCharType="end"/>
      </w:r>
      <w:r>
        <w:rPr>
          <w:rFonts w:ascii="仿宋" w:hAnsi="仿宋" w:eastAsia="仿宋"/>
          <w:color w:val="auto"/>
          <w:szCs w:val="21"/>
        </w:rPr>
        <w:fldChar w:fldCharType="end"/>
      </w:r>
    </w:p>
    <w:p w14:paraId="35641314">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"_Toc232004931" </w:instrText>
      </w:r>
      <w:r>
        <w:rPr>
          <w:color w:val="auto"/>
        </w:rPr>
        <w:fldChar w:fldCharType="separate"/>
      </w:r>
      <w:r>
        <w:rPr>
          <w:rStyle w:val="71"/>
          <w:rFonts w:ascii="仿宋" w:hAnsi="仿宋" w:eastAsia="仿宋"/>
          <w:color w:val="auto"/>
          <w:szCs w:val="21"/>
        </w:rPr>
        <w:t>二、</w:t>
      </w:r>
      <w:r>
        <w:rPr>
          <w:rStyle w:val="71"/>
          <w:rFonts w:ascii="仿宋" w:hAnsi="仿宋" w:eastAsia="仿宋" w:cs="宋体"/>
          <w:color w:val="auto"/>
          <w:szCs w:val="21"/>
        </w:rPr>
        <w:t>法定代表人身份证明书</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_Toc232004931 \h </w:instrText>
      </w:r>
      <w:r>
        <w:rPr>
          <w:rFonts w:ascii="仿宋" w:hAnsi="仿宋" w:eastAsia="仿宋"/>
          <w:color w:val="auto"/>
          <w:szCs w:val="21"/>
        </w:rPr>
        <w:fldChar w:fldCharType="separate"/>
      </w:r>
      <w:r>
        <w:rPr>
          <w:rFonts w:ascii="仿宋" w:hAnsi="仿宋" w:eastAsia="仿宋"/>
          <w:color w:val="auto"/>
          <w:szCs w:val="21"/>
        </w:rPr>
        <w:t>56</w:t>
      </w:r>
      <w:r>
        <w:rPr>
          <w:rFonts w:ascii="仿宋" w:hAnsi="仿宋" w:eastAsia="仿宋"/>
          <w:color w:val="auto"/>
          <w:szCs w:val="21"/>
        </w:rPr>
        <w:fldChar w:fldCharType="end"/>
      </w:r>
      <w:r>
        <w:rPr>
          <w:rFonts w:ascii="仿宋" w:hAnsi="仿宋" w:eastAsia="仿宋"/>
          <w:color w:val="auto"/>
          <w:szCs w:val="21"/>
        </w:rPr>
        <w:fldChar w:fldCharType="end"/>
      </w:r>
    </w:p>
    <w:p w14:paraId="749A211F">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"_Toc232004932" </w:instrText>
      </w:r>
      <w:r>
        <w:rPr>
          <w:color w:val="auto"/>
        </w:rPr>
        <w:fldChar w:fldCharType="separate"/>
      </w:r>
      <w:r>
        <w:rPr>
          <w:rStyle w:val="71"/>
          <w:rFonts w:ascii="仿宋" w:hAnsi="仿宋" w:eastAsia="仿宋" w:cs="宋体"/>
          <w:color w:val="auto"/>
          <w:szCs w:val="21"/>
        </w:rPr>
        <w:t>三、法定代表人授权委托书</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_Toc232004932 \h </w:instrText>
      </w:r>
      <w:r>
        <w:rPr>
          <w:rFonts w:ascii="仿宋" w:hAnsi="仿宋" w:eastAsia="仿宋"/>
          <w:color w:val="auto"/>
          <w:szCs w:val="21"/>
        </w:rPr>
        <w:fldChar w:fldCharType="separate"/>
      </w:r>
      <w:r>
        <w:rPr>
          <w:rFonts w:ascii="仿宋" w:hAnsi="仿宋" w:eastAsia="仿宋"/>
          <w:color w:val="auto"/>
          <w:szCs w:val="21"/>
        </w:rPr>
        <w:t>57</w:t>
      </w:r>
      <w:r>
        <w:rPr>
          <w:rFonts w:ascii="仿宋" w:hAnsi="仿宋" w:eastAsia="仿宋"/>
          <w:color w:val="auto"/>
          <w:szCs w:val="21"/>
        </w:rPr>
        <w:fldChar w:fldCharType="end"/>
      </w:r>
      <w:r>
        <w:rPr>
          <w:rFonts w:ascii="仿宋" w:hAnsi="仿宋" w:eastAsia="仿宋"/>
          <w:color w:val="auto"/>
          <w:szCs w:val="21"/>
        </w:rPr>
        <w:fldChar w:fldCharType="end"/>
      </w:r>
    </w:p>
    <w:p w14:paraId="4DD4D411">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"_Toc232004933" </w:instrText>
      </w:r>
      <w:r>
        <w:rPr>
          <w:color w:val="auto"/>
        </w:rPr>
        <w:fldChar w:fldCharType="separate"/>
      </w:r>
      <w:r>
        <w:rPr>
          <w:rStyle w:val="71"/>
          <w:rFonts w:ascii="仿宋" w:hAnsi="仿宋" w:eastAsia="仿宋" w:cs="宋体"/>
          <w:color w:val="auto"/>
          <w:szCs w:val="21"/>
        </w:rPr>
        <w:t>四、响应函</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_Toc232004933 \h </w:instrText>
      </w:r>
      <w:r>
        <w:rPr>
          <w:rFonts w:ascii="仿宋" w:hAnsi="仿宋" w:eastAsia="仿宋"/>
          <w:color w:val="auto"/>
          <w:szCs w:val="21"/>
        </w:rPr>
        <w:fldChar w:fldCharType="separate"/>
      </w:r>
      <w:r>
        <w:rPr>
          <w:rFonts w:ascii="仿宋" w:hAnsi="仿宋" w:eastAsia="仿宋"/>
          <w:color w:val="auto"/>
          <w:szCs w:val="21"/>
        </w:rPr>
        <w:t>58</w:t>
      </w:r>
      <w:r>
        <w:rPr>
          <w:rFonts w:ascii="仿宋" w:hAnsi="仿宋" w:eastAsia="仿宋"/>
          <w:color w:val="auto"/>
          <w:szCs w:val="21"/>
        </w:rPr>
        <w:fldChar w:fldCharType="end"/>
      </w:r>
      <w:r>
        <w:rPr>
          <w:rFonts w:ascii="仿宋" w:hAnsi="仿宋" w:eastAsia="仿宋"/>
          <w:color w:val="auto"/>
          <w:szCs w:val="21"/>
        </w:rPr>
        <w:fldChar w:fldCharType="end"/>
      </w:r>
    </w:p>
    <w:p w14:paraId="2B08B6DF">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"_Toc232004934" </w:instrText>
      </w:r>
      <w:r>
        <w:rPr>
          <w:color w:val="auto"/>
        </w:rPr>
        <w:fldChar w:fldCharType="separate"/>
      </w:r>
      <w:r>
        <w:rPr>
          <w:rStyle w:val="71"/>
          <w:rFonts w:ascii="仿宋" w:hAnsi="仿宋" w:eastAsia="仿宋"/>
          <w:color w:val="auto"/>
          <w:szCs w:val="21"/>
        </w:rPr>
        <w:t>五、</w:t>
      </w:r>
      <w:r>
        <w:rPr>
          <w:rStyle w:val="71"/>
          <w:rFonts w:ascii="仿宋" w:hAnsi="仿宋" w:eastAsia="仿宋" w:cs="宋体"/>
          <w:color w:val="auto"/>
          <w:szCs w:val="21"/>
        </w:rPr>
        <w:t>业绩一览表</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_Toc232004934 \h </w:instrText>
      </w:r>
      <w:r>
        <w:rPr>
          <w:rFonts w:ascii="仿宋" w:hAnsi="仿宋" w:eastAsia="仿宋"/>
          <w:color w:val="auto"/>
          <w:szCs w:val="21"/>
        </w:rPr>
        <w:fldChar w:fldCharType="separate"/>
      </w:r>
      <w:r>
        <w:rPr>
          <w:rFonts w:ascii="仿宋" w:hAnsi="仿宋" w:eastAsia="仿宋"/>
          <w:color w:val="auto"/>
          <w:szCs w:val="21"/>
        </w:rPr>
        <w:t>59</w:t>
      </w:r>
      <w:r>
        <w:rPr>
          <w:rFonts w:ascii="仿宋" w:hAnsi="仿宋" w:eastAsia="仿宋"/>
          <w:color w:val="auto"/>
          <w:szCs w:val="21"/>
        </w:rPr>
        <w:fldChar w:fldCharType="end"/>
      </w:r>
      <w:r>
        <w:rPr>
          <w:rFonts w:ascii="仿宋" w:hAnsi="仿宋" w:eastAsia="仿宋"/>
          <w:color w:val="auto"/>
          <w:szCs w:val="21"/>
        </w:rPr>
        <w:fldChar w:fldCharType="end"/>
      </w:r>
    </w:p>
    <w:p w14:paraId="0C47C092">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"_Toc232004935" </w:instrText>
      </w:r>
      <w:r>
        <w:rPr>
          <w:color w:val="auto"/>
        </w:rPr>
        <w:fldChar w:fldCharType="separate"/>
      </w:r>
      <w:r>
        <w:rPr>
          <w:rStyle w:val="71"/>
          <w:rFonts w:ascii="仿宋" w:hAnsi="仿宋" w:eastAsia="仿宋"/>
          <w:color w:val="auto"/>
          <w:szCs w:val="21"/>
        </w:rPr>
        <w:t>六、供应商对响应文件真实性负责的承诺</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_Toc232004935 \h </w:instrText>
      </w:r>
      <w:r>
        <w:rPr>
          <w:rFonts w:ascii="仿宋" w:hAnsi="仿宋" w:eastAsia="仿宋"/>
          <w:color w:val="auto"/>
          <w:szCs w:val="21"/>
        </w:rPr>
        <w:fldChar w:fldCharType="separate"/>
      </w:r>
      <w:r>
        <w:rPr>
          <w:rFonts w:ascii="仿宋" w:hAnsi="仿宋" w:eastAsia="仿宋"/>
          <w:color w:val="auto"/>
          <w:szCs w:val="21"/>
        </w:rPr>
        <w:t>60</w:t>
      </w:r>
      <w:r>
        <w:rPr>
          <w:rFonts w:ascii="仿宋" w:hAnsi="仿宋" w:eastAsia="仿宋"/>
          <w:color w:val="auto"/>
          <w:szCs w:val="21"/>
        </w:rPr>
        <w:fldChar w:fldCharType="end"/>
      </w:r>
      <w:r>
        <w:rPr>
          <w:rFonts w:ascii="仿宋" w:hAnsi="仿宋" w:eastAsia="仿宋"/>
          <w:color w:val="auto"/>
          <w:szCs w:val="21"/>
        </w:rPr>
        <w:fldChar w:fldCharType="end"/>
      </w:r>
    </w:p>
    <w:p w14:paraId="3CD47050">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"_Toc232004936" </w:instrText>
      </w:r>
      <w:r>
        <w:rPr>
          <w:color w:val="auto"/>
        </w:rPr>
        <w:fldChar w:fldCharType="separate"/>
      </w:r>
      <w:r>
        <w:rPr>
          <w:rStyle w:val="71"/>
          <w:rFonts w:ascii="仿宋" w:hAnsi="仿宋" w:eastAsia="仿宋"/>
          <w:color w:val="auto"/>
          <w:szCs w:val="21"/>
        </w:rPr>
        <w:t>七、保密承诺书</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_Toc232004936 \h </w:instrText>
      </w:r>
      <w:r>
        <w:rPr>
          <w:rFonts w:ascii="仿宋" w:hAnsi="仿宋" w:eastAsia="仿宋"/>
          <w:color w:val="auto"/>
          <w:szCs w:val="21"/>
        </w:rPr>
        <w:fldChar w:fldCharType="separate"/>
      </w:r>
      <w:r>
        <w:rPr>
          <w:rFonts w:ascii="仿宋" w:hAnsi="仿宋" w:eastAsia="仿宋"/>
          <w:color w:val="auto"/>
          <w:szCs w:val="21"/>
        </w:rPr>
        <w:t>61</w:t>
      </w:r>
      <w:r>
        <w:rPr>
          <w:rFonts w:ascii="仿宋" w:hAnsi="仿宋" w:eastAsia="仿宋"/>
          <w:color w:val="auto"/>
          <w:szCs w:val="21"/>
        </w:rPr>
        <w:fldChar w:fldCharType="end"/>
      </w:r>
      <w:r>
        <w:rPr>
          <w:rFonts w:ascii="仿宋" w:hAnsi="仿宋" w:eastAsia="仿宋"/>
          <w:color w:val="auto"/>
          <w:szCs w:val="21"/>
        </w:rPr>
        <w:fldChar w:fldCharType="end"/>
      </w:r>
    </w:p>
    <w:p w14:paraId="71451741">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"_Toc232004937" </w:instrText>
      </w:r>
      <w:r>
        <w:rPr>
          <w:color w:val="auto"/>
        </w:rPr>
        <w:fldChar w:fldCharType="separate"/>
      </w:r>
      <w:r>
        <w:rPr>
          <w:rStyle w:val="71"/>
          <w:rFonts w:ascii="仿宋" w:hAnsi="仿宋" w:eastAsia="仿宋"/>
          <w:color w:val="auto"/>
          <w:szCs w:val="21"/>
        </w:rPr>
        <w:t>八、供应商承诺书</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_Toc232004937 \h </w:instrText>
      </w:r>
      <w:r>
        <w:rPr>
          <w:rFonts w:ascii="仿宋" w:hAnsi="仿宋" w:eastAsia="仿宋"/>
          <w:color w:val="auto"/>
          <w:szCs w:val="21"/>
        </w:rPr>
        <w:fldChar w:fldCharType="separate"/>
      </w:r>
      <w:r>
        <w:rPr>
          <w:rFonts w:ascii="仿宋" w:hAnsi="仿宋" w:eastAsia="仿宋"/>
          <w:color w:val="auto"/>
          <w:szCs w:val="21"/>
        </w:rPr>
        <w:t>62</w:t>
      </w:r>
      <w:r>
        <w:rPr>
          <w:rFonts w:ascii="仿宋" w:hAnsi="仿宋" w:eastAsia="仿宋"/>
          <w:color w:val="auto"/>
          <w:szCs w:val="21"/>
        </w:rPr>
        <w:fldChar w:fldCharType="end"/>
      </w:r>
      <w:r>
        <w:rPr>
          <w:rFonts w:ascii="仿宋" w:hAnsi="仿宋" w:eastAsia="仿宋"/>
          <w:color w:val="auto"/>
          <w:szCs w:val="21"/>
        </w:rPr>
        <w:fldChar w:fldCharType="end"/>
      </w:r>
    </w:p>
    <w:p w14:paraId="509F2348">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"_Toc232004938" </w:instrText>
      </w:r>
      <w:r>
        <w:rPr>
          <w:color w:val="auto"/>
        </w:rPr>
        <w:fldChar w:fldCharType="separate"/>
      </w:r>
      <w:r>
        <w:rPr>
          <w:rStyle w:val="71"/>
          <w:rFonts w:ascii="仿宋" w:hAnsi="仿宋" w:eastAsia="仿宋" w:cs="宋体"/>
          <w:color w:val="auto"/>
          <w:szCs w:val="21"/>
        </w:rPr>
        <w:t>九、供应商认为还须提供的其他相关资料</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_Toc232004938 \h </w:instrText>
      </w:r>
      <w:r>
        <w:rPr>
          <w:rFonts w:ascii="仿宋" w:hAnsi="仿宋" w:eastAsia="仿宋"/>
          <w:color w:val="auto"/>
          <w:szCs w:val="21"/>
        </w:rPr>
        <w:fldChar w:fldCharType="separate"/>
      </w:r>
      <w:r>
        <w:rPr>
          <w:rFonts w:ascii="仿宋" w:hAnsi="仿宋" w:eastAsia="仿宋"/>
          <w:color w:val="auto"/>
          <w:szCs w:val="21"/>
        </w:rPr>
        <w:t>63</w:t>
      </w:r>
      <w:r>
        <w:rPr>
          <w:rFonts w:ascii="仿宋" w:hAnsi="仿宋" w:eastAsia="仿宋"/>
          <w:color w:val="auto"/>
          <w:szCs w:val="21"/>
        </w:rPr>
        <w:fldChar w:fldCharType="end"/>
      </w:r>
      <w:r>
        <w:rPr>
          <w:rFonts w:ascii="仿宋" w:hAnsi="仿宋" w:eastAsia="仿宋"/>
          <w:color w:val="auto"/>
          <w:szCs w:val="21"/>
        </w:rPr>
        <w:fldChar w:fldCharType="end"/>
      </w:r>
    </w:p>
    <w:p w14:paraId="077CBFB8">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"_Toc232004939" </w:instrText>
      </w:r>
      <w:r>
        <w:rPr>
          <w:color w:val="auto"/>
        </w:rPr>
        <w:fldChar w:fldCharType="separate"/>
      </w:r>
      <w:r>
        <w:rPr>
          <w:rStyle w:val="71"/>
          <w:rFonts w:ascii="仿宋" w:hAnsi="仿宋" w:eastAsia="仿宋"/>
          <w:color w:val="auto"/>
          <w:szCs w:val="21"/>
        </w:rPr>
        <w:t>（三）技术部分格式</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_Toc232004939 \h </w:instrText>
      </w:r>
      <w:r>
        <w:rPr>
          <w:rFonts w:ascii="仿宋" w:hAnsi="仿宋" w:eastAsia="仿宋"/>
          <w:color w:val="auto"/>
          <w:szCs w:val="21"/>
        </w:rPr>
        <w:fldChar w:fldCharType="separate"/>
      </w:r>
      <w:r>
        <w:rPr>
          <w:rFonts w:ascii="仿宋" w:hAnsi="仿宋" w:eastAsia="仿宋"/>
          <w:color w:val="auto"/>
          <w:szCs w:val="21"/>
        </w:rPr>
        <w:t>64</w:t>
      </w:r>
      <w:r>
        <w:rPr>
          <w:rFonts w:ascii="仿宋" w:hAnsi="仿宋" w:eastAsia="仿宋"/>
          <w:color w:val="auto"/>
          <w:szCs w:val="21"/>
        </w:rPr>
        <w:fldChar w:fldCharType="end"/>
      </w:r>
      <w:r>
        <w:rPr>
          <w:rFonts w:ascii="仿宋" w:hAnsi="仿宋" w:eastAsia="仿宋"/>
          <w:color w:val="auto"/>
          <w:szCs w:val="21"/>
        </w:rPr>
        <w:fldChar w:fldCharType="end"/>
      </w:r>
    </w:p>
    <w:p w14:paraId="6D29AFBF">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"_Toc232004940" </w:instrText>
      </w:r>
      <w:r>
        <w:rPr>
          <w:color w:val="auto"/>
        </w:rPr>
        <w:fldChar w:fldCharType="separate"/>
      </w:r>
      <w:r>
        <w:rPr>
          <w:rStyle w:val="71"/>
          <w:rFonts w:ascii="仿宋" w:hAnsi="仿宋" w:eastAsia="仿宋" w:cs="宋体"/>
          <w:color w:val="auto"/>
          <w:szCs w:val="21"/>
        </w:rPr>
        <w:t>一、服务方案</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_Toc232004940 \h </w:instrText>
      </w:r>
      <w:r>
        <w:rPr>
          <w:rFonts w:ascii="仿宋" w:hAnsi="仿宋" w:eastAsia="仿宋"/>
          <w:color w:val="auto"/>
          <w:szCs w:val="21"/>
        </w:rPr>
        <w:fldChar w:fldCharType="separate"/>
      </w:r>
      <w:r>
        <w:rPr>
          <w:rFonts w:ascii="仿宋" w:hAnsi="仿宋" w:eastAsia="仿宋"/>
          <w:color w:val="auto"/>
          <w:szCs w:val="21"/>
        </w:rPr>
        <w:t>64</w:t>
      </w:r>
      <w:r>
        <w:rPr>
          <w:rFonts w:ascii="仿宋" w:hAnsi="仿宋" w:eastAsia="仿宋"/>
          <w:color w:val="auto"/>
          <w:szCs w:val="21"/>
        </w:rPr>
        <w:fldChar w:fldCharType="end"/>
      </w:r>
      <w:r>
        <w:rPr>
          <w:rFonts w:ascii="仿宋" w:hAnsi="仿宋" w:eastAsia="仿宋"/>
          <w:color w:val="auto"/>
          <w:szCs w:val="21"/>
        </w:rPr>
        <w:fldChar w:fldCharType="end"/>
      </w:r>
    </w:p>
    <w:p w14:paraId="1B09CF59">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"_Toc232004941" </w:instrText>
      </w:r>
      <w:r>
        <w:rPr>
          <w:color w:val="auto"/>
        </w:rPr>
        <w:fldChar w:fldCharType="separate"/>
      </w:r>
      <w:r>
        <w:rPr>
          <w:rStyle w:val="71"/>
          <w:rFonts w:ascii="仿宋" w:hAnsi="仿宋" w:eastAsia="仿宋" w:cs="宋体"/>
          <w:color w:val="auto"/>
          <w:szCs w:val="21"/>
        </w:rPr>
        <w:t>二、服务质量保证措施</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_Toc232004941 \h </w:instrText>
      </w:r>
      <w:r>
        <w:rPr>
          <w:rFonts w:ascii="仿宋" w:hAnsi="仿宋" w:eastAsia="仿宋"/>
          <w:color w:val="auto"/>
          <w:szCs w:val="21"/>
        </w:rPr>
        <w:fldChar w:fldCharType="separate"/>
      </w:r>
      <w:r>
        <w:rPr>
          <w:rFonts w:ascii="仿宋" w:hAnsi="仿宋" w:eastAsia="仿宋"/>
          <w:color w:val="auto"/>
          <w:szCs w:val="21"/>
        </w:rPr>
        <w:t>64</w:t>
      </w:r>
      <w:r>
        <w:rPr>
          <w:rFonts w:ascii="仿宋" w:hAnsi="仿宋" w:eastAsia="仿宋"/>
          <w:color w:val="auto"/>
          <w:szCs w:val="21"/>
        </w:rPr>
        <w:fldChar w:fldCharType="end"/>
      </w:r>
      <w:r>
        <w:rPr>
          <w:rFonts w:ascii="仿宋" w:hAnsi="仿宋" w:eastAsia="仿宋"/>
          <w:color w:val="auto"/>
          <w:szCs w:val="21"/>
        </w:rPr>
        <w:fldChar w:fldCharType="end"/>
      </w:r>
    </w:p>
    <w:p w14:paraId="056685D4">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"_Toc232004942" </w:instrText>
      </w:r>
      <w:r>
        <w:rPr>
          <w:color w:val="auto"/>
        </w:rPr>
        <w:fldChar w:fldCharType="separate"/>
      </w:r>
      <w:r>
        <w:rPr>
          <w:rStyle w:val="71"/>
          <w:rFonts w:ascii="仿宋" w:hAnsi="仿宋" w:eastAsia="仿宋" w:cs="宋体"/>
          <w:color w:val="auto"/>
          <w:szCs w:val="21"/>
        </w:rPr>
        <w:t>三、服务期限承诺及保证措施</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_Toc232004942 \h </w:instrText>
      </w:r>
      <w:r>
        <w:rPr>
          <w:rFonts w:ascii="仿宋" w:hAnsi="仿宋" w:eastAsia="仿宋"/>
          <w:color w:val="auto"/>
          <w:szCs w:val="21"/>
        </w:rPr>
        <w:fldChar w:fldCharType="separate"/>
      </w:r>
      <w:r>
        <w:rPr>
          <w:rFonts w:ascii="仿宋" w:hAnsi="仿宋" w:eastAsia="仿宋"/>
          <w:color w:val="auto"/>
          <w:szCs w:val="21"/>
        </w:rPr>
        <w:t>64</w:t>
      </w:r>
      <w:r>
        <w:rPr>
          <w:rFonts w:ascii="仿宋" w:hAnsi="仿宋" w:eastAsia="仿宋"/>
          <w:color w:val="auto"/>
          <w:szCs w:val="21"/>
        </w:rPr>
        <w:fldChar w:fldCharType="end"/>
      </w:r>
      <w:r>
        <w:rPr>
          <w:rFonts w:ascii="仿宋" w:hAnsi="仿宋" w:eastAsia="仿宋"/>
          <w:color w:val="auto"/>
          <w:szCs w:val="21"/>
        </w:rPr>
        <w:fldChar w:fldCharType="end"/>
      </w:r>
    </w:p>
    <w:p w14:paraId="46BB6018">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"_Toc232004943" </w:instrText>
      </w:r>
      <w:r>
        <w:rPr>
          <w:color w:val="auto"/>
        </w:rPr>
        <w:fldChar w:fldCharType="separate"/>
      </w:r>
      <w:r>
        <w:rPr>
          <w:rStyle w:val="71"/>
          <w:rFonts w:ascii="仿宋" w:hAnsi="仿宋" w:eastAsia="仿宋" w:cs="宋体"/>
          <w:color w:val="auto"/>
          <w:szCs w:val="21"/>
        </w:rPr>
        <w:t>四、保密承诺及保证措施</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_Toc232004943 \h </w:instrText>
      </w:r>
      <w:r>
        <w:rPr>
          <w:rFonts w:ascii="仿宋" w:hAnsi="仿宋" w:eastAsia="仿宋"/>
          <w:color w:val="auto"/>
          <w:szCs w:val="21"/>
        </w:rPr>
        <w:fldChar w:fldCharType="separate"/>
      </w:r>
      <w:r>
        <w:rPr>
          <w:rFonts w:ascii="仿宋" w:hAnsi="仿宋" w:eastAsia="仿宋"/>
          <w:color w:val="auto"/>
          <w:szCs w:val="21"/>
        </w:rPr>
        <w:t>64</w:t>
      </w:r>
      <w:r>
        <w:rPr>
          <w:rFonts w:ascii="仿宋" w:hAnsi="仿宋" w:eastAsia="仿宋"/>
          <w:color w:val="auto"/>
          <w:szCs w:val="21"/>
        </w:rPr>
        <w:fldChar w:fldCharType="end"/>
      </w:r>
      <w:r>
        <w:rPr>
          <w:rFonts w:ascii="仿宋" w:hAnsi="仿宋" w:eastAsia="仿宋"/>
          <w:color w:val="auto"/>
          <w:szCs w:val="21"/>
        </w:rPr>
        <w:fldChar w:fldCharType="end"/>
      </w:r>
    </w:p>
    <w:p w14:paraId="6A80D351">
      <w:pPr>
        <w:pStyle w:val="49"/>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"_Toc232004944" </w:instrText>
      </w:r>
      <w:r>
        <w:rPr>
          <w:color w:val="auto"/>
        </w:rPr>
        <w:fldChar w:fldCharType="separate"/>
      </w:r>
      <w:r>
        <w:rPr>
          <w:rStyle w:val="71"/>
          <w:rFonts w:ascii="仿宋" w:hAnsi="仿宋" w:eastAsia="仿宋" w:cs="宋体"/>
          <w:color w:val="auto"/>
          <w:szCs w:val="21"/>
        </w:rPr>
        <w:t>五、应急预案及措施</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_Toc232004944 \h </w:instrText>
      </w:r>
      <w:r>
        <w:rPr>
          <w:rFonts w:ascii="仿宋" w:hAnsi="仿宋" w:eastAsia="仿宋"/>
          <w:color w:val="auto"/>
          <w:szCs w:val="21"/>
        </w:rPr>
        <w:fldChar w:fldCharType="separate"/>
      </w:r>
      <w:r>
        <w:rPr>
          <w:rFonts w:ascii="仿宋" w:hAnsi="仿宋" w:eastAsia="仿宋"/>
          <w:color w:val="auto"/>
          <w:szCs w:val="21"/>
        </w:rPr>
        <w:t>64</w:t>
      </w:r>
      <w:r>
        <w:rPr>
          <w:rFonts w:ascii="仿宋" w:hAnsi="仿宋" w:eastAsia="仿宋"/>
          <w:color w:val="auto"/>
          <w:szCs w:val="21"/>
        </w:rPr>
        <w:fldChar w:fldCharType="end"/>
      </w:r>
      <w:r>
        <w:rPr>
          <w:rFonts w:ascii="仿宋" w:hAnsi="仿宋" w:eastAsia="仿宋"/>
          <w:color w:val="auto"/>
          <w:szCs w:val="21"/>
        </w:rPr>
        <w:fldChar w:fldCharType="end"/>
      </w:r>
    </w:p>
    <w:p w14:paraId="594E58FF">
      <w:pPr>
        <w:pStyle w:val="40"/>
        <w:tabs>
          <w:tab w:val="right" w:leader="dot" w:pos="9628"/>
        </w:tabs>
        <w:rPr>
          <w:rFonts w:ascii="仿宋" w:hAnsi="仿宋" w:eastAsia="仿宋"/>
          <w:color w:val="auto"/>
          <w:szCs w:val="21"/>
        </w:rPr>
      </w:pPr>
      <w:r>
        <w:rPr>
          <w:color w:val="auto"/>
        </w:rPr>
        <w:fldChar w:fldCharType="begin"/>
      </w:r>
      <w:r>
        <w:rPr>
          <w:color w:val="auto"/>
        </w:rPr>
        <w:instrText xml:space="preserve"> HYPERLINK \l "_Toc232004945" </w:instrText>
      </w:r>
      <w:r>
        <w:rPr>
          <w:color w:val="auto"/>
        </w:rPr>
        <w:fldChar w:fldCharType="separate"/>
      </w:r>
      <w:r>
        <w:rPr>
          <w:rStyle w:val="71"/>
          <w:rFonts w:ascii="仿宋" w:hAnsi="仿宋" w:eastAsia="仿宋" w:cs="宋体"/>
          <w:color w:val="auto"/>
          <w:szCs w:val="21"/>
        </w:rPr>
        <w:t>最终磋商一览表（二次报价）</w:t>
      </w:r>
      <w:r>
        <w:rPr>
          <w:rFonts w:ascii="仿宋" w:hAnsi="仿宋" w:eastAsia="仿宋"/>
          <w:color w:val="auto"/>
          <w:szCs w:val="21"/>
        </w:rPr>
        <w:tab/>
      </w:r>
      <w:r>
        <w:rPr>
          <w:rFonts w:ascii="仿宋" w:hAnsi="仿宋" w:eastAsia="仿宋"/>
          <w:color w:val="auto"/>
          <w:szCs w:val="21"/>
        </w:rPr>
        <w:fldChar w:fldCharType="begin"/>
      </w:r>
      <w:r>
        <w:rPr>
          <w:rFonts w:ascii="仿宋" w:hAnsi="仿宋" w:eastAsia="仿宋"/>
          <w:color w:val="auto"/>
          <w:szCs w:val="21"/>
        </w:rPr>
        <w:instrText xml:space="preserve"> PAGEREF _Toc232004945 \h </w:instrText>
      </w:r>
      <w:r>
        <w:rPr>
          <w:rFonts w:ascii="仿宋" w:hAnsi="仿宋" w:eastAsia="仿宋"/>
          <w:color w:val="auto"/>
          <w:szCs w:val="21"/>
        </w:rPr>
        <w:fldChar w:fldCharType="separate"/>
      </w:r>
      <w:r>
        <w:rPr>
          <w:rFonts w:ascii="仿宋" w:hAnsi="仿宋" w:eastAsia="仿宋"/>
          <w:color w:val="auto"/>
          <w:szCs w:val="21"/>
        </w:rPr>
        <w:t>66</w:t>
      </w:r>
      <w:r>
        <w:rPr>
          <w:rFonts w:ascii="仿宋" w:hAnsi="仿宋" w:eastAsia="仿宋"/>
          <w:color w:val="auto"/>
          <w:szCs w:val="21"/>
        </w:rPr>
        <w:fldChar w:fldCharType="end"/>
      </w:r>
      <w:r>
        <w:rPr>
          <w:rFonts w:ascii="仿宋" w:hAnsi="仿宋" w:eastAsia="仿宋"/>
          <w:color w:val="auto"/>
          <w:szCs w:val="21"/>
        </w:rPr>
        <w:fldChar w:fldCharType="end"/>
      </w:r>
    </w:p>
    <w:p w14:paraId="22544A31">
      <w:pPr>
        <w:spacing w:line="360" w:lineRule="auto"/>
        <w:jc w:val="center"/>
        <w:outlineLvl w:val="0"/>
        <w:rPr>
          <w:rFonts w:ascii="仿宋" w:hAnsi="仿宋" w:eastAsia="仿宋" w:cs="宋体"/>
          <w:b/>
          <w:color w:val="auto"/>
          <w:sz w:val="32"/>
          <w:szCs w:val="32"/>
        </w:rPr>
      </w:pPr>
      <w:r>
        <w:rPr>
          <w:rFonts w:hint="eastAsia" w:ascii="仿宋" w:hAnsi="仿宋" w:eastAsia="仿宋"/>
          <w:color w:val="auto"/>
          <w:szCs w:val="21"/>
        </w:rPr>
        <w:fldChar w:fldCharType="end"/>
      </w:r>
      <w:bookmarkStart w:id="1" w:name="_Toc450311981"/>
      <w:bookmarkStart w:id="2" w:name="_Toc2965"/>
      <w:r>
        <w:rPr>
          <w:rFonts w:ascii="仿宋" w:hAnsi="仿宋" w:eastAsia="仿宋"/>
          <w:color w:val="auto"/>
          <w:szCs w:val="21"/>
        </w:rPr>
        <w:br w:type="page"/>
      </w:r>
      <w:bookmarkStart w:id="3" w:name="_Toc232004894"/>
      <w:r>
        <w:rPr>
          <w:rFonts w:hint="eastAsia" w:ascii="仿宋" w:hAnsi="仿宋" w:eastAsia="仿宋" w:cs="宋体"/>
          <w:b/>
          <w:color w:val="auto"/>
          <w:sz w:val="32"/>
          <w:szCs w:val="32"/>
        </w:rPr>
        <w:t>第一章 竞争性磋商</w:t>
      </w:r>
      <w:bookmarkEnd w:id="1"/>
      <w:bookmarkEnd w:id="2"/>
      <w:r>
        <w:rPr>
          <w:rFonts w:hint="eastAsia" w:ascii="仿宋" w:hAnsi="仿宋" w:eastAsia="仿宋" w:cs="宋体"/>
          <w:b/>
          <w:color w:val="auto"/>
          <w:sz w:val="32"/>
          <w:szCs w:val="32"/>
        </w:rPr>
        <w:t>公告</w:t>
      </w:r>
      <w:bookmarkEnd w:id="3"/>
    </w:p>
    <w:p w14:paraId="2D4A4C40">
      <w:pPr>
        <w:pBdr>
          <w:top w:val="single" w:color="auto" w:sz="4" w:space="0"/>
          <w:left w:val="single" w:color="auto" w:sz="4" w:space="4"/>
          <w:bottom w:val="single" w:color="auto" w:sz="4" w:space="0"/>
          <w:right w:val="single" w:color="auto" w:sz="4" w:space="4"/>
        </w:pBdr>
        <w:spacing w:line="336" w:lineRule="auto"/>
        <w:rPr>
          <w:rFonts w:ascii="仿宋" w:hAnsi="仿宋" w:eastAsia="仿宋"/>
          <w:color w:val="auto"/>
          <w:sz w:val="24"/>
          <w:szCs w:val="24"/>
        </w:rPr>
      </w:pPr>
      <w:bookmarkStart w:id="4" w:name="_Toc308530447"/>
      <w:bookmarkStart w:id="5" w:name="_Toc309029540"/>
      <w:bookmarkStart w:id="6" w:name="_Toc308530169"/>
      <w:bookmarkStart w:id="7" w:name="_Toc309030114"/>
      <w:bookmarkStart w:id="8" w:name="_Toc309030717"/>
      <w:r>
        <w:rPr>
          <w:rFonts w:hint="eastAsia" w:ascii="仿宋" w:hAnsi="仿宋" w:eastAsia="仿宋"/>
          <w:color w:val="auto"/>
          <w:sz w:val="24"/>
          <w:szCs w:val="24"/>
        </w:rPr>
        <w:t>项目概况</w:t>
      </w:r>
    </w:p>
    <w:p w14:paraId="121A4B20">
      <w:pPr>
        <w:pBdr>
          <w:top w:val="single" w:color="auto" w:sz="4" w:space="0"/>
          <w:left w:val="single" w:color="auto" w:sz="4" w:space="4"/>
          <w:bottom w:val="single" w:color="auto" w:sz="4" w:space="0"/>
          <w:right w:val="single" w:color="auto" w:sz="4" w:space="4"/>
        </w:pBdr>
        <w:spacing w:line="336" w:lineRule="auto"/>
        <w:ind w:firstLine="480" w:firstLineChars="200"/>
        <w:rPr>
          <w:rFonts w:ascii="仿宋" w:hAnsi="仿宋" w:eastAsia="仿宋"/>
          <w:color w:val="auto"/>
          <w:sz w:val="24"/>
          <w:szCs w:val="24"/>
        </w:rPr>
      </w:pPr>
      <w:r>
        <w:rPr>
          <w:rFonts w:hint="eastAsia" w:ascii="仿宋" w:hAnsi="仿宋" w:eastAsia="仿宋"/>
          <w:color w:val="auto"/>
          <w:sz w:val="24"/>
          <w:szCs w:val="24"/>
          <w:u w:val="single"/>
        </w:rPr>
        <w:t>石林彝族自治县自然资源局购买破坏耕地司法鉴定服务</w:t>
      </w:r>
      <w:r>
        <w:rPr>
          <w:rFonts w:hint="eastAsia" w:ascii="仿宋" w:hAnsi="仿宋" w:eastAsia="仿宋"/>
          <w:color w:val="auto"/>
          <w:sz w:val="24"/>
          <w:szCs w:val="24"/>
        </w:rPr>
        <w:t>的潜在供应商应在</w:t>
      </w:r>
      <w:r>
        <w:rPr>
          <w:rFonts w:hint="eastAsia" w:ascii="仿宋" w:hAnsi="仿宋" w:eastAsia="仿宋"/>
          <w:color w:val="auto"/>
          <w:sz w:val="24"/>
          <w:szCs w:val="24"/>
          <w:u w:val="single"/>
        </w:rPr>
        <w:t>昆明市同力建设工程咨询有限公司</w:t>
      </w:r>
      <w:r>
        <w:rPr>
          <w:rFonts w:hint="eastAsia" w:ascii="仿宋" w:hAnsi="仿宋" w:eastAsia="仿宋"/>
          <w:bCs/>
          <w:color w:val="auto"/>
          <w:sz w:val="24"/>
          <w:szCs w:val="24"/>
        </w:rPr>
        <w:t>（</w:t>
      </w:r>
      <w:r>
        <w:rPr>
          <w:rFonts w:hint="eastAsia" w:ascii="仿宋" w:hAnsi="仿宋" w:eastAsia="仿宋"/>
          <w:color w:val="auto"/>
          <w:sz w:val="24"/>
          <w:szCs w:val="24"/>
          <w:u w:val="single"/>
        </w:rPr>
        <w:t>昆明市新兴路中段霖岚国际A座9楼913室）或云采招阳电子招采交易平台</w:t>
      </w:r>
      <w:r>
        <w:rPr>
          <w:rFonts w:hint="eastAsia" w:ascii="仿宋" w:hAnsi="仿宋" w:eastAsia="仿宋"/>
          <w:color w:val="auto"/>
          <w:sz w:val="24"/>
          <w:szCs w:val="24"/>
        </w:rPr>
        <w:t>获取竞争性磋商文件，并于</w:t>
      </w:r>
      <w:bookmarkStart w:id="9" w:name="_Hlk228178929"/>
      <w:r>
        <w:rPr>
          <w:rFonts w:hint="eastAsia" w:ascii="仿宋" w:hAnsi="仿宋" w:eastAsia="仿宋"/>
          <w:b/>
          <w:bCs/>
          <w:color w:val="auto"/>
          <w:sz w:val="24"/>
          <w:szCs w:val="24"/>
          <w:u w:val="single"/>
        </w:rPr>
        <w:t>2026</w:t>
      </w:r>
      <w:r>
        <w:rPr>
          <w:rFonts w:hint="eastAsia" w:ascii="仿宋" w:hAnsi="仿宋" w:eastAsia="仿宋"/>
          <w:b/>
          <w:bCs/>
          <w:color w:val="auto"/>
          <w:sz w:val="24"/>
          <w:szCs w:val="24"/>
        </w:rPr>
        <w:t>年</w:t>
      </w:r>
      <w:r>
        <w:rPr>
          <w:rFonts w:ascii="仿宋" w:hAnsi="仿宋" w:eastAsia="仿宋"/>
          <w:b/>
          <w:bCs/>
          <w:color w:val="auto"/>
          <w:sz w:val="24"/>
          <w:szCs w:val="24"/>
          <w:u w:val="single"/>
        </w:rPr>
        <w:t xml:space="preserve">  </w:t>
      </w:r>
      <w:r>
        <w:rPr>
          <w:rFonts w:hint="eastAsia" w:ascii="仿宋" w:hAnsi="仿宋" w:eastAsia="仿宋"/>
          <w:b/>
          <w:bCs/>
          <w:color w:val="auto"/>
          <w:sz w:val="24"/>
          <w:szCs w:val="24"/>
        </w:rPr>
        <w:t>月</w:t>
      </w:r>
      <w:r>
        <w:rPr>
          <w:rFonts w:ascii="仿宋" w:hAnsi="仿宋" w:eastAsia="仿宋"/>
          <w:b/>
          <w:bCs/>
          <w:color w:val="auto"/>
          <w:sz w:val="24"/>
          <w:szCs w:val="24"/>
          <w:u w:val="single"/>
        </w:rPr>
        <w:t xml:space="preserve">  </w:t>
      </w:r>
      <w:r>
        <w:rPr>
          <w:rFonts w:hint="eastAsia" w:ascii="仿宋" w:hAnsi="仿宋" w:eastAsia="仿宋"/>
          <w:b/>
          <w:bCs/>
          <w:color w:val="auto"/>
          <w:sz w:val="24"/>
          <w:szCs w:val="24"/>
        </w:rPr>
        <w:t>日</w:t>
      </w:r>
      <w:r>
        <w:rPr>
          <w:rFonts w:ascii="仿宋" w:hAnsi="仿宋" w:eastAsia="仿宋"/>
          <w:b/>
          <w:bCs/>
          <w:color w:val="auto"/>
          <w:sz w:val="24"/>
          <w:szCs w:val="24"/>
          <w:u w:val="single"/>
        </w:rPr>
        <w:t xml:space="preserve">  </w:t>
      </w:r>
      <w:r>
        <w:rPr>
          <w:rFonts w:hint="eastAsia" w:ascii="仿宋" w:hAnsi="仿宋" w:eastAsia="仿宋"/>
          <w:b/>
          <w:bCs/>
          <w:color w:val="auto"/>
          <w:sz w:val="24"/>
          <w:szCs w:val="24"/>
        </w:rPr>
        <w:t>点</w:t>
      </w:r>
      <w:r>
        <w:rPr>
          <w:rFonts w:ascii="仿宋" w:hAnsi="仿宋" w:eastAsia="仿宋"/>
          <w:b/>
          <w:bCs/>
          <w:color w:val="auto"/>
          <w:sz w:val="24"/>
          <w:szCs w:val="24"/>
          <w:u w:val="single"/>
        </w:rPr>
        <w:t xml:space="preserve">  </w:t>
      </w:r>
      <w:r>
        <w:rPr>
          <w:rFonts w:hint="eastAsia" w:ascii="仿宋" w:hAnsi="仿宋" w:eastAsia="仿宋"/>
          <w:b/>
          <w:bCs/>
          <w:color w:val="auto"/>
          <w:sz w:val="24"/>
          <w:szCs w:val="24"/>
        </w:rPr>
        <w:t>分</w:t>
      </w:r>
      <w:bookmarkEnd w:id="9"/>
      <w:r>
        <w:rPr>
          <w:rFonts w:hint="eastAsia" w:ascii="仿宋" w:hAnsi="仿宋" w:eastAsia="仿宋"/>
          <w:bCs/>
          <w:color w:val="auto"/>
          <w:sz w:val="24"/>
          <w:szCs w:val="24"/>
        </w:rPr>
        <w:t>（北京时间）前提交响应文件</w:t>
      </w:r>
      <w:r>
        <w:rPr>
          <w:rFonts w:hint="eastAsia" w:ascii="仿宋" w:hAnsi="仿宋" w:eastAsia="仿宋"/>
          <w:color w:val="auto"/>
          <w:sz w:val="24"/>
          <w:szCs w:val="24"/>
        </w:rPr>
        <w:t>。</w:t>
      </w:r>
    </w:p>
    <w:p w14:paraId="4AD0C207">
      <w:pPr>
        <w:pStyle w:val="4"/>
        <w:spacing w:before="120" w:beforeLines="50" w:after="120" w:afterLines="50" w:line="432" w:lineRule="auto"/>
        <w:rPr>
          <w:rFonts w:ascii="仿宋" w:hAnsi="仿宋" w:eastAsia="仿宋" w:cs="宋体"/>
          <w:color w:val="auto"/>
          <w:sz w:val="28"/>
          <w:szCs w:val="28"/>
        </w:rPr>
      </w:pPr>
      <w:bookmarkStart w:id="10" w:name="_Toc28359012"/>
      <w:bookmarkStart w:id="11" w:name="_Toc107502672"/>
      <w:bookmarkStart w:id="12" w:name="_Toc28359089"/>
      <w:bookmarkStart w:id="13" w:name="_Toc232004895"/>
      <w:bookmarkStart w:id="14" w:name="_Toc35393798"/>
      <w:bookmarkStart w:id="15" w:name="_Toc35393629"/>
      <w:r>
        <w:rPr>
          <w:rFonts w:hint="eastAsia" w:ascii="仿宋" w:hAnsi="仿宋" w:eastAsia="仿宋" w:cs="宋体"/>
          <w:color w:val="auto"/>
          <w:sz w:val="28"/>
          <w:szCs w:val="28"/>
        </w:rPr>
        <w:t>一、项目基本情况</w:t>
      </w:r>
      <w:bookmarkEnd w:id="10"/>
      <w:bookmarkEnd w:id="11"/>
      <w:bookmarkEnd w:id="12"/>
      <w:bookmarkEnd w:id="13"/>
      <w:bookmarkEnd w:id="14"/>
      <w:bookmarkEnd w:id="15"/>
    </w:p>
    <w:p w14:paraId="7FFE5220">
      <w:pPr>
        <w:spacing w:line="408"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 xml:space="preserve">1.项目编号：同招2026-  -  </w:t>
      </w:r>
    </w:p>
    <w:p w14:paraId="0218919A">
      <w:pPr>
        <w:spacing w:line="408"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2.项目名称：石林彝族自治县自然资源局购买破坏耕地司法鉴定服务</w:t>
      </w:r>
    </w:p>
    <w:p w14:paraId="230EE9DC">
      <w:pPr>
        <w:spacing w:line="408"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 xml:space="preserve">3.采购方式：竞争性磋商 </w:t>
      </w:r>
    </w:p>
    <w:p w14:paraId="668BB465">
      <w:pPr>
        <w:spacing w:line="408"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4.预算金额：</w:t>
      </w:r>
      <w:r>
        <w:rPr>
          <w:rFonts w:ascii="仿宋" w:hAnsi="仿宋" w:eastAsia="仿宋" w:cs="宋体"/>
          <w:color w:val="auto"/>
          <w:sz w:val="24"/>
          <w:szCs w:val="24"/>
        </w:rPr>
        <w:t>500000.00</w:t>
      </w:r>
      <w:r>
        <w:rPr>
          <w:rFonts w:hint="eastAsia" w:ascii="仿宋" w:hAnsi="仿宋" w:eastAsia="仿宋" w:cs="宋体"/>
          <w:color w:val="auto"/>
          <w:sz w:val="24"/>
          <w:szCs w:val="24"/>
        </w:rPr>
        <w:t>元（据实结算，总费用不超预算金额）</w:t>
      </w:r>
      <w:r>
        <w:rPr>
          <w:rFonts w:hint="eastAsia" w:ascii="仿宋" w:hAnsi="仿宋" w:eastAsia="仿宋" w:cs="仿宋"/>
          <w:color w:val="auto"/>
          <w:sz w:val="24"/>
          <w:szCs w:val="24"/>
        </w:rPr>
        <w:t>。</w:t>
      </w:r>
    </w:p>
    <w:p w14:paraId="6AEF2B56">
      <w:pPr>
        <w:spacing w:line="408" w:lineRule="auto"/>
        <w:ind w:firstLine="480" w:firstLineChars="200"/>
        <w:rPr>
          <w:rFonts w:ascii="仿宋" w:hAnsi="仿宋" w:eastAsia="仿宋" w:cs="宋体"/>
          <w:color w:val="auto"/>
          <w:sz w:val="24"/>
          <w:szCs w:val="24"/>
        </w:rPr>
      </w:pPr>
      <w:r>
        <w:rPr>
          <w:rFonts w:ascii="仿宋" w:hAnsi="仿宋" w:eastAsia="仿宋" w:cs="宋体"/>
          <w:color w:val="auto"/>
          <w:sz w:val="24"/>
          <w:szCs w:val="24"/>
        </w:rPr>
        <w:t>5</w:t>
      </w:r>
      <w:r>
        <w:rPr>
          <w:rFonts w:hint="eastAsia" w:ascii="仿宋" w:hAnsi="仿宋" w:eastAsia="仿宋" w:cs="宋体"/>
          <w:color w:val="auto"/>
          <w:sz w:val="24"/>
          <w:szCs w:val="24"/>
        </w:rPr>
        <w:t>.采购需求：</w:t>
      </w:r>
      <w:bookmarkStart w:id="16" w:name="OLE_LINK6"/>
      <w:bookmarkStart w:id="17" w:name="OLE_LINK7"/>
      <w:r>
        <w:rPr>
          <w:rFonts w:hint="eastAsia" w:ascii="仿宋" w:hAnsi="仿宋" w:eastAsia="仿宋" w:cs="宋体"/>
          <w:color w:val="auto"/>
          <w:sz w:val="24"/>
          <w:szCs w:val="24"/>
        </w:rPr>
        <w:t>根据云南省自然资源厅办公室关于转发《涉嫌破坏耕地犯罪案件移送指引》通知相关要求，严厉打击破坏耕地犯罪行为，坚决守住耕地保护红线，做好破坏耕地案件的执法查处工作，需选取1家司法鉴定机构针对石林彝族自治县范围内的破坏耕地案件进行鉴定，出具</w:t>
      </w:r>
      <w:bookmarkStart w:id="18" w:name="OLE_LINK1"/>
      <w:bookmarkStart w:id="19" w:name="OLE_LINK2"/>
      <w:r>
        <w:rPr>
          <w:rFonts w:hint="eastAsia" w:ascii="仿宋" w:hAnsi="仿宋" w:eastAsia="仿宋" w:cs="宋体"/>
          <w:color w:val="auto"/>
          <w:sz w:val="24"/>
          <w:szCs w:val="24"/>
        </w:rPr>
        <w:t>司法鉴定</w:t>
      </w:r>
      <w:bookmarkEnd w:id="18"/>
      <w:bookmarkEnd w:id="19"/>
      <w:r>
        <w:rPr>
          <w:rFonts w:hint="eastAsia" w:ascii="仿宋" w:hAnsi="仿宋" w:eastAsia="仿宋" w:cs="宋体"/>
          <w:color w:val="auto"/>
          <w:sz w:val="24"/>
          <w:szCs w:val="24"/>
        </w:rPr>
        <w:t>意见，并根据采购人的需求无偿配合采购人处理诉讼事务，包括但不限于出庭接受质询、书面答疑、对鉴定意见进行解释说明、协助采购人准备质证材料等。最终根据采购人下达的鉴定任务按项目据实结算，合同履行期限截止或合同执行金额达到本项目预算金额止，采购人不承诺最终实际完成结算金额达到预算金额。</w:t>
      </w:r>
    </w:p>
    <w:bookmarkEnd w:id="16"/>
    <w:bookmarkEnd w:id="17"/>
    <w:p w14:paraId="25F62DE5">
      <w:pPr>
        <w:spacing w:line="408" w:lineRule="auto"/>
        <w:ind w:firstLine="480" w:firstLineChars="200"/>
        <w:rPr>
          <w:rFonts w:ascii="仿宋" w:hAnsi="仿宋" w:eastAsia="仿宋" w:cs="宋体"/>
          <w:color w:val="auto"/>
          <w:sz w:val="24"/>
          <w:szCs w:val="24"/>
        </w:rPr>
      </w:pPr>
      <w:r>
        <w:rPr>
          <w:rFonts w:ascii="仿宋" w:hAnsi="仿宋" w:eastAsia="仿宋" w:cs="宋体"/>
          <w:color w:val="auto"/>
          <w:sz w:val="24"/>
          <w:szCs w:val="24"/>
        </w:rPr>
        <w:t>6</w:t>
      </w:r>
      <w:r>
        <w:rPr>
          <w:rFonts w:hint="eastAsia" w:ascii="仿宋" w:hAnsi="仿宋" w:eastAsia="仿宋" w:cs="宋体"/>
          <w:color w:val="auto"/>
          <w:sz w:val="24"/>
          <w:szCs w:val="24"/>
        </w:rPr>
        <w:t>.合同履行期限：自合同签订之日起1年（或合同执行金额达到本项目预算金额止），单项案件司法鉴定意见出具时限须满足采购人要求。</w:t>
      </w:r>
    </w:p>
    <w:p w14:paraId="10D22CF4">
      <w:pPr>
        <w:spacing w:line="408" w:lineRule="auto"/>
        <w:ind w:firstLine="480" w:firstLineChars="200"/>
        <w:rPr>
          <w:rFonts w:ascii="仿宋" w:hAnsi="仿宋" w:eastAsia="仿宋" w:cs="宋体"/>
          <w:color w:val="auto"/>
          <w:sz w:val="24"/>
          <w:szCs w:val="24"/>
        </w:rPr>
      </w:pPr>
      <w:r>
        <w:rPr>
          <w:rFonts w:ascii="仿宋" w:hAnsi="仿宋" w:eastAsia="仿宋" w:cs="宋体"/>
          <w:color w:val="auto"/>
          <w:sz w:val="24"/>
          <w:szCs w:val="24"/>
        </w:rPr>
        <w:t>7</w:t>
      </w:r>
      <w:r>
        <w:rPr>
          <w:rFonts w:hint="eastAsia" w:ascii="仿宋" w:hAnsi="仿宋" w:eastAsia="仿宋" w:cs="宋体"/>
          <w:color w:val="auto"/>
          <w:sz w:val="24"/>
          <w:szCs w:val="24"/>
        </w:rPr>
        <w:t>.服务质量要求：</w:t>
      </w:r>
      <w:r>
        <w:rPr>
          <w:rFonts w:hint="eastAsia" w:ascii="仿宋" w:hAnsi="仿宋" w:eastAsia="仿宋"/>
          <w:color w:val="auto"/>
          <w:sz w:val="24"/>
          <w:szCs w:val="24"/>
        </w:rPr>
        <w:t>供应商提供的服务及成果均能满足国家、地方、行业标准及采购人需求。</w:t>
      </w:r>
    </w:p>
    <w:p w14:paraId="5ADB14BF">
      <w:pPr>
        <w:spacing w:line="408" w:lineRule="auto"/>
        <w:ind w:firstLine="480" w:firstLineChars="200"/>
        <w:rPr>
          <w:rFonts w:ascii="仿宋" w:hAnsi="仿宋" w:eastAsia="仿宋" w:cs="宋体"/>
          <w:color w:val="auto"/>
          <w:sz w:val="24"/>
          <w:szCs w:val="24"/>
        </w:rPr>
      </w:pPr>
      <w:r>
        <w:rPr>
          <w:rFonts w:ascii="仿宋" w:hAnsi="仿宋" w:eastAsia="仿宋" w:cs="宋体"/>
          <w:color w:val="auto"/>
          <w:sz w:val="24"/>
          <w:szCs w:val="24"/>
        </w:rPr>
        <w:t>8</w:t>
      </w:r>
      <w:r>
        <w:rPr>
          <w:rFonts w:hint="eastAsia" w:ascii="仿宋" w:hAnsi="仿宋" w:eastAsia="仿宋" w:cs="宋体"/>
          <w:color w:val="auto"/>
          <w:sz w:val="24"/>
          <w:szCs w:val="24"/>
        </w:rPr>
        <w:t>.服务地点：石林彝族自治县范围内采购人要求地点。</w:t>
      </w:r>
    </w:p>
    <w:p w14:paraId="4AE01141">
      <w:pPr>
        <w:spacing w:line="408" w:lineRule="auto"/>
        <w:ind w:firstLine="480" w:firstLineChars="200"/>
        <w:rPr>
          <w:rFonts w:ascii="仿宋" w:hAnsi="仿宋" w:eastAsia="仿宋" w:cs="宋体"/>
          <w:color w:val="auto"/>
          <w:sz w:val="24"/>
          <w:szCs w:val="24"/>
        </w:rPr>
      </w:pPr>
      <w:r>
        <w:rPr>
          <w:rFonts w:ascii="仿宋" w:hAnsi="仿宋" w:eastAsia="仿宋" w:cs="宋体"/>
          <w:color w:val="auto"/>
          <w:sz w:val="24"/>
          <w:szCs w:val="24"/>
        </w:rPr>
        <w:t>9</w:t>
      </w:r>
      <w:r>
        <w:rPr>
          <w:rFonts w:hint="eastAsia" w:ascii="仿宋" w:hAnsi="仿宋" w:eastAsia="仿宋" w:cs="宋体"/>
          <w:color w:val="auto"/>
          <w:sz w:val="24"/>
          <w:szCs w:val="24"/>
        </w:rPr>
        <w:t>.本项目</w:t>
      </w:r>
      <w:r>
        <w:rPr>
          <w:rFonts w:hint="eastAsia" w:ascii="仿宋" w:hAnsi="仿宋" w:eastAsia="仿宋" w:cs="宋体"/>
          <w:b/>
          <w:color w:val="auto"/>
          <w:sz w:val="24"/>
          <w:szCs w:val="24"/>
        </w:rPr>
        <w:t>（不接受）</w:t>
      </w:r>
      <w:r>
        <w:rPr>
          <w:rFonts w:hint="eastAsia" w:ascii="仿宋" w:hAnsi="仿宋" w:eastAsia="仿宋" w:cs="宋体"/>
          <w:color w:val="auto"/>
          <w:sz w:val="24"/>
          <w:szCs w:val="24"/>
        </w:rPr>
        <w:t>联合体磋商。</w:t>
      </w:r>
    </w:p>
    <w:p w14:paraId="59A61449">
      <w:pPr>
        <w:pStyle w:val="4"/>
        <w:spacing w:before="120" w:beforeLines="50" w:after="120" w:afterLines="50" w:line="360" w:lineRule="auto"/>
        <w:rPr>
          <w:rFonts w:ascii="仿宋" w:hAnsi="仿宋" w:eastAsia="仿宋" w:cs="宋体"/>
          <w:color w:val="auto"/>
          <w:sz w:val="28"/>
          <w:szCs w:val="28"/>
        </w:rPr>
      </w:pPr>
      <w:bookmarkStart w:id="20" w:name="_Toc232004896"/>
      <w:bookmarkStart w:id="21" w:name="_Toc35393630"/>
      <w:bookmarkStart w:id="22" w:name="_Toc28359013"/>
      <w:bookmarkStart w:id="23" w:name="_Toc107502673"/>
      <w:bookmarkStart w:id="24" w:name="_Toc28359090"/>
      <w:bookmarkStart w:id="25" w:name="_Toc35393799"/>
      <w:r>
        <w:rPr>
          <w:rFonts w:hint="eastAsia" w:ascii="仿宋" w:hAnsi="仿宋" w:eastAsia="仿宋" w:cs="宋体"/>
          <w:color w:val="auto"/>
          <w:sz w:val="28"/>
          <w:szCs w:val="28"/>
        </w:rPr>
        <w:t>二、供应商的资格要求</w:t>
      </w:r>
      <w:bookmarkEnd w:id="20"/>
      <w:bookmarkEnd w:id="21"/>
      <w:bookmarkEnd w:id="22"/>
      <w:bookmarkEnd w:id="23"/>
      <w:bookmarkEnd w:id="24"/>
      <w:bookmarkEnd w:id="25"/>
      <w:bookmarkStart w:id="26" w:name="_Toc35393631"/>
      <w:bookmarkStart w:id="27" w:name="_Toc35393800"/>
      <w:bookmarkStart w:id="28" w:name="_Toc28359091"/>
      <w:bookmarkStart w:id="29" w:name="_Toc28359014"/>
    </w:p>
    <w:p w14:paraId="02AFD82A">
      <w:pPr>
        <w:spacing w:line="408"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1.符合《中华人民共和国政府采购法》第二十二条的规定：</w:t>
      </w:r>
    </w:p>
    <w:p w14:paraId="3BE2F0BA">
      <w:pPr>
        <w:spacing w:line="408"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（一）</w:t>
      </w:r>
      <w:r>
        <w:rPr>
          <w:rFonts w:hint="eastAsia" w:ascii="仿宋" w:hAnsi="仿宋" w:eastAsia="仿宋" w:cs="宋体"/>
          <w:b/>
          <w:color w:val="auto"/>
          <w:sz w:val="24"/>
          <w:szCs w:val="24"/>
        </w:rPr>
        <w:t>具有独立承担民事责任的能力；</w:t>
      </w:r>
    </w:p>
    <w:p w14:paraId="467542D0">
      <w:pPr>
        <w:spacing w:line="408"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提供企业有效的法人营业执照或社团组织法人营业执照或事业单位法人证书或自然人证明材料。</w:t>
      </w:r>
    </w:p>
    <w:p w14:paraId="02D74CF8">
      <w:pPr>
        <w:spacing w:line="408"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（二）</w:t>
      </w:r>
      <w:r>
        <w:rPr>
          <w:rFonts w:hint="eastAsia" w:ascii="仿宋" w:hAnsi="仿宋" w:eastAsia="仿宋" w:cs="宋体"/>
          <w:b/>
          <w:color w:val="auto"/>
          <w:sz w:val="24"/>
          <w:szCs w:val="24"/>
        </w:rPr>
        <w:t>具有良好的商业信誉和健全的财务会计制度；</w:t>
      </w:r>
    </w:p>
    <w:p w14:paraId="3B9BBAFD">
      <w:pPr>
        <w:spacing w:line="408"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满足下列任一要求：①提供202</w:t>
      </w:r>
      <w:r>
        <w:rPr>
          <w:rFonts w:ascii="仿宋" w:hAnsi="仿宋" w:eastAsia="仿宋" w:cs="宋体"/>
          <w:color w:val="auto"/>
          <w:sz w:val="24"/>
          <w:szCs w:val="24"/>
        </w:rPr>
        <w:t>4</w:t>
      </w:r>
      <w:r>
        <w:rPr>
          <w:rFonts w:hint="eastAsia" w:ascii="仿宋" w:hAnsi="仿宋" w:eastAsia="仿宋" w:cs="宋体"/>
          <w:color w:val="auto"/>
          <w:sz w:val="24"/>
          <w:szCs w:val="24"/>
        </w:rPr>
        <w:t>年或2</w:t>
      </w:r>
      <w:r>
        <w:rPr>
          <w:rFonts w:ascii="仿宋" w:hAnsi="仿宋" w:eastAsia="仿宋" w:cs="宋体"/>
          <w:color w:val="auto"/>
          <w:sz w:val="24"/>
          <w:szCs w:val="24"/>
        </w:rPr>
        <w:t>025</w:t>
      </w:r>
      <w:r>
        <w:rPr>
          <w:rFonts w:hint="eastAsia" w:ascii="仿宋" w:hAnsi="仿宋" w:eastAsia="仿宋" w:cs="宋体"/>
          <w:color w:val="auto"/>
          <w:sz w:val="24"/>
          <w:szCs w:val="24"/>
        </w:rPr>
        <w:t>年经第三方审计的审计报告及财务报表（包括资产负债表、利润表或损益表、现金流量表），成立不满1年的，提供自成立至今财务报表（包括资产负债表、利润表或损益表、现金流量表）；②提供响应文件提交截止时间前三个月内基本开户银行出具的资信证明文件（加盖公章）；③非营利性单位或者社会团体或者其他机关事业单位以符合财务会计制度为准或者提供承诺函；④供应商为自然人的提供承诺函（格式自拟）。</w:t>
      </w:r>
    </w:p>
    <w:p w14:paraId="47C3DE68">
      <w:pPr>
        <w:spacing w:line="408"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（三）</w:t>
      </w:r>
      <w:r>
        <w:rPr>
          <w:rFonts w:hint="eastAsia" w:ascii="仿宋" w:hAnsi="仿宋" w:eastAsia="仿宋" w:cs="宋体"/>
          <w:b/>
          <w:color w:val="auto"/>
          <w:sz w:val="24"/>
          <w:szCs w:val="24"/>
        </w:rPr>
        <w:t>具有履行合同所必需的设备和专业技术能力；</w:t>
      </w:r>
    </w:p>
    <w:p w14:paraId="39B5E8E7">
      <w:pPr>
        <w:spacing w:line="408"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提供具备履行合同所必需的设备和专业技术能力的证明材料或提供书面承诺（加盖供应商公章）。</w:t>
      </w:r>
    </w:p>
    <w:p w14:paraId="1105AC28">
      <w:pPr>
        <w:spacing w:line="408" w:lineRule="auto"/>
        <w:ind w:firstLine="480" w:firstLineChars="200"/>
        <w:rPr>
          <w:rFonts w:ascii="仿宋" w:hAnsi="仿宋" w:eastAsia="仿宋" w:cs="宋体"/>
          <w:b/>
          <w:color w:val="auto"/>
          <w:sz w:val="24"/>
          <w:szCs w:val="24"/>
        </w:rPr>
      </w:pPr>
      <w:r>
        <w:rPr>
          <w:rFonts w:hint="eastAsia" w:ascii="仿宋" w:hAnsi="仿宋" w:eastAsia="仿宋" w:cs="宋体"/>
          <w:color w:val="auto"/>
          <w:sz w:val="24"/>
          <w:szCs w:val="24"/>
        </w:rPr>
        <w:t>（四）</w:t>
      </w:r>
      <w:r>
        <w:rPr>
          <w:rFonts w:hint="eastAsia" w:ascii="仿宋" w:hAnsi="仿宋" w:eastAsia="仿宋" w:cs="宋体"/>
          <w:b/>
          <w:color w:val="auto"/>
          <w:sz w:val="24"/>
          <w:szCs w:val="24"/>
        </w:rPr>
        <w:t>有依法缴纳税收和社会保障资金的良好记录；</w:t>
      </w:r>
    </w:p>
    <w:p w14:paraId="3B4D892F">
      <w:pPr>
        <w:spacing w:line="408"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①提供供应商缴税所属时间在2025年01月至本项目提交响应文件截止时间前任意1个月的税务局税收通用缴款书或银行电子缴税（费）凭证或税务局出具纳税情况的相关证明；依法免税的，应提供依法免税的相关证明文件（加盖供应商公章）；至响应文件提交截止时间止成立不足1个月的供应商可提供相关情况说明（加盖供应商公章）。</w:t>
      </w:r>
    </w:p>
    <w:p w14:paraId="4F4EF8A4">
      <w:pPr>
        <w:spacing w:line="408"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②提供供应商缴费所属时间在2025年01月至本项目提交响应文件截止时间前任意1个月的社会保险费缴款书或银行电子缴税（费）凭证或社保管理部门出具的有效的缴款证明，依法免缴的，应提供依法免缴的相关证明文件（加盖供应商公章），至响应文件提交截止时间止成立不足1个月的供应商可提供相关情况说明（加盖供应商公章）。</w:t>
      </w:r>
    </w:p>
    <w:p w14:paraId="6E412D86">
      <w:pPr>
        <w:spacing w:line="408"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（五）</w:t>
      </w:r>
      <w:r>
        <w:rPr>
          <w:rFonts w:hint="eastAsia" w:ascii="仿宋" w:hAnsi="仿宋" w:eastAsia="仿宋" w:cs="宋体"/>
          <w:b/>
          <w:color w:val="auto"/>
          <w:sz w:val="24"/>
          <w:szCs w:val="24"/>
        </w:rPr>
        <w:t>参加政府采购活动前三年内，在经营活动中没有重大违法记录；</w:t>
      </w:r>
    </w:p>
    <w:p w14:paraId="024D52B0">
      <w:pPr>
        <w:spacing w:line="408"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提供供应商参加政府采购活动前三年内，在经营活动中没有重大违法记录，重大违法记录，是指供应商因违法经营受到刑事处罚或者责令停产停业、吊销许可证或者执照、较大数额罚款（较大数额罚款是指200万元以上罚款）等行政处罚的书面声明（加盖供应商公章）。</w:t>
      </w:r>
    </w:p>
    <w:p w14:paraId="00E98316">
      <w:pPr>
        <w:spacing w:line="408"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（六）</w:t>
      </w:r>
      <w:r>
        <w:rPr>
          <w:rFonts w:hint="eastAsia" w:ascii="仿宋" w:hAnsi="仿宋" w:eastAsia="仿宋" w:cs="宋体"/>
          <w:b/>
          <w:color w:val="auto"/>
          <w:sz w:val="24"/>
          <w:szCs w:val="24"/>
        </w:rPr>
        <w:t>法律、行政法规规定的其他条件</w:t>
      </w:r>
      <w:r>
        <w:rPr>
          <w:rFonts w:hint="eastAsia" w:ascii="仿宋" w:hAnsi="仿宋" w:eastAsia="仿宋" w:cs="宋体"/>
          <w:color w:val="auto"/>
          <w:sz w:val="24"/>
          <w:szCs w:val="24"/>
        </w:rPr>
        <w:t>。</w:t>
      </w:r>
    </w:p>
    <w:p w14:paraId="3D3432E0">
      <w:pPr>
        <w:spacing w:line="408" w:lineRule="auto"/>
        <w:ind w:firstLine="480" w:firstLineChars="200"/>
        <w:rPr>
          <w:rFonts w:ascii="仿宋" w:hAnsi="仿宋" w:eastAsia="仿宋"/>
          <w:color w:val="auto"/>
          <w:sz w:val="24"/>
          <w:szCs w:val="24"/>
        </w:rPr>
      </w:pPr>
      <w:r>
        <w:rPr>
          <w:rFonts w:hint="eastAsia" w:ascii="仿宋" w:hAnsi="仿宋" w:eastAsia="仿宋"/>
          <w:color w:val="auto"/>
          <w:sz w:val="24"/>
          <w:szCs w:val="24"/>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供应商提供承诺函，加盖供应商公章）。</w:t>
      </w:r>
    </w:p>
    <w:p w14:paraId="0D0B0430">
      <w:pPr>
        <w:spacing w:line="408" w:lineRule="auto"/>
        <w:ind w:firstLine="480" w:firstLineChars="200"/>
        <w:rPr>
          <w:rFonts w:ascii="仿宋" w:hAnsi="仿宋" w:eastAsia="仿宋" w:cs="宋体"/>
          <w:color w:val="auto"/>
          <w:sz w:val="24"/>
          <w:szCs w:val="24"/>
        </w:rPr>
      </w:pPr>
      <w:r>
        <w:rPr>
          <w:rFonts w:hint="eastAsia" w:ascii="仿宋" w:hAnsi="仿宋" w:eastAsia="仿宋"/>
          <w:color w:val="auto"/>
          <w:sz w:val="24"/>
          <w:szCs w:val="24"/>
        </w:rPr>
        <w:t>（2）</w:t>
      </w:r>
      <w:r>
        <w:rPr>
          <w:rFonts w:hint="eastAsia" w:ascii="仿宋" w:hAnsi="仿宋" w:eastAsia="仿宋" w:cs="宋体"/>
          <w:color w:val="auto"/>
          <w:sz w:val="24"/>
          <w:szCs w:val="24"/>
        </w:rPr>
        <w:t>供应商未被“信用中国”（https://www.creditchina.gov.cn/）列为“重大税收违法失信主体名单”；未被中国执行信息公开网（https://zxgk.court.gov.cn/shixin/）列为“失信被执行人”；未被中国政府采购网（https://www.ccgp.gov.cn/）列为“政府采购严重违法失信行为记录名单”。（查询结果以采购人、采购代理机构查询结果为准，采购人或采购代理机构将在响应文件提交截止时间后查询上述网站信用信息，查询结果作为证据留存）。</w:t>
      </w:r>
    </w:p>
    <w:p w14:paraId="76CA22F9">
      <w:pPr>
        <w:spacing w:line="408" w:lineRule="auto"/>
        <w:ind w:firstLine="480" w:firstLineChars="200"/>
        <w:rPr>
          <w:rFonts w:ascii="仿宋" w:hAnsi="仿宋" w:eastAsia="仿宋" w:cs="宋体"/>
          <w:color w:val="auto"/>
          <w:sz w:val="24"/>
          <w:szCs w:val="24"/>
        </w:rPr>
      </w:pPr>
      <w:r>
        <w:rPr>
          <w:rFonts w:ascii="仿宋" w:hAnsi="仿宋" w:eastAsia="仿宋" w:cs="宋体"/>
          <w:color w:val="auto"/>
          <w:sz w:val="24"/>
          <w:szCs w:val="24"/>
        </w:rPr>
        <w:t>2</w:t>
      </w:r>
      <w:r>
        <w:rPr>
          <w:rFonts w:hint="eastAsia" w:ascii="仿宋" w:hAnsi="仿宋" w:eastAsia="仿宋" w:cs="宋体"/>
          <w:color w:val="auto"/>
          <w:sz w:val="24"/>
          <w:szCs w:val="24"/>
        </w:rPr>
        <w:t>.落实政府采购政策需满足的资格要求：</w:t>
      </w:r>
      <w:bookmarkStart w:id="30" w:name="OLE_LINK4"/>
      <w:bookmarkStart w:id="31" w:name="OLE_LINK5"/>
      <w:r>
        <w:rPr>
          <w:rFonts w:hint="eastAsia" w:ascii="仿宋" w:hAnsi="仿宋" w:eastAsia="仿宋" w:cs="宋体"/>
          <w:b/>
          <w:color w:val="auto"/>
          <w:sz w:val="24"/>
          <w:szCs w:val="24"/>
        </w:rPr>
        <w:t>本项目非专门面向中小企业采购，小微企业价格扣除优惠比例：10%。</w:t>
      </w:r>
      <w:r>
        <w:rPr>
          <w:rFonts w:hint="eastAsia" w:ascii="仿宋" w:hAnsi="仿宋" w:eastAsia="仿宋" w:cs="宋体"/>
          <w:color w:val="auto"/>
          <w:sz w:val="24"/>
          <w:szCs w:val="24"/>
        </w:rPr>
        <w:t>执行《关于印发《政府采购促进中小企业发展管理办法》的通知》（财库〔2020〕46号）和《关于进一步加大政府采购支持中小企业力度的通知》（财库〔2022〕19号）、《财政部 司法部关于政府采购支持监狱企业发展有关问题的通知》（财库〔2014〕68号）、《关于促进残疾人就业政府采购政策的通知》（财库〔2017〕141号）等规定。</w:t>
      </w:r>
    </w:p>
    <w:bookmarkEnd w:id="30"/>
    <w:bookmarkEnd w:id="31"/>
    <w:p w14:paraId="27BDB925">
      <w:pPr>
        <w:spacing w:line="408" w:lineRule="auto"/>
        <w:ind w:firstLine="480" w:firstLineChars="200"/>
        <w:rPr>
          <w:rFonts w:ascii="仿宋" w:hAnsi="仿宋" w:eastAsia="仿宋" w:cs="宋体"/>
          <w:color w:val="auto"/>
          <w:sz w:val="24"/>
          <w:szCs w:val="24"/>
        </w:rPr>
      </w:pPr>
      <w:r>
        <w:rPr>
          <w:rFonts w:ascii="仿宋" w:hAnsi="仿宋" w:eastAsia="仿宋" w:cs="宋体"/>
          <w:color w:val="auto"/>
          <w:sz w:val="24"/>
          <w:szCs w:val="24"/>
        </w:rPr>
        <w:t>3</w:t>
      </w:r>
      <w:r>
        <w:rPr>
          <w:rFonts w:hint="eastAsia" w:ascii="仿宋" w:hAnsi="仿宋" w:eastAsia="仿宋" w:cs="宋体"/>
          <w:color w:val="auto"/>
          <w:sz w:val="24"/>
          <w:szCs w:val="24"/>
        </w:rPr>
        <w:t>.本项目的特定资格要求：</w:t>
      </w:r>
      <w:r>
        <w:rPr>
          <w:rFonts w:ascii="仿宋" w:hAnsi="仿宋" w:eastAsia="仿宋" w:cs="宋体"/>
          <w:b/>
          <w:bCs/>
          <w:color w:val="auto"/>
          <w:sz w:val="24"/>
          <w:szCs w:val="24"/>
        </w:rPr>
        <w:t>供应商</w:t>
      </w:r>
      <w:r>
        <w:rPr>
          <w:rFonts w:hint="eastAsia" w:ascii="仿宋" w:hAnsi="仿宋" w:eastAsia="仿宋" w:cs="宋体"/>
          <w:b/>
          <w:bCs/>
          <w:color w:val="auto"/>
          <w:sz w:val="24"/>
          <w:szCs w:val="24"/>
        </w:rPr>
        <w:t>应具备有效的《司法鉴定许可证》，且业务范围中须包含环境损害。</w:t>
      </w:r>
    </w:p>
    <w:p w14:paraId="20D5AF69">
      <w:pPr>
        <w:pStyle w:val="4"/>
        <w:spacing w:before="120" w:beforeLines="50" w:after="120" w:afterLines="50" w:line="360" w:lineRule="auto"/>
        <w:rPr>
          <w:rFonts w:ascii="仿宋" w:hAnsi="仿宋" w:eastAsia="仿宋" w:cs="宋体"/>
          <w:color w:val="auto"/>
          <w:sz w:val="28"/>
          <w:szCs w:val="28"/>
        </w:rPr>
      </w:pPr>
      <w:bookmarkStart w:id="32" w:name="_Toc232004897"/>
      <w:bookmarkStart w:id="33" w:name="_Toc107502674"/>
      <w:r>
        <w:rPr>
          <w:rFonts w:hint="eastAsia" w:ascii="仿宋" w:hAnsi="仿宋" w:eastAsia="仿宋" w:cs="宋体"/>
          <w:color w:val="auto"/>
          <w:sz w:val="28"/>
          <w:szCs w:val="28"/>
        </w:rPr>
        <w:t>三、获取竞争性磋商文件</w:t>
      </w:r>
      <w:bookmarkEnd w:id="26"/>
      <w:bookmarkEnd w:id="27"/>
      <w:bookmarkEnd w:id="28"/>
      <w:bookmarkEnd w:id="29"/>
      <w:bookmarkEnd w:id="32"/>
      <w:bookmarkEnd w:id="33"/>
    </w:p>
    <w:p w14:paraId="34F183BC">
      <w:pPr>
        <w:widowControl/>
        <w:adjustRightInd w:val="0"/>
        <w:snapToGrid w:val="0"/>
        <w:spacing w:line="408" w:lineRule="auto"/>
        <w:ind w:left="210" w:leftChars="100" w:firstLine="241" w:firstLineChars="100"/>
        <w:jc w:val="left"/>
        <w:rPr>
          <w:rFonts w:ascii="仿宋" w:hAnsi="仿宋" w:eastAsia="仿宋"/>
          <w:b/>
          <w:bCs/>
          <w:color w:val="auto"/>
          <w:sz w:val="24"/>
          <w:szCs w:val="24"/>
        </w:rPr>
      </w:pPr>
      <w:r>
        <w:rPr>
          <w:rFonts w:hint="eastAsia" w:ascii="仿宋" w:hAnsi="仿宋" w:eastAsia="仿宋"/>
          <w:b/>
          <w:bCs/>
          <w:color w:val="auto"/>
          <w:sz w:val="24"/>
          <w:szCs w:val="24"/>
        </w:rPr>
        <w:t>1、竞争性磋商文件获取时间：凡有意参加磋商者，请于</w:t>
      </w:r>
      <w:bookmarkStart w:id="34" w:name="_Hlk228178959"/>
      <w:r>
        <w:rPr>
          <w:rFonts w:ascii="仿宋" w:hAnsi="仿宋" w:eastAsia="仿宋" w:cs="宋体"/>
          <w:b/>
          <w:bCs/>
          <w:color w:val="auto"/>
          <w:sz w:val="24"/>
          <w:szCs w:val="24"/>
          <w:u w:val="single"/>
        </w:rPr>
        <w:t>202</w:t>
      </w:r>
      <w:r>
        <w:rPr>
          <w:rFonts w:hint="eastAsia" w:ascii="仿宋" w:hAnsi="仿宋" w:eastAsia="仿宋" w:cs="宋体"/>
          <w:b/>
          <w:bCs/>
          <w:color w:val="auto"/>
          <w:sz w:val="24"/>
          <w:szCs w:val="24"/>
          <w:u w:val="single"/>
        </w:rPr>
        <w:t>6</w:t>
      </w:r>
      <w:r>
        <w:rPr>
          <w:rFonts w:hint="eastAsia" w:ascii="仿宋" w:hAnsi="仿宋" w:eastAsia="仿宋" w:cs="宋体"/>
          <w:color w:val="auto"/>
          <w:sz w:val="24"/>
          <w:szCs w:val="24"/>
        </w:rPr>
        <w:t>年</w:t>
      </w:r>
      <w:r>
        <w:rPr>
          <w:rFonts w:ascii="仿宋" w:hAnsi="仿宋" w:eastAsia="仿宋" w:cs="宋体"/>
          <w:b/>
          <w:bCs/>
          <w:color w:val="auto"/>
          <w:sz w:val="24"/>
          <w:szCs w:val="24"/>
          <w:u w:val="single"/>
        </w:rPr>
        <w:t xml:space="preserve">  </w:t>
      </w:r>
      <w:r>
        <w:rPr>
          <w:rFonts w:hint="eastAsia" w:ascii="仿宋" w:hAnsi="仿宋" w:eastAsia="仿宋" w:cs="宋体"/>
          <w:color w:val="auto"/>
          <w:sz w:val="24"/>
          <w:szCs w:val="24"/>
        </w:rPr>
        <w:t>月</w:t>
      </w:r>
      <w:r>
        <w:rPr>
          <w:rFonts w:ascii="仿宋" w:hAnsi="仿宋" w:eastAsia="仿宋" w:cs="宋体"/>
          <w:b/>
          <w:bCs/>
          <w:color w:val="auto"/>
          <w:sz w:val="24"/>
          <w:szCs w:val="24"/>
          <w:u w:val="single"/>
        </w:rPr>
        <w:t xml:space="preserve">  </w:t>
      </w:r>
      <w:r>
        <w:rPr>
          <w:rFonts w:hint="eastAsia" w:ascii="仿宋" w:hAnsi="仿宋" w:eastAsia="仿宋" w:cs="宋体"/>
          <w:color w:val="auto"/>
          <w:sz w:val="24"/>
          <w:szCs w:val="24"/>
        </w:rPr>
        <w:t>日至</w:t>
      </w:r>
      <w:r>
        <w:rPr>
          <w:rFonts w:ascii="仿宋" w:hAnsi="仿宋" w:eastAsia="仿宋" w:cs="宋体"/>
          <w:b/>
          <w:bCs/>
          <w:color w:val="auto"/>
          <w:sz w:val="24"/>
          <w:szCs w:val="24"/>
          <w:u w:val="single"/>
        </w:rPr>
        <w:t>202</w:t>
      </w:r>
      <w:r>
        <w:rPr>
          <w:rFonts w:hint="eastAsia" w:ascii="仿宋" w:hAnsi="仿宋" w:eastAsia="仿宋" w:cs="宋体"/>
          <w:b/>
          <w:bCs/>
          <w:color w:val="auto"/>
          <w:sz w:val="24"/>
          <w:szCs w:val="24"/>
          <w:u w:val="single"/>
        </w:rPr>
        <w:t>6</w:t>
      </w:r>
      <w:r>
        <w:rPr>
          <w:rFonts w:hint="eastAsia" w:ascii="仿宋" w:hAnsi="仿宋" w:eastAsia="仿宋" w:cs="宋体"/>
          <w:color w:val="auto"/>
          <w:sz w:val="24"/>
          <w:szCs w:val="24"/>
        </w:rPr>
        <w:t>年</w:t>
      </w:r>
      <w:r>
        <w:rPr>
          <w:rFonts w:ascii="仿宋" w:hAnsi="仿宋" w:eastAsia="仿宋" w:cs="宋体"/>
          <w:b/>
          <w:color w:val="auto"/>
          <w:sz w:val="24"/>
          <w:szCs w:val="24"/>
          <w:u w:val="single"/>
        </w:rPr>
        <w:t xml:space="preserve">  </w:t>
      </w:r>
      <w:r>
        <w:rPr>
          <w:rFonts w:hint="eastAsia" w:ascii="仿宋" w:hAnsi="仿宋" w:eastAsia="仿宋" w:cs="宋体"/>
          <w:color w:val="auto"/>
          <w:sz w:val="24"/>
          <w:szCs w:val="24"/>
        </w:rPr>
        <w:t>月</w:t>
      </w:r>
      <w:r>
        <w:rPr>
          <w:rFonts w:hint="eastAsia" w:ascii="仿宋" w:hAnsi="仿宋" w:eastAsia="仿宋" w:cs="宋体"/>
          <w:color w:val="auto"/>
          <w:sz w:val="24"/>
          <w:szCs w:val="24"/>
          <w:u w:val="single"/>
        </w:rPr>
        <w:t xml:space="preserve"> </w:t>
      </w:r>
      <w:r>
        <w:rPr>
          <w:rFonts w:ascii="仿宋" w:hAnsi="仿宋" w:eastAsia="仿宋" w:cs="宋体"/>
          <w:b/>
          <w:bCs/>
          <w:color w:val="auto"/>
          <w:sz w:val="24"/>
          <w:szCs w:val="24"/>
          <w:u w:val="single"/>
        </w:rPr>
        <w:t xml:space="preserve"> </w:t>
      </w:r>
      <w:r>
        <w:rPr>
          <w:rFonts w:hint="eastAsia" w:ascii="仿宋" w:hAnsi="仿宋" w:eastAsia="仿宋" w:cs="宋体"/>
          <w:color w:val="auto"/>
          <w:sz w:val="24"/>
          <w:szCs w:val="24"/>
        </w:rPr>
        <w:t>日</w:t>
      </w:r>
      <w:bookmarkEnd w:id="34"/>
      <w:r>
        <w:rPr>
          <w:rFonts w:hint="eastAsia" w:ascii="仿宋" w:hAnsi="仿宋" w:eastAsia="仿宋"/>
          <w:b/>
          <w:bCs/>
          <w:color w:val="auto"/>
          <w:sz w:val="24"/>
          <w:szCs w:val="24"/>
        </w:rPr>
        <w:t>（不含周末及节假日），每日上午09：00时至11：30时，下午13：30时至17：00时（北京时间，下同），供应商可采用“现场获取”或通过“云采招阳电子招采交易平台获取”的方式获取竞争性磋商文件：</w:t>
      </w:r>
    </w:p>
    <w:p w14:paraId="248575F5">
      <w:pPr>
        <w:widowControl/>
        <w:adjustRightInd w:val="0"/>
        <w:snapToGrid w:val="0"/>
        <w:spacing w:line="408" w:lineRule="auto"/>
        <w:ind w:firstLine="482" w:firstLineChars="200"/>
        <w:jc w:val="left"/>
        <w:rPr>
          <w:rFonts w:ascii="仿宋" w:hAnsi="仿宋" w:eastAsia="仿宋"/>
          <w:b/>
          <w:bCs/>
          <w:color w:val="auto"/>
          <w:sz w:val="24"/>
          <w:szCs w:val="24"/>
        </w:rPr>
      </w:pPr>
      <w:r>
        <w:rPr>
          <w:rFonts w:hint="eastAsia" w:ascii="仿宋" w:hAnsi="仿宋" w:eastAsia="仿宋"/>
          <w:b/>
          <w:bCs/>
          <w:color w:val="auto"/>
          <w:sz w:val="24"/>
          <w:szCs w:val="24"/>
        </w:rPr>
        <w:t>（1）需提供的资料：</w:t>
      </w:r>
    </w:p>
    <w:p w14:paraId="1FAF1391">
      <w:pPr>
        <w:widowControl/>
        <w:spacing w:line="408" w:lineRule="auto"/>
        <w:ind w:firstLine="470" w:firstLineChars="196"/>
        <w:jc w:val="left"/>
        <w:rPr>
          <w:rFonts w:ascii="仿宋" w:hAnsi="仿宋" w:eastAsia="仿宋"/>
          <w:b/>
          <w:bCs/>
          <w:color w:val="auto"/>
          <w:sz w:val="24"/>
          <w:szCs w:val="24"/>
        </w:rPr>
      </w:pPr>
      <w:r>
        <w:rPr>
          <w:rFonts w:hint="eastAsia" w:ascii="仿宋" w:hAnsi="仿宋" w:eastAsia="仿宋"/>
          <w:color w:val="auto"/>
          <w:sz w:val="24"/>
          <w:szCs w:val="24"/>
        </w:rPr>
        <w:t>①法定代表人身份证明书（含身份证复印件）加盖公章；</w:t>
      </w:r>
    </w:p>
    <w:p w14:paraId="7C8CD2AE">
      <w:pPr>
        <w:widowControl/>
        <w:spacing w:line="408" w:lineRule="auto"/>
        <w:ind w:firstLine="470" w:firstLineChars="196"/>
        <w:jc w:val="left"/>
        <w:rPr>
          <w:rFonts w:ascii="仿宋" w:hAnsi="仿宋" w:eastAsia="仿宋"/>
          <w:b/>
          <w:bCs/>
          <w:color w:val="auto"/>
          <w:sz w:val="24"/>
          <w:szCs w:val="24"/>
        </w:rPr>
      </w:pPr>
      <w:r>
        <w:rPr>
          <w:rFonts w:hint="eastAsia" w:ascii="仿宋" w:hAnsi="仿宋" w:eastAsia="仿宋"/>
          <w:color w:val="auto"/>
          <w:sz w:val="24"/>
          <w:szCs w:val="24"/>
        </w:rPr>
        <w:t>②法定代表人授权委托书（含身份证复印件）加盖公章（法定代表人参加的，可不用提交）。</w:t>
      </w:r>
    </w:p>
    <w:p w14:paraId="750850DC">
      <w:pPr>
        <w:widowControl/>
        <w:adjustRightInd w:val="0"/>
        <w:snapToGrid w:val="0"/>
        <w:spacing w:line="408" w:lineRule="auto"/>
        <w:ind w:firstLine="482" w:firstLineChars="200"/>
        <w:jc w:val="left"/>
        <w:rPr>
          <w:rFonts w:ascii="仿宋" w:hAnsi="仿宋" w:eastAsia="仿宋"/>
          <w:b/>
          <w:bCs/>
          <w:color w:val="auto"/>
          <w:sz w:val="24"/>
          <w:szCs w:val="24"/>
        </w:rPr>
      </w:pPr>
      <w:r>
        <w:rPr>
          <w:rFonts w:hint="eastAsia" w:ascii="仿宋" w:hAnsi="仿宋" w:eastAsia="仿宋"/>
          <w:b/>
          <w:bCs/>
          <w:color w:val="auto"/>
          <w:sz w:val="24"/>
          <w:szCs w:val="24"/>
        </w:rPr>
        <w:t>（2）竞争性磋商文件售价（人民币）：</w:t>
      </w:r>
      <w:r>
        <w:rPr>
          <w:rFonts w:hint="eastAsia" w:ascii="仿宋" w:hAnsi="仿宋" w:eastAsia="仿宋"/>
          <w:color w:val="auto"/>
          <w:sz w:val="24"/>
          <w:szCs w:val="24"/>
        </w:rPr>
        <w:t>600.00元/份（现金支付或公对公（单位基本账户）转账支付），售后不退。</w:t>
      </w:r>
    </w:p>
    <w:p w14:paraId="374A84D4">
      <w:pPr>
        <w:widowControl/>
        <w:spacing w:line="408" w:lineRule="auto"/>
        <w:ind w:firstLine="472" w:firstLineChars="196"/>
        <w:jc w:val="left"/>
        <w:rPr>
          <w:rFonts w:ascii="仿宋" w:hAnsi="仿宋" w:eastAsia="仿宋"/>
          <w:b/>
          <w:color w:val="auto"/>
          <w:sz w:val="24"/>
          <w:szCs w:val="24"/>
        </w:rPr>
      </w:pPr>
      <w:r>
        <w:rPr>
          <w:rFonts w:hint="eastAsia" w:ascii="仿宋" w:hAnsi="仿宋" w:eastAsia="仿宋"/>
          <w:b/>
          <w:color w:val="auto"/>
          <w:sz w:val="24"/>
          <w:szCs w:val="24"/>
        </w:rPr>
        <w:t>注：转账时须备注单位名称、联系电话，转账须在竞争性磋商文件获取截止时间前完成。</w:t>
      </w:r>
    </w:p>
    <w:p w14:paraId="5F048BB7">
      <w:pPr>
        <w:widowControl/>
        <w:adjustRightInd w:val="0"/>
        <w:snapToGrid w:val="0"/>
        <w:spacing w:line="408" w:lineRule="auto"/>
        <w:ind w:firstLine="482" w:firstLineChars="200"/>
        <w:jc w:val="left"/>
        <w:rPr>
          <w:rFonts w:ascii="仿宋" w:hAnsi="仿宋" w:eastAsia="仿宋"/>
          <w:b/>
          <w:bCs/>
          <w:color w:val="auto"/>
          <w:sz w:val="24"/>
          <w:szCs w:val="24"/>
        </w:rPr>
      </w:pPr>
      <w:r>
        <w:rPr>
          <w:rFonts w:hint="eastAsia" w:ascii="仿宋" w:hAnsi="仿宋" w:eastAsia="仿宋"/>
          <w:b/>
          <w:bCs/>
          <w:color w:val="auto"/>
          <w:sz w:val="24"/>
          <w:szCs w:val="24"/>
        </w:rPr>
        <w:t>（3）现场获取：</w:t>
      </w:r>
      <w:r>
        <w:rPr>
          <w:rFonts w:hint="eastAsia" w:ascii="仿宋" w:hAnsi="仿宋" w:eastAsia="仿宋"/>
          <w:color w:val="auto"/>
          <w:sz w:val="24"/>
          <w:szCs w:val="24"/>
        </w:rPr>
        <w:t>持“第（1）条”资料至昆明市同力建设工程咨询有限公司﹙昆明市新兴路中段霖岚广场A座9楼913室）现场获取竞争性磋商文件。</w:t>
      </w:r>
    </w:p>
    <w:p w14:paraId="58974E8A">
      <w:pPr>
        <w:widowControl/>
        <w:adjustRightInd w:val="0"/>
        <w:snapToGrid w:val="0"/>
        <w:spacing w:line="408" w:lineRule="auto"/>
        <w:ind w:firstLine="482" w:firstLineChars="200"/>
        <w:jc w:val="left"/>
        <w:rPr>
          <w:rFonts w:ascii="仿宋" w:hAnsi="仿宋" w:eastAsia="仿宋"/>
          <w:b/>
          <w:bCs/>
          <w:color w:val="auto"/>
          <w:sz w:val="24"/>
          <w:szCs w:val="24"/>
        </w:rPr>
      </w:pPr>
      <w:r>
        <w:rPr>
          <w:rFonts w:hint="eastAsia" w:ascii="仿宋" w:hAnsi="仿宋" w:eastAsia="仿宋"/>
          <w:b/>
          <w:bCs/>
          <w:color w:val="auto"/>
          <w:sz w:val="24"/>
          <w:szCs w:val="24"/>
        </w:rPr>
        <w:t>（4）云采招阳电子招采交易平台获取：</w:t>
      </w:r>
      <w:r>
        <w:rPr>
          <w:rFonts w:hint="eastAsia" w:ascii="仿宋" w:hAnsi="仿宋" w:eastAsia="仿宋"/>
          <w:color w:val="auto"/>
          <w:sz w:val="24"/>
          <w:szCs w:val="24"/>
        </w:rPr>
        <w:t>供应商通过云采招阳电子招采交易平台（网址：https://www.ebidcn.com，以下简称云采招阳。请直接使用网址访问，勿通过任何搜索形式查找云采招阳，以防第三方广告干扰。特别提醒：供应商在云采招阳注册和认证不收取任何费用。）在线获取本项目竞争性磋商文件、费用缴纳/开票、以及接收本项目相关公示公告推送。</w:t>
      </w:r>
    </w:p>
    <w:p w14:paraId="1860F650">
      <w:pPr>
        <w:widowControl/>
        <w:adjustRightInd w:val="0"/>
        <w:snapToGrid w:val="0"/>
        <w:spacing w:line="408" w:lineRule="auto"/>
        <w:ind w:firstLine="482" w:firstLineChars="200"/>
        <w:jc w:val="left"/>
        <w:rPr>
          <w:rFonts w:ascii="仿宋" w:hAnsi="仿宋" w:eastAsia="仿宋"/>
          <w:b/>
          <w:bCs/>
          <w:color w:val="auto"/>
          <w:sz w:val="24"/>
          <w:szCs w:val="24"/>
        </w:rPr>
      </w:pPr>
      <w:r>
        <w:rPr>
          <w:rFonts w:hint="eastAsia" w:ascii="仿宋" w:hAnsi="仿宋" w:eastAsia="仿宋"/>
          <w:b/>
          <w:bCs/>
          <w:color w:val="auto"/>
          <w:sz w:val="24"/>
          <w:szCs w:val="24"/>
        </w:rPr>
        <w:t>①在【立即投标-投标信息确认】窗口内的【投标附件】栏上传“第（1）条”资料的扫描件至代理机构项目负责人端进行线上获取。</w:t>
      </w:r>
    </w:p>
    <w:p w14:paraId="38B2A604">
      <w:pPr>
        <w:widowControl/>
        <w:adjustRightInd w:val="0"/>
        <w:snapToGrid w:val="0"/>
        <w:spacing w:line="408" w:lineRule="auto"/>
        <w:ind w:firstLine="480" w:firstLineChars="200"/>
        <w:jc w:val="left"/>
        <w:rPr>
          <w:rFonts w:ascii="仿宋" w:hAnsi="仿宋" w:eastAsia="仿宋"/>
          <w:color w:val="auto"/>
          <w:sz w:val="24"/>
          <w:szCs w:val="24"/>
        </w:rPr>
      </w:pPr>
      <w:r>
        <w:rPr>
          <w:rFonts w:hint="eastAsia" w:ascii="仿宋" w:hAnsi="仿宋" w:eastAsia="仿宋"/>
          <w:color w:val="auto"/>
          <w:sz w:val="24"/>
          <w:szCs w:val="24"/>
        </w:rPr>
        <w:t>注：提供的资料不全或被查证有虚假证明材料的，采购人有权取消其获取资格。</w:t>
      </w:r>
    </w:p>
    <w:p w14:paraId="2231D663">
      <w:pPr>
        <w:widowControl/>
        <w:adjustRightInd w:val="0"/>
        <w:snapToGrid w:val="0"/>
        <w:spacing w:line="408" w:lineRule="auto"/>
        <w:ind w:firstLine="482" w:firstLineChars="200"/>
        <w:jc w:val="left"/>
        <w:rPr>
          <w:rFonts w:ascii="仿宋" w:hAnsi="仿宋" w:eastAsia="仿宋"/>
          <w:color w:val="auto"/>
          <w:sz w:val="24"/>
          <w:szCs w:val="24"/>
        </w:rPr>
      </w:pPr>
      <w:r>
        <w:rPr>
          <w:rFonts w:hint="eastAsia" w:ascii="仿宋" w:hAnsi="仿宋" w:eastAsia="仿宋"/>
          <w:b/>
          <w:bCs/>
          <w:color w:val="auto"/>
          <w:sz w:val="24"/>
          <w:szCs w:val="24"/>
        </w:rPr>
        <w:t>②供应商按照以下步骤进行在线获取竞争性磋商文件：</w:t>
      </w:r>
      <w:r>
        <w:rPr>
          <w:rFonts w:hint="eastAsia" w:ascii="仿宋" w:hAnsi="仿宋" w:eastAsia="仿宋"/>
          <w:color w:val="auto"/>
          <w:sz w:val="24"/>
          <w:szCs w:val="24"/>
        </w:rPr>
        <w:t>a.尚未注册成为平台用户的，需在平台官网进行免费注册并提交企业认证。b.企业认证通过后进入用户后台选择【在线投标-项目列表】菜单，于项目列表中查询到目标项目即可进行在线获取，先查看公告及变更公告（如有），按公告要求准备获取资料附件，然后点击【立即投标】按钮进入投标信息确认窗口进行：选择标段、填写经办人信息、上传投标附件，确认无误后点击【确认投标】按钮。</w:t>
      </w:r>
    </w:p>
    <w:p w14:paraId="066F7580">
      <w:pPr>
        <w:widowControl/>
        <w:adjustRightInd w:val="0"/>
        <w:snapToGrid w:val="0"/>
        <w:spacing w:line="408" w:lineRule="auto"/>
        <w:ind w:firstLine="480" w:firstLineChars="200"/>
        <w:jc w:val="left"/>
        <w:rPr>
          <w:rFonts w:ascii="仿宋" w:hAnsi="仿宋" w:eastAsia="仿宋"/>
          <w:color w:val="auto"/>
          <w:sz w:val="24"/>
          <w:szCs w:val="24"/>
        </w:rPr>
      </w:pPr>
      <w:r>
        <w:rPr>
          <w:rFonts w:hint="eastAsia" w:ascii="仿宋" w:hAnsi="仿宋" w:eastAsia="仿宋"/>
          <w:color w:val="auto"/>
          <w:sz w:val="24"/>
          <w:szCs w:val="24"/>
        </w:rPr>
        <w:t>③供应商点击【确认投标】按钮后自动进入项目跟踪详情，获取资料经代理机构确认后。投标项目详情页面【投标信息及缴费】栏目如显示“代理机构暂未发布”请耐心等待，如已显示具体金额即可进行支付：若文件费缴费方式为“缴费凭证上传”的（即银行转账凭证），供应商应上传文件费的对公缴费凭证提交代理机构确认；若文件费缴纳方式为在线支付的，则点击支付按钮通过支付宝/微信进行扫码支付。</w:t>
      </w:r>
    </w:p>
    <w:p w14:paraId="2D08D9FB">
      <w:pPr>
        <w:widowControl/>
        <w:adjustRightInd w:val="0"/>
        <w:snapToGrid w:val="0"/>
        <w:spacing w:line="408" w:lineRule="auto"/>
        <w:ind w:firstLine="480" w:firstLineChars="200"/>
        <w:jc w:val="left"/>
        <w:rPr>
          <w:rFonts w:ascii="仿宋" w:hAnsi="仿宋" w:eastAsia="仿宋"/>
          <w:color w:val="auto"/>
          <w:sz w:val="24"/>
          <w:szCs w:val="24"/>
        </w:rPr>
      </w:pPr>
      <w:r>
        <w:rPr>
          <w:rFonts w:hint="eastAsia" w:ascii="仿宋" w:hAnsi="仿宋" w:eastAsia="仿宋"/>
          <w:color w:val="auto"/>
          <w:sz w:val="24"/>
          <w:szCs w:val="24"/>
        </w:rPr>
        <w:t>④文件费缴纳完成后，可在当前页面费用表内申请文件费发票（代理机构开具，文件费开票形式为【电子发票】，开标结束后向代理机构申请开票）。并进入下一环节【竞争性磋商文件下载】，如下载列表内已有待下载文件，即可点击下载，如下载页暂无待下载文件，请耐心等待或咨询代理机构。</w:t>
      </w:r>
    </w:p>
    <w:p w14:paraId="3EB8CF3D">
      <w:pPr>
        <w:widowControl/>
        <w:adjustRightInd w:val="0"/>
        <w:snapToGrid w:val="0"/>
        <w:spacing w:line="408" w:lineRule="auto"/>
        <w:ind w:firstLine="480" w:firstLineChars="200"/>
        <w:jc w:val="left"/>
        <w:rPr>
          <w:rFonts w:ascii="仿宋" w:hAnsi="仿宋" w:eastAsia="仿宋"/>
          <w:color w:val="auto"/>
          <w:sz w:val="24"/>
          <w:szCs w:val="24"/>
        </w:rPr>
      </w:pPr>
      <w:r>
        <w:rPr>
          <w:rFonts w:hint="eastAsia" w:ascii="仿宋" w:hAnsi="仿宋" w:eastAsia="仿宋"/>
          <w:color w:val="auto"/>
          <w:sz w:val="24"/>
          <w:szCs w:val="24"/>
        </w:rPr>
        <w:t>⑤相关投标流程指南请详见平台网站【帮助中心】页面的“供应商端常见问题”和“短视频教程”。平台操作问题咨询平台客服（客服电话详见平台各操作界面右上角），投标项目业务问题请咨询代理机构项目负责人。</w:t>
      </w:r>
    </w:p>
    <w:p w14:paraId="6428420B">
      <w:pPr>
        <w:spacing w:line="408" w:lineRule="auto"/>
        <w:ind w:firstLine="539"/>
        <w:rPr>
          <w:rFonts w:ascii="仿宋" w:hAnsi="仿宋" w:eastAsia="仿宋" w:cs="宋体"/>
          <w:color w:val="auto"/>
          <w:kern w:val="0"/>
          <w:sz w:val="24"/>
          <w:szCs w:val="24"/>
        </w:rPr>
      </w:pPr>
      <w:r>
        <w:rPr>
          <w:rFonts w:hint="eastAsia" w:ascii="仿宋" w:hAnsi="仿宋" w:eastAsia="仿宋"/>
          <w:color w:val="auto"/>
          <w:sz w:val="24"/>
          <w:szCs w:val="24"/>
        </w:rPr>
        <w:t>2、供应商须在竞争性磋商文件获取截止时间之前按上述方式、流程办理完成后才算有效获取，否则视为其投标无效。</w:t>
      </w:r>
    </w:p>
    <w:p w14:paraId="70A85750">
      <w:pPr>
        <w:pStyle w:val="4"/>
        <w:spacing w:before="120" w:beforeLines="50" w:after="120" w:afterLines="50" w:line="360" w:lineRule="auto"/>
        <w:rPr>
          <w:rFonts w:ascii="仿宋" w:hAnsi="仿宋" w:eastAsia="仿宋" w:cs="宋体"/>
          <w:color w:val="auto"/>
          <w:sz w:val="28"/>
          <w:szCs w:val="28"/>
        </w:rPr>
      </w:pPr>
      <w:bookmarkStart w:id="35" w:name="_Toc28359015"/>
      <w:bookmarkStart w:id="36" w:name="_Toc35393632"/>
      <w:bookmarkStart w:id="37" w:name="_Toc28359092"/>
      <w:bookmarkStart w:id="38" w:name="_Toc35393801"/>
      <w:bookmarkStart w:id="39" w:name="_Toc107502675"/>
      <w:bookmarkStart w:id="40" w:name="_Toc232004898"/>
      <w:r>
        <w:rPr>
          <w:rFonts w:hint="eastAsia" w:ascii="仿宋" w:hAnsi="仿宋" w:eastAsia="仿宋" w:cs="宋体"/>
          <w:color w:val="auto"/>
          <w:sz w:val="28"/>
          <w:szCs w:val="28"/>
        </w:rPr>
        <w:t>四、响应文件提交</w:t>
      </w:r>
      <w:bookmarkEnd w:id="35"/>
      <w:bookmarkEnd w:id="36"/>
      <w:bookmarkEnd w:id="37"/>
      <w:bookmarkEnd w:id="38"/>
      <w:bookmarkEnd w:id="39"/>
      <w:bookmarkEnd w:id="40"/>
    </w:p>
    <w:p w14:paraId="1A05DB3F">
      <w:pPr>
        <w:spacing w:line="408" w:lineRule="auto"/>
        <w:ind w:firstLine="539"/>
        <w:rPr>
          <w:rFonts w:ascii="仿宋" w:hAnsi="仿宋" w:eastAsia="仿宋" w:cs="宋体"/>
          <w:color w:val="auto"/>
          <w:kern w:val="0"/>
          <w:sz w:val="24"/>
          <w:szCs w:val="24"/>
        </w:rPr>
      </w:pPr>
      <w:r>
        <w:rPr>
          <w:rFonts w:hint="eastAsia" w:ascii="仿宋" w:hAnsi="仿宋" w:eastAsia="仿宋" w:cs="宋体"/>
          <w:color w:val="auto"/>
          <w:kern w:val="0"/>
          <w:sz w:val="24"/>
          <w:szCs w:val="24"/>
        </w:rPr>
        <w:t>1.</w:t>
      </w:r>
      <w:r>
        <w:rPr>
          <w:rFonts w:hint="eastAsia" w:ascii="仿宋" w:hAnsi="仿宋" w:eastAsia="仿宋"/>
          <w:color w:val="auto"/>
        </w:rPr>
        <w:t xml:space="preserve"> </w:t>
      </w:r>
      <w:r>
        <w:rPr>
          <w:rFonts w:hint="eastAsia" w:ascii="仿宋" w:hAnsi="仿宋" w:eastAsia="仿宋" w:cs="宋体"/>
          <w:color w:val="auto"/>
          <w:kern w:val="0"/>
          <w:sz w:val="24"/>
          <w:szCs w:val="24"/>
        </w:rPr>
        <w:t>响应文件递交截止时间：</w:t>
      </w:r>
      <w:r>
        <w:rPr>
          <w:rFonts w:hint="eastAsia" w:ascii="仿宋" w:hAnsi="仿宋" w:eastAsia="仿宋"/>
          <w:b/>
          <w:bCs/>
          <w:color w:val="auto"/>
          <w:sz w:val="24"/>
          <w:szCs w:val="24"/>
          <w:u w:val="single"/>
        </w:rPr>
        <w:t>2026</w:t>
      </w:r>
      <w:r>
        <w:rPr>
          <w:rFonts w:hint="eastAsia" w:ascii="仿宋" w:hAnsi="仿宋" w:eastAsia="仿宋"/>
          <w:b/>
          <w:bCs/>
          <w:color w:val="auto"/>
          <w:sz w:val="24"/>
          <w:szCs w:val="24"/>
        </w:rPr>
        <w:t>年</w:t>
      </w:r>
      <w:r>
        <w:rPr>
          <w:rFonts w:ascii="仿宋" w:hAnsi="仿宋" w:eastAsia="仿宋"/>
          <w:b/>
          <w:bCs/>
          <w:color w:val="auto"/>
          <w:sz w:val="24"/>
          <w:szCs w:val="24"/>
          <w:u w:val="single"/>
        </w:rPr>
        <w:t xml:space="preserve">  </w:t>
      </w:r>
      <w:r>
        <w:rPr>
          <w:rFonts w:hint="eastAsia" w:ascii="仿宋" w:hAnsi="仿宋" w:eastAsia="仿宋"/>
          <w:b/>
          <w:bCs/>
          <w:color w:val="auto"/>
          <w:sz w:val="24"/>
          <w:szCs w:val="24"/>
        </w:rPr>
        <w:t>月</w:t>
      </w:r>
      <w:r>
        <w:rPr>
          <w:rFonts w:ascii="仿宋" w:hAnsi="仿宋" w:eastAsia="仿宋"/>
          <w:b/>
          <w:bCs/>
          <w:color w:val="auto"/>
          <w:sz w:val="24"/>
          <w:szCs w:val="24"/>
          <w:u w:val="single"/>
        </w:rPr>
        <w:t xml:space="preserve">  </w:t>
      </w:r>
      <w:r>
        <w:rPr>
          <w:rFonts w:hint="eastAsia" w:ascii="仿宋" w:hAnsi="仿宋" w:eastAsia="仿宋"/>
          <w:b/>
          <w:bCs/>
          <w:color w:val="auto"/>
          <w:sz w:val="24"/>
          <w:szCs w:val="24"/>
        </w:rPr>
        <w:t>日</w:t>
      </w:r>
      <w:r>
        <w:rPr>
          <w:rFonts w:ascii="仿宋" w:hAnsi="仿宋" w:eastAsia="仿宋"/>
          <w:b/>
          <w:bCs/>
          <w:color w:val="auto"/>
          <w:sz w:val="24"/>
          <w:szCs w:val="24"/>
          <w:u w:val="single"/>
        </w:rPr>
        <w:t xml:space="preserve">  </w:t>
      </w:r>
      <w:r>
        <w:rPr>
          <w:rFonts w:hint="eastAsia" w:ascii="仿宋" w:hAnsi="仿宋" w:eastAsia="仿宋"/>
          <w:b/>
          <w:bCs/>
          <w:color w:val="auto"/>
          <w:sz w:val="24"/>
          <w:szCs w:val="24"/>
        </w:rPr>
        <w:t>点</w:t>
      </w:r>
      <w:r>
        <w:rPr>
          <w:rFonts w:ascii="仿宋" w:hAnsi="仿宋" w:eastAsia="仿宋"/>
          <w:b/>
          <w:bCs/>
          <w:color w:val="auto"/>
          <w:sz w:val="24"/>
          <w:szCs w:val="24"/>
          <w:u w:val="single"/>
        </w:rPr>
        <w:t xml:space="preserve">  </w:t>
      </w:r>
      <w:r>
        <w:rPr>
          <w:rFonts w:hint="eastAsia" w:ascii="仿宋" w:hAnsi="仿宋" w:eastAsia="仿宋"/>
          <w:b/>
          <w:bCs/>
          <w:color w:val="auto"/>
          <w:sz w:val="24"/>
          <w:szCs w:val="24"/>
        </w:rPr>
        <w:t>分</w:t>
      </w:r>
      <w:r>
        <w:rPr>
          <w:rFonts w:hint="eastAsia" w:ascii="仿宋" w:hAnsi="仿宋" w:eastAsia="仿宋" w:cs="宋体"/>
          <w:color w:val="auto"/>
          <w:kern w:val="0"/>
          <w:sz w:val="24"/>
          <w:szCs w:val="24"/>
        </w:rPr>
        <w:t>（北京时间）。</w:t>
      </w:r>
    </w:p>
    <w:p w14:paraId="5D9E0699">
      <w:pPr>
        <w:spacing w:line="408" w:lineRule="auto"/>
        <w:ind w:firstLine="539"/>
        <w:rPr>
          <w:rFonts w:ascii="仿宋" w:hAnsi="仿宋" w:eastAsia="仿宋" w:cs="宋体"/>
          <w:color w:val="auto"/>
          <w:kern w:val="0"/>
          <w:sz w:val="24"/>
          <w:szCs w:val="24"/>
        </w:rPr>
      </w:pPr>
      <w:bookmarkStart w:id="41" w:name="_Hlk228179001"/>
      <w:r>
        <w:rPr>
          <w:rFonts w:hint="eastAsia" w:ascii="仿宋" w:hAnsi="仿宋" w:eastAsia="仿宋" w:cs="宋体"/>
          <w:color w:val="auto"/>
          <w:kern w:val="0"/>
          <w:sz w:val="24"/>
          <w:szCs w:val="24"/>
        </w:rPr>
        <w:t>2.</w:t>
      </w:r>
      <w:r>
        <w:rPr>
          <w:rFonts w:hint="eastAsia" w:ascii="仿宋" w:hAnsi="仿宋" w:eastAsia="仿宋"/>
          <w:color w:val="auto"/>
        </w:rPr>
        <w:t xml:space="preserve"> </w:t>
      </w:r>
      <w:r>
        <w:rPr>
          <w:rFonts w:hint="eastAsia" w:ascii="仿宋" w:hAnsi="仿宋" w:eastAsia="仿宋" w:cs="宋体"/>
          <w:color w:val="auto"/>
          <w:kern w:val="0"/>
          <w:sz w:val="24"/>
          <w:szCs w:val="24"/>
        </w:rPr>
        <w:t>响应文件递交地点：昆明市同力建设工程咨询有限公司开标厅（昆明市新兴路中段霖岚国际A座902室）</w:t>
      </w:r>
    </w:p>
    <w:bookmarkEnd w:id="41"/>
    <w:p w14:paraId="42CA85C1">
      <w:pPr>
        <w:pStyle w:val="4"/>
        <w:spacing w:before="120" w:beforeLines="50" w:after="120" w:afterLines="50" w:line="360" w:lineRule="auto"/>
        <w:rPr>
          <w:rFonts w:ascii="仿宋" w:hAnsi="仿宋" w:eastAsia="仿宋" w:cs="宋体"/>
          <w:color w:val="auto"/>
          <w:sz w:val="28"/>
          <w:szCs w:val="28"/>
        </w:rPr>
      </w:pPr>
      <w:bookmarkStart w:id="42" w:name="_Toc107502676"/>
      <w:bookmarkStart w:id="43" w:name="_Toc35393802"/>
      <w:bookmarkStart w:id="44" w:name="_Toc28359093"/>
      <w:bookmarkStart w:id="45" w:name="_Toc232004899"/>
      <w:bookmarkStart w:id="46" w:name="_Toc35393633"/>
      <w:bookmarkStart w:id="47" w:name="_Toc28359016"/>
      <w:r>
        <w:rPr>
          <w:rFonts w:hint="eastAsia" w:ascii="仿宋" w:hAnsi="仿宋" w:eastAsia="仿宋" w:cs="宋体"/>
          <w:color w:val="auto"/>
          <w:sz w:val="28"/>
          <w:szCs w:val="28"/>
        </w:rPr>
        <w:t>五、开启</w:t>
      </w:r>
      <w:bookmarkEnd w:id="42"/>
      <w:bookmarkEnd w:id="43"/>
      <w:bookmarkEnd w:id="44"/>
      <w:bookmarkEnd w:id="45"/>
      <w:bookmarkEnd w:id="46"/>
      <w:bookmarkEnd w:id="47"/>
    </w:p>
    <w:p w14:paraId="4A31C7F9">
      <w:pPr>
        <w:spacing w:line="408"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1.时间：</w:t>
      </w:r>
      <w:r>
        <w:rPr>
          <w:rFonts w:hint="eastAsia" w:ascii="仿宋" w:hAnsi="仿宋" w:eastAsia="仿宋"/>
          <w:b/>
          <w:bCs/>
          <w:color w:val="auto"/>
          <w:sz w:val="24"/>
          <w:szCs w:val="24"/>
          <w:u w:val="single"/>
        </w:rPr>
        <w:t>2026</w:t>
      </w:r>
      <w:r>
        <w:rPr>
          <w:rFonts w:hint="eastAsia" w:ascii="仿宋" w:hAnsi="仿宋" w:eastAsia="仿宋"/>
          <w:b/>
          <w:bCs/>
          <w:color w:val="auto"/>
          <w:sz w:val="24"/>
          <w:szCs w:val="24"/>
        </w:rPr>
        <w:t>年</w:t>
      </w:r>
      <w:r>
        <w:rPr>
          <w:rFonts w:ascii="仿宋" w:hAnsi="仿宋" w:eastAsia="仿宋"/>
          <w:b/>
          <w:bCs/>
          <w:color w:val="auto"/>
          <w:sz w:val="24"/>
          <w:szCs w:val="24"/>
          <w:u w:val="single"/>
        </w:rPr>
        <w:t xml:space="preserve">  </w:t>
      </w:r>
      <w:r>
        <w:rPr>
          <w:rFonts w:hint="eastAsia" w:ascii="仿宋" w:hAnsi="仿宋" w:eastAsia="仿宋"/>
          <w:b/>
          <w:bCs/>
          <w:color w:val="auto"/>
          <w:sz w:val="24"/>
          <w:szCs w:val="24"/>
        </w:rPr>
        <w:t>月</w:t>
      </w:r>
      <w:r>
        <w:rPr>
          <w:rFonts w:ascii="仿宋" w:hAnsi="仿宋" w:eastAsia="仿宋"/>
          <w:b/>
          <w:bCs/>
          <w:color w:val="auto"/>
          <w:sz w:val="24"/>
          <w:szCs w:val="24"/>
          <w:u w:val="single"/>
        </w:rPr>
        <w:t xml:space="preserve">  </w:t>
      </w:r>
      <w:r>
        <w:rPr>
          <w:rFonts w:hint="eastAsia" w:ascii="仿宋" w:hAnsi="仿宋" w:eastAsia="仿宋"/>
          <w:b/>
          <w:bCs/>
          <w:color w:val="auto"/>
          <w:sz w:val="24"/>
          <w:szCs w:val="24"/>
        </w:rPr>
        <w:t>日</w:t>
      </w:r>
      <w:r>
        <w:rPr>
          <w:rFonts w:ascii="仿宋" w:hAnsi="仿宋" w:eastAsia="仿宋"/>
          <w:b/>
          <w:bCs/>
          <w:color w:val="auto"/>
          <w:sz w:val="24"/>
          <w:szCs w:val="24"/>
          <w:u w:val="single"/>
        </w:rPr>
        <w:t xml:space="preserve">  </w:t>
      </w:r>
      <w:r>
        <w:rPr>
          <w:rFonts w:hint="eastAsia" w:ascii="仿宋" w:hAnsi="仿宋" w:eastAsia="仿宋"/>
          <w:b/>
          <w:bCs/>
          <w:color w:val="auto"/>
          <w:sz w:val="24"/>
          <w:szCs w:val="24"/>
        </w:rPr>
        <w:t>点</w:t>
      </w:r>
      <w:r>
        <w:rPr>
          <w:rFonts w:ascii="仿宋" w:hAnsi="仿宋" w:eastAsia="仿宋"/>
          <w:b/>
          <w:bCs/>
          <w:color w:val="auto"/>
          <w:sz w:val="24"/>
          <w:szCs w:val="24"/>
          <w:u w:val="single"/>
        </w:rPr>
        <w:t xml:space="preserve">  </w:t>
      </w:r>
      <w:r>
        <w:rPr>
          <w:rFonts w:hint="eastAsia" w:ascii="仿宋" w:hAnsi="仿宋" w:eastAsia="仿宋"/>
          <w:b/>
          <w:bCs/>
          <w:color w:val="auto"/>
          <w:sz w:val="24"/>
          <w:szCs w:val="24"/>
        </w:rPr>
        <w:t>分</w:t>
      </w:r>
      <w:r>
        <w:rPr>
          <w:rFonts w:hint="eastAsia" w:ascii="仿宋" w:hAnsi="仿宋" w:eastAsia="仿宋" w:cs="宋体"/>
          <w:color w:val="auto"/>
          <w:kern w:val="0"/>
          <w:sz w:val="24"/>
          <w:szCs w:val="24"/>
        </w:rPr>
        <w:t>（北京时间）</w:t>
      </w:r>
    </w:p>
    <w:p w14:paraId="2AFA6EDC">
      <w:pPr>
        <w:spacing w:line="408" w:lineRule="auto"/>
        <w:ind w:firstLine="480" w:firstLineChars="200"/>
        <w:rPr>
          <w:rFonts w:ascii="仿宋" w:hAnsi="仿宋" w:eastAsia="仿宋" w:cs="宋体"/>
          <w:color w:val="auto"/>
          <w:kern w:val="0"/>
          <w:sz w:val="24"/>
          <w:szCs w:val="24"/>
        </w:rPr>
      </w:pPr>
      <w:bookmarkStart w:id="48" w:name="_Hlk228179015"/>
      <w:r>
        <w:rPr>
          <w:rFonts w:hint="eastAsia" w:ascii="仿宋" w:hAnsi="仿宋" w:eastAsia="仿宋" w:cs="宋体"/>
          <w:color w:val="auto"/>
          <w:kern w:val="0"/>
          <w:sz w:val="24"/>
          <w:szCs w:val="24"/>
        </w:rPr>
        <w:t>2.地点：昆明市同力建设工程咨询有限公司开标厅（昆明市新兴路中段霖岚国际A座902室）</w:t>
      </w:r>
    </w:p>
    <w:bookmarkEnd w:id="48"/>
    <w:p w14:paraId="54FC10A1">
      <w:pPr>
        <w:pStyle w:val="4"/>
        <w:spacing w:before="120" w:beforeLines="50" w:after="120" w:afterLines="50" w:line="360" w:lineRule="auto"/>
        <w:rPr>
          <w:rFonts w:ascii="仿宋" w:hAnsi="仿宋" w:eastAsia="仿宋" w:cs="宋体"/>
          <w:color w:val="auto"/>
          <w:sz w:val="28"/>
          <w:szCs w:val="28"/>
        </w:rPr>
      </w:pPr>
      <w:bookmarkStart w:id="49" w:name="_Toc35393803"/>
      <w:bookmarkStart w:id="50" w:name="_Toc35393634"/>
      <w:bookmarkStart w:id="51" w:name="_Toc28359094"/>
      <w:bookmarkStart w:id="52" w:name="_Toc65830637"/>
      <w:bookmarkStart w:id="53" w:name="_Toc44937848"/>
      <w:bookmarkStart w:id="54" w:name="_Toc107502677"/>
      <w:bookmarkStart w:id="55" w:name="_Toc28359017"/>
      <w:bookmarkStart w:id="56" w:name="_Toc232004900"/>
      <w:bookmarkStart w:id="57" w:name="_Toc35393805"/>
      <w:bookmarkStart w:id="58" w:name="_Toc35393636"/>
      <w:bookmarkStart w:id="59" w:name="_Toc28359018"/>
      <w:bookmarkStart w:id="60" w:name="_Toc28359095"/>
      <w:r>
        <w:rPr>
          <w:rFonts w:hint="eastAsia" w:ascii="仿宋" w:hAnsi="仿宋" w:eastAsia="仿宋" w:cs="宋体"/>
          <w:color w:val="auto"/>
          <w:sz w:val="28"/>
          <w:szCs w:val="28"/>
        </w:rPr>
        <w:t>六、公告期限</w:t>
      </w:r>
      <w:bookmarkEnd w:id="49"/>
      <w:bookmarkEnd w:id="50"/>
      <w:bookmarkEnd w:id="51"/>
      <w:bookmarkEnd w:id="52"/>
      <w:bookmarkEnd w:id="53"/>
      <w:bookmarkEnd w:id="54"/>
      <w:bookmarkEnd w:id="55"/>
      <w:bookmarkEnd w:id="56"/>
    </w:p>
    <w:p w14:paraId="0A31E81E">
      <w:pPr>
        <w:spacing w:line="408"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自本公告发布之日起</w:t>
      </w:r>
      <w:r>
        <w:rPr>
          <w:rFonts w:ascii="仿宋" w:hAnsi="仿宋" w:eastAsia="仿宋" w:cs="宋体"/>
          <w:color w:val="auto"/>
          <w:kern w:val="0"/>
          <w:sz w:val="24"/>
          <w:szCs w:val="24"/>
        </w:rPr>
        <w:t>5</w:t>
      </w:r>
      <w:r>
        <w:rPr>
          <w:rFonts w:hint="eastAsia" w:ascii="仿宋" w:hAnsi="仿宋" w:eastAsia="仿宋" w:cs="宋体"/>
          <w:color w:val="auto"/>
          <w:kern w:val="0"/>
          <w:sz w:val="24"/>
          <w:szCs w:val="24"/>
        </w:rPr>
        <w:t>个工作日。</w:t>
      </w:r>
    </w:p>
    <w:p w14:paraId="4CA6E176">
      <w:pPr>
        <w:pStyle w:val="4"/>
        <w:spacing w:before="120" w:beforeLines="50" w:line="360" w:lineRule="auto"/>
        <w:rPr>
          <w:rFonts w:ascii="仿宋" w:hAnsi="仿宋" w:eastAsia="仿宋" w:cs="宋体"/>
          <w:color w:val="auto"/>
          <w:sz w:val="28"/>
          <w:szCs w:val="28"/>
        </w:rPr>
      </w:pPr>
      <w:bookmarkStart w:id="61" w:name="_Toc44937849"/>
      <w:bookmarkStart w:id="62" w:name="_Toc35393804"/>
      <w:bookmarkStart w:id="63" w:name="_Toc65830638"/>
      <w:bookmarkStart w:id="64" w:name="_Toc232004901"/>
      <w:bookmarkStart w:id="65" w:name="_Toc35393635"/>
      <w:bookmarkStart w:id="66" w:name="_Toc107502678"/>
      <w:r>
        <w:rPr>
          <w:rFonts w:hint="eastAsia" w:ascii="仿宋" w:hAnsi="仿宋" w:eastAsia="仿宋" w:cs="宋体"/>
          <w:color w:val="auto"/>
          <w:sz w:val="28"/>
          <w:szCs w:val="28"/>
        </w:rPr>
        <w:t>七、其他补充事宜</w:t>
      </w:r>
      <w:bookmarkEnd w:id="61"/>
      <w:bookmarkEnd w:id="62"/>
      <w:bookmarkEnd w:id="63"/>
      <w:bookmarkEnd w:id="64"/>
      <w:bookmarkEnd w:id="65"/>
      <w:bookmarkEnd w:id="66"/>
    </w:p>
    <w:p w14:paraId="4051A7E9">
      <w:pPr>
        <w:adjustRightInd w:val="0"/>
        <w:snapToGrid w:val="0"/>
        <w:spacing w:line="408" w:lineRule="auto"/>
        <w:ind w:firstLine="420" w:firstLineChars="200"/>
        <w:rPr>
          <w:rFonts w:ascii="仿宋" w:hAnsi="仿宋" w:eastAsia="仿宋"/>
          <w:color w:val="auto"/>
          <w:kern w:val="0"/>
          <w:sz w:val="24"/>
          <w:szCs w:val="24"/>
        </w:rPr>
      </w:pPr>
      <w:bookmarkStart w:id="67" w:name="_Toc107502679"/>
      <w:r>
        <w:rPr>
          <w:rFonts w:hint="eastAsia" w:ascii="仿宋" w:hAnsi="仿宋" w:eastAsia="仿宋"/>
          <w:color w:val="auto"/>
          <w:kern w:val="0"/>
          <w:szCs w:val="21"/>
        </w:rPr>
        <w:t>本</w:t>
      </w:r>
      <w:r>
        <w:rPr>
          <w:rFonts w:hint="eastAsia" w:ascii="仿宋" w:hAnsi="仿宋" w:eastAsia="仿宋"/>
          <w:color w:val="auto"/>
          <w:kern w:val="0"/>
          <w:sz w:val="24"/>
          <w:szCs w:val="24"/>
        </w:rPr>
        <w:t>次竞争性磋商公告同时在</w:t>
      </w:r>
      <w:bookmarkStart w:id="68" w:name="_Hlk103584912"/>
      <w:r>
        <w:rPr>
          <w:rFonts w:hint="eastAsia" w:ascii="仿宋" w:hAnsi="仿宋" w:eastAsia="仿宋" w:cs="宋体"/>
          <w:color w:val="auto"/>
          <w:kern w:val="0"/>
          <w:sz w:val="24"/>
          <w:szCs w:val="24"/>
          <w:u w:val="single"/>
        </w:rPr>
        <w:t>中国招标投标公共服务平台(http://www.cebpubservice.com/)、云采招阳专业招投标交易平台（https://www.ebidcn.com）</w:t>
      </w:r>
      <w:bookmarkEnd w:id="68"/>
      <w:r>
        <w:rPr>
          <w:rFonts w:hint="eastAsia" w:ascii="仿宋" w:hAnsi="仿宋" w:eastAsia="仿宋"/>
          <w:color w:val="auto"/>
          <w:kern w:val="0"/>
          <w:sz w:val="24"/>
          <w:szCs w:val="24"/>
        </w:rPr>
        <w:t>上发布，我方对其他网站或媒体转载的公告及公告内容不承担任何责任。</w:t>
      </w:r>
    </w:p>
    <w:p w14:paraId="4B555F96">
      <w:pPr>
        <w:pStyle w:val="4"/>
        <w:spacing w:before="120" w:beforeLines="50" w:line="360" w:lineRule="auto"/>
        <w:rPr>
          <w:rFonts w:ascii="仿宋" w:hAnsi="仿宋" w:eastAsia="仿宋" w:cs="宋体"/>
          <w:color w:val="auto"/>
          <w:sz w:val="28"/>
          <w:szCs w:val="28"/>
        </w:rPr>
      </w:pPr>
      <w:bookmarkStart w:id="69" w:name="_Toc232004902"/>
      <w:r>
        <w:rPr>
          <w:rFonts w:hint="eastAsia" w:ascii="仿宋" w:hAnsi="仿宋" w:eastAsia="仿宋" w:cs="宋体"/>
          <w:color w:val="auto"/>
          <w:sz w:val="28"/>
          <w:szCs w:val="28"/>
        </w:rPr>
        <w:t>八、凡对本次采购提出询问，请按</w:t>
      </w:r>
      <w:r>
        <w:rPr>
          <w:rFonts w:ascii="仿宋" w:hAnsi="仿宋" w:eastAsia="仿宋" w:cs="宋体"/>
          <w:color w:val="auto"/>
          <w:sz w:val="28"/>
          <w:szCs w:val="28"/>
        </w:rPr>
        <w:t>以下方式</w:t>
      </w:r>
      <w:r>
        <w:rPr>
          <w:rFonts w:hint="eastAsia" w:ascii="仿宋" w:hAnsi="仿宋" w:eastAsia="仿宋" w:cs="宋体"/>
          <w:color w:val="auto"/>
          <w:sz w:val="28"/>
          <w:szCs w:val="28"/>
        </w:rPr>
        <w:t>联系。</w:t>
      </w:r>
      <w:bookmarkEnd w:id="57"/>
      <w:bookmarkEnd w:id="58"/>
      <w:bookmarkEnd w:id="59"/>
      <w:bookmarkEnd w:id="60"/>
      <w:bookmarkEnd w:id="67"/>
      <w:bookmarkEnd w:id="69"/>
    </w:p>
    <w:p w14:paraId="3C93FF42">
      <w:pPr>
        <w:spacing w:line="408" w:lineRule="auto"/>
        <w:ind w:firstLine="480" w:firstLineChars="200"/>
        <w:rPr>
          <w:rFonts w:ascii="仿宋" w:hAnsi="仿宋" w:eastAsia="仿宋" w:cs="宋体"/>
          <w:color w:val="auto"/>
          <w:kern w:val="0"/>
          <w:sz w:val="24"/>
          <w:szCs w:val="24"/>
        </w:rPr>
      </w:pPr>
      <w:bookmarkStart w:id="70" w:name="_Toc28359096"/>
      <w:bookmarkStart w:id="71" w:name="_Toc35393637"/>
      <w:bookmarkStart w:id="72" w:name="_Toc28359019"/>
      <w:bookmarkStart w:id="73" w:name="_Toc35393806"/>
      <w:r>
        <w:rPr>
          <w:rFonts w:hint="eastAsia" w:ascii="仿宋" w:hAnsi="仿宋" w:eastAsia="仿宋" w:cs="宋体"/>
          <w:color w:val="auto"/>
          <w:kern w:val="0"/>
          <w:sz w:val="24"/>
          <w:szCs w:val="24"/>
        </w:rPr>
        <w:t>1.采购人信息</w:t>
      </w:r>
      <w:bookmarkEnd w:id="70"/>
      <w:bookmarkEnd w:id="71"/>
      <w:bookmarkEnd w:id="72"/>
      <w:bookmarkEnd w:id="73"/>
    </w:p>
    <w:p w14:paraId="71625212">
      <w:pPr>
        <w:spacing w:line="408" w:lineRule="auto"/>
        <w:ind w:firstLine="480" w:firstLineChars="200"/>
        <w:rPr>
          <w:rFonts w:ascii="仿宋" w:hAnsi="仿宋" w:eastAsia="仿宋" w:cs="宋体"/>
          <w:color w:val="auto"/>
          <w:kern w:val="0"/>
          <w:sz w:val="24"/>
          <w:szCs w:val="24"/>
        </w:rPr>
      </w:pPr>
      <w:bookmarkStart w:id="74" w:name="OLE_LINK17"/>
      <w:bookmarkStart w:id="75" w:name="OLE_LINK16"/>
      <w:r>
        <w:rPr>
          <w:rFonts w:hint="eastAsia" w:ascii="仿宋" w:hAnsi="仿宋" w:eastAsia="仿宋" w:cs="宋体"/>
          <w:color w:val="auto"/>
          <w:kern w:val="0"/>
          <w:sz w:val="24"/>
          <w:szCs w:val="24"/>
        </w:rPr>
        <w:t>采 购 人：</w:t>
      </w:r>
      <w:bookmarkStart w:id="76" w:name="OLE_LINK8"/>
      <w:bookmarkStart w:id="77" w:name="OLE_LINK3"/>
      <w:r>
        <w:rPr>
          <w:rFonts w:hint="eastAsia" w:ascii="仿宋" w:hAnsi="仿宋" w:eastAsia="仿宋" w:cs="宋体"/>
          <w:color w:val="auto"/>
          <w:kern w:val="0"/>
          <w:sz w:val="24"/>
          <w:szCs w:val="24"/>
        </w:rPr>
        <w:t>石林彝族自治县自然资源局</w:t>
      </w:r>
      <w:bookmarkEnd w:id="76"/>
      <w:bookmarkEnd w:id="77"/>
      <w:r>
        <w:rPr>
          <w:rFonts w:hint="eastAsia" w:ascii="仿宋" w:hAnsi="仿宋" w:eastAsia="仿宋" w:cs="宋体"/>
          <w:color w:val="auto"/>
          <w:kern w:val="0"/>
          <w:sz w:val="24"/>
          <w:szCs w:val="24"/>
        </w:rPr>
        <w:t>　</w:t>
      </w:r>
    </w:p>
    <w:p w14:paraId="6D45A96C">
      <w:pPr>
        <w:spacing w:line="408"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地    址：</w:t>
      </w:r>
      <w:r>
        <w:rPr>
          <w:rFonts w:hint="eastAsia" w:ascii="仿宋" w:hAnsi="仿宋" w:eastAsia="仿宋"/>
          <w:color w:val="auto"/>
          <w:sz w:val="24"/>
          <w:szCs w:val="24"/>
        </w:rPr>
        <w:t>石林彝族自治县石林大道小东山红绿灯路口</w:t>
      </w:r>
    </w:p>
    <w:p w14:paraId="01CBFE8D">
      <w:pPr>
        <w:spacing w:line="408"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联系方式：</w:t>
      </w:r>
      <w:bookmarkStart w:id="78" w:name="OLE_LINK23"/>
      <w:bookmarkStart w:id="79" w:name="OLE_LINK24"/>
      <w:r>
        <w:rPr>
          <w:rFonts w:hint="eastAsia" w:ascii="仿宋" w:hAnsi="仿宋" w:eastAsia="仿宋" w:cs="宋体"/>
          <w:color w:val="auto"/>
          <w:kern w:val="0"/>
          <w:sz w:val="24"/>
          <w:szCs w:val="24"/>
        </w:rPr>
        <w:t>妥老师</w:t>
      </w:r>
    </w:p>
    <w:p w14:paraId="52734266">
      <w:pPr>
        <w:spacing w:line="408" w:lineRule="auto"/>
        <w:ind w:firstLine="480" w:firstLineChars="200"/>
        <w:rPr>
          <w:rFonts w:ascii="仿宋" w:hAnsi="仿宋" w:eastAsia="仿宋" w:cs="宋体"/>
          <w:color w:val="auto"/>
          <w:sz w:val="24"/>
          <w:szCs w:val="24"/>
        </w:rPr>
      </w:pPr>
      <w:r>
        <w:rPr>
          <w:rFonts w:hint="eastAsia" w:ascii="仿宋" w:hAnsi="仿宋" w:eastAsia="仿宋" w:cs="宋体"/>
          <w:color w:val="auto"/>
          <w:kern w:val="0"/>
          <w:sz w:val="24"/>
          <w:szCs w:val="24"/>
        </w:rPr>
        <w:t>电    话：</w:t>
      </w:r>
      <w:bookmarkEnd w:id="78"/>
      <w:bookmarkEnd w:id="79"/>
      <w:r>
        <w:rPr>
          <w:rFonts w:ascii="仿宋" w:hAnsi="仿宋" w:eastAsia="仿宋" w:cs="宋体"/>
          <w:color w:val="auto"/>
          <w:kern w:val="0"/>
          <w:sz w:val="24"/>
          <w:szCs w:val="24"/>
        </w:rPr>
        <w:t xml:space="preserve">0871-67796623 </w:t>
      </w:r>
    </w:p>
    <w:p w14:paraId="2F65B707">
      <w:pPr>
        <w:spacing w:line="408" w:lineRule="auto"/>
        <w:rPr>
          <w:rFonts w:ascii="仿宋" w:hAnsi="仿宋" w:eastAsia="仿宋" w:cs="宋体"/>
          <w:color w:val="auto"/>
          <w:kern w:val="0"/>
          <w:sz w:val="24"/>
          <w:szCs w:val="24"/>
        </w:rPr>
      </w:pPr>
    </w:p>
    <w:p w14:paraId="4A95D28A">
      <w:pPr>
        <w:spacing w:line="408" w:lineRule="auto"/>
        <w:ind w:firstLine="480" w:firstLineChars="200"/>
        <w:rPr>
          <w:rFonts w:ascii="仿宋" w:hAnsi="仿宋" w:eastAsia="仿宋" w:cs="宋体"/>
          <w:color w:val="auto"/>
          <w:kern w:val="0"/>
          <w:sz w:val="24"/>
          <w:szCs w:val="24"/>
        </w:rPr>
      </w:pPr>
      <w:bookmarkStart w:id="80" w:name="_Toc28359020"/>
      <w:bookmarkStart w:id="81" w:name="_Toc28359097"/>
      <w:bookmarkStart w:id="82" w:name="_Toc35393807"/>
      <w:bookmarkStart w:id="83" w:name="_Toc35393638"/>
      <w:r>
        <w:rPr>
          <w:rFonts w:hint="eastAsia" w:ascii="仿宋" w:hAnsi="仿宋" w:eastAsia="仿宋" w:cs="宋体"/>
          <w:color w:val="auto"/>
          <w:kern w:val="0"/>
          <w:sz w:val="24"/>
          <w:szCs w:val="24"/>
        </w:rPr>
        <w:t>2.采购代理机构信息</w:t>
      </w:r>
      <w:bookmarkEnd w:id="80"/>
      <w:bookmarkEnd w:id="81"/>
      <w:bookmarkEnd w:id="82"/>
      <w:bookmarkEnd w:id="83"/>
    </w:p>
    <w:p w14:paraId="2930DCF2">
      <w:pPr>
        <w:spacing w:line="408"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 xml:space="preserve">采购代理机构：昆明市同力建设工程咨询有限公司 </w:t>
      </w:r>
    </w:p>
    <w:p w14:paraId="4568160E">
      <w:pPr>
        <w:spacing w:line="408"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地    址：昆明市新兴路中段霖岚国际A座913室</w:t>
      </w:r>
    </w:p>
    <w:p w14:paraId="24C41DF1">
      <w:pPr>
        <w:spacing w:line="408"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联系方式：</w:t>
      </w:r>
      <w:r>
        <w:rPr>
          <w:rFonts w:ascii="仿宋" w:hAnsi="仿宋" w:eastAsia="仿宋" w:cs="宋体"/>
          <w:color w:val="auto"/>
          <w:kern w:val="0"/>
          <w:sz w:val="24"/>
          <w:szCs w:val="24"/>
        </w:rPr>
        <w:t>郭丽、徐磊、史攀昆、陈义丹、朱杰</w:t>
      </w:r>
    </w:p>
    <w:p w14:paraId="0381AB42">
      <w:pPr>
        <w:spacing w:line="408"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电    话：0871－63114071</w:t>
      </w:r>
    </w:p>
    <w:bookmarkEnd w:id="4"/>
    <w:bookmarkEnd w:id="5"/>
    <w:bookmarkEnd w:id="6"/>
    <w:bookmarkEnd w:id="7"/>
    <w:bookmarkEnd w:id="8"/>
    <w:p w14:paraId="3437C138">
      <w:pPr>
        <w:outlineLvl w:val="0"/>
        <w:rPr>
          <w:rFonts w:ascii="仿宋" w:hAnsi="仿宋" w:eastAsia="仿宋" w:cs="宋体"/>
          <w:b/>
          <w:color w:val="auto"/>
          <w:sz w:val="36"/>
          <w:szCs w:val="36"/>
        </w:rPr>
      </w:pPr>
      <w:bookmarkStart w:id="84" w:name="_Toc450311983"/>
      <w:bookmarkStart w:id="85" w:name="_Toc30678"/>
      <w:r>
        <w:rPr>
          <w:rFonts w:ascii="仿宋" w:hAnsi="仿宋" w:eastAsia="仿宋" w:cs="宋体"/>
          <w:b/>
          <w:color w:val="auto"/>
          <w:sz w:val="36"/>
          <w:szCs w:val="36"/>
        </w:rPr>
        <w:br w:type="page"/>
      </w:r>
      <w:bookmarkEnd w:id="74"/>
      <w:bookmarkEnd w:id="75"/>
    </w:p>
    <w:p w14:paraId="4CBA5C9A">
      <w:pPr>
        <w:spacing w:line="276" w:lineRule="auto"/>
        <w:jc w:val="center"/>
        <w:outlineLvl w:val="0"/>
        <w:rPr>
          <w:rFonts w:ascii="仿宋" w:hAnsi="仿宋" w:eastAsia="仿宋" w:cs="宋体"/>
          <w:b/>
          <w:color w:val="auto"/>
          <w:sz w:val="36"/>
          <w:szCs w:val="36"/>
        </w:rPr>
      </w:pPr>
      <w:bookmarkStart w:id="86" w:name="_Toc232004903"/>
      <w:r>
        <w:rPr>
          <w:rFonts w:hint="eastAsia" w:ascii="仿宋" w:hAnsi="仿宋" w:eastAsia="仿宋" w:cs="宋体"/>
          <w:b/>
          <w:color w:val="auto"/>
          <w:sz w:val="32"/>
          <w:szCs w:val="32"/>
        </w:rPr>
        <w:t>第二章 供应商须知前附表</w:t>
      </w:r>
      <w:bookmarkEnd w:id="84"/>
      <w:bookmarkEnd w:id="85"/>
      <w:bookmarkEnd w:id="86"/>
      <w:bookmarkStart w:id="87" w:name="_Toc308530448"/>
      <w:bookmarkStart w:id="88" w:name="_Toc309030115"/>
      <w:bookmarkStart w:id="89" w:name="_Toc308530170"/>
      <w:bookmarkStart w:id="90" w:name="_Toc309029541"/>
      <w:bookmarkStart w:id="91" w:name="_Toc309030718"/>
    </w:p>
    <w:bookmarkEnd w:id="87"/>
    <w:bookmarkEnd w:id="88"/>
    <w:bookmarkEnd w:id="89"/>
    <w:bookmarkEnd w:id="90"/>
    <w:bookmarkEnd w:id="91"/>
    <w:tbl>
      <w:tblPr>
        <w:tblStyle w:val="62"/>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3"/>
        <w:gridCol w:w="1843"/>
        <w:gridCol w:w="7002"/>
      </w:tblGrid>
      <w:tr w14:paraId="5E86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743" w:type="dxa"/>
            <w:vAlign w:val="center"/>
          </w:tcPr>
          <w:p w14:paraId="72CDF84C">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序号</w:t>
            </w:r>
          </w:p>
        </w:tc>
        <w:tc>
          <w:tcPr>
            <w:tcW w:w="1843" w:type="dxa"/>
            <w:vAlign w:val="center"/>
          </w:tcPr>
          <w:p w14:paraId="71B39A81">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名称</w:t>
            </w:r>
          </w:p>
        </w:tc>
        <w:tc>
          <w:tcPr>
            <w:tcW w:w="7002" w:type="dxa"/>
            <w:vAlign w:val="center"/>
          </w:tcPr>
          <w:p w14:paraId="2C5C54F3">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内    容</w:t>
            </w:r>
          </w:p>
        </w:tc>
      </w:tr>
      <w:tr w14:paraId="5519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7" w:hRule="atLeast"/>
          <w:jc w:val="center"/>
        </w:trPr>
        <w:tc>
          <w:tcPr>
            <w:tcW w:w="743" w:type="dxa"/>
            <w:vAlign w:val="center"/>
          </w:tcPr>
          <w:p w14:paraId="6A45D539">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1.1</w:t>
            </w:r>
          </w:p>
        </w:tc>
        <w:tc>
          <w:tcPr>
            <w:tcW w:w="1843" w:type="dxa"/>
            <w:vAlign w:val="center"/>
          </w:tcPr>
          <w:p w14:paraId="57A8BEF7">
            <w:pPr>
              <w:spacing w:line="360" w:lineRule="auto"/>
              <w:ind w:firstLine="120" w:firstLineChars="50"/>
              <w:jc w:val="center"/>
              <w:rPr>
                <w:rFonts w:ascii="仿宋" w:hAnsi="仿宋" w:eastAsia="仿宋" w:cs="宋体"/>
                <w:color w:val="auto"/>
                <w:sz w:val="24"/>
                <w:szCs w:val="24"/>
              </w:rPr>
            </w:pPr>
            <w:r>
              <w:rPr>
                <w:rFonts w:hint="eastAsia" w:ascii="仿宋" w:hAnsi="仿宋" w:eastAsia="仿宋" w:cs="宋体"/>
                <w:color w:val="auto"/>
                <w:kern w:val="0"/>
                <w:sz w:val="24"/>
                <w:szCs w:val="24"/>
              </w:rPr>
              <w:t>采购人</w:t>
            </w:r>
          </w:p>
        </w:tc>
        <w:tc>
          <w:tcPr>
            <w:tcW w:w="7002" w:type="dxa"/>
            <w:vAlign w:val="center"/>
          </w:tcPr>
          <w:p w14:paraId="63FBA93F">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采 购 人：石林彝族自治县自然资源局　</w:t>
            </w:r>
          </w:p>
          <w:p w14:paraId="3FBBE7AA">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地    址：</w:t>
            </w:r>
            <w:r>
              <w:rPr>
                <w:rFonts w:hint="eastAsia" w:ascii="仿宋" w:hAnsi="仿宋" w:eastAsia="仿宋"/>
                <w:color w:val="auto"/>
                <w:sz w:val="24"/>
                <w:szCs w:val="24"/>
              </w:rPr>
              <w:t>石林彝族自治县石林大道小东山红绿灯路口</w:t>
            </w:r>
          </w:p>
          <w:p w14:paraId="5C94CC14">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联系方式：妥老师</w:t>
            </w:r>
          </w:p>
          <w:p w14:paraId="5B15656D">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电    话：</w:t>
            </w:r>
            <w:r>
              <w:rPr>
                <w:rFonts w:ascii="仿宋" w:hAnsi="仿宋" w:eastAsia="仿宋" w:cs="宋体"/>
                <w:color w:val="auto"/>
                <w:kern w:val="0"/>
                <w:sz w:val="24"/>
                <w:szCs w:val="24"/>
              </w:rPr>
              <w:t>0871-67796623</w:t>
            </w:r>
          </w:p>
        </w:tc>
      </w:tr>
      <w:tr w14:paraId="2B96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3" w:hRule="atLeast"/>
          <w:jc w:val="center"/>
        </w:trPr>
        <w:tc>
          <w:tcPr>
            <w:tcW w:w="743" w:type="dxa"/>
            <w:vAlign w:val="center"/>
          </w:tcPr>
          <w:p w14:paraId="223FCCAB">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1.2</w:t>
            </w:r>
          </w:p>
        </w:tc>
        <w:tc>
          <w:tcPr>
            <w:tcW w:w="1843" w:type="dxa"/>
            <w:vAlign w:val="center"/>
          </w:tcPr>
          <w:p w14:paraId="522B8D6C">
            <w:pPr>
              <w:spacing w:line="360" w:lineRule="auto"/>
              <w:ind w:firstLine="120" w:firstLineChars="50"/>
              <w:jc w:val="center"/>
              <w:rPr>
                <w:rFonts w:ascii="仿宋" w:hAnsi="仿宋" w:eastAsia="仿宋" w:cs="宋体"/>
                <w:color w:val="auto"/>
                <w:sz w:val="24"/>
                <w:szCs w:val="24"/>
              </w:rPr>
            </w:pPr>
            <w:r>
              <w:rPr>
                <w:rFonts w:hint="eastAsia" w:ascii="仿宋" w:hAnsi="仿宋" w:eastAsia="仿宋" w:cs="宋体"/>
                <w:color w:val="auto"/>
                <w:kern w:val="0"/>
                <w:sz w:val="24"/>
                <w:szCs w:val="24"/>
              </w:rPr>
              <w:t>采购代理机构</w:t>
            </w:r>
          </w:p>
        </w:tc>
        <w:tc>
          <w:tcPr>
            <w:tcW w:w="7002" w:type="dxa"/>
            <w:vAlign w:val="center"/>
          </w:tcPr>
          <w:p w14:paraId="72E9BCC2">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采购代理机构：昆明市同力建设工程咨询有限公司</w:t>
            </w:r>
          </w:p>
          <w:p w14:paraId="1DB8B735">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地        址：昆明市新兴路中段霖岚国际A座913室</w:t>
            </w:r>
          </w:p>
          <w:p w14:paraId="72E9F635">
            <w:pPr>
              <w:spacing w:line="360" w:lineRule="auto"/>
              <w:rPr>
                <w:rFonts w:ascii="仿宋" w:hAnsi="仿宋" w:eastAsia="仿宋" w:cs="宋体"/>
                <w:color w:val="auto"/>
                <w:kern w:val="0"/>
                <w:sz w:val="24"/>
                <w:szCs w:val="24"/>
              </w:rPr>
            </w:pPr>
            <w:r>
              <w:rPr>
                <w:rFonts w:hint="eastAsia" w:ascii="仿宋" w:hAnsi="仿宋" w:eastAsia="仿宋" w:cs="宋体"/>
                <w:color w:val="auto"/>
                <w:sz w:val="24"/>
                <w:szCs w:val="24"/>
              </w:rPr>
              <w:t>联   系   人：</w:t>
            </w:r>
            <w:r>
              <w:rPr>
                <w:rFonts w:ascii="仿宋" w:hAnsi="仿宋" w:eastAsia="仿宋" w:cs="宋体"/>
                <w:color w:val="auto"/>
                <w:kern w:val="0"/>
                <w:sz w:val="24"/>
                <w:szCs w:val="24"/>
              </w:rPr>
              <w:t>郭丽、徐磊、史攀昆、陈义丹、朱杰</w:t>
            </w:r>
          </w:p>
          <w:p w14:paraId="519176A2">
            <w:pPr>
              <w:spacing w:line="360" w:lineRule="auto"/>
              <w:rPr>
                <w:rFonts w:ascii="仿宋" w:hAnsi="仿宋" w:eastAsia="仿宋" w:cs="宋体"/>
                <w:color w:val="auto"/>
                <w:sz w:val="24"/>
                <w:szCs w:val="24"/>
              </w:rPr>
            </w:pPr>
            <w:r>
              <w:rPr>
                <w:rFonts w:hint="eastAsia" w:ascii="仿宋" w:hAnsi="仿宋" w:eastAsia="仿宋" w:cs="宋体"/>
                <w:color w:val="auto"/>
                <w:kern w:val="0"/>
                <w:sz w:val="24"/>
                <w:szCs w:val="24"/>
              </w:rPr>
              <w:t>联系方式：0871－63114071</w:t>
            </w:r>
          </w:p>
        </w:tc>
      </w:tr>
      <w:tr w14:paraId="7492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743" w:type="dxa"/>
            <w:vAlign w:val="center"/>
          </w:tcPr>
          <w:p w14:paraId="4CDC0FCE">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2.1</w:t>
            </w:r>
          </w:p>
        </w:tc>
        <w:tc>
          <w:tcPr>
            <w:tcW w:w="1843" w:type="dxa"/>
            <w:vAlign w:val="center"/>
          </w:tcPr>
          <w:p w14:paraId="3C080139">
            <w:pPr>
              <w:spacing w:line="360" w:lineRule="auto"/>
              <w:ind w:firstLine="120" w:firstLineChars="5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采购内容</w:t>
            </w:r>
          </w:p>
        </w:tc>
        <w:tc>
          <w:tcPr>
            <w:tcW w:w="7002" w:type="dxa"/>
            <w:vAlign w:val="center"/>
          </w:tcPr>
          <w:p w14:paraId="456FF3AD">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根据云南省自然资源厅办公室关于转发《涉嫌破坏耕地犯罪案件移送指引》通知相关要求，严厉打击破坏耕地犯罪行为，坚决守住耕地保护红线，做好破坏耕地案件的执法查处工作，需选取1家司法鉴定机构针对石林彝族自治县范围内的破坏耕地案件进行鉴定，出具司法鉴定意见，并根据采购人的需求无偿配合采购人处理诉讼事务，包括但不限于出庭接受质询、书面答疑、对鉴定意见进行解释说明、协助采购人准备质证材料等。最终根据采购人下达的鉴定任务按项目据实结算，合同履行期限截止或合同执行金额达到本项目预算金额止，采购人不承诺最终实际完成结算金额达到预算金额。</w:t>
            </w:r>
          </w:p>
        </w:tc>
      </w:tr>
      <w:tr w14:paraId="7153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743" w:type="dxa"/>
            <w:vAlign w:val="center"/>
          </w:tcPr>
          <w:p w14:paraId="0735A321">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2.2</w:t>
            </w:r>
          </w:p>
        </w:tc>
        <w:tc>
          <w:tcPr>
            <w:tcW w:w="1843" w:type="dxa"/>
            <w:vAlign w:val="center"/>
          </w:tcPr>
          <w:p w14:paraId="3B418052">
            <w:pPr>
              <w:spacing w:line="360" w:lineRule="auto"/>
              <w:ind w:firstLine="120" w:firstLineChars="5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资金来源</w:t>
            </w:r>
          </w:p>
        </w:tc>
        <w:tc>
          <w:tcPr>
            <w:tcW w:w="7002" w:type="dxa"/>
            <w:vAlign w:val="center"/>
          </w:tcPr>
          <w:p w14:paraId="126D1B1C">
            <w:pPr>
              <w:spacing w:line="360" w:lineRule="auto"/>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财政资金</w:t>
            </w:r>
          </w:p>
        </w:tc>
      </w:tr>
      <w:tr w14:paraId="22C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743" w:type="dxa"/>
            <w:vAlign w:val="center"/>
          </w:tcPr>
          <w:p w14:paraId="38708C04">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w:t>
            </w:r>
            <w:r>
              <w:rPr>
                <w:rFonts w:ascii="仿宋" w:hAnsi="仿宋" w:eastAsia="仿宋" w:cs="宋体"/>
                <w:color w:val="auto"/>
                <w:sz w:val="24"/>
                <w:szCs w:val="24"/>
              </w:rPr>
              <w:t>.3</w:t>
            </w:r>
          </w:p>
        </w:tc>
        <w:tc>
          <w:tcPr>
            <w:tcW w:w="1843" w:type="dxa"/>
            <w:vAlign w:val="center"/>
          </w:tcPr>
          <w:p w14:paraId="387B2540">
            <w:pPr>
              <w:spacing w:line="360" w:lineRule="auto"/>
              <w:ind w:firstLine="120" w:firstLineChars="5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采购最高限价</w:t>
            </w:r>
          </w:p>
        </w:tc>
        <w:tc>
          <w:tcPr>
            <w:tcW w:w="7002" w:type="dxa"/>
            <w:vAlign w:val="center"/>
          </w:tcPr>
          <w:p w14:paraId="15E8C5C5">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预算金额：</w:t>
            </w:r>
            <w:r>
              <w:rPr>
                <w:rFonts w:ascii="仿宋" w:hAnsi="仿宋" w:eastAsia="仿宋" w:cs="宋体"/>
                <w:color w:val="auto"/>
                <w:sz w:val="24"/>
                <w:szCs w:val="24"/>
              </w:rPr>
              <w:t>500000.00</w:t>
            </w:r>
            <w:r>
              <w:rPr>
                <w:rFonts w:hint="eastAsia" w:ascii="仿宋" w:hAnsi="仿宋" w:eastAsia="仿宋" w:cs="宋体"/>
                <w:color w:val="auto"/>
                <w:sz w:val="24"/>
                <w:szCs w:val="24"/>
              </w:rPr>
              <w:t>元（据实结算，总费用不超预算金额）</w:t>
            </w:r>
            <w:r>
              <w:rPr>
                <w:rFonts w:hint="eastAsia" w:ascii="仿宋" w:hAnsi="仿宋" w:eastAsia="仿宋" w:cs="仿宋"/>
                <w:color w:val="auto"/>
                <w:sz w:val="24"/>
                <w:szCs w:val="24"/>
              </w:rPr>
              <w:t>。</w:t>
            </w:r>
          </w:p>
        </w:tc>
      </w:tr>
      <w:tr w14:paraId="1D36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743" w:type="dxa"/>
            <w:vAlign w:val="center"/>
          </w:tcPr>
          <w:p w14:paraId="3EB7B1F6">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w:t>
            </w:r>
            <w:r>
              <w:rPr>
                <w:rFonts w:ascii="仿宋" w:hAnsi="仿宋" w:eastAsia="仿宋" w:cs="宋体"/>
                <w:color w:val="auto"/>
                <w:sz w:val="24"/>
                <w:szCs w:val="24"/>
              </w:rPr>
              <w:t>.4</w:t>
            </w:r>
          </w:p>
        </w:tc>
        <w:tc>
          <w:tcPr>
            <w:tcW w:w="1843" w:type="dxa"/>
            <w:vAlign w:val="center"/>
          </w:tcPr>
          <w:p w14:paraId="07676488">
            <w:pPr>
              <w:spacing w:line="360" w:lineRule="auto"/>
              <w:ind w:firstLine="120" w:firstLineChars="50"/>
              <w:jc w:val="center"/>
              <w:rPr>
                <w:rFonts w:ascii="仿宋" w:hAnsi="仿宋" w:eastAsia="仿宋" w:cs="宋体"/>
                <w:color w:val="auto"/>
                <w:kern w:val="0"/>
                <w:sz w:val="24"/>
                <w:szCs w:val="24"/>
              </w:rPr>
            </w:pPr>
            <w:r>
              <w:rPr>
                <w:rFonts w:hint="eastAsia" w:ascii="仿宋" w:hAnsi="仿宋" w:eastAsia="仿宋" w:cs="宋体"/>
                <w:color w:val="auto"/>
                <w:sz w:val="24"/>
                <w:szCs w:val="24"/>
              </w:rPr>
              <w:t>服务地点</w:t>
            </w:r>
          </w:p>
        </w:tc>
        <w:tc>
          <w:tcPr>
            <w:tcW w:w="7002" w:type="dxa"/>
            <w:vAlign w:val="center"/>
          </w:tcPr>
          <w:p w14:paraId="00C50ED5">
            <w:pPr>
              <w:spacing w:line="360" w:lineRule="auto"/>
              <w:jc w:val="left"/>
              <w:rPr>
                <w:rFonts w:ascii="仿宋" w:hAnsi="仿宋" w:eastAsia="仿宋" w:cs="宋体"/>
                <w:color w:val="auto"/>
                <w:kern w:val="0"/>
                <w:sz w:val="24"/>
                <w:szCs w:val="24"/>
              </w:rPr>
            </w:pPr>
            <w:r>
              <w:rPr>
                <w:rFonts w:hint="eastAsia" w:ascii="仿宋" w:hAnsi="仿宋" w:eastAsia="仿宋" w:cs="宋体"/>
                <w:color w:val="auto"/>
                <w:sz w:val="24"/>
                <w:szCs w:val="24"/>
              </w:rPr>
              <w:t>石林彝族自治县范围内采购人要求地点。</w:t>
            </w:r>
          </w:p>
        </w:tc>
      </w:tr>
      <w:tr w14:paraId="4CCD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743" w:type="dxa"/>
            <w:vAlign w:val="center"/>
          </w:tcPr>
          <w:p w14:paraId="6C1E675A">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w:t>
            </w:r>
            <w:r>
              <w:rPr>
                <w:rFonts w:ascii="仿宋" w:hAnsi="仿宋" w:eastAsia="仿宋" w:cs="宋体"/>
                <w:color w:val="auto"/>
                <w:sz w:val="24"/>
                <w:szCs w:val="24"/>
              </w:rPr>
              <w:t>5</w:t>
            </w:r>
          </w:p>
        </w:tc>
        <w:tc>
          <w:tcPr>
            <w:tcW w:w="1843" w:type="dxa"/>
            <w:vAlign w:val="center"/>
          </w:tcPr>
          <w:p w14:paraId="72AD96CD">
            <w:pPr>
              <w:autoSpaceDE w:val="0"/>
              <w:autoSpaceDN w:val="0"/>
              <w:adjustRightIn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合同履行期限</w:t>
            </w:r>
          </w:p>
        </w:tc>
        <w:tc>
          <w:tcPr>
            <w:tcW w:w="7002" w:type="dxa"/>
            <w:vAlign w:val="center"/>
          </w:tcPr>
          <w:p w14:paraId="11ABB81B">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自合同签订之日起1年（或合同执行金额达到本项目预算金额止），单项案件司法鉴定意见出具时限须满足采购人要求。</w:t>
            </w:r>
          </w:p>
        </w:tc>
      </w:tr>
      <w:tr w14:paraId="31BF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743" w:type="dxa"/>
            <w:vAlign w:val="center"/>
          </w:tcPr>
          <w:p w14:paraId="19E97A60">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w:t>
            </w:r>
            <w:r>
              <w:rPr>
                <w:rFonts w:ascii="仿宋" w:hAnsi="仿宋" w:eastAsia="仿宋" w:cs="宋体"/>
                <w:color w:val="auto"/>
                <w:sz w:val="24"/>
                <w:szCs w:val="24"/>
              </w:rPr>
              <w:t>6</w:t>
            </w:r>
          </w:p>
        </w:tc>
        <w:tc>
          <w:tcPr>
            <w:tcW w:w="1843" w:type="dxa"/>
            <w:vAlign w:val="center"/>
          </w:tcPr>
          <w:p w14:paraId="1EE18D10">
            <w:pPr>
              <w:autoSpaceDE w:val="0"/>
              <w:autoSpaceDN w:val="0"/>
              <w:adjustRightIn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质量标准</w:t>
            </w:r>
          </w:p>
        </w:tc>
        <w:tc>
          <w:tcPr>
            <w:tcW w:w="7002" w:type="dxa"/>
            <w:vAlign w:val="center"/>
          </w:tcPr>
          <w:p w14:paraId="29038453">
            <w:pPr>
              <w:spacing w:line="360" w:lineRule="auto"/>
              <w:rPr>
                <w:rFonts w:ascii="仿宋" w:hAnsi="仿宋" w:eastAsia="仿宋" w:cs="宋体"/>
                <w:color w:val="auto"/>
                <w:kern w:val="0"/>
                <w:sz w:val="24"/>
                <w:szCs w:val="24"/>
              </w:rPr>
            </w:pPr>
            <w:r>
              <w:rPr>
                <w:rFonts w:hint="eastAsia" w:ascii="仿宋" w:hAnsi="仿宋" w:eastAsia="仿宋"/>
                <w:color w:val="auto"/>
                <w:sz w:val="24"/>
                <w:szCs w:val="24"/>
              </w:rPr>
              <w:t>供应商提供的服务及成果均能满足国家、地方、行业标准及采购人需求。</w:t>
            </w:r>
          </w:p>
        </w:tc>
      </w:tr>
      <w:tr w14:paraId="1580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 w:hRule="atLeast"/>
          <w:jc w:val="center"/>
        </w:trPr>
        <w:tc>
          <w:tcPr>
            <w:tcW w:w="743" w:type="dxa"/>
            <w:vAlign w:val="center"/>
          </w:tcPr>
          <w:p w14:paraId="11363819">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3.1</w:t>
            </w:r>
          </w:p>
        </w:tc>
        <w:tc>
          <w:tcPr>
            <w:tcW w:w="1843" w:type="dxa"/>
            <w:vAlign w:val="center"/>
          </w:tcPr>
          <w:p w14:paraId="7D1F4292">
            <w:pPr>
              <w:spacing w:line="360" w:lineRule="auto"/>
              <w:ind w:firstLine="120" w:firstLineChars="50"/>
              <w:jc w:val="center"/>
              <w:rPr>
                <w:rFonts w:ascii="仿宋" w:hAnsi="仿宋" w:eastAsia="仿宋" w:cs="宋体"/>
                <w:color w:val="auto"/>
                <w:sz w:val="24"/>
                <w:szCs w:val="24"/>
              </w:rPr>
            </w:pPr>
            <w:r>
              <w:rPr>
                <w:rFonts w:hint="eastAsia" w:ascii="仿宋" w:hAnsi="仿宋" w:eastAsia="仿宋" w:cs="宋体"/>
                <w:color w:val="auto"/>
                <w:sz w:val="24"/>
                <w:szCs w:val="24"/>
              </w:rPr>
              <w:t>供应商资格要求</w:t>
            </w:r>
          </w:p>
        </w:tc>
        <w:tc>
          <w:tcPr>
            <w:tcW w:w="7002" w:type="dxa"/>
            <w:vAlign w:val="center"/>
          </w:tcPr>
          <w:p w14:paraId="1E8C4C02">
            <w:pPr>
              <w:tabs>
                <w:tab w:val="left" w:pos="5505"/>
              </w:tabs>
              <w:spacing w:line="360" w:lineRule="auto"/>
              <w:rPr>
                <w:rFonts w:ascii="仿宋" w:hAnsi="仿宋" w:eastAsia="仿宋" w:cs="宋体"/>
                <w:color w:val="auto"/>
                <w:sz w:val="24"/>
                <w:szCs w:val="24"/>
              </w:rPr>
            </w:pPr>
            <w:r>
              <w:rPr>
                <w:rFonts w:hint="eastAsia" w:ascii="仿宋" w:hAnsi="仿宋" w:eastAsia="仿宋" w:cs="宋体"/>
                <w:color w:val="auto"/>
                <w:sz w:val="24"/>
                <w:szCs w:val="24"/>
              </w:rPr>
              <w:t>符合《中华人民共和国政府采购法》第二十二条的规定：</w:t>
            </w:r>
          </w:p>
          <w:p w14:paraId="652CC42E">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（一）</w:t>
            </w:r>
            <w:r>
              <w:rPr>
                <w:rFonts w:hint="eastAsia" w:ascii="仿宋" w:hAnsi="仿宋" w:eastAsia="仿宋" w:cs="宋体"/>
                <w:b/>
                <w:color w:val="auto"/>
                <w:sz w:val="24"/>
                <w:szCs w:val="24"/>
              </w:rPr>
              <w:t>具有独立承担民事责任的能力；</w:t>
            </w:r>
          </w:p>
          <w:p w14:paraId="5AF9ABD0">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提供企业有效的法人营业执照或社团组织法人营业执照或事业单位法人证书或自然人证明材料。</w:t>
            </w:r>
          </w:p>
          <w:p w14:paraId="687A4ED1">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（二）</w:t>
            </w:r>
            <w:r>
              <w:rPr>
                <w:rFonts w:hint="eastAsia" w:ascii="仿宋" w:hAnsi="仿宋" w:eastAsia="仿宋" w:cs="宋体"/>
                <w:b/>
                <w:color w:val="auto"/>
                <w:sz w:val="24"/>
                <w:szCs w:val="24"/>
              </w:rPr>
              <w:t>具有良好的商业信誉和健全的财务会计制度；</w:t>
            </w:r>
          </w:p>
          <w:p w14:paraId="61813622">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满足下列任一要求：①提供202</w:t>
            </w:r>
            <w:r>
              <w:rPr>
                <w:rFonts w:ascii="仿宋" w:hAnsi="仿宋" w:eastAsia="仿宋" w:cs="宋体"/>
                <w:color w:val="auto"/>
                <w:sz w:val="24"/>
                <w:szCs w:val="24"/>
              </w:rPr>
              <w:t>4</w:t>
            </w:r>
            <w:r>
              <w:rPr>
                <w:rFonts w:hint="eastAsia" w:ascii="仿宋" w:hAnsi="仿宋" w:eastAsia="仿宋" w:cs="宋体"/>
                <w:color w:val="auto"/>
                <w:sz w:val="24"/>
                <w:szCs w:val="24"/>
              </w:rPr>
              <w:t>年或2</w:t>
            </w:r>
            <w:r>
              <w:rPr>
                <w:rFonts w:ascii="仿宋" w:hAnsi="仿宋" w:eastAsia="仿宋" w:cs="宋体"/>
                <w:color w:val="auto"/>
                <w:sz w:val="24"/>
                <w:szCs w:val="24"/>
              </w:rPr>
              <w:t>025</w:t>
            </w:r>
            <w:r>
              <w:rPr>
                <w:rFonts w:hint="eastAsia" w:ascii="仿宋" w:hAnsi="仿宋" w:eastAsia="仿宋" w:cs="宋体"/>
                <w:color w:val="auto"/>
                <w:sz w:val="24"/>
                <w:szCs w:val="24"/>
              </w:rPr>
              <w:t>年经第三方审计的审计报告及财务报表（包括资产负债表、利润表或损益表、现金流量表），成立不满1年的，提供自成立至今财务报表（包括资产负债表、利润表或损益表、现金流量表）；②提供响应文件提交截止时间前三个月内基本开户银行出具的资信证明文件（加盖公章）；③非营利性单位或者社会团体或者其他机关事业单位以符合财务会计制度为准或者提供承诺函；④供应商为自然人的提供承诺函（格式自拟）。</w:t>
            </w:r>
          </w:p>
          <w:p w14:paraId="19ED425C">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（三）</w:t>
            </w:r>
            <w:r>
              <w:rPr>
                <w:rFonts w:hint="eastAsia" w:ascii="仿宋" w:hAnsi="仿宋" w:eastAsia="仿宋" w:cs="宋体"/>
                <w:b/>
                <w:color w:val="auto"/>
                <w:sz w:val="24"/>
                <w:szCs w:val="24"/>
              </w:rPr>
              <w:t>具有履行合同所必需的设备和专业技术能力；</w:t>
            </w:r>
          </w:p>
          <w:p w14:paraId="79AE10F4">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提供具备履行合同所必需的设备和专业技术能力的证明材料或提供书面承诺（加盖供应商公章）。</w:t>
            </w:r>
          </w:p>
          <w:p w14:paraId="4B633B97">
            <w:pPr>
              <w:spacing w:line="360" w:lineRule="auto"/>
              <w:rPr>
                <w:rFonts w:ascii="仿宋" w:hAnsi="仿宋" w:eastAsia="仿宋" w:cs="宋体"/>
                <w:b/>
                <w:color w:val="auto"/>
                <w:sz w:val="24"/>
                <w:szCs w:val="24"/>
              </w:rPr>
            </w:pPr>
            <w:r>
              <w:rPr>
                <w:rFonts w:hint="eastAsia" w:ascii="仿宋" w:hAnsi="仿宋" w:eastAsia="仿宋" w:cs="宋体"/>
                <w:color w:val="auto"/>
                <w:sz w:val="24"/>
                <w:szCs w:val="24"/>
              </w:rPr>
              <w:t>（四）</w:t>
            </w:r>
            <w:r>
              <w:rPr>
                <w:rFonts w:hint="eastAsia" w:ascii="仿宋" w:hAnsi="仿宋" w:eastAsia="仿宋" w:cs="宋体"/>
                <w:b/>
                <w:color w:val="auto"/>
                <w:sz w:val="24"/>
                <w:szCs w:val="24"/>
              </w:rPr>
              <w:t>有依法缴纳税收和社会保障资金的良好记录；</w:t>
            </w:r>
          </w:p>
          <w:p w14:paraId="0894D707">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①提供供应商缴税所属时间在2025年01月至本项目提交响应文件截止时间前任意1个月的税务局税收通用缴款书或银行电子缴税（费）凭证或税务局出具纳税情况的相关证明；依法免税的，应提供依法免税的相关证明文件（加盖供应商公章）；至响应文件提交截止时间止成立不足1个月的供应商可提供相关情况说明（加盖供应商公章）。</w:t>
            </w:r>
          </w:p>
          <w:p w14:paraId="16BFA3A6">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②提供供应商缴费所属时间在2025年01月至本项目提交响应文件截止时间前任意1个月的社会保险费缴款书或银行电子缴税（费）凭证或社保管理部门出具的有效的缴款证明，依法免缴的，应提供依法免缴的相关证明文件（加盖供应商公章），至响应文件提交截止时间止成立不足1个月的供应商可提供相关情况说明（加盖供应商公章）。</w:t>
            </w:r>
          </w:p>
          <w:p w14:paraId="7406DD05">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（五）</w:t>
            </w:r>
            <w:r>
              <w:rPr>
                <w:rFonts w:hint="eastAsia" w:ascii="仿宋" w:hAnsi="仿宋" w:eastAsia="仿宋" w:cs="宋体"/>
                <w:b/>
                <w:color w:val="auto"/>
                <w:sz w:val="24"/>
                <w:szCs w:val="24"/>
              </w:rPr>
              <w:t>参加政府采购活动前三年内，在经营活动中没有重大违法记录；</w:t>
            </w:r>
          </w:p>
          <w:p w14:paraId="1C4BC020">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提供供应商参加政府采购活动前三年内，在经营活动中没有重大违法记录，重大违法记录，是指供应商因违法经营受到刑事处罚或者责令停产停业、吊销许可证或者执照、较大数额罚款（较大数额罚款是指200万元以上罚款）等行政处罚的书面声明（加盖供应商公章）。</w:t>
            </w:r>
          </w:p>
          <w:p w14:paraId="618B6175">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（六）</w:t>
            </w:r>
            <w:r>
              <w:rPr>
                <w:rFonts w:hint="eastAsia" w:ascii="仿宋" w:hAnsi="仿宋" w:eastAsia="仿宋" w:cs="宋体"/>
                <w:b/>
                <w:color w:val="auto"/>
                <w:sz w:val="24"/>
                <w:szCs w:val="24"/>
              </w:rPr>
              <w:t>法律、行政法规规定的其他条件</w:t>
            </w:r>
            <w:r>
              <w:rPr>
                <w:rFonts w:hint="eastAsia" w:ascii="仿宋" w:hAnsi="仿宋" w:eastAsia="仿宋" w:cs="宋体"/>
                <w:color w:val="auto"/>
                <w:sz w:val="24"/>
                <w:szCs w:val="24"/>
              </w:rPr>
              <w:t>。</w:t>
            </w:r>
          </w:p>
          <w:p w14:paraId="1FC14B65">
            <w:pPr>
              <w:spacing w:line="360" w:lineRule="auto"/>
              <w:rPr>
                <w:rFonts w:ascii="仿宋" w:hAnsi="仿宋" w:eastAsia="仿宋"/>
                <w:color w:val="auto"/>
                <w:sz w:val="24"/>
                <w:szCs w:val="24"/>
              </w:rPr>
            </w:pPr>
            <w:r>
              <w:rPr>
                <w:rFonts w:hint="eastAsia" w:ascii="仿宋" w:hAnsi="仿宋" w:eastAsia="仿宋"/>
                <w:color w:val="auto"/>
                <w:sz w:val="24"/>
                <w:szCs w:val="24"/>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供应商提供承诺函，加盖供应商公章）。</w:t>
            </w:r>
          </w:p>
          <w:p w14:paraId="3D179E1B">
            <w:pPr>
              <w:spacing w:line="360" w:lineRule="auto"/>
              <w:rPr>
                <w:rFonts w:ascii="仿宋" w:hAnsi="仿宋" w:eastAsia="仿宋" w:cs="宋体"/>
                <w:color w:val="auto"/>
                <w:sz w:val="24"/>
                <w:szCs w:val="24"/>
              </w:rPr>
            </w:pPr>
            <w:r>
              <w:rPr>
                <w:rFonts w:hint="eastAsia" w:ascii="仿宋" w:hAnsi="仿宋" w:eastAsia="仿宋"/>
                <w:color w:val="auto"/>
                <w:sz w:val="24"/>
                <w:szCs w:val="24"/>
              </w:rPr>
              <w:t>（2）</w:t>
            </w:r>
            <w:r>
              <w:rPr>
                <w:rFonts w:hint="eastAsia" w:ascii="仿宋" w:hAnsi="仿宋" w:eastAsia="仿宋" w:cs="宋体"/>
                <w:color w:val="auto"/>
                <w:sz w:val="24"/>
                <w:szCs w:val="24"/>
              </w:rPr>
              <w:t>供应商未被“信用中国”（https://www.creditchina.gov.cn/）列为“重大税收违法失信主体名单”；未被中国执行信息公开网（https://zxgk.court.gov.cn/shixin/）列为“失信被执行人”；未被中国政府采购网（https://www.ccgp.gov.cn/）列为“政府采购严重违法失信行为记录名单”。（查询结果以采购人、采购代理机构查询结果为准，采购人或采购代理机构将在响应文件提交截止时间后查询上述网站信用信息，查询结果作为证据留存）。</w:t>
            </w:r>
          </w:p>
        </w:tc>
      </w:tr>
      <w:tr w14:paraId="2D02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 w:hRule="atLeast"/>
          <w:jc w:val="center"/>
        </w:trPr>
        <w:tc>
          <w:tcPr>
            <w:tcW w:w="743" w:type="dxa"/>
            <w:vAlign w:val="center"/>
          </w:tcPr>
          <w:p w14:paraId="7058EF75">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3</w:t>
            </w:r>
            <w:r>
              <w:rPr>
                <w:rFonts w:ascii="仿宋" w:hAnsi="仿宋" w:eastAsia="仿宋" w:cs="宋体"/>
                <w:color w:val="auto"/>
                <w:sz w:val="24"/>
                <w:szCs w:val="24"/>
              </w:rPr>
              <w:t>.2</w:t>
            </w:r>
          </w:p>
        </w:tc>
        <w:tc>
          <w:tcPr>
            <w:tcW w:w="1843" w:type="dxa"/>
            <w:vAlign w:val="center"/>
          </w:tcPr>
          <w:p w14:paraId="49CC0F73">
            <w:pPr>
              <w:spacing w:line="360" w:lineRule="auto"/>
              <w:ind w:firstLine="120" w:firstLineChars="50"/>
              <w:jc w:val="center"/>
              <w:rPr>
                <w:rFonts w:ascii="仿宋" w:hAnsi="仿宋" w:eastAsia="仿宋" w:cs="宋体"/>
                <w:color w:val="auto"/>
                <w:sz w:val="24"/>
                <w:szCs w:val="24"/>
              </w:rPr>
            </w:pPr>
            <w:r>
              <w:rPr>
                <w:rFonts w:hint="eastAsia" w:ascii="仿宋" w:hAnsi="仿宋" w:eastAsia="仿宋" w:cs="宋体"/>
                <w:color w:val="auto"/>
                <w:sz w:val="24"/>
                <w:szCs w:val="24"/>
              </w:rPr>
              <w:t>落实采购政策需满足的资格要求</w:t>
            </w:r>
          </w:p>
        </w:tc>
        <w:tc>
          <w:tcPr>
            <w:tcW w:w="7002" w:type="dxa"/>
            <w:vAlign w:val="center"/>
          </w:tcPr>
          <w:p w14:paraId="2904CF75">
            <w:pPr>
              <w:spacing w:line="360" w:lineRule="auto"/>
              <w:rPr>
                <w:rFonts w:ascii="仿宋" w:hAnsi="仿宋" w:eastAsia="仿宋" w:cs="宋体"/>
                <w:b/>
                <w:bCs/>
                <w:color w:val="auto"/>
                <w:sz w:val="24"/>
                <w:szCs w:val="24"/>
              </w:rPr>
            </w:pPr>
            <w:r>
              <w:rPr>
                <w:rFonts w:hint="eastAsia" w:ascii="仿宋" w:hAnsi="仿宋" w:eastAsia="仿宋" w:cs="宋体"/>
                <w:b/>
                <w:color w:val="auto"/>
                <w:sz w:val="24"/>
                <w:szCs w:val="24"/>
              </w:rPr>
              <w:t>本项目非专门面向中小企业采购，小微企业价格扣除优惠比例：10%。</w:t>
            </w:r>
            <w:r>
              <w:rPr>
                <w:rFonts w:hint="eastAsia" w:ascii="仿宋" w:hAnsi="仿宋" w:eastAsia="仿宋" w:cs="宋体"/>
                <w:color w:val="auto"/>
                <w:sz w:val="24"/>
                <w:szCs w:val="24"/>
              </w:rPr>
              <w:t>执行《关于印发《政府采购促进中小企业发展管理办法》的通知》（财库〔2020〕46号）和《关于进一步加大政府采购支持中小企业力度的通知》（财库〔2022〕19号）、《财政部 司法部关于政府采购支持监狱企业发展有关问题的通知》（财库〔2014〕68号）、《关于促进残疾人就业政府采购政策的通知》（财库〔2017〕141号）等规定。</w:t>
            </w:r>
          </w:p>
        </w:tc>
      </w:tr>
      <w:tr w14:paraId="62FF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 w:hRule="atLeast"/>
          <w:jc w:val="center"/>
        </w:trPr>
        <w:tc>
          <w:tcPr>
            <w:tcW w:w="743" w:type="dxa"/>
            <w:vAlign w:val="center"/>
          </w:tcPr>
          <w:p w14:paraId="048A74B1">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3</w:t>
            </w:r>
            <w:r>
              <w:rPr>
                <w:rFonts w:ascii="仿宋" w:hAnsi="仿宋" w:eastAsia="仿宋" w:cs="宋体"/>
                <w:color w:val="auto"/>
                <w:sz w:val="24"/>
                <w:szCs w:val="24"/>
              </w:rPr>
              <w:t>.</w:t>
            </w:r>
            <w:r>
              <w:rPr>
                <w:rFonts w:hint="eastAsia" w:ascii="仿宋" w:hAnsi="仿宋" w:eastAsia="仿宋" w:cs="宋体"/>
                <w:color w:val="auto"/>
                <w:sz w:val="24"/>
                <w:szCs w:val="24"/>
              </w:rPr>
              <w:t>3</w:t>
            </w:r>
          </w:p>
        </w:tc>
        <w:tc>
          <w:tcPr>
            <w:tcW w:w="1843" w:type="dxa"/>
            <w:vAlign w:val="center"/>
          </w:tcPr>
          <w:p w14:paraId="01F11036">
            <w:pPr>
              <w:spacing w:line="360" w:lineRule="auto"/>
              <w:ind w:firstLine="120" w:firstLineChars="50"/>
              <w:jc w:val="center"/>
              <w:rPr>
                <w:rFonts w:ascii="仿宋" w:hAnsi="仿宋" w:eastAsia="仿宋" w:cs="宋体"/>
                <w:color w:val="auto"/>
                <w:sz w:val="24"/>
                <w:szCs w:val="24"/>
              </w:rPr>
            </w:pPr>
            <w:r>
              <w:rPr>
                <w:rFonts w:hint="eastAsia" w:ascii="仿宋" w:hAnsi="仿宋" w:eastAsia="仿宋" w:cs="宋体"/>
                <w:color w:val="auto"/>
                <w:sz w:val="24"/>
                <w:szCs w:val="24"/>
              </w:rPr>
              <w:t>本项目特定的资格要求</w:t>
            </w:r>
          </w:p>
        </w:tc>
        <w:tc>
          <w:tcPr>
            <w:tcW w:w="7002" w:type="dxa"/>
            <w:vAlign w:val="center"/>
          </w:tcPr>
          <w:p w14:paraId="497E9C86">
            <w:pPr>
              <w:spacing w:line="360" w:lineRule="auto"/>
              <w:rPr>
                <w:rFonts w:ascii="仿宋" w:hAnsi="仿宋" w:eastAsia="仿宋" w:cs="宋体"/>
                <w:color w:val="auto"/>
                <w:sz w:val="24"/>
                <w:szCs w:val="24"/>
              </w:rPr>
            </w:pPr>
            <w:r>
              <w:rPr>
                <w:rFonts w:ascii="仿宋" w:hAnsi="仿宋" w:eastAsia="仿宋" w:cs="宋体"/>
                <w:b/>
                <w:bCs/>
                <w:color w:val="auto"/>
                <w:sz w:val="24"/>
                <w:szCs w:val="24"/>
              </w:rPr>
              <w:t>供应商</w:t>
            </w:r>
            <w:r>
              <w:rPr>
                <w:rFonts w:hint="eastAsia" w:ascii="仿宋" w:hAnsi="仿宋" w:eastAsia="仿宋" w:cs="宋体"/>
                <w:b/>
                <w:bCs/>
                <w:color w:val="auto"/>
                <w:sz w:val="24"/>
                <w:szCs w:val="24"/>
              </w:rPr>
              <w:t>应具备有效的《司法鉴定许可证》，且业务范围中须包含环境损害。</w:t>
            </w:r>
          </w:p>
        </w:tc>
      </w:tr>
      <w:tr w14:paraId="2D38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743" w:type="dxa"/>
            <w:vAlign w:val="center"/>
          </w:tcPr>
          <w:p w14:paraId="0AFA396C">
            <w:pPr>
              <w:spacing w:line="360" w:lineRule="auto"/>
              <w:jc w:val="center"/>
              <w:rPr>
                <w:rFonts w:ascii="仿宋" w:hAnsi="仿宋" w:eastAsia="仿宋" w:cs="宋体"/>
                <w:color w:val="auto"/>
                <w:sz w:val="24"/>
                <w:szCs w:val="24"/>
              </w:rPr>
            </w:pPr>
            <w:r>
              <w:rPr>
                <w:rFonts w:ascii="仿宋" w:hAnsi="仿宋" w:eastAsia="仿宋" w:cs="宋体"/>
                <w:color w:val="auto"/>
                <w:sz w:val="24"/>
                <w:szCs w:val="24"/>
              </w:rPr>
              <w:t>3.</w:t>
            </w:r>
            <w:r>
              <w:rPr>
                <w:rFonts w:hint="eastAsia" w:ascii="仿宋" w:hAnsi="仿宋" w:eastAsia="仿宋" w:cs="宋体"/>
                <w:color w:val="auto"/>
                <w:sz w:val="24"/>
                <w:szCs w:val="24"/>
              </w:rPr>
              <w:t>4</w:t>
            </w:r>
          </w:p>
        </w:tc>
        <w:tc>
          <w:tcPr>
            <w:tcW w:w="1843" w:type="dxa"/>
            <w:vAlign w:val="center"/>
          </w:tcPr>
          <w:p w14:paraId="29E787C7">
            <w:pPr>
              <w:spacing w:line="360" w:lineRule="auto"/>
              <w:ind w:firstLine="120" w:firstLineChars="50"/>
              <w:jc w:val="center"/>
              <w:rPr>
                <w:rFonts w:ascii="仿宋" w:hAnsi="仿宋" w:eastAsia="仿宋" w:cs="宋体"/>
                <w:color w:val="auto"/>
                <w:sz w:val="24"/>
                <w:szCs w:val="24"/>
              </w:rPr>
            </w:pPr>
            <w:r>
              <w:rPr>
                <w:rFonts w:hint="eastAsia" w:ascii="仿宋" w:hAnsi="仿宋" w:eastAsia="仿宋" w:cs="宋体"/>
                <w:color w:val="auto"/>
                <w:sz w:val="24"/>
                <w:szCs w:val="24"/>
              </w:rPr>
              <w:t>是否接受联合体参与磋商</w:t>
            </w:r>
          </w:p>
        </w:tc>
        <w:tc>
          <w:tcPr>
            <w:tcW w:w="7002" w:type="dxa"/>
            <w:vAlign w:val="center"/>
          </w:tcPr>
          <w:p w14:paraId="04F90B92">
            <w:pPr>
              <w:tabs>
                <w:tab w:val="left" w:pos="5505"/>
              </w:tabs>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不接受。</w:t>
            </w:r>
          </w:p>
        </w:tc>
      </w:tr>
      <w:tr w14:paraId="36A1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743" w:type="dxa"/>
            <w:vAlign w:val="center"/>
          </w:tcPr>
          <w:p w14:paraId="5DBF5124">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5</w:t>
            </w:r>
          </w:p>
        </w:tc>
        <w:tc>
          <w:tcPr>
            <w:tcW w:w="1843" w:type="dxa"/>
            <w:vAlign w:val="center"/>
          </w:tcPr>
          <w:p w14:paraId="4CAC3E1B">
            <w:pPr>
              <w:spacing w:line="360" w:lineRule="auto"/>
              <w:ind w:firstLine="120" w:firstLineChars="50"/>
              <w:jc w:val="center"/>
              <w:rPr>
                <w:rFonts w:ascii="仿宋" w:hAnsi="仿宋" w:eastAsia="仿宋" w:cs="宋体"/>
                <w:color w:val="auto"/>
                <w:sz w:val="24"/>
                <w:szCs w:val="24"/>
              </w:rPr>
            </w:pPr>
            <w:r>
              <w:rPr>
                <w:rFonts w:hint="eastAsia" w:ascii="仿宋" w:hAnsi="仿宋" w:eastAsia="仿宋" w:cs="宋体"/>
                <w:color w:val="auto"/>
                <w:sz w:val="24"/>
                <w:szCs w:val="24"/>
              </w:rPr>
              <w:t>现场踏勘</w:t>
            </w:r>
          </w:p>
        </w:tc>
        <w:tc>
          <w:tcPr>
            <w:tcW w:w="7002" w:type="dxa"/>
            <w:vAlign w:val="center"/>
          </w:tcPr>
          <w:p w14:paraId="4BE93F17">
            <w:pPr>
              <w:tabs>
                <w:tab w:val="left" w:pos="5505"/>
              </w:tabs>
              <w:spacing w:line="360" w:lineRule="auto"/>
              <w:rPr>
                <w:rFonts w:ascii="仿宋" w:hAnsi="仿宋" w:eastAsia="仿宋" w:cs="宋体"/>
                <w:color w:val="auto"/>
                <w:kern w:val="0"/>
                <w:sz w:val="24"/>
              </w:rPr>
            </w:pPr>
            <w:r>
              <w:rPr>
                <w:rFonts w:hint="eastAsia" w:ascii="仿宋" w:hAnsi="仿宋" w:eastAsia="仿宋" w:cs="宋体"/>
                <w:color w:val="auto"/>
                <w:kern w:val="0"/>
                <w:sz w:val="24"/>
              </w:rPr>
              <w:t>不组织，各供应商自行考察。</w:t>
            </w:r>
          </w:p>
        </w:tc>
      </w:tr>
      <w:tr w14:paraId="27AF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743" w:type="dxa"/>
            <w:vAlign w:val="center"/>
          </w:tcPr>
          <w:p w14:paraId="2B8367B8">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6.2</w:t>
            </w:r>
          </w:p>
        </w:tc>
        <w:tc>
          <w:tcPr>
            <w:tcW w:w="1843" w:type="dxa"/>
            <w:vAlign w:val="center"/>
          </w:tcPr>
          <w:p w14:paraId="5E3076AD">
            <w:pPr>
              <w:spacing w:line="360" w:lineRule="auto"/>
              <w:ind w:firstLine="120" w:firstLineChars="50"/>
              <w:jc w:val="center"/>
              <w:rPr>
                <w:rFonts w:ascii="仿宋" w:hAnsi="仿宋" w:eastAsia="仿宋" w:cs="宋体"/>
                <w:color w:val="auto"/>
                <w:sz w:val="24"/>
                <w:szCs w:val="24"/>
              </w:rPr>
            </w:pPr>
            <w:r>
              <w:rPr>
                <w:rFonts w:hint="eastAsia" w:ascii="仿宋" w:hAnsi="仿宋" w:eastAsia="仿宋" w:cs="宋体"/>
                <w:color w:val="auto"/>
                <w:sz w:val="24"/>
                <w:szCs w:val="24"/>
              </w:rPr>
              <w:t>构成响应文件的其他文件</w:t>
            </w:r>
          </w:p>
        </w:tc>
        <w:tc>
          <w:tcPr>
            <w:tcW w:w="7002" w:type="dxa"/>
            <w:vAlign w:val="center"/>
          </w:tcPr>
          <w:p w14:paraId="33950A20">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以书面形式发出的答疑书、补遗书或通知等。</w:t>
            </w:r>
          </w:p>
        </w:tc>
      </w:tr>
      <w:tr w14:paraId="2EF9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743" w:type="dxa"/>
            <w:vAlign w:val="center"/>
          </w:tcPr>
          <w:p w14:paraId="5D056359">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7.1</w:t>
            </w:r>
          </w:p>
        </w:tc>
        <w:tc>
          <w:tcPr>
            <w:tcW w:w="1843" w:type="dxa"/>
            <w:vAlign w:val="center"/>
          </w:tcPr>
          <w:p w14:paraId="0710CBC3">
            <w:pPr>
              <w:spacing w:line="360" w:lineRule="auto"/>
              <w:ind w:firstLine="120" w:firstLineChars="50"/>
              <w:jc w:val="center"/>
              <w:rPr>
                <w:rFonts w:ascii="仿宋" w:hAnsi="仿宋" w:eastAsia="仿宋" w:cs="宋体"/>
                <w:color w:val="auto"/>
                <w:sz w:val="24"/>
                <w:szCs w:val="24"/>
              </w:rPr>
            </w:pPr>
            <w:r>
              <w:rPr>
                <w:rFonts w:hint="eastAsia" w:ascii="仿宋" w:hAnsi="仿宋" w:eastAsia="仿宋" w:cs="宋体"/>
                <w:color w:val="auto"/>
                <w:sz w:val="24"/>
                <w:szCs w:val="24"/>
              </w:rPr>
              <w:t>供应商提出问题的截止时间</w:t>
            </w:r>
          </w:p>
        </w:tc>
        <w:tc>
          <w:tcPr>
            <w:tcW w:w="7002" w:type="dxa"/>
            <w:vAlign w:val="center"/>
          </w:tcPr>
          <w:p w14:paraId="1F409147">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递交响应文件截止之日5日前，以书面形式提出。</w:t>
            </w:r>
          </w:p>
        </w:tc>
      </w:tr>
      <w:tr w14:paraId="087C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743" w:type="dxa"/>
            <w:vAlign w:val="center"/>
          </w:tcPr>
          <w:p w14:paraId="380CA68C">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7</w:t>
            </w:r>
            <w:r>
              <w:rPr>
                <w:rFonts w:ascii="仿宋" w:hAnsi="仿宋" w:eastAsia="仿宋" w:cs="宋体"/>
                <w:color w:val="auto"/>
                <w:sz w:val="24"/>
                <w:szCs w:val="24"/>
              </w:rPr>
              <w:t>.2</w:t>
            </w:r>
          </w:p>
        </w:tc>
        <w:tc>
          <w:tcPr>
            <w:tcW w:w="1843" w:type="dxa"/>
          </w:tcPr>
          <w:p w14:paraId="0EC01BF5">
            <w:pPr>
              <w:spacing w:line="360" w:lineRule="auto"/>
              <w:ind w:firstLine="120" w:firstLineChars="50"/>
              <w:jc w:val="center"/>
              <w:rPr>
                <w:rFonts w:ascii="仿宋" w:hAnsi="仿宋" w:eastAsia="仿宋" w:cs="宋体"/>
                <w:color w:val="auto"/>
                <w:sz w:val="24"/>
                <w:szCs w:val="24"/>
              </w:rPr>
            </w:pPr>
            <w:r>
              <w:rPr>
                <w:rFonts w:hint="eastAsia" w:ascii="仿宋" w:hAnsi="仿宋" w:eastAsia="仿宋" w:cs="宋体"/>
                <w:color w:val="auto"/>
                <w:sz w:val="24"/>
                <w:szCs w:val="24"/>
              </w:rPr>
              <w:t>采购人澄清的时间和方法</w:t>
            </w:r>
          </w:p>
        </w:tc>
        <w:tc>
          <w:tcPr>
            <w:tcW w:w="7002" w:type="dxa"/>
            <w:vAlign w:val="center"/>
          </w:tcPr>
          <w:p w14:paraId="49A37563">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递交响应文件截止之日5日前，以书面形式向所有供应商发出。</w:t>
            </w:r>
          </w:p>
        </w:tc>
      </w:tr>
      <w:tr w14:paraId="0004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743" w:type="dxa"/>
            <w:vAlign w:val="center"/>
          </w:tcPr>
          <w:p w14:paraId="1092C5F4">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9.4</w:t>
            </w:r>
          </w:p>
        </w:tc>
        <w:tc>
          <w:tcPr>
            <w:tcW w:w="1843" w:type="dxa"/>
            <w:vAlign w:val="center"/>
          </w:tcPr>
          <w:p w14:paraId="6D5992CC">
            <w:pPr>
              <w:spacing w:line="360" w:lineRule="auto"/>
              <w:ind w:firstLine="120" w:firstLineChars="50"/>
              <w:jc w:val="center"/>
              <w:rPr>
                <w:rFonts w:ascii="仿宋" w:hAnsi="仿宋" w:eastAsia="仿宋" w:cs="宋体"/>
                <w:color w:val="auto"/>
                <w:sz w:val="24"/>
                <w:szCs w:val="24"/>
              </w:rPr>
            </w:pPr>
            <w:r>
              <w:rPr>
                <w:rFonts w:hint="eastAsia" w:ascii="仿宋" w:hAnsi="仿宋" w:eastAsia="仿宋" w:cs="宋体"/>
                <w:color w:val="auto"/>
                <w:sz w:val="24"/>
                <w:szCs w:val="24"/>
              </w:rPr>
              <w:t>盖章要求</w:t>
            </w:r>
          </w:p>
        </w:tc>
        <w:tc>
          <w:tcPr>
            <w:tcW w:w="7002" w:type="dxa"/>
            <w:vAlign w:val="center"/>
          </w:tcPr>
          <w:p w14:paraId="1A191587">
            <w:pPr>
              <w:spacing w:line="360" w:lineRule="auto"/>
              <w:rPr>
                <w:rFonts w:ascii="仿宋" w:hAnsi="仿宋" w:eastAsia="仿宋" w:cs="宋体"/>
                <w:b/>
                <w:color w:val="auto"/>
                <w:sz w:val="24"/>
                <w:szCs w:val="24"/>
              </w:rPr>
            </w:pPr>
            <w:r>
              <w:rPr>
                <w:rFonts w:hint="eastAsia" w:ascii="仿宋" w:hAnsi="仿宋" w:eastAsia="仿宋" w:cs="宋体"/>
                <w:color w:val="auto"/>
                <w:sz w:val="24"/>
                <w:szCs w:val="24"/>
              </w:rPr>
              <w:t>响应文件内明确需盖章的位置必须盖章。</w:t>
            </w:r>
          </w:p>
        </w:tc>
      </w:tr>
      <w:tr w14:paraId="1F61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43" w:type="dxa"/>
            <w:vAlign w:val="center"/>
          </w:tcPr>
          <w:p w14:paraId="25D4582F">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9.5</w:t>
            </w:r>
          </w:p>
        </w:tc>
        <w:tc>
          <w:tcPr>
            <w:tcW w:w="1843" w:type="dxa"/>
            <w:vAlign w:val="center"/>
          </w:tcPr>
          <w:p w14:paraId="0E71C1B0">
            <w:pPr>
              <w:spacing w:line="360" w:lineRule="auto"/>
              <w:ind w:firstLine="120" w:firstLineChars="50"/>
              <w:jc w:val="center"/>
              <w:rPr>
                <w:rFonts w:ascii="仿宋" w:hAnsi="仿宋" w:eastAsia="仿宋" w:cs="宋体"/>
                <w:color w:val="auto"/>
                <w:sz w:val="24"/>
                <w:szCs w:val="24"/>
              </w:rPr>
            </w:pPr>
            <w:r>
              <w:rPr>
                <w:rFonts w:hint="eastAsia" w:ascii="仿宋" w:hAnsi="仿宋" w:eastAsia="仿宋" w:cs="宋体"/>
                <w:color w:val="auto"/>
                <w:sz w:val="24"/>
                <w:szCs w:val="24"/>
              </w:rPr>
              <w:t>响应文件份数</w:t>
            </w:r>
          </w:p>
        </w:tc>
        <w:tc>
          <w:tcPr>
            <w:tcW w:w="7002" w:type="dxa"/>
            <w:vAlign w:val="center"/>
          </w:tcPr>
          <w:p w14:paraId="27EF4A4D">
            <w:pPr>
              <w:spacing w:line="360" w:lineRule="auto"/>
              <w:rPr>
                <w:rFonts w:ascii="仿宋" w:hAnsi="仿宋" w:eastAsia="仿宋" w:cs="宋体"/>
                <w:b/>
                <w:color w:val="auto"/>
                <w:sz w:val="24"/>
                <w:szCs w:val="24"/>
              </w:rPr>
            </w:pPr>
            <w:r>
              <w:rPr>
                <w:rFonts w:hint="eastAsia" w:ascii="仿宋" w:hAnsi="仿宋" w:eastAsia="仿宋" w:cs="宋体"/>
                <w:bCs/>
                <w:color w:val="auto"/>
                <w:sz w:val="24"/>
                <w:szCs w:val="24"/>
              </w:rPr>
              <w:t>响应文件正本壹份，副本壹份；电子版响应文件壹份（供应商须将竞争性磋商文件的正本签字盖章完成后扫描为PDF格式拷贝在U盘中）。</w:t>
            </w:r>
          </w:p>
        </w:tc>
      </w:tr>
      <w:tr w14:paraId="2294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43" w:type="dxa"/>
            <w:vAlign w:val="center"/>
          </w:tcPr>
          <w:p w14:paraId="6CCE942F">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10</w:t>
            </w:r>
            <w:r>
              <w:rPr>
                <w:rFonts w:ascii="仿宋" w:hAnsi="仿宋" w:eastAsia="仿宋" w:cs="宋体"/>
                <w:color w:val="auto"/>
                <w:sz w:val="24"/>
                <w:szCs w:val="24"/>
              </w:rPr>
              <w:t>.</w:t>
            </w:r>
            <w:r>
              <w:rPr>
                <w:rFonts w:hint="eastAsia" w:ascii="仿宋" w:hAnsi="仿宋" w:eastAsia="仿宋" w:cs="宋体"/>
                <w:color w:val="auto"/>
                <w:sz w:val="24"/>
                <w:szCs w:val="24"/>
              </w:rPr>
              <w:t>1</w:t>
            </w:r>
          </w:p>
        </w:tc>
        <w:tc>
          <w:tcPr>
            <w:tcW w:w="1843" w:type="dxa"/>
            <w:vAlign w:val="center"/>
          </w:tcPr>
          <w:p w14:paraId="4E074278">
            <w:pPr>
              <w:spacing w:line="360" w:lineRule="auto"/>
              <w:jc w:val="center"/>
              <w:rPr>
                <w:rFonts w:ascii="仿宋" w:hAnsi="仿宋" w:eastAsia="仿宋" w:cs="宋体"/>
                <w:color w:val="auto"/>
                <w:sz w:val="24"/>
                <w:szCs w:val="24"/>
              </w:rPr>
            </w:pPr>
            <w:r>
              <w:rPr>
                <w:rFonts w:hint="eastAsia" w:ascii="仿宋" w:hAnsi="仿宋" w:eastAsia="仿宋" w:cs="宋体"/>
                <w:color w:val="auto"/>
                <w:kern w:val="0"/>
                <w:sz w:val="24"/>
              </w:rPr>
              <w:t>报价方式</w:t>
            </w:r>
          </w:p>
        </w:tc>
        <w:tc>
          <w:tcPr>
            <w:tcW w:w="7002" w:type="dxa"/>
            <w:vAlign w:val="center"/>
          </w:tcPr>
          <w:p w14:paraId="3595E718">
            <w:pPr>
              <w:spacing w:line="360" w:lineRule="auto"/>
              <w:rPr>
                <w:rFonts w:ascii="仿宋" w:hAnsi="仿宋" w:eastAsia="仿宋" w:cs="宋体"/>
                <w:b/>
                <w:bCs/>
                <w:color w:val="auto"/>
                <w:sz w:val="24"/>
                <w:szCs w:val="24"/>
              </w:rPr>
            </w:pPr>
            <w:r>
              <w:rPr>
                <w:rFonts w:hint="eastAsia" w:ascii="仿宋" w:hAnsi="仿宋" w:eastAsia="仿宋" w:cs="宋体"/>
                <w:b/>
                <w:bCs/>
                <w:color w:val="auto"/>
                <w:sz w:val="24"/>
                <w:szCs w:val="24"/>
              </w:rPr>
              <w:t>1、本项目磋商报价采用固定综合单价的方式进行报价，由供应商根据竞争性磋商文件中提供的相关资料和有关要求，综合考虑各种风险，结合自身条件进行如下磋商报价填报：</w:t>
            </w:r>
          </w:p>
          <w:p w14:paraId="7889D59E">
            <w:pPr>
              <w:spacing w:line="360" w:lineRule="auto"/>
              <w:rPr>
                <w:rFonts w:ascii="仿宋" w:hAnsi="仿宋" w:eastAsia="仿宋" w:cs="宋体"/>
                <w:b/>
                <w:bCs/>
                <w:color w:val="auto"/>
                <w:sz w:val="24"/>
                <w:szCs w:val="24"/>
              </w:rPr>
            </w:pPr>
            <w:r>
              <w:rPr>
                <w:rFonts w:hint="eastAsia" w:ascii="仿宋" w:hAnsi="仿宋" w:eastAsia="仿宋" w:cs="宋体"/>
                <w:b/>
                <w:bCs/>
                <w:color w:val="auto"/>
                <w:sz w:val="24"/>
                <w:szCs w:val="24"/>
              </w:rPr>
              <w:t>（1）基础单价控制价为：7200.</w:t>
            </w:r>
            <w:r>
              <w:rPr>
                <w:rFonts w:ascii="仿宋" w:hAnsi="仿宋" w:eastAsia="仿宋" w:cs="宋体"/>
                <w:b/>
                <w:bCs/>
                <w:color w:val="auto"/>
                <w:sz w:val="24"/>
                <w:szCs w:val="24"/>
              </w:rPr>
              <w:t>00</w:t>
            </w:r>
            <w:r>
              <w:rPr>
                <w:rFonts w:hint="eastAsia" w:ascii="仿宋" w:hAnsi="仿宋" w:eastAsia="仿宋" w:cs="宋体"/>
                <w:b/>
                <w:bCs/>
                <w:color w:val="auto"/>
                <w:sz w:val="24"/>
                <w:szCs w:val="24"/>
              </w:rPr>
              <w:t>元/件；</w:t>
            </w:r>
          </w:p>
          <w:p w14:paraId="797C28B5">
            <w:pPr>
              <w:spacing w:line="360" w:lineRule="auto"/>
              <w:rPr>
                <w:rFonts w:ascii="仿宋" w:hAnsi="仿宋" w:eastAsia="仿宋" w:cs="宋体"/>
                <w:b/>
                <w:bCs/>
                <w:color w:val="auto"/>
                <w:sz w:val="24"/>
                <w:szCs w:val="24"/>
              </w:rPr>
            </w:pPr>
            <w:r>
              <w:rPr>
                <w:rFonts w:hint="eastAsia" w:ascii="仿宋" w:hAnsi="仿宋" w:eastAsia="仿宋" w:cs="宋体"/>
                <w:b/>
                <w:bCs/>
                <w:color w:val="auto"/>
                <w:sz w:val="24"/>
                <w:szCs w:val="24"/>
              </w:rPr>
              <w:t>（2）增量单价控制价为：</w:t>
            </w:r>
            <w:r>
              <w:rPr>
                <w:rFonts w:ascii="仿宋" w:hAnsi="仿宋" w:eastAsia="仿宋" w:cs="宋体"/>
                <w:b/>
                <w:bCs/>
                <w:color w:val="auto"/>
                <w:sz w:val="24"/>
                <w:szCs w:val="24"/>
              </w:rPr>
              <w:t>110</w:t>
            </w:r>
            <w:r>
              <w:rPr>
                <w:rFonts w:hint="eastAsia" w:ascii="仿宋" w:hAnsi="仿宋" w:eastAsia="仿宋" w:cs="宋体"/>
                <w:b/>
                <w:bCs/>
                <w:color w:val="auto"/>
                <w:sz w:val="24"/>
                <w:szCs w:val="24"/>
              </w:rPr>
              <w:t>.</w:t>
            </w:r>
            <w:r>
              <w:rPr>
                <w:rFonts w:ascii="仿宋" w:hAnsi="仿宋" w:eastAsia="仿宋" w:cs="宋体"/>
                <w:b/>
                <w:bCs/>
                <w:color w:val="auto"/>
                <w:sz w:val="24"/>
                <w:szCs w:val="24"/>
              </w:rPr>
              <w:t>00</w:t>
            </w:r>
            <w:r>
              <w:rPr>
                <w:rFonts w:hint="eastAsia" w:ascii="仿宋" w:hAnsi="仿宋" w:eastAsia="仿宋" w:cs="宋体"/>
                <w:b/>
                <w:bCs/>
                <w:color w:val="auto"/>
                <w:sz w:val="24"/>
                <w:szCs w:val="24"/>
              </w:rPr>
              <w:t xml:space="preserve">元/亩（鉴定总面积不足一亩按一亩计算），供应商所报各项磋商报价不得高于以上对应单价控制价，否则按无效响应处理。  </w:t>
            </w:r>
          </w:p>
          <w:p w14:paraId="38558136">
            <w:pPr>
              <w:spacing w:line="360" w:lineRule="auto"/>
              <w:rPr>
                <w:rFonts w:ascii="仿宋" w:hAnsi="仿宋" w:eastAsia="仿宋" w:cs="宋体"/>
                <w:b/>
                <w:bCs/>
                <w:color w:val="auto"/>
                <w:sz w:val="24"/>
                <w:szCs w:val="24"/>
              </w:rPr>
            </w:pPr>
            <w:r>
              <w:rPr>
                <w:rFonts w:hint="eastAsia" w:ascii="仿宋" w:hAnsi="仿宋" w:eastAsia="仿宋" w:cs="宋体"/>
                <w:b/>
                <w:bCs/>
                <w:color w:val="auto"/>
                <w:sz w:val="24"/>
                <w:szCs w:val="24"/>
              </w:rPr>
              <w:t>2、单项案件鉴定服务费=成交基础单价+鉴定总面积×成交增量单价，按实际情况据实结算。</w:t>
            </w:r>
          </w:p>
          <w:p w14:paraId="1F631DB3">
            <w:pPr>
              <w:spacing w:line="360" w:lineRule="auto"/>
              <w:rPr>
                <w:rFonts w:ascii="仿宋" w:hAnsi="仿宋" w:eastAsia="仿宋" w:cs="宋体"/>
                <w:b/>
                <w:bCs/>
                <w:color w:val="auto"/>
                <w:sz w:val="24"/>
                <w:szCs w:val="24"/>
              </w:rPr>
            </w:pPr>
            <w:r>
              <w:rPr>
                <w:rFonts w:hint="eastAsia" w:ascii="仿宋" w:hAnsi="仿宋" w:eastAsia="仿宋" w:cs="宋体"/>
                <w:b/>
                <w:bCs/>
                <w:color w:val="auto"/>
                <w:sz w:val="24"/>
                <w:szCs w:val="24"/>
              </w:rPr>
              <w:t>3、最终服务费结算时，以经采购人确认的案件鉴定数量及鉴定面积结合成交固定综合单价据实进行结算。</w:t>
            </w:r>
          </w:p>
          <w:p w14:paraId="17801E61">
            <w:pPr>
              <w:spacing w:line="360" w:lineRule="auto"/>
              <w:rPr>
                <w:rFonts w:ascii="仿宋" w:hAnsi="仿宋" w:eastAsia="仿宋" w:cs="宋体"/>
                <w:b/>
                <w:bCs/>
                <w:color w:val="auto"/>
                <w:sz w:val="24"/>
                <w:szCs w:val="24"/>
              </w:rPr>
            </w:pPr>
            <w:r>
              <w:rPr>
                <w:rFonts w:hint="eastAsia" w:ascii="仿宋" w:hAnsi="仿宋" w:eastAsia="仿宋" w:cs="宋体"/>
                <w:b/>
                <w:bCs/>
                <w:color w:val="auto"/>
                <w:sz w:val="24"/>
                <w:szCs w:val="24"/>
              </w:rPr>
              <w:t>注：采购人不承诺供应商最终实际完成结算金额达到预算金额，在合同有效期内，累计结算支付金额不超过预算金额</w:t>
            </w:r>
            <w:r>
              <w:rPr>
                <w:rFonts w:ascii="仿宋" w:hAnsi="仿宋" w:eastAsia="仿宋" w:cs="宋体"/>
                <w:b/>
                <w:bCs/>
                <w:color w:val="auto"/>
                <w:sz w:val="24"/>
                <w:szCs w:val="24"/>
              </w:rPr>
              <w:t>50</w:t>
            </w:r>
            <w:r>
              <w:rPr>
                <w:rFonts w:hint="eastAsia" w:ascii="仿宋" w:hAnsi="仿宋" w:eastAsia="仿宋" w:cs="宋体"/>
                <w:b/>
                <w:bCs/>
                <w:color w:val="auto"/>
                <w:sz w:val="24"/>
                <w:szCs w:val="24"/>
              </w:rPr>
              <w:t>万元。累计结算金额达到预算金额的，合同履行完毕，权利义务终止。</w:t>
            </w:r>
          </w:p>
          <w:p w14:paraId="3C32B89B">
            <w:pPr>
              <w:spacing w:line="360" w:lineRule="auto"/>
              <w:rPr>
                <w:rFonts w:ascii="仿宋" w:hAnsi="仿宋" w:eastAsia="仿宋" w:cs="宋体"/>
                <w:b/>
                <w:bCs/>
                <w:color w:val="auto"/>
                <w:sz w:val="24"/>
                <w:szCs w:val="24"/>
              </w:rPr>
            </w:pPr>
            <w:r>
              <w:rPr>
                <w:rFonts w:ascii="仿宋" w:hAnsi="仿宋" w:eastAsia="仿宋" w:cs="宋体"/>
                <w:b/>
                <w:bCs/>
                <w:color w:val="auto"/>
                <w:sz w:val="24"/>
                <w:szCs w:val="24"/>
              </w:rPr>
              <w:t>4</w:t>
            </w:r>
            <w:r>
              <w:rPr>
                <w:rFonts w:hint="eastAsia" w:ascii="仿宋" w:hAnsi="仿宋" w:eastAsia="仿宋" w:cs="宋体"/>
                <w:b/>
                <w:bCs/>
                <w:color w:val="auto"/>
                <w:sz w:val="24"/>
                <w:szCs w:val="24"/>
              </w:rPr>
              <w:t>、磋商报价应包括完成本项目竞争性磋商文件及合同约定的所有工作内容所发生的全部费用（包含但不限于设备、耗材费、人员工资、福利、社会保障、保险、工伤、差旅费、税费及服务期间所可能发生的一切费用）。供应商需充分考虑各种不确定因素进行报价，包括人员工资调整、市场风险、政策性风险等因素。合同履行过程中，固定综合单价不作调整，采购人将不再支付任何其他费用。</w:t>
            </w:r>
          </w:p>
        </w:tc>
      </w:tr>
      <w:tr w14:paraId="6075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743" w:type="dxa"/>
            <w:vAlign w:val="center"/>
          </w:tcPr>
          <w:p w14:paraId="645D63DF">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w:t>
            </w:r>
            <w:r>
              <w:rPr>
                <w:rFonts w:ascii="仿宋" w:hAnsi="仿宋" w:eastAsia="仿宋" w:cs="宋体"/>
                <w:color w:val="auto"/>
                <w:sz w:val="24"/>
                <w:szCs w:val="24"/>
              </w:rPr>
              <w:t>0.</w:t>
            </w:r>
            <w:r>
              <w:rPr>
                <w:rFonts w:hint="eastAsia" w:ascii="仿宋" w:hAnsi="仿宋" w:eastAsia="仿宋" w:cs="宋体"/>
                <w:color w:val="auto"/>
                <w:sz w:val="24"/>
                <w:szCs w:val="24"/>
              </w:rPr>
              <w:t>5</w:t>
            </w:r>
          </w:p>
        </w:tc>
        <w:tc>
          <w:tcPr>
            <w:tcW w:w="1843" w:type="dxa"/>
            <w:vAlign w:val="center"/>
          </w:tcPr>
          <w:p w14:paraId="02CEABE3">
            <w:pPr>
              <w:spacing w:line="360" w:lineRule="auto"/>
              <w:jc w:val="center"/>
              <w:rPr>
                <w:rFonts w:ascii="仿宋" w:hAnsi="仿宋" w:eastAsia="仿宋" w:cs="宋体"/>
                <w:color w:val="auto"/>
                <w:kern w:val="0"/>
                <w:sz w:val="24"/>
              </w:rPr>
            </w:pPr>
            <w:r>
              <w:rPr>
                <w:rFonts w:hint="eastAsia" w:ascii="仿宋" w:hAnsi="仿宋" w:eastAsia="仿宋" w:cs="宋体"/>
                <w:color w:val="auto"/>
                <w:kern w:val="0"/>
                <w:sz w:val="24"/>
              </w:rPr>
              <w:t>二次报价</w:t>
            </w:r>
          </w:p>
        </w:tc>
        <w:tc>
          <w:tcPr>
            <w:tcW w:w="7002" w:type="dxa"/>
            <w:vAlign w:val="center"/>
          </w:tcPr>
          <w:p w14:paraId="15EA9AF4">
            <w:pPr>
              <w:spacing w:line="460" w:lineRule="exact"/>
              <w:rPr>
                <w:rFonts w:ascii="仿宋" w:hAnsi="仿宋" w:eastAsia="仿宋" w:cs="宋体"/>
                <w:b/>
                <w:color w:val="auto"/>
                <w:sz w:val="24"/>
                <w:szCs w:val="24"/>
              </w:rPr>
            </w:pPr>
            <w:r>
              <w:rPr>
                <w:rFonts w:hint="eastAsia" w:ascii="仿宋" w:hAnsi="仿宋" w:eastAsia="仿宋" w:cs="宋体"/>
                <w:b/>
                <w:color w:val="auto"/>
                <w:sz w:val="24"/>
                <w:szCs w:val="24"/>
              </w:rPr>
              <w:t>本次报价采用两轮报价，所有供应商的首次报价均不进行当众宣读及公布，二次报价将由通过资格审查及符合性评审的供应商现场填报，并盖章、签字确认。</w:t>
            </w:r>
          </w:p>
        </w:tc>
      </w:tr>
      <w:tr w14:paraId="4A0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743" w:type="dxa"/>
            <w:vAlign w:val="center"/>
          </w:tcPr>
          <w:p w14:paraId="5D3F4C3F">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11</w:t>
            </w:r>
          </w:p>
        </w:tc>
        <w:tc>
          <w:tcPr>
            <w:tcW w:w="1843" w:type="dxa"/>
            <w:vAlign w:val="center"/>
          </w:tcPr>
          <w:p w14:paraId="7BDAA0EC">
            <w:pPr>
              <w:pStyle w:val="55"/>
              <w:spacing w:before="0" w:beforeAutospacing="0" w:after="0" w:afterAutospacing="0" w:line="360" w:lineRule="auto"/>
              <w:jc w:val="center"/>
              <w:rPr>
                <w:rFonts w:ascii="仿宋" w:hAnsi="仿宋" w:eastAsia="仿宋"/>
                <w:color w:val="auto"/>
              </w:rPr>
            </w:pPr>
            <w:r>
              <w:rPr>
                <w:rFonts w:hint="eastAsia" w:ascii="仿宋" w:hAnsi="仿宋" w:eastAsia="仿宋"/>
                <w:color w:val="auto"/>
              </w:rPr>
              <w:t>磋商有效期</w:t>
            </w:r>
          </w:p>
        </w:tc>
        <w:tc>
          <w:tcPr>
            <w:tcW w:w="7002" w:type="dxa"/>
            <w:vAlign w:val="center"/>
          </w:tcPr>
          <w:p w14:paraId="6110B343">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提交首次响应文件截止之日起90日历天。</w:t>
            </w:r>
          </w:p>
        </w:tc>
      </w:tr>
      <w:tr w14:paraId="0BF7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743" w:type="dxa"/>
            <w:vAlign w:val="center"/>
          </w:tcPr>
          <w:p w14:paraId="7E12B801">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12</w:t>
            </w:r>
          </w:p>
        </w:tc>
        <w:tc>
          <w:tcPr>
            <w:tcW w:w="1843" w:type="dxa"/>
            <w:vAlign w:val="center"/>
          </w:tcPr>
          <w:p w14:paraId="1F53EC98">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磋商保证金</w:t>
            </w:r>
          </w:p>
        </w:tc>
        <w:tc>
          <w:tcPr>
            <w:tcW w:w="7002" w:type="dxa"/>
            <w:vAlign w:val="center"/>
          </w:tcPr>
          <w:p w14:paraId="6840CEC3">
            <w:pPr>
              <w:spacing w:line="360" w:lineRule="auto"/>
              <w:rPr>
                <w:rFonts w:ascii="仿宋" w:hAnsi="仿宋" w:eastAsia="仿宋" w:cs="宋体"/>
                <w:color w:val="auto"/>
                <w:sz w:val="24"/>
                <w:szCs w:val="24"/>
              </w:rPr>
            </w:pPr>
            <w:r>
              <w:rPr>
                <w:rFonts w:hint="eastAsia" w:ascii="仿宋" w:hAnsi="仿宋" w:eastAsia="仿宋" w:cs="宋体"/>
                <w:color w:val="auto"/>
                <w:kern w:val="0"/>
                <w:sz w:val="24"/>
              </w:rPr>
              <w:t>为贯彻落实进一步深化“放管服”改革，持续推进营商环境优化提升，减轻潜在供应商负担，降低成本，激发市场活力，本项目不收取磋商保证金。</w:t>
            </w:r>
          </w:p>
        </w:tc>
      </w:tr>
      <w:tr w14:paraId="3A35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43" w:type="dxa"/>
            <w:vAlign w:val="center"/>
          </w:tcPr>
          <w:p w14:paraId="51EB0163">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13.1</w:t>
            </w:r>
          </w:p>
        </w:tc>
        <w:tc>
          <w:tcPr>
            <w:tcW w:w="1843" w:type="dxa"/>
            <w:vAlign w:val="center"/>
          </w:tcPr>
          <w:p w14:paraId="381C2D00">
            <w:pPr>
              <w:pStyle w:val="55"/>
              <w:spacing w:before="0" w:beforeAutospacing="0" w:after="0" w:afterAutospacing="0" w:line="360" w:lineRule="auto"/>
              <w:ind w:left="120" w:leftChars="57"/>
              <w:jc w:val="center"/>
              <w:rPr>
                <w:rFonts w:ascii="仿宋" w:hAnsi="仿宋" w:eastAsia="仿宋"/>
                <w:color w:val="auto"/>
              </w:rPr>
            </w:pPr>
            <w:r>
              <w:rPr>
                <w:rFonts w:hint="eastAsia" w:ascii="仿宋" w:hAnsi="仿宋" w:eastAsia="仿宋"/>
                <w:color w:val="auto"/>
              </w:rPr>
              <w:t>响应文件递交截止时间</w:t>
            </w:r>
          </w:p>
        </w:tc>
        <w:tc>
          <w:tcPr>
            <w:tcW w:w="7002" w:type="dxa"/>
            <w:vAlign w:val="center"/>
          </w:tcPr>
          <w:p w14:paraId="3696B6B7">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递交截止时间：</w:t>
            </w:r>
            <w:r>
              <w:rPr>
                <w:rFonts w:hint="eastAsia" w:ascii="仿宋" w:hAnsi="仿宋" w:eastAsia="仿宋"/>
                <w:b/>
                <w:bCs/>
                <w:color w:val="auto"/>
                <w:sz w:val="24"/>
                <w:szCs w:val="24"/>
                <w:u w:val="single"/>
              </w:rPr>
              <w:t>2026</w:t>
            </w:r>
            <w:r>
              <w:rPr>
                <w:rFonts w:hint="eastAsia" w:ascii="仿宋" w:hAnsi="仿宋" w:eastAsia="仿宋"/>
                <w:b/>
                <w:bCs/>
                <w:color w:val="auto"/>
                <w:sz w:val="24"/>
                <w:szCs w:val="24"/>
              </w:rPr>
              <w:t>年</w:t>
            </w:r>
            <w:r>
              <w:rPr>
                <w:rFonts w:ascii="仿宋" w:hAnsi="仿宋" w:eastAsia="仿宋"/>
                <w:b/>
                <w:bCs/>
                <w:color w:val="auto"/>
                <w:sz w:val="24"/>
                <w:szCs w:val="24"/>
                <w:u w:val="single"/>
              </w:rPr>
              <w:t xml:space="preserve">  </w:t>
            </w:r>
            <w:r>
              <w:rPr>
                <w:rFonts w:hint="eastAsia" w:ascii="仿宋" w:hAnsi="仿宋" w:eastAsia="仿宋"/>
                <w:b/>
                <w:bCs/>
                <w:color w:val="auto"/>
                <w:sz w:val="24"/>
                <w:szCs w:val="24"/>
              </w:rPr>
              <w:t>月</w:t>
            </w:r>
            <w:r>
              <w:rPr>
                <w:rFonts w:ascii="仿宋" w:hAnsi="仿宋" w:eastAsia="仿宋"/>
                <w:b/>
                <w:bCs/>
                <w:color w:val="auto"/>
                <w:sz w:val="24"/>
                <w:szCs w:val="24"/>
                <w:u w:val="single"/>
              </w:rPr>
              <w:t xml:space="preserve">  </w:t>
            </w:r>
            <w:r>
              <w:rPr>
                <w:rFonts w:hint="eastAsia" w:ascii="仿宋" w:hAnsi="仿宋" w:eastAsia="仿宋"/>
                <w:b/>
                <w:bCs/>
                <w:color w:val="auto"/>
                <w:sz w:val="24"/>
                <w:szCs w:val="24"/>
              </w:rPr>
              <w:t>日</w:t>
            </w:r>
            <w:r>
              <w:rPr>
                <w:rFonts w:ascii="仿宋" w:hAnsi="仿宋" w:eastAsia="仿宋"/>
                <w:b/>
                <w:bCs/>
                <w:color w:val="auto"/>
                <w:sz w:val="24"/>
                <w:szCs w:val="24"/>
                <w:u w:val="single"/>
              </w:rPr>
              <w:t xml:space="preserve">  </w:t>
            </w:r>
            <w:r>
              <w:rPr>
                <w:rFonts w:hint="eastAsia" w:ascii="仿宋" w:hAnsi="仿宋" w:eastAsia="仿宋"/>
                <w:b/>
                <w:bCs/>
                <w:color w:val="auto"/>
                <w:sz w:val="24"/>
                <w:szCs w:val="24"/>
              </w:rPr>
              <w:t>点</w:t>
            </w:r>
            <w:r>
              <w:rPr>
                <w:rFonts w:ascii="仿宋" w:hAnsi="仿宋" w:eastAsia="仿宋"/>
                <w:b/>
                <w:bCs/>
                <w:color w:val="auto"/>
                <w:sz w:val="24"/>
                <w:szCs w:val="24"/>
                <w:u w:val="single"/>
              </w:rPr>
              <w:t xml:space="preserve">  </w:t>
            </w:r>
            <w:r>
              <w:rPr>
                <w:rFonts w:hint="eastAsia" w:ascii="仿宋" w:hAnsi="仿宋" w:eastAsia="仿宋"/>
                <w:b/>
                <w:bCs/>
                <w:color w:val="auto"/>
                <w:sz w:val="24"/>
                <w:szCs w:val="24"/>
              </w:rPr>
              <w:t>分</w:t>
            </w:r>
            <w:r>
              <w:rPr>
                <w:rFonts w:hint="eastAsia" w:ascii="仿宋" w:hAnsi="仿宋" w:eastAsia="仿宋" w:cs="宋体"/>
                <w:color w:val="auto"/>
                <w:sz w:val="24"/>
                <w:szCs w:val="24"/>
              </w:rPr>
              <w:t>(北京时间)</w:t>
            </w:r>
          </w:p>
        </w:tc>
      </w:tr>
      <w:tr w14:paraId="66C8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743" w:type="dxa"/>
            <w:vAlign w:val="center"/>
          </w:tcPr>
          <w:p w14:paraId="699AD8F2">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13.2</w:t>
            </w:r>
          </w:p>
        </w:tc>
        <w:tc>
          <w:tcPr>
            <w:tcW w:w="1843" w:type="dxa"/>
            <w:vAlign w:val="center"/>
          </w:tcPr>
          <w:p w14:paraId="32996C8C">
            <w:pPr>
              <w:pStyle w:val="55"/>
              <w:spacing w:before="0" w:beforeAutospacing="0" w:after="0" w:afterAutospacing="0" w:line="360" w:lineRule="auto"/>
              <w:ind w:left="120" w:leftChars="57"/>
              <w:jc w:val="center"/>
              <w:rPr>
                <w:rFonts w:ascii="仿宋" w:hAnsi="仿宋" w:eastAsia="仿宋"/>
                <w:color w:val="auto"/>
              </w:rPr>
            </w:pPr>
            <w:r>
              <w:rPr>
                <w:rFonts w:hint="eastAsia" w:ascii="仿宋" w:hAnsi="仿宋" w:eastAsia="仿宋"/>
                <w:color w:val="auto"/>
              </w:rPr>
              <w:t>响应文件递交地点</w:t>
            </w:r>
          </w:p>
        </w:tc>
        <w:tc>
          <w:tcPr>
            <w:tcW w:w="7002" w:type="dxa"/>
            <w:vAlign w:val="center"/>
          </w:tcPr>
          <w:p w14:paraId="5152179D">
            <w:pPr>
              <w:spacing w:line="360" w:lineRule="auto"/>
              <w:rPr>
                <w:rFonts w:ascii="仿宋" w:hAnsi="仿宋" w:eastAsia="仿宋" w:cs="宋体"/>
                <w:snapToGrid w:val="0"/>
                <w:color w:val="auto"/>
                <w:sz w:val="24"/>
                <w:szCs w:val="24"/>
              </w:rPr>
            </w:pPr>
            <w:r>
              <w:rPr>
                <w:rFonts w:hint="eastAsia" w:ascii="仿宋" w:hAnsi="仿宋" w:eastAsia="仿宋" w:cs="宋体"/>
                <w:color w:val="auto"/>
                <w:kern w:val="0"/>
                <w:sz w:val="24"/>
                <w:szCs w:val="24"/>
              </w:rPr>
              <w:t>昆明市同力建设工程咨询有限公司开标厅（昆明市新兴路中段霖岚国际A座902室）</w:t>
            </w:r>
          </w:p>
        </w:tc>
      </w:tr>
      <w:tr w14:paraId="2724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7" w:hRule="atLeast"/>
          <w:jc w:val="center"/>
        </w:trPr>
        <w:tc>
          <w:tcPr>
            <w:tcW w:w="743" w:type="dxa"/>
            <w:vAlign w:val="center"/>
          </w:tcPr>
          <w:p w14:paraId="395AF355">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14.1</w:t>
            </w:r>
          </w:p>
        </w:tc>
        <w:tc>
          <w:tcPr>
            <w:tcW w:w="1843" w:type="dxa"/>
            <w:vAlign w:val="center"/>
          </w:tcPr>
          <w:p w14:paraId="316717B3">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磋商时间和地点</w:t>
            </w:r>
          </w:p>
        </w:tc>
        <w:tc>
          <w:tcPr>
            <w:tcW w:w="7002" w:type="dxa"/>
            <w:vAlign w:val="center"/>
          </w:tcPr>
          <w:p w14:paraId="36654DBD">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磋商时间：</w:t>
            </w:r>
            <w:r>
              <w:rPr>
                <w:rFonts w:hint="eastAsia" w:ascii="仿宋" w:hAnsi="仿宋" w:eastAsia="仿宋"/>
                <w:b/>
                <w:bCs/>
                <w:color w:val="auto"/>
                <w:sz w:val="24"/>
                <w:szCs w:val="24"/>
                <w:u w:val="single"/>
              </w:rPr>
              <w:t>2026</w:t>
            </w:r>
            <w:r>
              <w:rPr>
                <w:rFonts w:hint="eastAsia" w:ascii="仿宋" w:hAnsi="仿宋" w:eastAsia="仿宋"/>
                <w:b/>
                <w:bCs/>
                <w:color w:val="auto"/>
                <w:sz w:val="24"/>
                <w:szCs w:val="24"/>
              </w:rPr>
              <w:t>年</w:t>
            </w:r>
            <w:r>
              <w:rPr>
                <w:rFonts w:ascii="仿宋" w:hAnsi="仿宋" w:eastAsia="仿宋"/>
                <w:b/>
                <w:bCs/>
                <w:color w:val="auto"/>
                <w:sz w:val="24"/>
                <w:szCs w:val="24"/>
                <w:u w:val="single"/>
              </w:rPr>
              <w:t xml:space="preserve">  </w:t>
            </w:r>
            <w:r>
              <w:rPr>
                <w:rFonts w:hint="eastAsia" w:ascii="仿宋" w:hAnsi="仿宋" w:eastAsia="仿宋"/>
                <w:b/>
                <w:bCs/>
                <w:color w:val="auto"/>
                <w:sz w:val="24"/>
                <w:szCs w:val="24"/>
              </w:rPr>
              <w:t>月</w:t>
            </w:r>
            <w:r>
              <w:rPr>
                <w:rFonts w:ascii="仿宋" w:hAnsi="仿宋" w:eastAsia="仿宋"/>
                <w:b/>
                <w:bCs/>
                <w:color w:val="auto"/>
                <w:sz w:val="24"/>
                <w:szCs w:val="24"/>
                <w:u w:val="single"/>
              </w:rPr>
              <w:t xml:space="preserve">  </w:t>
            </w:r>
            <w:r>
              <w:rPr>
                <w:rFonts w:hint="eastAsia" w:ascii="仿宋" w:hAnsi="仿宋" w:eastAsia="仿宋"/>
                <w:b/>
                <w:bCs/>
                <w:color w:val="auto"/>
                <w:sz w:val="24"/>
                <w:szCs w:val="24"/>
              </w:rPr>
              <w:t>日</w:t>
            </w:r>
            <w:r>
              <w:rPr>
                <w:rFonts w:ascii="仿宋" w:hAnsi="仿宋" w:eastAsia="仿宋"/>
                <w:b/>
                <w:bCs/>
                <w:color w:val="auto"/>
                <w:sz w:val="24"/>
                <w:szCs w:val="24"/>
                <w:u w:val="single"/>
              </w:rPr>
              <w:t xml:space="preserve">  </w:t>
            </w:r>
            <w:r>
              <w:rPr>
                <w:rFonts w:hint="eastAsia" w:ascii="仿宋" w:hAnsi="仿宋" w:eastAsia="仿宋"/>
                <w:b/>
                <w:bCs/>
                <w:color w:val="auto"/>
                <w:sz w:val="24"/>
                <w:szCs w:val="24"/>
              </w:rPr>
              <w:t>点</w:t>
            </w:r>
            <w:r>
              <w:rPr>
                <w:rFonts w:ascii="仿宋" w:hAnsi="仿宋" w:eastAsia="仿宋"/>
                <w:b/>
                <w:bCs/>
                <w:color w:val="auto"/>
                <w:sz w:val="24"/>
                <w:szCs w:val="24"/>
                <w:u w:val="single"/>
              </w:rPr>
              <w:t xml:space="preserve">  </w:t>
            </w:r>
            <w:r>
              <w:rPr>
                <w:rFonts w:hint="eastAsia" w:ascii="仿宋" w:hAnsi="仿宋" w:eastAsia="仿宋"/>
                <w:b/>
                <w:bCs/>
                <w:color w:val="auto"/>
                <w:sz w:val="24"/>
                <w:szCs w:val="24"/>
              </w:rPr>
              <w:t>分</w:t>
            </w:r>
            <w:r>
              <w:rPr>
                <w:rFonts w:hint="eastAsia" w:ascii="仿宋" w:hAnsi="仿宋" w:eastAsia="仿宋" w:cs="宋体"/>
                <w:color w:val="auto"/>
                <w:sz w:val="24"/>
                <w:szCs w:val="24"/>
              </w:rPr>
              <w:t>(北京时间)</w:t>
            </w:r>
          </w:p>
          <w:p w14:paraId="76636256">
            <w:pPr>
              <w:spacing w:line="360" w:lineRule="auto"/>
              <w:rPr>
                <w:rFonts w:ascii="仿宋" w:hAnsi="仿宋" w:eastAsia="仿宋" w:cs="宋体"/>
                <w:color w:val="auto"/>
                <w:kern w:val="0"/>
                <w:sz w:val="24"/>
                <w:szCs w:val="24"/>
              </w:rPr>
            </w:pPr>
            <w:r>
              <w:rPr>
                <w:rFonts w:hint="eastAsia" w:ascii="仿宋" w:hAnsi="仿宋" w:eastAsia="仿宋" w:cs="宋体"/>
                <w:color w:val="auto"/>
                <w:sz w:val="24"/>
                <w:szCs w:val="24"/>
              </w:rPr>
              <w:t>磋商地点：</w:t>
            </w:r>
            <w:r>
              <w:rPr>
                <w:rFonts w:hint="eastAsia" w:ascii="仿宋" w:hAnsi="仿宋" w:eastAsia="仿宋" w:cs="宋体"/>
                <w:color w:val="auto"/>
                <w:kern w:val="0"/>
                <w:sz w:val="24"/>
                <w:szCs w:val="24"/>
              </w:rPr>
              <w:t>昆明市同力建设工程咨询有限公司开标厅（昆明市新兴路中段霖岚国际A座902室）</w:t>
            </w:r>
          </w:p>
        </w:tc>
      </w:tr>
      <w:tr w14:paraId="5327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43" w:type="dxa"/>
            <w:vAlign w:val="center"/>
          </w:tcPr>
          <w:p w14:paraId="4ECD0CF4">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15.1</w:t>
            </w:r>
          </w:p>
        </w:tc>
        <w:tc>
          <w:tcPr>
            <w:tcW w:w="1843" w:type="dxa"/>
            <w:vAlign w:val="center"/>
          </w:tcPr>
          <w:p w14:paraId="68B9766D">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程序</w:t>
            </w:r>
          </w:p>
        </w:tc>
        <w:tc>
          <w:tcPr>
            <w:tcW w:w="7002" w:type="dxa"/>
            <w:vAlign w:val="center"/>
          </w:tcPr>
          <w:p w14:paraId="57674076">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（1）宣布开标纪律；</w:t>
            </w:r>
          </w:p>
          <w:p w14:paraId="00C8AA35">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（2）公布在磋商截止时间前递交响应文件的供应商名称；</w:t>
            </w:r>
          </w:p>
          <w:p w14:paraId="26AAE133">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（3）检查响应文件的密封情况；</w:t>
            </w:r>
          </w:p>
          <w:p w14:paraId="014D43DB">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（4）采购代理机构工作人员组织抽取二次报价顺序，并由供应商代表签字确认。</w:t>
            </w:r>
          </w:p>
          <w:p w14:paraId="1D0BDD1E">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（5）开标结束，进入评审程序。</w:t>
            </w:r>
          </w:p>
        </w:tc>
      </w:tr>
      <w:tr w14:paraId="36A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743" w:type="dxa"/>
            <w:vAlign w:val="center"/>
          </w:tcPr>
          <w:p w14:paraId="290EB3D1">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16.1</w:t>
            </w:r>
          </w:p>
        </w:tc>
        <w:tc>
          <w:tcPr>
            <w:tcW w:w="1843" w:type="dxa"/>
            <w:vAlign w:val="center"/>
          </w:tcPr>
          <w:p w14:paraId="7153EC66">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磋商小组的组建</w:t>
            </w:r>
          </w:p>
        </w:tc>
        <w:tc>
          <w:tcPr>
            <w:tcW w:w="7002" w:type="dxa"/>
            <w:vAlign w:val="center"/>
          </w:tcPr>
          <w:p w14:paraId="150FDA1D">
            <w:pPr>
              <w:spacing w:line="360" w:lineRule="auto"/>
              <w:rPr>
                <w:rFonts w:ascii="仿宋" w:hAnsi="仿宋" w:eastAsia="仿宋" w:cs="宋体"/>
                <w:color w:val="auto"/>
                <w:sz w:val="24"/>
                <w:szCs w:val="24"/>
              </w:rPr>
            </w:pPr>
            <w:bookmarkStart w:id="92" w:name="OLE_LINK20"/>
            <w:bookmarkStart w:id="93" w:name="OLE_LINK11"/>
            <w:r>
              <w:rPr>
                <w:rFonts w:hint="eastAsia" w:ascii="仿宋" w:hAnsi="仿宋" w:eastAsia="仿宋" w:cs="宋体"/>
                <w:color w:val="auto"/>
                <w:sz w:val="24"/>
                <w:szCs w:val="24"/>
              </w:rPr>
              <w:t>由随机抽取的专家组成，人数为3人或3人以上单数</w:t>
            </w:r>
            <w:bookmarkEnd w:id="92"/>
            <w:bookmarkEnd w:id="93"/>
            <w:r>
              <w:rPr>
                <w:rFonts w:hint="eastAsia" w:ascii="仿宋" w:hAnsi="仿宋" w:eastAsia="仿宋" w:cs="宋体"/>
                <w:color w:val="auto"/>
                <w:sz w:val="24"/>
                <w:szCs w:val="24"/>
              </w:rPr>
              <w:t>。</w:t>
            </w:r>
          </w:p>
        </w:tc>
      </w:tr>
      <w:tr w14:paraId="321E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743" w:type="dxa"/>
            <w:vAlign w:val="center"/>
          </w:tcPr>
          <w:p w14:paraId="375ACFC1">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18</w:t>
            </w:r>
          </w:p>
        </w:tc>
        <w:tc>
          <w:tcPr>
            <w:tcW w:w="1843" w:type="dxa"/>
            <w:vAlign w:val="center"/>
          </w:tcPr>
          <w:p w14:paraId="02999629">
            <w:pPr>
              <w:pStyle w:val="55"/>
              <w:spacing w:before="0" w:beforeAutospacing="0" w:after="0" w:afterAutospacing="0" w:line="360" w:lineRule="auto"/>
              <w:jc w:val="center"/>
              <w:rPr>
                <w:rFonts w:ascii="仿宋" w:hAnsi="仿宋" w:eastAsia="仿宋"/>
                <w:color w:val="auto"/>
              </w:rPr>
            </w:pPr>
            <w:r>
              <w:rPr>
                <w:rFonts w:hint="eastAsia" w:ascii="仿宋" w:hAnsi="仿宋" w:eastAsia="仿宋"/>
                <w:color w:val="auto"/>
              </w:rPr>
              <w:t>评审办法</w:t>
            </w:r>
          </w:p>
        </w:tc>
        <w:tc>
          <w:tcPr>
            <w:tcW w:w="7002" w:type="dxa"/>
            <w:vAlign w:val="center"/>
          </w:tcPr>
          <w:p w14:paraId="4AC9F0BE">
            <w:pPr>
              <w:pStyle w:val="55"/>
              <w:spacing w:before="0" w:beforeAutospacing="0" w:after="0" w:afterAutospacing="0" w:line="360" w:lineRule="auto"/>
              <w:jc w:val="both"/>
              <w:rPr>
                <w:rFonts w:ascii="仿宋" w:hAnsi="仿宋" w:eastAsia="仿宋"/>
                <w:color w:val="auto"/>
              </w:rPr>
            </w:pPr>
            <w:r>
              <w:rPr>
                <w:rFonts w:hint="eastAsia" w:ascii="仿宋" w:hAnsi="仿宋" w:eastAsia="仿宋"/>
                <w:color w:val="auto"/>
              </w:rPr>
              <w:t>综合评分法</w:t>
            </w:r>
          </w:p>
        </w:tc>
      </w:tr>
      <w:tr w14:paraId="021A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743" w:type="dxa"/>
            <w:vAlign w:val="center"/>
          </w:tcPr>
          <w:p w14:paraId="66B3A62E">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22</w:t>
            </w:r>
          </w:p>
        </w:tc>
        <w:tc>
          <w:tcPr>
            <w:tcW w:w="1843" w:type="dxa"/>
            <w:vAlign w:val="center"/>
          </w:tcPr>
          <w:p w14:paraId="50AA065B">
            <w:pPr>
              <w:pStyle w:val="55"/>
              <w:spacing w:before="0" w:beforeAutospacing="0" w:after="0" w:afterAutospacing="0" w:line="360" w:lineRule="auto"/>
              <w:jc w:val="center"/>
              <w:rPr>
                <w:rFonts w:ascii="仿宋" w:hAnsi="仿宋" w:eastAsia="仿宋"/>
                <w:color w:val="auto"/>
              </w:rPr>
            </w:pPr>
            <w:r>
              <w:rPr>
                <w:rFonts w:hint="eastAsia" w:ascii="仿宋" w:hAnsi="仿宋" w:eastAsia="仿宋"/>
                <w:color w:val="auto"/>
              </w:rPr>
              <w:t>履约担保</w:t>
            </w:r>
          </w:p>
        </w:tc>
        <w:tc>
          <w:tcPr>
            <w:tcW w:w="7002" w:type="dxa"/>
            <w:vAlign w:val="center"/>
          </w:tcPr>
          <w:p w14:paraId="4DA7ACD8">
            <w:pPr>
              <w:autoSpaceDE w:val="0"/>
              <w:autoSpaceDN w:val="0"/>
              <w:adjustRightInd w:val="0"/>
              <w:spacing w:line="500" w:lineRule="exact"/>
              <w:rPr>
                <w:rFonts w:ascii="仿宋" w:hAnsi="仿宋" w:eastAsia="仿宋"/>
                <w:color w:val="auto"/>
                <w:sz w:val="24"/>
                <w:szCs w:val="24"/>
              </w:rPr>
            </w:pPr>
            <w:r>
              <w:rPr>
                <w:rFonts w:hint="eastAsia" w:ascii="仿宋" w:hAnsi="仿宋" w:eastAsia="仿宋"/>
                <w:color w:val="auto"/>
                <w:sz w:val="24"/>
                <w:szCs w:val="24"/>
              </w:rPr>
              <w:t>本项目不收取履约担保。</w:t>
            </w:r>
          </w:p>
        </w:tc>
      </w:tr>
      <w:tr w14:paraId="0C63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743" w:type="dxa"/>
            <w:vAlign w:val="center"/>
          </w:tcPr>
          <w:p w14:paraId="2244B31E">
            <w:pPr>
              <w:pStyle w:val="55"/>
              <w:spacing w:before="0" w:beforeAutospacing="0" w:after="0" w:afterAutospacing="0" w:line="360" w:lineRule="auto"/>
              <w:jc w:val="both"/>
              <w:rPr>
                <w:rFonts w:ascii="仿宋" w:hAnsi="仿宋" w:eastAsia="仿宋"/>
                <w:b/>
                <w:color w:val="auto"/>
              </w:rPr>
            </w:pPr>
            <w:r>
              <w:rPr>
                <w:rFonts w:ascii="仿宋" w:hAnsi="仿宋" w:eastAsia="仿宋"/>
                <w:color w:val="auto"/>
              </w:rPr>
              <w:t>26.2</w:t>
            </w:r>
          </w:p>
        </w:tc>
        <w:tc>
          <w:tcPr>
            <w:tcW w:w="1843" w:type="dxa"/>
            <w:vAlign w:val="center"/>
          </w:tcPr>
          <w:p w14:paraId="27BE10BE">
            <w:pPr>
              <w:pStyle w:val="55"/>
              <w:spacing w:before="0" w:beforeAutospacing="0" w:after="0" w:afterAutospacing="0" w:line="360" w:lineRule="auto"/>
              <w:jc w:val="center"/>
              <w:rPr>
                <w:rFonts w:ascii="仿宋" w:hAnsi="仿宋" w:eastAsia="仿宋"/>
                <w:b/>
                <w:color w:val="auto"/>
              </w:rPr>
            </w:pPr>
            <w:r>
              <w:rPr>
                <w:rFonts w:hint="eastAsia" w:ascii="仿宋" w:hAnsi="仿宋" w:eastAsia="仿宋"/>
                <w:color w:val="auto"/>
              </w:rPr>
              <w:t>需要补充的其他内容</w:t>
            </w:r>
          </w:p>
        </w:tc>
        <w:tc>
          <w:tcPr>
            <w:tcW w:w="7002" w:type="dxa"/>
            <w:vAlign w:val="center"/>
          </w:tcPr>
          <w:p w14:paraId="0CA408AE">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一、需落实的采购政策:</w:t>
            </w:r>
          </w:p>
          <w:p w14:paraId="3CD11940">
            <w:pPr>
              <w:autoSpaceDE w:val="0"/>
              <w:autoSpaceDN w:val="0"/>
              <w:adjustRightInd w:val="0"/>
              <w:spacing w:line="360" w:lineRule="auto"/>
              <w:rPr>
                <w:rFonts w:ascii="仿宋" w:hAnsi="仿宋" w:eastAsia="仿宋"/>
                <w:color w:val="auto"/>
                <w:sz w:val="24"/>
                <w:szCs w:val="24"/>
              </w:rPr>
            </w:pPr>
            <w:r>
              <w:rPr>
                <w:rFonts w:hint="eastAsia" w:ascii="仿宋" w:hAnsi="仿宋" w:eastAsia="仿宋"/>
                <w:color w:val="auto"/>
                <w:sz w:val="24"/>
                <w:szCs w:val="24"/>
              </w:rPr>
              <w:t>1.1中小企业</w:t>
            </w:r>
          </w:p>
          <w:p w14:paraId="395029BB">
            <w:pPr>
              <w:spacing w:line="360" w:lineRule="auto"/>
              <w:rPr>
                <w:rFonts w:ascii="仿宋" w:hAnsi="仿宋" w:eastAsia="仿宋" w:cs="宋体"/>
                <w:color w:val="auto"/>
                <w:kern w:val="0"/>
                <w:sz w:val="24"/>
                <w:szCs w:val="24"/>
              </w:rPr>
            </w:pPr>
            <w:r>
              <w:rPr>
                <w:rFonts w:ascii="仿宋" w:hAnsi="仿宋" w:eastAsia="仿宋" w:cs="宋体"/>
                <w:color w:val="auto"/>
                <w:kern w:val="0"/>
                <w:sz w:val="24"/>
                <w:szCs w:val="24"/>
              </w:rPr>
              <w:t>1</w:t>
            </w:r>
            <w:r>
              <w:rPr>
                <w:rFonts w:hint="eastAsia" w:ascii="仿宋" w:hAnsi="仿宋" w:eastAsia="仿宋" w:cs="宋体"/>
                <w:color w:val="auto"/>
                <w:kern w:val="0"/>
                <w:sz w:val="24"/>
                <w:szCs w:val="24"/>
              </w:rPr>
              <w:t>.1.1根据《关于印发《政府采购促进中小企业发展管理办法》的通知》（财库〔2020〕46号）和《关于进一步加大政府采购支持中小企业力度的通知》（财库〔2022〕19号）等文件规定，中小企业是指在中华人民共和国境内依法设立，依据国务院批准的中小企业划分标准（详见国家统计局关于印发《统计上大中小微型企业划分办法（2017）》的通知）确定的中型企业、小型企业和微型企业，但与大企业的负责人为同一人，或者与大企业存在直接控股、管理关系的除外。符合中小企业划分标准的个体工商户，在政府采购活动中视同中小企业。</w:t>
            </w:r>
          </w:p>
          <w:p w14:paraId="01A57207">
            <w:pPr>
              <w:spacing w:line="360" w:lineRule="auto"/>
              <w:rPr>
                <w:rFonts w:ascii="仿宋" w:hAnsi="仿宋" w:eastAsia="仿宋" w:cs="宋体"/>
                <w:color w:val="auto"/>
                <w:kern w:val="0"/>
                <w:sz w:val="24"/>
                <w:szCs w:val="24"/>
              </w:rPr>
            </w:pPr>
            <w:r>
              <w:rPr>
                <w:rFonts w:ascii="仿宋" w:hAnsi="仿宋" w:eastAsia="仿宋" w:cs="宋体"/>
                <w:color w:val="auto"/>
                <w:kern w:val="0"/>
                <w:sz w:val="24"/>
                <w:szCs w:val="24"/>
              </w:rPr>
              <w:t>1</w:t>
            </w:r>
            <w:r>
              <w:rPr>
                <w:rFonts w:hint="eastAsia" w:ascii="仿宋" w:hAnsi="仿宋" w:eastAsia="仿宋" w:cs="宋体"/>
                <w:color w:val="auto"/>
                <w:kern w:val="0"/>
                <w:sz w:val="24"/>
                <w:szCs w:val="24"/>
              </w:rPr>
              <w:t>.1.2在政府采购活动中，供应商提供的货物、工程或者服务符合下列情形的，享受《关于印发《政府采购促进中小企业发展管理办法》的通知》（财库〔2020〕46号）和《关于进一步加大政府采购支持中小企业力度的通知》（财库〔2022〕19号）规定的中小企业扶持政策：</w:t>
            </w:r>
          </w:p>
          <w:p w14:paraId="3CD6CF98">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（一）在货物采购项目中，货物由中小企业制造，即货物由中小企业生产且使用该中小企业商号或者注册商标；</w:t>
            </w:r>
          </w:p>
          <w:p w14:paraId="0A4A9A85">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（二）在工程采购项目中，工程由中小企业承建，即工程施工单位为中小企业；</w:t>
            </w:r>
          </w:p>
          <w:p w14:paraId="351E92C3">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（三）在服务采购项目中，服务由中小企业承接，即提供服务的人员为中小企业依照《中华人民共和国劳动合同法》订立劳动合同的从业人员。</w:t>
            </w:r>
          </w:p>
          <w:p w14:paraId="00F67078">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在货物采购项目中，供应商提供的货物既有中小企业制造货物，也有大型企业制造货物的，不享受本办法规定的中小企业扶持政策。</w:t>
            </w:r>
          </w:p>
          <w:p w14:paraId="61DFAF01">
            <w:pPr>
              <w:spacing w:line="360" w:lineRule="auto"/>
              <w:rPr>
                <w:rFonts w:ascii="仿宋" w:hAnsi="仿宋" w:eastAsia="仿宋" w:cs="宋体"/>
                <w:color w:val="auto"/>
                <w:kern w:val="0"/>
                <w:sz w:val="24"/>
                <w:szCs w:val="24"/>
              </w:rPr>
            </w:pPr>
            <w:r>
              <w:rPr>
                <w:rFonts w:ascii="仿宋" w:hAnsi="仿宋" w:eastAsia="仿宋" w:cs="宋体"/>
                <w:color w:val="auto"/>
                <w:kern w:val="0"/>
                <w:sz w:val="24"/>
                <w:szCs w:val="24"/>
              </w:rPr>
              <w:t>1</w:t>
            </w:r>
            <w:r>
              <w:rPr>
                <w:rFonts w:hint="eastAsia" w:ascii="仿宋" w:hAnsi="仿宋" w:eastAsia="仿宋" w:cs="宋体"/>
                <w:color w:val="auto"/>
                <w:kern w:val="0"/>
                <w:sz w:val="24"/>
                <w:szCs w:val="24"/>
              </w:rPr>
              <w:t>.1.3中小企业参加政府采购活动，应当出具《中小企业声明函》，否则不得享受相关中小企业扶持政策。</w:t>
            </w:r>
          </w:p>
          <w:p w14:paraId="68890C91">
            <w:pPr>
              <w:spacing w:line="360" w:lineRule="auto"/>
              <w:rPr>
                <w:rFonts w:ascii="仿宋" w:hAnsi="仿宋" w:eastAsia="仿宋" w:cs="宋体"/>
                <w:color w:val="auto"/>
                <w:kern w:val="0"/>
                <w:sz w:val="24"/>
                <w:szCs w:val="24"/>
              </w:rPr>
            </w:pPr>
            <w:r>
              <w:rPr>
                <w:rFonts w:ascii="仿宋" w:hAnsi="仿宋" w:eastAsia="仿宋" w:cs="宋体"/>
                <w:color w:val="auto"/>
                <w:kern w:val="0"/>
                <w:sz w:val="24"/>
                <w:szCs w:val="24"/>
              </w:rPr>
              <w:t>1</w:t>
            </w:r>
            <w:r>
              <w:rPr>
                <w:rFonts w:hint="eastAsia" w:ascii="仿宋" w:hAnsi="仿宋" w:eastAsia="仿宋" w:cs="宋体"/>
                <w:color w:val="auto"/>
                <w:kern w:val="0"/>
                <w:sz w:val="24"/>
                <w:szCs w:val="24"/>
              </w:rPr>
              <w:t>.1.4依据《关于印发《政府采购促进中小企业发展管理办法》的通知》（财库〔2020〕46号）和《关于进一步加大政府采购支持中小企业力度的通知》（财库〔2022〕19号）规定享受扶持政策获得政府采购合同的，小微企业不得将合同分包给大中型企业，中型企业不得将合同分包给大型企业。</w:t>
            </w:r>
          </w:p>
          <w:p w14:paraId="0C470CB9">
            <w:pPr>
              <w:pStyle w:val="6"/>
              <w:numPr>
                <w:ilvl w:val="3"/>
                <w:numId w:val="0"/>
              </w:numPr>
              <w:spacing w:before="0" w:after="0" w:line="360" w:lineRule="auto"/>
              <w:jc w:val="left"/>
              <w:rPr>
                <w:rFonts w:ascii="仿宋" w:hAnsi="仿宋" w:eastAsia="仿宋" w:cs="宋体"/>
                <w:b w:val="0"/>
                <w:bCs w:val="0"/>
                <w:color w:val="auto"/>
                <w:sz w:val="24"/>
                <w:szCs w:val="24"/>
              </w:rPr>
            </w:pPr>
            <w:r>
              <w:rPr>
                <w:rFonts w:ascii="仿宋" w:hAnsi="仿宋" w:eastAsia="仿宋" w:cs="宋体"/>
                <w:color w:val="auto"/>
                <w:sz w:val="24"/>
                <w:szCs w:val="24"/>
              </w:rPr>
              <w:t>1.2</w:t>
            </w:r>
            <w:r>
              <w:rPr>
                <w:rFonts w:hint="eastAsia" w:ascii="仿宋" w:hAnsi="仿宋" w:eastAsia="仿宋" w:cs="宋体"/>
                <w:color w:val="auto"/>
                <w:sz w:val="24"/>
                <w:szCs w:val="24"/>
              </w:rPr>
              <w:t>监狱企业</w:t>
            </w:r>
          </w:p>
          <w:p w14:paraId="47A9A97A">
            <w:pPr>
              <w:spacing w:line="360" w:lineRule="auto"/>
              <w:rPr>
                <w:rFonts w:ascii="仿宋" w:hAnsi="仿宋" w:eastAsia="仿宋" w:cs="宋体"/>
                <w:color w:val="auto"/>
                <w:kern w:val="0"/>
                <w:sz w:val="24"/>
                <w:szCs w:val="24"/>
              </w:rPr>
            </w:pPr>
            <w:r>
              <w:rPr>
                <w:rFonts w:ascii="仿宋" w:hAnsi="仿宋" w:eastAsia="仿宋" w:cs="宋体"/>
                <w:color w:val="auto"/>
                <w:kern w:val="0"/>
                <w:sz w:val="24"/>
                <w:szCs w:val="24"/>
              </w:rPr>
              <w:t>1</w:t>
            </w:r>
            <w:r>
              <w:rPr>
                <w:rFonts w:hint="eastAsia" w:ascii="仿宋" w:hAnsi="仿宋" w:eastAsia="仿宋" w:cs="宋体"/>
                <w:color w:val="auto"/>
                <w:kern w:val="0"/>
                <w:sz w:val="24"/>
                <w:szCs w:val="24"/>
              </w:rPr>
              <w:t>.2.1根据《财政部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F26396">
            <w:pPr>
              <w:spacing w:line="360" w:lineRule="auto"/>
              <w:rPr>
                <w:rFonts w:ascii="仿宋" w:hAnsi="仿宋" w:eastAsia="仿宋" w:cs="宋体"/>
                <w:color w:val="auto"/>
                <w:kern w:val="0"/>
                <w:sz w:val="24"/>
                <w:szCs w:val="24"/>
              </w:rPr>
            </w:pPr>
            <w:r>
              <w:rPr>
                <w:rFonts w:ascii="仿宋" w:hAnsi="仿宋" w:eastAsia="仿宋" w:cs="宋体"/>
                <w:color w:val="auto"/>
                <w:kern w:val="0"/>
                <w:sz w:val="24"/>
                <w:szCs w:val="24"/>
              </w:rPr>
              <w:t>1</w:t>
            </w:r>
            <w:r>
              <w:rPr>
                <w:rFonts w:hint="eastAsia" w:ascii="仿宋" w:hAnsi="仿宋" w:eastAsia="仿宋" w:cs="宋体"/>
                <w:color w:val="auto"/>
                <w:kern w:val="0"/>
                <w:sz w:val="24"/>
                <w:szCs w:val="24"/>
              </w:rPr>
              <w:t>.2.2监狱企业参加政府采购活动时，应当提供由省级以上监狱管理局、戒毒管理局（含新疆生产建设兵团）出具的属于监狱企业的证明文件。</w:t>
            </w:r>
          </w:p>
          <w:p w14:paraId="6C04BA22">
            <w:pPr>
              <w:spacing w:line="360" w:lineRule="auto"/>
              <w:rPr>
                <w:rFonts w:ascii="仿宋" w:hAnsi="仿宋" w:eastAsia="仿宋" w:cs="宋体"/>
                <w:color w:val="auto"/>
                <w:kern w:val="0"/>
                <w:sz w:val="24"/>
                <w:szCs w:val="24"/>
              </w:rPr>
            </w:pPr>
            <w:r>
              <w:rPr>
                <w:rFonts w:ascii="仿宋" w:hAnsi="仿宋" w:eastAsia="仿宋" w:cs="宋体"/>
                <w:color w:val="auto"/>
                <w:kern w:val="0"/>
                <w:sz w:val="24"/>
                <w:szCs w:val="24"/>
              </w:rPr>
              <w:t>1</w:t>
            </w:r>
            <w:r>
              <w:rPr>
                <w:rFonts w:hint="eastAsia" w:ascii="仿宋" w:hAnsi="仿宋" w:eastAsia="仿宋" w:cs="宋体"/>
                <w:color w:val="auto"/>
                <w:kern w:val="0"/>
                <w:sz w:val="24"/>
                <w:szCs w:val="24"/>
              </w:rPr>
              <w:t>.2.3在政府采购活动中，监狱企业视同小型、微型企业。</w:t>
            </w:r>
          </w:p>
          <w:p w14:paraId="05C9CAF0">
            <w:pPr>
              <w:pStyle w:val="6"/>
              <w:numPr>
                <w:ilvl w:val="3"/>
                <w:numId w:val="0"/>
              </w:numPr>
              <w:spacing w:before="0" w:after="0" w:line="360" w:lineRule="auto"/>
              <w:jc w:val="left"/>
              <w:rPr>
                <w:rFonts w:ascii="仿宋" w:hAnsi="仿宋" w:eastAsia="仿宋" w:cs="宋体"/>
                <w:b w:val="0"/>
                <w:bCs w:val="0"/>
                <w:color w:val="auto"/>
                <w:sz w:val="24"/>
                <w:szCs w:val="24"/>
              </w:rPr>
            </w:pPr>
            <w:r>
              <w:rPr>
                <w:rFonts w:ascii="仿宋" w:hAnsi="仿宋" w:eastAsia="仿宋" w:cs="宋体"/>
                <w:color w:val="auto"/>
                <w:sz w:val="24"/>
                <w:szCs w:val="24"/>
              </w:rPr>
              <w:t>1</w:t>
            </w:r>
            <w:r>
              <w:rPr>
                <w:rFonts w:hint="eastAsia" w:ascii="仿宋" w:hAnsi="仿宋" w:eastAsia="仿宋" w:cs="宋体"/>
                <w:color w:val="auto"/>
                <w:sz w:val="24"/>
                <w:szCs w:val="24"/>
              </w:rPr>
              <w:t>.3残疾人福利性单位</w:t>
            </w:r>
          </w:p>
          <w:p w14:paraId="1FA65185">
            <w:pPr>
              <w:spacing w:line="360" w:lineRule="auto"/>
              <w:rPr>
                <w:rFonts w:ascii="仿宋" w:hAnsi="仿宋" w:eastAsia="仿宋" w:cs="宋体"/>
                <w:color w:val="auto"/>
                <w:kern w:val="0"/>
                <w:sz w:val="24"/>
                <w:szCs w:val="24"/>
              </w:rPr>
            </w:pPr>
            <w:r>
              <w:rPr>
                <w:rFonts w:ascii="仿宋" w:hAnsi="仿宋" w:eastAsia="仿宋" w:cs="宋体"/>
                <w:color w:val="auto"/>
                <w:kern w:val="0"/>
                <w:sz w:val="24"/>
                <w:szCs w:val="24"/>
              </w:rPr>
              <w:t>1</w:t>
            </w:r>
            <w:r>
              <w:rPr>
                <w:rFonts w:hint="eastAsia" w:ascii="仿宋" w:hAnsi="仿宋" w:eastAsia="仿宋" w:cs="宋体"/>
                <w:color w:val="auto"/>
                <w:kern w:val="0"/>
                <w:sz w:val="24"/>
                <w:szCs w:val="24"/>
              </w:rPr>
              <w:t>.3.1根据《三部门联合发布关于促进残疾人就业政府采购政策的通知》（财库〔2017〕141号）的规定，享受政府采购支持政策的残疾人福利性单位应当同时满足以下条件：</w:t>
            </w:r>
          </w:p>
          <w:p w14:paraId="3D79DDD0">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（一）安置的残疾人占本单位在职职工人数的比例不低于25%（含25%），并且安置的残疾人人数不少于10人（含10人）；</w:t>
            </w:r>
          </w:p>
          <w:p w14:paraId="3FF4B240">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（二）依法与安置的每位残疾人签订了一年以上（含一年）的劳动合同或服务协议；</w:t>
            </w:r>
          </w:p>
          <w:p w14:paraId="5373B6E2">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（三）为安置的每位残疾人按月足额缴纳了基本养老保险、基本医疗保险、失业保险、工伤保险和生育保险等社会保险费；</w:t>
            </w:r>
          </w:p>
          <w:p w14:paraId="2E324667">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（四）通过银行等金融机构向安置的每位残疾人，按月支付了不低于单位所在区县适用的经省级人民政府批准的月最低工资标准的工资；</w:t>
            </w:r>
          </w:p>
          <w:p w14:paraId="68D4FEB6">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（五）提供本单位制造的货物、承担的工程或者服务（以下简称产品），或者提供其他残疾人福利性单位制造的货物（不包括使用非残疾人福利性单位注册商标的货物）。</w:t>
            </w:r>
          </w:p>
          <w:p w14:paraId="0A06F828">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8C625B8">
            <w:pPr>
              <w:spacing w:line="360" w:lineRule="auto"/>
              <w:rPr>
                <w:rFonts w:ascii="仿宋" w:hAnsi="仿宋" w:eastAsia="仿宋" w:cs="宋体"/>
                <w:color w:val="auto"/>
                <w:kern w:val="0"/>
                <w:sz w:val="24"/>
                <w:szCs w:val="24"/>
              </w:rPr>
            </w:pPr>
            <w:r>
              <w:rPr>
                <w:rFonts w:ascii="仿宋" w:hAnsi="仿宋" w:eastAsia="仿宋" w:cs="宋体"/>
                <w:color w:val="auto"/>
                <w:kern w:val="0"/>
                <w:sz w:val="24"/>
                <w:szCs w:val="24"/>
              </w:rPr>
              <w:t>1</w:t>
            </w:r>
            <w:r>
              <w:rPr>
                <w:rFonts w:hint="eastAsia" w:ascii="仿宋" w:hAnsi="仿宋" w:eastAsia="仿宋" w:cs="宋体"/>
                <w:color w:val="auto"/>
                <w:kern w:val="0"/>
                <w:sz w:val="24"/>
                <w:szCs w:val="24"/>
              </w:rPr>
              <w:t>.3.2符合条件的残疾人福利性单位在参加政府采购活动时，应当按《关于促进残疾人就业政府采购政策的通知》（财库〔2017〕141号）提供规定的《残疾人福利性单位声明函》，并对声明的真实性负责。</w:t>
            </w:r>
          </w:p>
          <w:p w14:paraId="0A58F025">
            <w:pPr>
              <w:spacing w:line="360" w:lineRule="auto"/>
              <w:rPr>
                <w:rFonts w:ascii="仿宋" w:hAnsi="仿宋" w:eastAsia="仿宋" w:cs="宋体"/>
                <w:color w:val="auto"/>
                <w:kern w:val="0"/>
                <w:sz w:val="24"/>
                <w:szCs w:val="24"/>
              </w:rPr>
            </w:pPr>
            <w:r>
              <w:rPr>
                <w:rFonts w:ascii="仿宋" w:hAnsi="仿宋" w:eastAsia="仿宋" w:cs="宋体"/>
                <w:color w:val="auto"/>
                <w:kern w:val="0"/>
                <w:sz w:val="24"/>
                <w:szCs w:val="24"/>
              </w:rPr>
              <w:t>1</w:t>
            </w:r>
            <w:r>
              <w:rPr>
                <w:rFonts w:hint="eastAsia" w:ascii="仿宋" w:hAnsi="仿宋" w:eastAsia="仿宋" w:cs="宋体"/>
                <w:color w:val="auto"/>
                <w:kern w:val="0"/>
                <w:sz w:val="24"/>
                <w:szCs w:val="24"/>
              </w:rPr>
              <w:t>.3.3在政府采购活动中，残疾人福利性单位视同小型、微型企业。</w:t>
            </w:r>
          </w:p>
          <w:p w14:paraId="180F8934">
            <w:pPr>
              <w:autoSpaceDE w:val="0"/>
              <w:autoSpaceDN w:val="0"/>
              <w:adjustRightInd w:val="0"/>
              <w:spacing w:line="360" w:lineRule="auto"/>
              <w:rPr>
                <w:rFonts w:ascii="仿宋" w:hAnsi="仿宋" w:eastAsia="仿宋" w:cs="宋体"/>
                <w:b/>
                <w:color w:val="auto"/>
                <w:sz w:val="24"/>
                <w:szCs w:val="24"/>
              </w:rPr>
            </w:pPr>
            <w:r>
              <w:rPr>
                <w:rFonts w:hint="eastAsia" w:ascii="仿宋" w:hAnsi="仿宋" w:eastAsia="仿宋"/>
                <w:b/>
                <w:color w:val="auto"/>
                <w:sz w:val="24"/>
                <w:szCs w:val="24"/>
              </w:rPr>
              <w:t>1.</w:t>
            </w:r>
            <w:r>
              <w:rPr>
                <w:rFonts w:ascii="仿宋" w:hAnsi="仿宋" w:eastAsia="仿宋"/>
                <w:b/>
                <w:color w:val="auto"/>
                <w:sz w:val="24"/>
                <w:szCs w:val="24"/>
              </w:rPr>
              <w:t>4</w:t>
            </w:r>
            <w:r>
              <w:rPr>
                <w:rFonts w:hint="eastAsia" w:ascii="仿宋" w:hAnsi="仿宋" w:eastAsia="仿宋" w:cs="宋体"/>
                <w:b/>
                <w:color w:val="auto"/>
                <w:sz w:val="24"/>
                <w:szCs w:val="24"/>
              </w:rPr>
              <w:t>本项目非专门面向中小企业采购，小微企业价格扣除优惠比例：10%。</w:t>
            </w:r>
          </w:p>
          <w:p w14:paraId="1086348E">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二、其他条款</w:t>
            </w:r>
          </w:p>
          <w:p w14:paraId="593D1D42">
            <w:pPr>
              <w:pStyle w:val="55"/>
              <w:spacing w:before="0" w:beforeAutospacing="0" w:after="0" w:afterAutospacing="0" w:line="360" w:lineRule="auto"/>
              <w:jc w:val="both"/>
              <w:rPr>
                <w:rFonts w:ascii="仿宋" w:hAnsi="仿宋" w:eastAsia="仿宋"/>
                <w:color w:val="auto"/>
              </w:rPr>
            </w:pPr>
            <w:r>
              <w:rPr>
                <w:rFonts w:ascii="仿宋" w:hAnsi="仿宋" w:eastAsia="仿宋"/>
                <w:color w:val="auto"/>
              </w:rPr>
              <w:t>2.1、供应商应对其响应文件中提供材料的真实性、合法性负责；供应商在其响应文件中提供虚假材料的，一经核实，取消成交资格，并</w:t>
            </w:r>
            <w:r>
              <w:rPr>
                <w:rFonts w:hint="eastAsia" w:ascii="仿宋" w:hAnsi="仿宋" w:eastAsia="仿宋"/>
                <w:color w:val="auto"/>
              </w:rPr>
              <w:t>交相关监督部门处理。</w:t>
            </w:r>
          </w:p>
          <w:p w14:paraId="5C8582BC">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2</w:t>
            </w:r>
            <w:r>
              <w:rPr>
                <w:rFonts w:ascii="仿宋" w:hAnsi="仿宋" w:eastAsia="仿宋" w:cs="宋体"/>
                <w:color w:val="auto"/>
                <w:kern w:val="0"/>
                <w:sz w:val="24"/>
                <w:szCs w:val="24"/>
              </w:rPr>
              <w:t>.2</w:t>
            </w:r>
            <w:r>
              <w:rPr>
                <w:rFonts w:hint="eastAsia" w:ascii="仿宋" w:hAnsi="仿宋" w:eastAsia="仿宋" w:cs="宋体"/>
                <w:color w:val="auto"/>
                <w:kern w:val="0"/>
                <w:sz w:val="24"/>
                <w:szCs w:val="24"/>
              </w:rPr>
              <w:t>采购项目行业划分：</w:t>
            </w:r>
          </w:p>
          <w:p w14:paraId="658F7B9A">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根据国家统计局关于印发《统计上大中小微型企业划分办法（2017）》的通知，本项目采购标的所属行业为：</w:t>
            </w:r>
            <w:r>
              <w:rPr>
                <w:rFonts w:hint="eastAsia" w:ascii="仿宋" w:hAnsi="仿宋" w:eastAsia="仿宋" w:cs="宋体"/>
                <w:color w:val="auto"/>
                <w:kern w:val="0"/>
                <w:sz w:val="24"/>
                <w:szCs w:val="24"/>
                <w:u w:val="single"/>
              </w:rPr>
              <w:t>其他未列明行业</w:t>
            </w:r>
            <w:r>
              <w:rPr>
                <w:rFonts w:hint="eastAsia" w:ascii="仿宋" w:hAnsi="仿宋" w:eastAsia="仿宋" w:cs="宋体"/>
                <w:color w:val="auto"/>
                <w:kern w:val="0"/>
                <w:sz w:val="24"/>
                <w:szCs w:val="24"/>
              </w:rPr>
              <w:t>。</w:t>
            </w:r>
          </w:p>
        </w:tc>
      </w:tr>
    </w:tbl>
    <w:p w14:paraId="0435879B">
      <w:pPr>
        <w:tabs>
          <w:tab w:val="left" w:pos="105"/>
          <w:tab w:val="left" w:pos="735"/>
          <w:tab w:val="left" w:pos="945"/>
          <w:tab w:val="left" w:pos="3360"/>
        </w:tabs>
        <w:adjustRightInd w:val="0"/>
        <w:snapToGrid w:val="0"/>
        <w:spacing w:line="520" w:lineRule="exact"/>
        <w:jc w:val="center"/>
        <w:outlineLvl w:val="2"/>
        <w:rPr>
          <w:rFonts w:ascii="仿宋" w:hAnsi="仿宋" w:eastAsia="仿宋" w:cs="宋体"/>
          <w:b/>
          <w:bCs/>
          <w:color w:val="auto"/>
          <w:sz w:val="32"/>
          <w:szCs w:val="32"/>
        </w:rPr>
      </w:pPr>
      <w:r>
        <w:rPr>
          <w:rFonts w:hint="eastAsia" w:ascii="仿宋" w:hAnsi="仿宋" w:eastAsia="仿宋"/>
          <w:color w:val="auto"/>
        </w:rPr>
        <w:br w:type="page"/>
      </w:r>
      <w:bookmarkStart w:id="94" w:name="_Toc232004904"/>
      <w:bookmarkStart w:id="95" w:name="_Toc20230"/>
      <w:r>
        <w:rPr>
          <w:rFonts w:hint="eastAsia" w:ascii="仿宋" w:hAnsi="仿宋" w:eastAsia="仿宋" w:cs="宋体"/>
          <w:b/>
          <w:bCs/>
          <w:color w:val="auto"/>
          <w:sz w:val="32"/>
          <w:szCs w:val="32"/>
        </w:rPr>
        <w:t>一、总则</w:t>
      </w:r>
      <w:bookmarkEnd w:id="94"/>
      <w:bookmarkEnd w:id="95"/>
    </w:p>
    <w:p w14:paraId="1C7CD12F">
      <w:pPr>
        <w:tabs>
          <w:tab w:val="left" w:pos="105"/>
          <w:tab w:val="left" w:pos="735"/>
          <w:tab w:val="left" w:pos="945"/>
          <w:tab w:val="left" w:pos="3360"/>
        </w:tabs>
        <w:adjustRightInd w:val="0"/>
        <w:snapToGrid w:val="0"/>
        <w:spacing w:line="520" w:lineRule="exact"/>
        <w:rPr>
          <w:rFonts w:ascii="仿宋" w:hAnsi="仿宋" w:eastAsia="仿宋" w:cs="宋体"/>
          <w:b/>
          <w:bCs/>
          <w:color w:val="auto"/>
          <w:sz w:val="28"/>
          <w:szCs w:val="28"/>
        </w:rPr>
      </w:pPr>
      <w:r>
        <w:rPr>
          <w:rFonts w:hint="eastAsia" w:ascii="仿宋" w:hAnsi="仿宋" w:eastAsia="仿宋" w:cs="宋体"/>
          <w:b/>
          <w:bCs/>
          <w:color w:val="auto"/>
          <w:sz w:val="24"/>
          <w:szCs w:val="24"/>
        </w:rPr>
        <w:t>1.有关定义解释</w:t>
      </w:r>
    </w:p>
    <w:p w14:paraId="62480D1B">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bCs/>
          <w:color w:val="auto"/>
          <w:sz w:val="24"/>
          <w:szCs w:val="24"/>
        </w:rPr>
      </w:pPr>
      <w:r>
        <w:rPr>
          <w:rFonts w:hint="eastAsia" w:ascii="仿宋" w:hAnsi="仿宋" w:eastAsia="仿宋" w:cs="宋体"/>
          <w:bCs/>
          <w:color w:val="auto"/>
          <w:sz w:val="24"/>
          <w:szCs w:val="24"/>
        </w:rPr>
        <w:t>1.1采购人：</w:t>
      </w:r>
      <w:r>
        <w:rPr>
          <w:rFonts w:hint="eastAsia" w:ascii="仿宋" w:hAnsi="仿宋" w:eastAsia="仿宋" w:cs="宋体"/>
          <w:color w:val="auto"/>
          <w:kern w:val="0"/>
          <w:sz w:val="24"/>
          <w:szCs w:val="24"/>
        </w:rPr>
        <w:t>石林彝族自治县自然资源局</w:t>
      </w:r>
    </w:p>
    <w:p w14:paraId="46D87CC4">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bCs/>
          <w:color w:val="auto"/>
          <w:sz w:val="24"/>
          <w:szCs w:val="24"/>
        </w:rPr>
      </w:pPr>
      <w:r>
        <w:rPr>
          <w:rFonts w:hint="eastAsia" w:ascii="仿宋" w:hAnsi="仿宋" w:eastAsia="仿宋" w:cs="宋体"/>
          <w:bCs/>
          <w:color w:val="auto"/>
          <w:sz w:val="24"/>
          <w:szCs w:val="24"/>
        </w:rPr>
        <w:t>1.2采购代理机构：昆明市同力建设工程咨询有限公司</w:t>
      </w:r>
    </w:p>
    <w:p w14:paraId="43329F59">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bCs/>
          <w:color w:val="auto"/>
          <w:sz w:val="24"/>
          <w:szCs w:val="24"/>
        </w:rPr>
      </w:pPr>
      <w:r>
        <w:rPr>
          <w:rFonts w:hint="eastAsia" w:ascii="仿宋" w:hAnsi="仿宋" w:eastAsia="仿宋" w:cs="宋体"/>
          <w:bCs/>
          <w:color w:val="auto"/>
          <w:sz w:val="24"/>
          <w:szCs w:val="24"/>
        </w:rPr>
        <w:t>1.3供应商：指向采购人提交响应文件的供应商。</w:t>
      </w:r>
    </w:p>
    <w:p w14:paraId="0CCAA748">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bCs/>
          <w:color w:val="auto"/>
          <w:sz w:val="24"/>
          <w:szCs w:val="24"/>
        </w:rPr>
        <w:t>1.4响应文件：指符合竞争性磋商文件规定的供应商为参加本次竞争性</w:t>
      </w:r>
      <w:r>
        <w:rPr>
          <w:rFonts w:hint="eastAsia" w:ascii="仿宋" w:hAnsi="仿宋" w:eastAsia="仿宋" w:cs="宋体"/>
          <w:color w:val="auto"/>
          <w:sz w:val="24"/>
          <w:szCs w:val="24"/>
        </w:rPr>
        <w:t>磋商而编制的响应性文件。</w:t>
      </w:r>
    </w:p>
    <w:p w14:paraId="7E24E182">
      <w:pPr>
        <w:tabs>
          <w:tab w:val="left" w:pos="105"/>
          <w:tab w:val="left" w:pos="735"/>
          <w:tab w:val="left" w:pos="945"/>
          <w:tab w:val="left" w:pos="3360"/>
        </w:tabs>
        <w:adjustRightInd w:val="0"/>
        <w:snapToGrid w:val="0"/>
        <w:spacing w:line="520" w:lineRule="exact"/>
        <w:rPr>
          <w:rFonts w:ascii="仿宋" w:hAnsi="仿宋" w:eastAsia="仿宋" w:cs="宋体"/>
          <w:b/>
          <w:color w:val="auto"/>
          <w:sz w:val="24"/>
          <w:szCs w:val="24"/>
        </w:rPr>
      </w:pPr>
      <w:r>
        <w:rPr>
          <w:rFonts w:hint="eastAsia" w:ascii="仿宋" w:hAnsi="仿宋" w:eastAsia="仿宋" w:cs="宋体"/>
          <w:b/>
          <w:color w:val="auto"/>
          <w:sz w:val="24"/>
          <w:szCs w:val="24"/>
        </w:rPr>
        <w:t>2.项目概况及采购内容</w:t>
      </w:r>
    </w:p>
    <w:p w14:paraId="2D71383D">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2.1采购内容：见供应商须知前附表。</w:t>
      </w:r>
    </w:p>
    <w:p w14:paraId="2841D9A3">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2.2资金来源：见供应商须知前附表。</w:t>
      </w:r>
    </w:p>
    <w:p w14:paraId="59BD58D1">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2.3</w:t>
      </w:r>
      <w:r>
        <w:rPr>
          <w:rFonts w:hint="eastAsia" w:ascii="仿宋" w:hAnsi="仿宋" w:eastAsia="仿宋" w:cs="宋体"/>
          <w:color w:val="auto"/>
          <w:kern w:val="0"/>
          <w:sz w:val="24"/>
          <w:szCs w:val="24"/>
        </w:rPr>
        <w:t>采购预算及最高限价</w:t>
      </w:r>
      <w:r>
        <w:rPr>
          <w:rFonts w:hint="eastAsia" w:ascii="仿宋" w:hAnsi="仿宋" w:eastAsia="仿宋" w:cs="宋体"/>
          <w:color w:val="auto"/>
          <w:sz w:val="24"/>
          <w:szCs w:val="24"/>
        </w:rPr>
        <w:t>：见供应商须知前附表。</w:t>
      </w:r>
    </w:p>
    <w:p w14:paraId="43B1A418">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2.</w:t>
      </w:r>
      <w:r>
        <w:rPr>
          <w:rFonts w:ascii="仿宋" w:hAnsi="仿宋" w:eastAsia="仿宋" w:cs="宋体"/>
          <w:color w:val="auto"/>
          <w:sz w:val="24"/>
          <w:szCs w:val="24"/>
        </w:rPr>
        <w:t>4</w:t>
      </w:r>
      <w:r>
        <w:rPr>
          <w:rFonts w:hint="eastAsia" w:ascii="仿宋" w:hAnsi="仿宋" w:eastAsia="仿宋" w:cs="宋体"/>
          <w:color w:val="auto"/>
          <w:sz w:val="24"/>
          <w:szCs w:val="24"/>
        </w:rPr>
        <w:t>服务地点：见供应商须知前附表。</w:t>
      </w:r>
    </w:p>
    <w:p w14:paraId="5B095560">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2.</w:t>
      </w:r>
      <w:r>
        <w:rPr>
          <w:rFonts w:ascii="仿宋" w:hAnsi="仿宋" w:eastAsia="仿宋" w:cs="宋体"/>
          <w:color w:val="auto"/>
          <w:sz w:val="24"/>
          <w:szCs w:val="24"/>
        </w:rPr>
        <w:t>5</w:t>
      </w:r>
      <w:r>
        <w:rPr>
          <w:rFonts w:hint="eastAsia" w:ascii="仿宋" w:hAnsi="仿宋" w:eastAsia="仿宋" w:cs="宋体"/>
          <w:color w:val="auto"/>
          <w:sz w:val="24"/>
          <w:szCs w:val="24"/>
        </w:rPr>
        <w:t>合同履行期限：见供应商须知前附表。</w:t>
      </w:r>
    </w:p>
    <w:p w14:paraId="4BBD5AD5">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2.</w:t>
      </w:r>
      <w:r>
        <w:rPr>
          <w:rFonts w:ascii="仿宋" w:hAnsi="仿宋" w:eastAsia="仿宋" w:cs="宋体"/>
          <w:color w:val="auto"/>
          <w:sz w:val="24"/>
          <w:szCs w:val="24"/>
        </w:rPr>
        <w:t>6</w:t>
      </w:r>
      <w:r>
        <w:rPr>
          <w:rFonts w:hint="eastAsia" w:ascii="仿宋" w:hAnsi="仿宋" w:eastAsia="仿宋" w:cs="宋体"/>
          <w:color w:val="auto"/>
          <w:sz w:val="24"/>
          <w:szCs w:val="24"/>
        </w:rPr>
        <w:t>质量标准：见供应商须知前附表。</w:t>
      </w:r>
    </w:p>
    <w:p w14:paraId="2ABB7474">
      <w:pPr>
        <w:tabs>
          <w:tab w:val="left" w:pos="105"/>
          <w:tab w:val="left" w:pos="735"/>
          <w:tab w:val="left" w:pos="945"/>
          <w:tab w:val="left" w:pos="3360"/>
        </w:tabs>
        <w:adjustRightInd w:val="0"/>
        <w:snapToGrid w:val="0"/>
        <w:spacing w:line="520" w:lineRule="exact"/>
        <w:rPr>
          <w:rFonts w:ascii="仿宋" w:hAnsi="仿宋" w:eastAsia="仿宋" w:cs="宋体"/>
          <w:b/>
          <w:color w:val="auto"/>
          <w:sz w:val="24"/>
          <w:szCs w:val="24"/>
        </w:rPr>
      </w:pPr>
      <w:r>
        <w:rPr>
          <w:rFonts w:hint="eastAsia" w:ascii="仿宋" w:hAnsi="仿宋" w:eastAsia="仿宋" w:cs="宋体"/>
          <w:b/>
          <w:bCs/>
          <w:color w:val="auto"/>
          <w:sz w:val="24"/>
          <w:szCs w:val="24"/>
        </w:rPr>
        <w:t>3.</w:t>
      </w:r>
      <w:r>
        <w:rPr>
          <w:rFonts w:hint="eastAsia" w:ascii="仿宋" w:hAnsi="仿宋" w:eastAsia="仿宋" w:cs="宋体"/>
          <w:b/>
          <w:color w:val="auto"/>
          <w:sz w:val="24"/>
          <w:szCs w:val="24"/>
        </w:rPr>
        <w:t>供应商资格要求</w:t>
      </w:r>
    </w:p>
    <w:p w14:paraId="33F5AEBB">
      <w:pPr>
        <w:tabs>
          <w:tab w:val="left" w:pos="105"/>
          <w:tab w:val="left" w:pos="735"/>
          <w:tab w:val="left" w:pos="945"/>
          <w:tab w:val="left" w:pos="3360"/>
        </w:tabs>
        <w:adjustRightInd w:val="0"/>
        <w:snapToGrid w:val="0"/>
        <w:spacing w:line="520" w:lineRule="exact"/>
        <w:ind w:firstLine="120" w:firstLineChars="50"/>
        <w:rPr>
          <w:rFonts w:ascii="仿宋" w:hAnsi="仿宋" w:eastAsia="仿宋" w:cs="宋体"/>
          <w:color w:val="auto"/>
          <w:sz w:val="24"/>
          <w:szCs w:val="24"/>
        </w:rPr>
      </w:pPr>
      <w:r>
        <w:rPr>
          <w:rFonts w:hint="eastAsia" w:ascii="仿宋" w:hAnsi="仿宋" w:eastAsia="仿宋" w:cs="宋体"/>
          <w:color w:val="auto"/>
          <w:sz w:val="24"/>
          <w:szCs w:val="24"/>
        </w:rPr>
        <w:t xml:space="preserve">   3.1供应商资格要求：详见供应商须知前附表。</w:t>
      </w:r>
    </w:p>
    <w:p w14:paraId="57FE4563">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3</w:t>
      </w:r>
      <w:r>
        <w:rPr>
          <w:rFonts w:ascii="仿宋" w:hAnsi="仿宋" w:eastAsia="仿宋" w:cs="宋体"/>
          <w:color w:val="auto"/>
          <w:sz w:val="24"/>
          <w:szCs w:val="24"/>
        </w:rPr>
        <w:t>.2</w:t>
      </w:r>
      <w:r>
        <w:rPr>
          <w:rFonts w:hint="eastAsia" w:ascii="仿宋" w:hAnsi="仿宋" w:eastAsia="仿宋" w:cs="宋体"/>
          <w:color w:val="auto"/>
          <w:sz w:val="24"/>
          <w:szCs w:val="24"/>
        </w:rPr>
        <w:t>落实政府政策需满足的资格要求：详见供应商须知前附表。</w:t>
      </w:r>
    </w:p>
    <w:p w14:paraId="2779B380">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3</w:t>
      </w:r>
      <w:r>
        <w:rPr>
          <w:rFonts w:ascii="仿宋" w:hAnsi="仿宋" w:eastAsia="仿宋" w:cs="宋体"/>
          <w:color w:val="auto"/>
          <w:sz w:val="24"/>
          <w:szCs w:val="24"/>
        </w:rPr>
        <w:t>.</w:t>
      </w:r>
      <w:r>
        <w:rPr>
          <w:rFonts w:hint="eastAsia" w:ascii="仿宋" w:hAnsi="仿宋" w:eastAsia="仿宋" w:cs="宋体"/>
          <w:color w:val="auto"/>
          <w:sz w:val="24"/>
          <w:szCs w:val="24"/>
        </w:rPr>
        <w:t>3本项目的特定资格要求：详见供应商须知前附表。</w:t>
      </w:r>
    </w:p>
    <w:p w14:paraId="3D8CC373">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3</w:t>
      </w:r>
      <w:r>
        <w:rPr>
          <w:rFonts w:ascii="仿宋" w:hAnsi="仿宋" w:eastAsia="仿宋" w:cs="宋体"/>
          <w:color w:val="auto"/>
          <w:sz w:val="24"/>
          <w:szCs w:val="24"/>
        </w:rPr>
        <w:t>.</w:t>
      </w:r>
      <w:r>
        <w:rPr>
          <w:rFonts w:hint="eastAsia" w:ascii="仿宋" w:hAnsi="仿宋" w:eastAsia="仿宋" w:cs="宋体"/>
          <w:color w:val="auto"/>
          <w:sz w:val="24"/>
          <w:szCs w:val="24"/>
        </w:rPr>
        <w:t>4联合体要求：详见供应商须知前附表。</w:t>
      </w:r>
    </w:p>
    <w:p w14:paraId="795BBF90">
      <w:pPr>
        <w:tabs>
          <w:tab w:val="left" w:pos="105"/>
          <w:tab w:val="left" w:pos="735"/>
          <w:tab w:val="left" w:pos="945"/>
          <w:tab w:val="left" w:pos="3360"/>
        </w:tabs>
        <w:adjustRightInd w:val="0"/>
        <w:snapToGrid w:val="0"/>
        <w:spacing w:line="520" w:lineRule="exact"/>
        <w:rPr>
          <w:rFonts w:ascii="仿宋" w:hAnsi="仿宋" w:eastAsia="仿宋" w:cs="宋体"/>
          <w:b/>
          <w:color w:val="auto"/>
          <w:sz w:val="24"/>
          <w:szCs w:val="24"/>
        </w:rPr>
      </w:pPr>
      <w:r>
        <w:rPr>
          <w:rFonts w:hint="eastAsia" w:ascii="仿宋" w:hAnsi="仿宋" w:eastAsia="仿宋" w:cs="宋体"/>
          <w:b/>
          <w:color w:val="auto"/>
          <w:sz w:val="24"/>
          <w:szCs w:val="24"/>
        </w:rPr>
        <w:t>4.</w:t>
      </w:r>
      <w:bookmarkStart w:id="96" w:name="_Toc373135606"/>
      <w:bookmarkEnd w:id="96"/>
      <w:bookmarkStart w:id="97" w:name="_Toc373135607"/>
      <w:r>
        <w:rPr>
          <w:rFonts w:hint="eastAsia" w:ascii="仿宋" w:hAnsi="仿宋" w:eastAsia="仿宋" w:cs="宋体"/>
          <w:b/>
          <w:color w:val="auto"/>
          <w:sz w:val="24"/>
          <w:szCs w:val="24"/>
        </w:rPr>
        <w:t>供应商不得存在下列情形之一：</w:t>
      </w:r>
    </w:p>
    <w:p w14:paraId="2EC81C0C">
      <w:pPr>
        <w:tabs>
          <w:tab w:val="left" w:pos="105"/>
          <w:tab w:val="left" w:pos="735"/>
          <w:tab w:val="left" w:pos="945"/>
          <w:tab w:val="left" w:pos="3360"/>
        </w:tabs>
        <w:adjustRightInd w:val="0"/>
        <w:snapToGrid w:val="0"/>
        <w:spacing w:line="520" w:lineRule="exact"/>
        <w:ind w:firstLine="240" w:firstLineChars="100"/>
        <w:rPr>
          <w:rFonts w:ascii="仿宋" w:hAnsi="仿宋" w:eastAsia="仿宋" w:cs="宋体"/>
          <w:bCs/>
          <w:color w:val="auto"/>
          <w:sz w:val="24"/>
          <w:szCs w:val="24"/>
        </w:rPr>
      </w:pPr>
      <w:r>
        <w:rPr>
          <w:rFonts w:hint="eastAsia" w:ascii="仿宋" w:hAnsi="仿宋" w:eastAsia="仿宋" w:cs="宋体"/>
          <w:bCs/>
          <w:color w:val="auto"/>
          <w:sz w:val="24"/>
          <w:szCs w:val="24"/>
        </w:rPr>
        <w:t>（</w:t>
      </w:r>
      <w:r>
        <w:rPr>
          <w:rFonts w:ascii="仿宋" w:hAnsi="仿宋" w:eastAsia="仿宋" w:cs="宋体"/>
          <w:bCs/>
          <w:color w:val="auto"/>
          <w:sz w:val="24"/>
          <w:szCs w:val="24"/>
        </w:rPr>
        <w:t>1</w:t>
      </w:r>
      <w:r>
        <w:rPr>
          <w:rFonts w:hint="eastAsia" w:ascii="仿宋" w:hAnsi="仿宋" w:eastAsia="仿宋" w:cs="宋体"/>
          <w:bCs/>
          <w:color w:val="auto"/>
          <w:sz w:val="24"/>
          <w:szCs w:val="24"/>
        </w:rPr>
        <w:t>）为本项目提供采购代理服务的；</w:t>
      </w:r>
    </w:p>
    <w:p w14:paraId="39AB3528">
      <w:pPr>
        <w:tabs>
          <w:tab w:val="left" w:pos="105"/>
          <w:tab w:val="left" w:pos="735"/>
          <w:tab w:val="left" w:pos="945"/>
          <w:tab w:val="left" w:pos="3360"/>
        </w:tabs>
        <w:adjustRightInd w:val="0"/>
        <w:snapToGrid w:val="0"/>
        <w:spacing w:line="520" w:lineRule="exact"/>
        <w:ind w:firstLine="240" w:firstLineChars="100"/>
        <w:rPr>
          <w:rFonts w:ascii="仿宋" w:hAnsi="仿宋" w:eastAsia="仿宋" w:cs="宋体"/>
          <w:bCs/>
          <w:color w:val="auto"/>
          <w:sz w:val="24"/>
          <w:szCs w:val="24"/>
        </w:rPr>
      </w:pPr>
      <w:r>
        <w:rPr>
          <w:rFonts w:hint="eastAsia" w:ascii="仿宋" w:hAnsi="仿宋" w:eastAsia="仿宋" w:cs="宋体"/>
          <w:bCs/>
          <w:color w:val="auto"/>
          <w:sz w:val="24"/>
          <w:szCs w:val="24"/>
        </w:rPr>
        <w:t>（</w:t>
      </w:r>
      <w:r>
        <w:rPr>
          <w:rFonts w:ascii="仿宋" w:hAnsi="仿宋" w:eastAsia="仿宋" w:cs="宋体"/>
          <w:bCs/>
          <w:color w:val="auto"/>
          <w:sz w:val="24"/>
          <w:szCs w:val="24"/>
        </w:rPr>
        <w:t>2</w:t>
      </w:r>
      <w:r>
        <w:rPr>
          <w:rFonts w:hint="eastAsia" w:ascii="仿宋" w:hAnsi="仿宋" w:eastAsia="仿宋" w:cs="宋体"/>
          <w:bCs/>
          <w:color w:val="auto"/>
          <w:sz w:val="24"/>
          <w:szCs w:val="24"/>
        </w:rPr>
        <w:t>）与本项目的采购人或采购代理机构同为一个法定代表人的；</w:t>
      </w:r>
    </w:p>
    <w:p w14:paraId="400D9395">
      <w:pPr>
        <w:tabs>
          <w:tab w:val="left" w:pos="105"/>
          <w:tab w:val="left" w:pos="735"/>
          <w:tab w:val="left" w:pos="945"/>
          <w:tab w:val="left" w:pos="3360"/>
        </w:tabs>
        <w:adjustRightInd w:val="0"/>
        <w:snapToGrid w:val="0"/>
        <w:spacing w:line="520" w:lineRule="exact"/>
        <w:ind w:firstLine="240" w:firstLineChars="100"/>
        <w:rPr>
          <w:rFonts w:ascii="仿宋" w:hAnsi="仿宋" w:eastAsia="仿宋" w:cs="宋体"/>
          <w:bCs/>
          <w:color w:val="auto"/>
          <w:sz w:val="24"/>
          <w:szCs w:val="24"/>
        </w:rPr>
      </w:pPr>
      <w:r>
        <w:rPr>
          <w:rFonts w:hint="eastAsia" w:ascii="仿宋" w:hAnsi="仿宋" w:eastAsia="仿宋" w:cs="宋体"/>
          <w:bCs/>
          <w:color w:val="auto"/>
          <w:sz w:val="24"/>
          <w:szCs w:val="24"/>
        </w:rPr>
        <w:t>（</w:t>
      </w:r>
      <w:r>
        <w:rPr>
          <w:rFonts w:ascii="仿宋" w:hAnsi="仿宋" w:eastAsia="仿宋" w:cs="宋体"/>
          <w:bCs/>
          <w:color w:val="auto"/>
          <w:sz w:val="24"/>
          <w:szCs w:val="24"/>
        </w:rPr>
        <w:t>3</w:t>
      </w:r>
      <w:r>
        <w:rPr>
          <w:rFonts w:hint="eastAsia" w:ascii="仿宋" w:hAnsi="仿宋" w:eastAsia="仿宋" w:cs="宋体"/>
          <w:bCs/>
          <w:color w:val="auto"/>
          <w:sz w:val="24"/>
          <w:szCs w:val="24"/>
        </w:rPr>
        <w:t>）与本项目的采购人或采购代理机构相互控股或参股的；</w:t>
      </w:r>
    </w:p>
    <w:p w14:paraId="7FB80440">
      <w:pPr>
        <w:tabs>
          <w:tab w:val="left" w:pos="105"/>
          <w:tab w:val="left" w:pos="735"/>
          <w:tab w:val="left" w:pos="945"/>
          <w:tab w:val="left" w:pos="3360"/>
        </w:tabs>
        <w:adjustRightInd w:val="0"/>
        <w:snapToGrid w:val="0"/>
        <w:spacing w:line="520" w:lineRule="exact"/>
        <w:ind w:firstLine="240" w:firstLineChars="100"/>
        <w:rPr>
          <w:rFonts w:ascii="仿宋" w:hAnsi="仿宋" w:eastAsia="仿宋" w:cs="宋体"/>
          <w:bCs/>
          <w:color w:val="auto"/>
          <w:sz w:val="24"/>
          <w:szCs w:val="24"/>
        </w:rPr>
      </w:pPr>
      <w:r>
        <w:rPr>
          <w:rFonts w:hint="eastAsia" w:ascii="仿宋" w:hAnsi="仿宋" w:eastAsia="仿宋" w:cs="宋体"/>
          <w:bCs/>
          <w:color w:val="auto"/>
          <w:sz w:val="24"/>
          <w:szCs w:val="24"/>
        </w:rPr>
        <w:t>（</w:t>
      </w:r>
      <w:r>
        <w:rPr>
          <w:rFonts w:ascii="仿宋" w:hAnsi="仿宋" w:eastAsia="仿宋" w:cs="宋体"/>
          <w:bCs/>
          <w:color w:val="auto"/>
          <w:sz w:val="24"/>
          <w:szCs w:val="24"/>
        </w:rPr>
        <w:t>4</w:t>
      </w:r>
      <w:r>
        <w:rPr>
          <w:rFonts w:hint="eastAsia" w:ascii="仿宋" w:hAnsi="仿宋" w:eastAsia="仿宋" w:cs="宋体"/>
          <w:bCs/>
          <w:color w:val="auto"/>
          <w:sz w:val="24"/>
          <w:szCs w:val="24"/>
        </w:rPr>
        <w:t>）与本项目的采购人或采购代理机构相互任职或工作的；</w:t>
      </w:r>
    </w:p>
    <w:p w14:paraId="24E1FC1D">
      <w:pPr>
        <w:tabs>
          <w:tab w:val="left" w:pos="105"/>
          <w:tab w:val="left" w:pos="735"/>
          <w:tab w:val="left" w:pos="945"/>
          <w:tab w:val="left" w:pos="3360"/>
        </w:tabs>
        <w:adjustRightInd w:val="0"/>
        <w:snapToGrid w:val="0"/>
        <w:spacing w:line="520" w:lineRule="exact"/>
        <w:ind w:firstLine="240" w:firstLineChars="100"/>
        <w:rPr>
          <w:rFonts w:ascii="仿宋" w:hAnsi="仿宋" w:eastAsia="仿宋" w:cs="宋体"/>
          <w:bCs/>
          <w:color w:val="auto"/>
          <w:sz w:val="24"/>
          <w:szCs w:val="24"/>
        </w:rPr>
      </w:pPr>
      <w:r>
        <w:rPr>
          <w:rFonts w:hint="eastAsia" w:ascii="仿宋" w:hAnsi="仿宋" w:eastAsia="仿宋" w:cs="宋体"/>
          <w:bCs/>
          <w:color w:val="auto"/>
          <w:sz w:val="24"/>
          <w:szCs w:val="24"/>
        </w:rPr>
        <w:t>（</w:t>
      </w:r>
      <w:r>
        <w:rPr>
          <w:rFonts w:ascii="仿宋" w:hAnsi="仿宋" w:eastAsia="仿宋" w:cs="宋体"/>
          <w:bCs/>
          <w:color w:val="auto"/>
          <w:sz w:val="24"/>
          <w:szCs w:val="24"/>
        </w:rPr>
        <w:t>5</w:t>
      </w:r>
      <w:r>
        <w:rPr>
          <w:rFonts w:hint="eastAsia" w:ascii="仿宋" w:hAnsi="仿宋" w:eastAsia="仿宋" w:cs="宋体"/>
          <w:bCs/>
          <w:color w:val="auto"/>
          <w:sz w:val="24"/>
          <w:szCs w:val="24"/>
        </w:rPr>
        <w:t>）被责令停业的；</w:t>
      </w:r>
    </w:p>
    <w:p w14:paraId="3D9EDB99">
      <w:pPr>
        <w:tabs>
          <w:tab w:val="left" w:pos="105"/>
          <w:tab w:val="left" w:pos="735"/>
          <w:tab w:val="left" w:pos="945"/>
          <w:tab w:val="left" w:pos="3360"/>
        </w:tabs>
        <w:adjustRightInd w:val="0"/>
        <w:snapToGrid w:val="0"/>
        <w:spacing w:line="520" w:lineRule="exact"/>
        <w:ind w:firstLine="240" w:firstLineChars="100"/>
        <w:rPr>
          <w:rFonts w:ascii="仿宋" w:hAnsi="仿宋" w:eastAsia="仿宋" w:cs="宋体"/>
          <w:bCs/>
          <w:color w:val="auto"/>
          <w:sz w:val="24"/>
          <w:szCs w:val="24"/>
        </w:rPr>
      </w:pPr>
      <w:r>
        <w:rPr>
          <w:rFonts w:hint="eastAsia" w:ascii="仿宋" w:hAnsi="仿宋" w:eastAsia="仿宋" w:cs="宋体"/>
          <w:bCs/>
          <w:color w:val="auto"/>
          <w:sz w:val="24"/>
          <w:szCs w:val="24"/>
        </w:rPr>
        <w:t>（</w:t>
      </w:r>
      <w:r>
        <w:rPr>
          <w:rFonts w:ascii="仿宋" w:hAnsi="仿宋" w:eastAsia="仿宋" w:cs="宋体"/>
          <w:bCs/>
          <w:color w:val="auto"/>
          <w:sz w:val="24"/>
          <w:szCs w:val="24"/>
        </w:rPr>
        <w:t>6</w:t>
      </w:r>
      <w:r>
        <w:rPr>
          <w:rFonts w:hint="eastAsia" w:ascii="仿宋" w:hAnsi="仿宋" w:eastAsia="仿宋" w:cs="宋体"/>
          <w:bCs/>
          <w:color w:val="auto"/>
          <w:sz w:val="24"/>
          <w:szCs w:val="24"/>
        </w:rPr>
        <w:t>）被暂停或取消资格的；</w:t>
      </w:r>
    </w:p>
    <w:p w14:paraId="661DAD3B">
      <w:pPr>
        <w:tabs>
          <w:tab w:val="left" w:pos="105"/>
          <w:tab w:val="left" w:pos="735"/>
          <w:tab w:val="left" w:pos="945"/>
          <w:tab w:val="left" w:pos="3360"/>
        </w:tabs>
        <w:adjustRightInd w:val="0"/>
        <w:snapToGrid w:val="0"/>
        <w:spacing w:line="520" w:lineRule="exact"/>
        <w:ind w:firstLine="240" w:firstLineChars="100"/>
        <w:rPr>
          <w:rFonts w:ascii="仿宋" w:hAnsi="仿宋" w:eastAsia="仿宋" w:cs="宋体"/>
          <w:bCs/>
          <w:color w:val="auto"/>
          <w:sz w:val="24"/>
          <w:szCs w:val="24"/>
        </w:rPr>
      </w:pPr>
      <w:r>
        <w:rPr>
          <w:rFonts w:hint="eastAsia" w:ascii="仿宋" w:hAnsi="仿宋" w:eastAsia="仿宋" w:cs="宋体"/>
          <w:bCs/>
          <w:color w:val="auto"/>
          <w:sz w:val="24"/>
          <w:szCs w:val="24"/>
        </w:rPr>
        <w:t>（</w:t>
      </w:r>
      <w:r>
        <w:rPr>
          <w:rFonts w:ascii="仿宋" w:hAnsi="仿宋" w:eastAsia="仿宋" w:cs="宋体"/>
          <w:bCs/>
          <w:color w:val="auto"/>
          <w:sz w:val="24"/>
          <w:szCs w:val="24"/>
        </w:rPr>
        <w:t>7</w:t>
      </w:r>
      <w:r>
        <w:rPr>
          <w:rFonts w:hint="eastAsia" w:ascii="仿宋" w:hAnsi="仿宋" w:eastAsia="仿宋" w:cs="宋体"/>
          <w:bCs/>
          <w:color w:val="auto"/>
          <w:sz w:val="24"/>
          <w:szCs w:val="24"/>
        </w:rPr>
        <w:t>）财产被接管或冻结的；</w:t>
      </w:r>
    </w:p>
    <w:p w14:paraId="156D3C3C">
      <w:pPr>
        <w:tabs>
          <w:tab w:val="left" w:pos="105"/>
          <w:tab w:val="left" w:pos="735"/>
          <w:tab w:val="left" w:pos="945"/>
          <w:tab w:val="left" w:pos="3360"/>
        </w:tabs>
        <w:adjustRightInd w:val="0"/>
        <w:snapToGrid w:val="0"/>
        <w:spacing w:line="520" w:lineRule="exact"/>
        <w:ind w:firstLine="240" w:firstLineChars="100"/>
        <w:rPr>
          <w:rFonts w:ascii="仿宋" w:hAnsi="仿宋" w:eastAsia="仿宋" w:cs="宋体"/>
          <w:bCs/>
          <w:color w:val="auto"/>
          <w:sz w:val="24"/>
          <w:szCs w:val="24"/>
        </w:rPr>
      </w:pPr>
      <w:r>
        <w:rPr>
          <w:rFonts w:hint="eastAsia" w:ascii="仿宋" w:hAnsi="仿宋" w:eastAsia="仿宋" w:cs="宋体"/>
          <w:bCs/>
          <w:color w:val="auto"/>
          <w:sz w:val="24"/>
          <w:szCs w:val="24"/>
        </w:rPr>
        <w:t>（</w:t>
      </w:r>
      <w:r>
        <w:rPr>
          <w:rFonts w:ascii="仿宋" w:hAnsi="仿宋" w:eastAsia="仿宋" w:cs="宋体"/>
          <w:bCs/>
          <w:color w:val="auto"/>
          <w:sz w:val="24"/>
          <w:szCs w:val="24"/>
        </w:rPr>
        <w:t>8</w:t>
      </w:r>
      <w:r>
        <w:rPr>
          <w:rFonts w:hint="eastAsia" w:ascii="仿宋" w:hAnsi="仿宋" w:eastAsia="仿宋" w:cs="宋体"/>
          <w:bCs/>
          <w:color w:val="auto"/>
          <w:sz w:val="24"/>
          <w:szCs w:val="24"/>
        </w:rPr>
        <w:t>）</w:t>
      </w:r>
      <w:r>
        <w:rPr>
          <w:rFonts w:hint="eastAsia" w:ascii="仿宋" w:hAnsi="仿宋" w:eastAsia="仿宋" w:cs="宋体"/>
          <w:color w:val="auto"/>
          <w:kern w:val="0"/>
          <w:sz w:val="24"/>
        </w:rPr>
        <w:t>供应商与采购人存在利害关系可能影响采购公正性的法人、其他组织或者个人，不得参与本采购项目的磋商；</w:t>
      </w:r>
    </w:p>
    <w:p w14:paraId="48C53549">
      <w:pPr>
        <w:tabs>
          <w:tab w:val="left" w:pos="105"/>
          <w:tab w:val="left" w:pos="735"/>
          <w:tab w:val="left" w:pos="945"/>
          <w:tab w:val="left" w:pos="3360"/>
        </w:tabs>
        <w:adjustRightInd w:val="0"/>
        <w:snapToGrid w:val="0"/>
        <w:spacing w:line="520" w:lineRule="exact"/>
        <w:ind w:firstLine="240" w:firstLineChars="100"/>
        <w:rPr>
          <w:rFonts w:ascii="仿宋" w:hAnsi="仿宋" w:eastAsia="仿宋" w:cs="宋体"/>
          <w:bCs/>
          <w:color w:val="auto"/>
          <w:sz w:val="24"/>
          <w:szCs w:val="24"/>
        </w:rPr>
      </w:pPr>
      <w:r>
        <w:rPr>
          <w:rFonts w:hint="eastAsia" w:ascii="仿宋" w:hAnsi="仿宋" w:eastAsia="仿宋" w:cs="宋体"/>
          <w:bCs/>
          <w:color w:val="auto"/>
          <w:sz w:val="24"/>
          <w:szCs w:val="24"/>
        </w:rPr>
        <w:t>（</w:t>
      </w:r>
      <w:r>
        <w:rPr>
          <w:rFonts w:ascii="仿宋" w:hAnsi="仿宋" w:eastAsia="仿宋" w:cs="宋体"/>
          <w:bCs/>
          <w:color w:val="auto"/>
          <w:sz w:val="24"/>
          <w:szCs w:val="24"/>
        </w:rPr>
        <w:t>9</w:t>
      </w:r>
      <w:r>
        <w:rPr>
          <w:rFonts w:hint="eastAsia" w:ascii="仿宋" w:hAnsi="仿宋" w:eastAsia="仿宋" w:cs="宋体"/>
          <w:bCs/>
          <w:color w:val="auto"/>
          <w:sz w:val="24"/>
          <w:szCs w:val="24"/>
        </w:rPr>
        <w:t>）单位负责人为同一人或者存在控股、管理关系的不同供应商，不得同时参加本采购项目的磋商。</w:t>
      </w:r>
    </w:p>
    <w:p w14:paraId="0F706621">
      <w:pPr>
        <w:tabs>
          <w:tab w:val="left" w:pos="105"/>
          <w:tab w:val="left" w:pos="735"/>
          <w:tab w:val="left" w:pos="945"/>
          <w:tab w:val="left" w:pos="3360"/>
        </w:tabs>
        <w:adjustRightInd w:val="0"/>
        <w:snapToGrid w:val="0"/>
        <w:spacing w:line="520" w:lineRule="exact"/>
        <w:rPr>
          <w:rFonts w:ascii="仿宋" w:hAnsi="仿宋" w:eastAsia="仿宋" w:cs="宋体"/>
          <w:b/>
          <w:bCs/>
          <w:color w:val="auto"/>
          <w:sz w:val="24"/>
          <w:szCs w:val="24"/>
        </w:rPr>
      </w:pPr>
      <w:r>
        <w:rPr>
          <w:rFonts w:hint="eastAsia" w:ascii="仿宋" w:hAnsi="仿宋" w:eastAsia="仿宋" w:cs="宋体"/>
          <w:b/>
          <w:color w:val="auto"/>
          <w:sz w:val="24"/>
          <w:szCs w:val="24"/>
        </w:rPr>
        <w:t>5.</w:t>
      </w:r>
      <w:r>
        <w:rPr>
          <w:rFonts w:hint="eastAsia" w:ascii="仿宋" w:hAnsi="仿宋" w:eastAsia="仿宋" w:cs="宋体"/>
          <w:b/>
          <w:bCs/>
          <w:color w:val="auto"/>
          <w:sz w:val="24"/>
          <w:szCs w:val="24"/>
        </w:rPr>
        <w:t>现场踏勘</w:t>
      </w:r>
    </w:p>
    <w:p w14:paraId="2BF5FE83">
      <w:pPr>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5.1 采购人不组织供应商踏勘项目现场，</w:t>
      </w:r>
      <w:r>
        <w:rPr>
          <w:rFonts w:hint="eastAsia" w:ascii="仿宋" w:hAnsi="仿宋" w:eastAsia="仿宋" w:cs="宋体"/>
          <w:color w:val="auto"/>
          <w:kern w:val="0"/>
          <w:sz w:val="24"/>
        </w:rPr>
        <w:t>由供应商自行踏勘。</w:t>
      </w:r>
    </w:p>
    <w:bookmarkEnd w:id="97"/>
    <w:p w14:paraId="681697A3">
      <w:pPr>
        <w:tabs>
          <w:tab w:val="left" w:pos="105"/>
          <w:tab w:val="left" w:pos="735"/>
          <w:tab w:val="left" w:pos="945"/>
          <w:tab w:val="left" w:pos="3360"/>
        </w:tabs>
        <w:adjustRightInd w:val="0"/>
        <w:snapToGrid w:val="0"/>
        <w:spacing w:line="520" w:lineRule="exact"/>
        <w:jc w:val="center"/>
        <w:outlineLvl w:val="2"/>
        <w:rPr>
          <w:rFonts w:ascii="仿宋" w:hAnsi="仿宋" w:eastAsia="仿宋" w:cs="宋体"/>
          <w:b/>
          <w:bCs/>
          <w:color w:val="auto"/>
          <w:sz w:val="32"/>
          <w:szCs w:val="32"/>
        </w:rPr>
      </w:pPr>
      <w:bookmarkStart w:id="98" w:name="_Toc17104"/>
      <w:bookmarkStart w:id="99" w:name="_Toc232004905"/>
      <w:r>
        <w:rPr>
          <w:rFonts w:hint="eastAsia" w:ascii="仿宋" w:hAnsi="仿宋" w:eastAsia="仿宋" w:cs="宋体"/>
          <w:b/>
          <w:bCs/>
          <w:color w:val="auto"/>
          <w:sz w:val="32"/>
          <w:szCs w:val="32"/>
        </w:rPr>
        <w:t>二、</w:t>
      </w:r>
      <w:bookmarkEnd w:id="98"/>
      <w:r>
        <w:rPr>
          <w:rFonts w:hint="eastAsia" w:ascii="仿宋" w:hAnsi="仿宋" w:eastAsia="仿宋" w:cs="宋体"/>
          <w:b/>
          <w:bCs/>
          <w:color w:val="auto"/>
          <w:sz w:val="32"/>
          <w:szCs w:val="32"/>
        </w:rPr>
        <w:t>竞争性磋商文件</w:t>
      </w:r>
      <w:bookmarkEnd w:id="99"/>
    </w:p>
    <w:p w14:paraId="48C25F49">
      <w:pPr>
        <w:spacing w:line="520" w:lineRule="exact"/>
        <w:rPr>
          <w:rFonts w:ascii="仿宋" w:hAnsi="仿宋" w:eastAsia="仿宋" w:cs="宋体"/>
          <w:b/>
          <w:color w:val="auto"/>
          <w:sz w:val="24"/>
          <w:szCs w:val="24"/>
        </w:rPr>
      </w:pPr>
      <w:r>
        <w:rPr>
          <w:rFonts w:hint="eastAsia" w:ascii="仿宋" w:hAnsi="仿宋" w:eastAsia="仿宋" w:cs="宋体"/>
          <w:b/>
          <w:color w:val="auto"/>
          <w:sz w:val="24"/>
          <w:szCs w:val="24"/>
        </w:rPr>
        <w:t>6.竞争性磋商文件的组成</w:t>
      </w:r>
    </w:p>
    <w:p w14:paraId="4B2B1BAB">
      <w:pPr>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6.1竞争性磋商文件包括下列内容：</w:t>
      </w:r>
    </w:p>
    <w:p w14:paraId="25044A32">
      <w:pPr>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第一章  竞争性磋商公告</w:t>
      </w:r>
    </w:p>
    <w:p w14:paraId="291D22E8">
      <w:pPr>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第二章  供应商须知前附表</w:t>
      </w:r>
    </w:p>
    <w:p w14:paraId="6C6C0D82">
      <w:pPr>
        <w:tabs>
          <w:tab w:val="left" w:pos="1440"/>
        </w:tabs>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第三章  评审办法（综合评分法）</w:t>
      </w:r>
    </w:p>
    <w:p w14:paraId="7FCA54DF">
      <w:pPr>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第四章  采购需求</w:t>
      </w:r>
    </w:p>
    <w:p w14:paraId="2850AAC0">
      <w:pPr>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第五章  合同主要条款</w:t>
      </w:r>
    </w:p>
    <w:p w14:paraId="5E6010B4">
      <w:pPr>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第六章  响应文件</w:t>
      </w:r>
      <w:bookmarkStart w:id="100" w:name="_Hlt424918182"/>
      <w:bookmarkStart w:id="101" w:name="_Hlt424918183"/>
      <w:r>
        <w:rPr>
          <w:rFonts w:hint="eastAsia" w:ascii="仿宋" w:hAnsi="仿宋" w:eastAsia="仿宋" w:cs="宋体"/>
          <w:color w:val="auto"/>
          <w:sz w:val="24"/>
          <w:szCs w:val="24"/>
        </w:rPr>
        <w:t>格</w:t>
      </w:r>
      <w:bookmarkEnd w:id="100"/>
      <w:bookmarkEnd w:id="101"/>
      <w:r>
        <w:rPr>
          <w:rFonts w:hint="eastAsia" w:ascii="仿宋" w:hAnsi="仿宋" w:eastAsia="仿宋" w:cs="宋体"/>
          <w:color w:val="auto"/>
          <w:sz w:val="24"/>
          <w:szCs w:val="24"/>
        </w:rPr>
        <w:t>式</w:t>
      </w:r>
    </w:p>
    <w:p w14:paraId="13C65620">
      <w:pPr>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6.2根据本章第6.1款对竞争性磋商文件所作的澄清、修改，构成竞争性磋商文件的组成部分。</w:t>
      </w:r>
    </w:p>
    <w:p w14:paraId="09646B3E">
      <w:pPr>
        <w:tabs>
          <w:tab w:val="left" w:pos="105"/>
          <w:tab w:val="left" w:pos="735"/>
          <w:tab w:val="left" w:pos="945"/>
          <w:tab w:val="left" w:pos="3360"/>
        </w:tabs>
        <w:adjustRightInd w:val="0"/>
        <w:snapToGrid w:val="0"/>
        <w:spacing w:line="520" w:lineRule="exact"/>
        <w:rPr>
          <w:rFonts w:ascii="仿宋" w:hAnsi="仿宋" w:eastAsia="仿宋" w:cs="宋体"/>
          <w:b/>
          <w:bCs/>
          <w:color w:val="auto"/>
          <w:sz w:val="24"/>
          <w:szCs w:val="24"/>
        </w:rPr>
      </w:pPr>
      <w:r>
        <w:rPr>
          <w:rFonts w:hint="eastAsia" w:ascii="仿宋" w:hAnsi="仿宋" w:eastAsia="仿宋" w:cs="宋体"/>
          <w:b/>
          <w:bCs/>
          <w:color w:val="auto"/>
          <w:sz w:val="24"/>
          <w:szCs w:val="24"/>
        </w:rPr>
        <w:t>7.竞争性磋商文件的澄清</w:t>
      </w:r>
    </w:p>
    <w:p w14:paraId="4EC0DA52">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bCs/>
          <w:color w:val="auto"/>
          <w:sz w:val="24"/>
          <w:szCs w:val="24"/>
        </w:rPr>
      </w:pPr>
      <w:r>
        <w:rPr>
          <w:rFonts w:hint="eastAsia" w:ascii="仿宋" w:hAnsi="仿宋" w:eastAsia="仿宋" w:cs="宋体"/>
          <w:bCs/>
          <w:color w:val="auto"/>
          <w:sz w:val="24"/>
          <w:szCs w:val="24"/>
        </w:rPr>
        <w:t>7.1供应商若对竞争性磋商文件有疑问或认为竞争性磋商文件使自己权益受到损害的，须在</w:t>
      </w:r>
      <w:r>
        <w:rPr>
          <w:rFonts w:hint="eastAsia" w:ascii="仿宋" w:hAnsi="仿宋" w:eastAsia="仿宋" w:cs="宋体"/>
          <w:color w:val="auto"/>
          <w:sz w:val="24"/>
          <w:szCs w:val="24"/>
        </w:rPr>
        <w:t>磋商须知前附表规定的截止时间前</w:t>
      </w:r>
      <w:r>
        <w:rPr>
          <w:rFonts w:hint="eastAsia" w:ascii="仿宋" w:hAnsi="仿宋" w:eastAsia="仿宋" w:cs="宋体"/>
          <w:bCs/>
          <w:color w:val="auto"/>
          <w:sz w:val="24"/>
          <w:szCs w:val="24"/>
        </w:rPr>
        <w:t>以书面形式通知采购代理机构。</w:t>
      </w:r>
    </w:p>
    <w:p w14:paraId="68801961">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bCs/>
          <w:color w:val="auto"/>
          <w:sz w:val="24"/>
          <w:szCs w:val="24"/>
        </w:rPr>
      </w:pPr>
      <w:r>
        <w:rPr>
          <w:rFonts w:hint="eastAsia" w:ascii="仿宋" w:hAnsi="仿宋" w:eastAsia="仿宋" w:cs="宋体"/>
          <w:color w:val="auto"/>
          <w:sz w:val="24"/>
          <w:szCs w:val="24"/>
        </w:rPr>
        <w:t>7.2</w:t>
      </w:r>
      <w:r>
        <w:rPr>
          <w:rFonts w:hint="eastAsia" w:ascii="仿宋" w:hAnsi="仿宋" w:eastAsia="仿宋" w:cs="宋体"/>
          <w:bCs/>
          <w:color w:val="auto"/>
          <w:sz w:val="24"/>
          <w:szCs w:val="24"/>
        </w:rPr>
        <w:t>竞争性磋商文件</w:t>
      </w:r>
      <w:r>
        <w:rPr>
          <w:rFonts w:hint="eastAsia" w:ascii="仿宋" w:hAnsi="仿宋" w:eastAsia="仿宋" w:cs="宋体"/>
          <w:color w:val="auto"/>
          <w:sz w:val="24"/>
          <w:szCs w:val="24"/>
        </w:rPr>
        <w:t>中若</w:t>
      </w:r>
      <w:r>
        <w:rPr>
          <w:rFonts w:hint="eastAsia" w:ascii="仿宋" w:hAnsi="仿宋" w:eastAsia="仿宋" w:cs="宋体"/>
          <w:bCs/>
          <w:color w:val="auto"/>
          <w:sz w:val="24"/>
          <w:szCs w:val="24"/>
        </w:rPr>
        <w:t>供应商认为有需要</w:t>
      </w:r>
      <w:r>
        <w:rPr>
          <w:rFonts w:hint="eastAsia" w:ascii="仿宋" w:hAnsi="仿宋" w:eastAsia="仿宋" w:cs="宋体"/>
          <w:color w:val="auto"/>
          <w:sz w:val="24"/>
          <w:szCs w:val="24"/>
        </w:rPr>
        <w:t>询问或澄清的问题可与</w:t>
      </w:r>
      <w:r>
        <w:rPr>
          <w:rFonts w:hint="eastAsia" w:ascii="仿宋" w:hAnsi="仿宋" w:eastAsia="仿宋" w:cs="宋体"/>
          <w:bCs/>
          <w:color w:val="auto"/>
          <w:sz w:val="24"/>
          <w:szCs w:val="24"/>
        </w:rPr>
        <w:t>采购人或采购代理机构</w:t>
      </w:r>
      <w:r>
        <w:rPr>
          <w:rFonts w:hint="eastAsia" w:ascii="仿宋" w:hAnsi="仿宋" w:eastAsia="仿宋" w:cs="宋体"/>
          <w:color w:val="auto"/>
          <w:sz w:val="24"/>
          <w:szCs w:val="24"/>
        </w:rPr>
        <w:t>联系。</w:t>
      </w:r>
    </w:p>
    <w:p w14:paraId="52C359DF">
      <w:pPr>
        <w:tabs>
          <w:tab w:val="left" w:pos="105"/>
          <w:tab w:val="left" w:pos="735"/>
          <w:tab w:val="left" w:pos="945"/>
          <w:tab w:val="left" w:pos="3360"/>
        </w:tabs>
        <w:adjustRightInd w:val="0"/>
        <w:snapToGrid w:val="0"/>
        <w:spacing w:line="520" w:lineRule="exact"/>
        <w:rPr>
          <w:rFonts w:ascii="仿宋" w:hAnsi="仿宋" w:eastAsia="仿宋" w:cs="宋体"/>
          <w:b/>
          <w:bCs/>
          <w:color w:val="auto"/>
          <w:sz w:val="24"/>
          <w:szCs w:val="24"/>
        </w:rPr>
      </w:pPr>
      <w:r>
        <w:rPr>
          <w:rFonts w:hint="eastAsia" w:ascii="仿宋" w:hAnsi="仿宋" w:eastAsia="仿宋" w:cs="宋体"/>
          <w:b/>
          <w:bCs/>
          <w:color w:val="auto"/>
          <w:sz w:val="24"/>
          <w:szCs w:val="24"/>
        </w:rPr>
        <w:t>8.竞争性磋商文件的补充和修改</w:t>
      </w:r>
    </w:p>
    <w:p w14:paraId="6FDE8E03">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bCs/>
          <w:color w:val="auto"/>
          <w:sz w:val="24"/>
          <w:szCs w:val="24"/>
        </w:rPr>
      </w:pPr>
      <w:r>
        <w:rPr>
          <w:rFonts w:hint="eastAsia" w:ascii="仿宋" w:hAnsi="仿宋" w:eastAsia="仿宋" w:cs="宋体"/>
          <w:bCs/>
          <w:color w:val="auto"/>
          <w:sz w:val="24"/>
          <w:szCs w:val="24"/>
        </w:rPr>
        <w:t>8.1采购代理机构将用书面补充通知的方式对竞争性磋商文件进行补充和修改，并通知所有供应商，该补充通知作为竞争性磋商文件的组成部分。</w:t>
      </w:r>
    </w:p>
    <w:p w14:paraId="2222B0FC">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bCs/>
          <w:color w:val="auto"/>
          <w:sz w:val="24"/>
          <w:szCs w:val="24"/>
        </w:rPr>
      </w:pPr>
      <w:r>
        <w:rPr>
          <w:rFonts w:hint="eastAsia" w:ascii="仿宋" w:hAnsi="仿宋" w:eastAsia="仿宋" w:cs="宋体"/>
          <w:bCs/>
          <w:color w:val="auto"/>
          <w:sz w:val="24"/>
          <w:szCs w:val="24"/>
        </w:rPr>
        <w:t>8.2考虑到补充文件或通知发出可能对供应商</w:t>
      </w:r>
      <w:r>
        <w:rPr>
          <w:rFonts w:hint="eastAsia" w:ascii="仿宋" w:hAnsi="仿宋" w:eastAsia="仿宋" w:cs="宋体"/>
          <w:color w:val="auto"/>
          <w:sz w:val="24"/>
          <w:szCs w:val="24"/>
        </w:rPr>
        <w:t>编制竞争性磋商文件</w:t>
      </w:r>
      <w:r>
        <w:rPr>
          <w:rFonts w:hint="eastAsia" w:ascii="仿宋" w:hAnsi="仿宋" w:eastAsia="仿宋" w:cs="宋体"/>
          <w:bCs/>
          <w:color w:val="auto"/>
          <w:sz w:val="24"/>
          <w:szCs w:val="24"/>
        </w:rPr>
        <w:t>的影响，采购代理机构可以决定延长磋商截止时间。</w:t>
      </w:r>
    </w:p>
    <w:p w14:paraId="53DBE9CF">
      <w:pPr>
        <w:tabs>
          <w:tab w:val="left" w:pos="105"/>
          <w:tab w:val="left" w:pos="735"/>
          <w:tab w:val="left" w:pos="945"/>
          <w:tab w:val="left" w:pos="3360"/>
        </w:tabs>
        <w:adjustRightInd w:val="0"/>
        <w:snapToGrid w:val="0"/>
        <w:spacing w:line="520" w:lineRule="exact"/>
        <w:jc w:val="center"/>
        <w:outlineLvl w:val="2"/>
        <w:rPr>
          <w:rFonts w:ascii="仿宋" w:hAnsi="仿宋" w:eastAsia="仿宋" w:cs="宋体"/>
          <w:b/>
          <w:bCs/>
          <w:color w:val="auto"/>
          <w:sz w:val="32"/>
          <w:szCs w:val="32"/>
        </w:rPr>
      </w:pPr>
      <w:bookmarkStart w:id="102" w:name="_Toc21457"/>
      <w:bookmarkStart w:id="103" w:name="_Toc232004906"/>
      <w:r>
        <w:rPr>
          <w:rFonts w:hint="eastAsia" w:ascii="仿宋" w:hAnsi="仿宋" w:eastAsia="仿宋" w:cs="宋体"/>
          <w:b/>
          <w:bCs/>
          <w:color w:val="auto"/>
          <w:sz w:val="32"/>
          <w:szCs w:val="32"/>
        </w:rPr>
        <w:t>三、响应文件</w:t>
      </w:r>
      <w:bookmarkEnd w:id="102"/>
      <w:bookmarkEnd w:id="103"/>
    </w:p>
    <w:p w14:paraId="4E71A7A0">
      <w:pPr>
        <w:autoSpaceDE w:val="0"/>
        <w:autoSpaceDN w:val="0"/>
        <w:adjustRightInd w:val="0"/>
        <w:spacing w:line="520" w:lineRule="exact"/>
        <w:ind w:firstLine="118" w:firstLineChars="49"/>
        <w:rPr>
          <w:rFonts w:ascii="仿宋" w:hAnsi="仿宋" w:eastAsia="仿宋" w:cs="宋体"/>
          <w:b/>
          <w:bCs/>
          <w:color w:val="auto"/>
          <w:sz w:val="24"/>
          <w:szCs w:val="24"/>
        </w:rPr>
      </w:pPr>
      <w:r>
        <w:rPr>
          <w:rFonts w:hint="eastAsia" w:ascii="仿宋" w:hAnsi="仿宋" w:eastAsia="仿宋" w:cs="宋体"/>
          <w:b/>
          <w:bCs/>
          <w:color w:val="auto"/>
          <w:sz w:val="24"/>
          <w:szCs w:val="24"/>
        </w:rPr>
        <w:t>9.响应文件的编制</w:t>
      </w:r>
    </w:p>
    <w:p w14:paraId="10BF3202">
      <w:pPr>
        <w:autoSpaceDE w:val="0"/>
        <w:autoSpaceDN w:val="0"/>
        <w:adjustRightIn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9.1响应文件正本壹份，副本壹份；电子版响应文件壹份（供应商须将竞争性磋商文件的正本签字盖章完成后扫描为PDF格式拷贝在U盘中）。</w:t>
      </w:r>
    </w:p>
    <w:p w14:paraId="57A2B085">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9.</w:t>
      </w:r>
      <w:r>
        <w:rPr>
          <w:rFonts w:ascii="仿宋" w:hAnsi="仿宋" w:eastAsia="仿宋" w:cs="宋体"/>
          <w:color w:val="auto"/>
          <w:sz w:val="24"/>
          <w:szCs w:val="24"/>
        </w:rPr>
        <w:t>2</w:t>
      </w:r>
      <w:r>
        <w:rPr>
          <w:rFonts w:hint="eastAsia" w:ascii="仿宋" w:hAnsi="仿宋" w:eastAsia="仿宋" w:cs="宋体"/>
          <w:bCs/>
          <w:color w:val="auto"/>
          <w:sz w:val="24"/>
          <w:szCs w:val="24"/>
        </w:rPr>
        <w:t>响应文件</w:t>
      </w:r>
      <w:r>
        <w:rPr>
          <w:rFonts w:hint="eastAsia" w:ascii="仿宋" w:hAnsi="仿宋" w:eastAsia="仿宋" w:cs="宋体"/>
          <w:color w:val="auto"/>
          <w:sz w:val="24"/>
          <w:szCs w:val="24"/>
        </w:rPr>
        <w:t>和来往函件用中文书写，计量单位使用国际标准单位。</w:t>
      </w:r>
    </w:p>
    <w:p w14:paraId="7B69670D">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9.3响应文件的组成应包括下列内容（但不限于）：详见响应文件格式部分。</w:t>
      </w:r>
    </w:p>
    <w:p w14:paraId="7CC8CC4C">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9.4盖章要求：见供应商须知前附表。</w:t>
      </w:r>
    </w:p>
    <w:p w14:paraId="1EFF0CDC">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9.5响应文件份数：见供应商须知前附表。</w:t>
      </w:r>
    </w:p>
    <w:p w14:paraId="3C75D0BB">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9.6磋商报价范围内采用人民币进行报价。若由单价计算得出的总价与报价总价不一致，以单价计算得出的总价作为报价总价。若中文文字形式表示的数值与数字形式表示的数值不一致，以中文文字形式表示的数值为准。</w:t>
      </w:r>
    </w:p>
    <w:p w14:paraId="16C02DE6">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9.7响应文件不得随意涂改和增删，若为了改正错误必须这样做时，均应由法定代表人在修改处盖章确认并加盖公章。</w:t>
      </w:r>
    </w:p>
    <w:p w14:paraId="7E6BA772">
      <w:pPr>
        <w:autoSpaceDE w:val="0"/>
        <w:autoSpaceDN w:val="0"/>
        <w:adjustRightInd w:val="0"/>
        <w:spacing w:line="520" w:lineRule="exact"/>
        <w:rPr>
          <w:rFonts w:ascii="仿宋" w:hAnsi="仿宋" w:eastAsia="仿宋" w:cs="宋体"/>
          <w:b/>
          <w:bCs/>
          <w:color w:val="auto"/>
          <w:sz w:val="24"/>
          <w:szCs w:val="24"/>
        </w:rPr>
      </w:pPr>
      <w:r>
        <w:rPr>
          <w:rFonts w:hint="eastAsia" w:ascii="仿宋" w:hAnsi="仿宋" w:eastAsia="仿宋" w:cs="宋体"/>
          <w:b/>
          <w:bCs/>
          <w:color w:val="auto"/>
          <w:sz w:val="24"/>
          <w:szCs w:val="24"/>
        </w:rPr>
        <w:t>10.磋商报价</w:t>
      </w:r>
    </w:p>
    <w:p w14:paraId="44381FD6">
      <w:pPr>
        <w:spacing w:line="520" w:lineRule="exact"/>
        <w:ind w:firstLine="480" w:firstLineChars="200"/>
        <w:rPr>
          <w:rFonts w:ascii="仿宋" w:hAnsi="仿宋" w:eastAsia="仿宋" w:cs="宋体"/>
          <w:color w:val="auto"/>
          <w:kern w:val="0"/>
          <w:sz w:val="24"/>
        </w:rPr>
      </w:pPr>
      <w:r>
        <w:rPr>
          <w:rFonts w:ascii="仿宋" w:hAnsi="仿宋" w:eastAsia="仿宋" w:cs="宋体"/>
          <w:bCs/>
          <w:color w:val="auto"/>
          <w:sz w:val="24"/>
          <w:szCs w:val="24"/>
        </w:rPr>
        <w:t>10</w:t>
      </w:r>
      <w:r>
        <w:rPr>
          <w:rFonts w:hint="eastAsia" w:ascii="仿宋" w:hAnsi="仿宋" w:eastAsia="仿宋" w:cs="宋体"/>
          <w:bCs/>
          <w:color w:val="auto"/>
          <w:sz w:val="24"/>
          <w:szCs w:val="24"/>
        </w:rPr>
        <w:t>.</w:t>
      </w:r>
      <w:r>
        <w:rPr>
          <w:rFonts w:ascii="仿宋" w:hAnsi="仿宋" w:eastAsia="仿宋" w:cs="宋体"/>
          <w:bCs/>
          <w:color w:val="auto"/>
          <w:sz w:val="24"/>
          <w:szCs w:val="24"/>
        </w:rPr>
        <w:t>1</w:t>
      </w:r>
      <w:r>
        <w:rPr>
          <w:rFonts w:hint="eastAsia" w:ascii="仿宋" w:hAnsi="仿宋" w:eastAsia="仿宋" w:cs="宋体"/>
          <w:bCs/>
          <w:color w:val="auto"/>
          <w:sz w:val="24"/>
          <w:szCs w:val="24"/>
        </w:rPr>
        <w:t>报价方式：见供应商须知前附表。</w:t>
      </w:r>
    </w:p>
    <w:p w14:paraId="0EABCBA0">
      <w:pPr>
        <w:spacing w:line="520" w:lineRule="exact"/>
        <w:ind w:firstLine="480" w:firstLineChars="200"/>
        <w:rPr>
          <w:rFonts w:ascii="仿宋" w:hAnsi="仿宋" w:eastAsia="仿宋" w:cs="宋体"/>
          <w:color w:val="auto"/>
          <w:sz w:val="24"/>
          <w:szCs w:val="24"/>
        </w:rPr>
      </w:pPr>
      <w:r>
        <w:rPr>
          <w:rFonts w:ascii="仿宋" w:hAnsi="仿宋" w:eastAsia="仿宋" w:cs="宋体"/>
          <w:color w:val="auto"/>
          <w:sz w:val="24"/>
          <w:szCs w:val="24"/>
        </w:rPr>
        <w:t>10</w:t>
      </w:r>
      <w:r>
        <w:rPr>
          <w:rFonts w:hint="eastAsia" w:ascii="仿宋" w:hAnsi="仿宋" w:eastAsia="仿宋" w:cs="宋体"/>
          <w:color w:val="auto"/>
          <w:sz w:val="24"/>
          <w:szCs w:val="24"/>
        </w:rPr>
        <w:t>.</w:t>
      </w:r>
      <w:r>
        <w:rPr>
          <w:rFonts w:ascii="仿宋" w:hAnsi="仿宋" w:eastAsia="仿宋" w:cs="宋体"/>
          <w:color w:val="auto"/>
          <w:sz w:val="24"/>
          <w:szCs w:val="24"/>
        </w:rPr>
        <w:t>2</w:t>
      </w:r>
      <w:r>
        <w:rPr>
          <w:rFonts w:hint="eastAsia" w:ascii="仿宋" w:hAnsi="仿宋" w:eastAsia="仿宋" w:cs="宋体"/>
          <w:color w:val="auto"/>
          <w:sz w:val="24"/>
          <w:szCs w:val="24"/>
        </w:rPr>
        <w:t>采购人不接受任何选择报价，只允许有一个报价(一次报价)，任何有选择的报价将不予接受，有两个(含两个)以上报价且未书面声明以哪个为准时，响应申请文件无效。</w:t>
      </w:r>
    </w:p>
    <w:p w14:paraId="45C55D81">
      <w:pPr>
        <w:spacing w:line="500" w:lineRule="exact"/>
        <w:ind w:firstLine="480" w:firstLineChars="200"/>
        <w:rPr>
          <w:rFonts w:ascii="仿宋" w:hAnsi="仿宋" w:eastAsia="仿宋" w:cs="宋体"/>
          <w:color w:val="auto"/>
          <w:sz w:val="24"/>
          <w:szCs w:val="24"/>
        </w:rPr>
      </w:pPr>
      <w:r>
        <w:rPr>
          <w:rFonts w:ascii="仿宋" w:hAnsi="仿宋" w:eastAsia="仿宋" w:cs="宋体"/>
          <w:color w:val="auto"/>
          <w:sz w:val="24"/>
          <w:szCs w:val="24"/>
        </w:rPr>
        <w:t>10.3</w:t>
      </w:r>
      <w:r>
        <w:rPr>
          <w:rFonts w:hint="eastAsia" w:ascii="仿宋" w:hAnsi="仿宋" w:eastAsia="仿宋" w:cs="宋体"/>
          <w:color w:val="auto"/>
          <w:sz w:val="24"/>
          <w:szCs w:val="24"/>
        </w:rPr>
        <w:t>供应商不得哄抬报价，也不应低于成本价</w:t>
      </w:r>
      <w:r>
        <w:rPr>
          <w:rFonts w:ascii="仿宋" w:hAnsi="仿宋" w:eastAsia="仿宋" w:cs="宋体"/>
          <w:color w:val="auto"/>
          <w:sz w:val="24"/>
          <w:szCs w:val="24"/>
        </w:rPr>
        <w:t>(或进价)报价，否则一经查实，其响应文件将可能被拒绝。</w:t>
      </w:r>
    </w:p>
    <w:p w14:paraId="463D89D2">
      <w:pPr>
        <w:spacing w:line="520" w:lineRule="exact"/>
        <w:ind w:firstLine="480" w:firstLineChars="200"/>
        <w:rPr>
          <w:rFonts w:ascii="仿宋" w:hAnsi="仿宋" w:eastAsia="仿宋" w:cs="宋体"/>
          <w:color w:val="auto"/>
          <w:kern w:val="0"/>
          <w:sz w:val="24"/>
        </w:rPr>
      </w:pPr>
      <w:r>
        <w:rPr>
          <w:rFonts w:hint="eastAsia" w:ascii="仿宋" w:hAnsi="仿宋" w:eastAsia="仿宋" w:cs="宋体"/>
          <w:color w:val="auto"/>
          <w:sz w:val="24"/>
          <w:szCs w:val="24"/>
        </w:rPr>
        <w:t>10.</w:t>
      </w:r>
      <w:r>
        <w:rPr>
          <w:rFonts w:ascii="仿宋" w:hAnsi="仿宋" w:eastAsia="仿宋" w:cs="宋体"/>
          <w:color w:val="auto"/>
          <w:sz w:val="24"/>
          <w:szCs w:val="24"/>
        </w:rPr>
        <w:t>4</w:t>
      </w:r>
      <w:r>
        <w:rPr>
          <w:rFonts w:hint="eastAsia" w:ascii="仿宋" w:hAnsi="仿宋" w:eastAsia="仿宋" w:cs="宋体"/>
          <w:color w:val="auto"/>
          <w:sz w:val="24"/>
          <w:szCs w:val="24"/>
        </w:rPr>
        <w:t>报价应本着合理的原则，采购人不保证报价最低者一定成交。</w:t>
      </w:r>
    </w:p>
    <w:p w14:paraId="29BE331A">
      <w:pPr>
        <w:spacing w:line="520" w:lineRule="exact"/>
        <w:ind w:firstLine="480" w:firstLineChars="200"/>
        <w:rPr>
          <w:rFonts w:ascii="仿宋" w:hAnsi="仿宋" w:eastAsia="仿宋" w:cs="宋体"/>
          <w:b/>
          <w:color w:val="auto"/>
          <w:sz w:val="24"/>
          <w:szCs w:val="24"/>
        </w:rPr>
      </w:pPr>
      <w:r>
        <w:rPr>
          <w:rFonts w:hint="eastAsia" w:ascii="仿宋" w:hAnsi="仿宋" w:eastAsia="仿宋" w:cs="宋体"/>
          <w:color w:val="auto"/>
          <w:sz w:val="24"/>
          <w:szCs w:val="24"/>
        </w:rPr>
        <w:t>10.</w:t>
      </w:r>
      <w:r>
        <w:rPr>
          <w:rFonts w:ascii="仿宋" w:hAnsi="仿宋" w:eastAsia="仿宋" w:cs="宋体"/>
          <w:color w:val="auto"/>
          <w:sz w:val="24"/>
          <w:szCs w:val="24"/>
        </w:rPr>
        <w:t>5</w:t>
      </w:r>
      <w:r>
        <w:rPr>
          <w:rFonts w:hint="eastAsia" w:ascii="仿宋" w:hAnsi="仿宋" w:eastAsia="仿宋" w:cs="宋体"/>
          <w:b/>
          <w:color w:val="auto"/>
          <w:sz w:val="24"/>
          <w:szCs w:val="24"/>
        </w:rPr>
        <w:t>本次报价采用两轮报价，所有供应商的首次报价均不进行当众宣读及公布，二次报价将由通过资格审查及符合性评审的供应商现场填报，并盖章、签字确认。</w:t>
      </w:r>
    </w:p>
    <w:p w14:paraId="131F567F">
      <w:pPr>
        <w:autoSpaceDE w:val="0"/>
        <w:autoSpaceDN w:val="0"/>
        <w:adjustRightInd w:val="0"/>
        <w:spacing w:line="520" w:lineRule="exact"/>
        <w:rPr>
          <w:rFonts w:ascii="仿宋" w:hAnsi="仿宋" w:eastAsia="仿宋" w:cs="宋体"/>
          <w:b/>
          <w:bCs/>
          <w:color w:val="auto"/>
          <w:sz w:val="24"/>
          <w:szCs w:val="24"/>
        </w:rPr>
      </w:pPr>
      <w:r>
        <w:rPr>
          <w:rFonts w:hint="eastAsia" w:ascii="仿宋" w:hAnsi="仿宋" w:eastAsia="仿宋" w:cs="宋体"/>
          <w:b/>
          <w:bCs/>
          <w:color w:val="auto"/>
          <w:sz w:val="24"/>
          <w:szCs w:val="24"/>
        </w:rPr>
        <w:t>11.磋商有效期</w:t>
      </w:r>
    </w:p>
    <w:p w14:paraId="4E1069AF">
      <w:pPr>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11.1磋商有效期，从磋商截止日起有效期为90天。在特殊情况下，采购代理机构可于磋商有效期满之前要求供应商同意延长有效期，要求与答复均应以书面形式。供应商可以拒绝上述要求，同意延期的供应商原竞争性磋商文件有效期内应享之权利及应负之责任也相应延续。</w:t>
      </w:r>
    </w:p>
    <w:p w14:paraId="22956CF8">
      <w:pPr>
        <w:autoSpaceDE w:val="0"/>
        <w:autoSpaceDN w:val="0"/>
        <w:adjustRightInd w:val="0"/>
        <w:spacing w:line="520" w:lineRule="exact"/>
        <w:rPr>
          <w:rFonts w:ascii="仿宋" w:hAnsi="仿宋" w:eastAsia="仿宋" w:cs="宋体"/>
          <w:b/>
          <w:bCs/>
          <w:color w:val="auto"/>
          <w:sz w:val="24"/>
          <w:szCs w:val="24"/>
        </w:rPr>
      </w:pPr>
      <w:r>
        <w:rPr>
          <w:rFonts w:hint="eastAsia" w:ascii="仿宋" w:hAnsi="仿宋" w:eastAsia="仿宋" w:cs="宋体"/>
          <w:b/>
          <w:bCs/>
          <w:color w:val="auto"/>
          <w:sz w:val="24"/>
          <w:szCs w:val="24"/>
        </w:rPr>
        <w:t xml:space="preserve">12.磋商保证金递交及退还 </w:t>
      </w:r>
    </w:p>
    <w:p w14:paraId="538D8EC7">
      <w:pPr>
        <w:tabs>
          <w:tab w:val="left" w:pos="105"/>
          <w:tab w:val="left" w:pos="735"/>
          <w:tab w:val="left" w:pos="945"/>
          <w:tab w:val="left" w:pos="3360"/>
        </w:tabs>
        <w:adjustRightInd w:val="0"/>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bCs/>
          <w:color w:val="auto"/>
          <w:sz w:val="24"/>
          <w:szCs w:val="24"/>
        </w:rPr>
        <w:t>12.1</w:t>
      </w:r>
      <w:r>
        <w:rPr>
          <w:rFonts w:hint="eastAsia" w:ascii="仿宋" w:hAnsi="仿宋" w:eastAsia="仿宋" w:cs="宋体"/>
          <w:color w:val="auto"/>
          <w:kern w:val="0"/>
          <w:sz w:val="24"/>
        </w:rPr>
        <w:t>为贯彻落实进一步深化“放管服”改革，持续推进营商环境优化提升，减轻潜在供应商负担，降低成本，激发市场活力，本项目不收取磋商保证金</w:t>
      </w:r>
      <w:r>
        <w:rPr>
          <w:rFonts w:hint="eastAsia" w:ascii="仿宋" w:hAnsi="仿宋" w:eastAsia="仿宋" w:cs="宋体"/>
          <w:color w:val="auto"/>
          <w:sz w:val="24"/>
          <w:szCs w:val="24"/>
        </w:rPr>
        <w:t>。</w:t>
      </w:r>
    </w:p>
    <w:p w14:paraId="1E3E83D9">
      <w:pPr>
        <w:tabs>
          <w:tab w:val="left" w:pos="105"/>
          <w:tab w:val="left" w:pos="735"/>
          <w:tab w:val="left" w:pos="945"/>
          <w:tab w:val="left" w:pos="3360"/>
        </w:tabs>
        <w:adjustRightInd w:val="0"/>
        <w:snapToGrid w:val="0"/>
        <w:spacing w:before="240" w:line="520" w:lineRule="exact"/>
        <w:jc w:val="center"/>
        <w:outlineLvl w:val="2"/>
        <w:rPr>
          <w:rFonts w:ascii="仿宋" w:hAnsi="仿宋" w:eastAsia="仿宋" w:cs="宋体"/>
          <w:b/>
          <w:bCs/>
          <w:color w:val="auto"/>
          <w:sz w:val="32"/>
          <w:szCs w:val="32"/>
        </w:rPr>
      </w:pPr>
      <w:bookmarkStart w:id="104" w:name="_Toc232004907"/>
      <w:bookmarkStart w:id="105" w:name="_Toc4709"/>
      <w:r>
        <w:rPr>
          <w:rFonts w:hint="eastAsia" w:ascii="仿宋" w:hAnsi="仿宋" w:eastAsia="仿宋" w:cs="宋体"/>
          <w:b/>
          <w:bCs/>
          <w:color w:val="auto"/>
          <w:sz w:val="32"/>
          <w:szCs w:val="32"/>
        </w:rPr>
        <w:t>四、响应文件的递交</w:t>
      </w:r>
      <w:bookmarkEnd w:id="104"/>
      <w:bookmarkEnd w:id="105"/>
    </w:p>
    <w:p w14:paraId="6CA9DC71">
      <w:pPr>
        <w:spacing w:line="520" w:lineRule="exact"/>
        <w:rPr>
          <w:rFonts w:ascii="仿宋" w:hAnsi="仿宋" w:eastAsia="仿宋" w:cs="宋体"/>
          <w:b/>
          <w:color w:val="auto"/>
          <w:sz w:val="24"/>
          <w:szCs w:val="24"/>
        </w:rPr>
      </w:pPr>
      <w:r>
        <w:rPr>
          <w:rFonts w:hint="eastAsia" w:ascii="仿宋" w:hAnsi="仿宋" w:eastAsia="仿宋" w:cs="宋体"/>
          <w:b/>
          <w:color w:val="auto"/>
          <w:sz w:val="24"/>
          <w:szCs w:val="24"/>
        </w:rPr>
        <w:t>13.响应文件的密封、递交</w:t>
      </w:r>
    </w:p>
    <w:p w14:paraId="2382A1EB">
      <w:pPr>
        <w:widowControl/>
        <w:snapToGrid w:val="0"/>
        <w:spacing w:line="520" w:lineRule="exact"/>
        <w:ind w:firstLine="480" w:firstLineChars="200"/>
        <w:jc w:val="left"/>
        <w:rPr>
          <w:rFonts w:ascii="仿宋" w:hAnsi="仿宋" w:eastAsia="仿宋" w:cs="宋体"/>
          <w:color w:val="auto"/>
          <w:sz w:val="24"/>
          <w:szCs w:val="24"/>
        </w:rPr>
      </w:pPr>
      <w:r>
        <w:rPr>
          <w:rFonts w:hint="eastAsia" w:ascii="仿宋" w:hAnsi="仿宋" w:eastAsia="仿宋" w:cs="宋体"/>
          <w:color w:val="auto"/>
          <w:sz w:val="24"/>
          <w:szCs w:val="24"/>
        </w:rPr>
        <w:t>13.1响应文件的递交截止时间：见供应商须知前附表。</w:t>
      </w:r>
    </w:p>
    <w:p w14:paraId="6226B3C4">
      <w:pPr>
        <w:widowControl/>
        <w:snapToGrid w:val="0"/>
        <w:spacing w:line="520" w:lineRule="exact"/>
        <w:ind w:firstLine="480" w:firstLineChars="200"/>
        <w:jc w:val="left"/>
        <w:rPr>
          <w:rFonts w:ascii="仿宋" w:hAnsi="仿宋" w:eastAsia="仿宋" w:cs="宋体"/>
          <w:color w:val="auto"/>
          <w:sz w:val="24"/>
          <w:szCs w:val="24"/>
        </w:rPr>
      </w:pPr>
      <w:r>
        <w:rPr>
          <w:rFonts w:hint="eastAsia" w:ascii="仿宋" w:hAnsi="仿宋" w:eastAsia="仿宋" w:cs="宋体"/>
          <w:color w:val="auto"/>
          <w:sz w:val="24"/>
          <w:szCs w:val="24"/>
        </w:rPr>
        <w:t>13.2响应文件的递交地点：见供应商须知前附表。</w:t>
      </w:r>
    </w:p>
    <w:p w14:paraId="5FC73A92">
      <w:pPr>
        <w:tabs>
          <w:tab w:val="left" w:pos="105"/>
          <w:tab w:val="left" w:pos="735"/>
          <w:tab w:val="left" w:pos="945"/>
          <w:tab w:val="left" w:pos="3360"/>
        </w:tabs>
        <w:adjustRightInd w:val="0"/>
        <w:snapToGrid w:val="0"/>
        <w:spacing w:line="520" w:lineRule="exact"/>
        <w:jc w:val="center"/>
        <w:outlineLvl w:val="2"/>
        <w:rPr>
          <w:rFonts w:ascii="仿宋" w:hAnsi="仿宋" w:eastAsia="仿宋" w:cs="宋体"/>
          <w:b/>
          <w:bCs/>
          <w:color w:val="auto"/>
          <w:sz w:val="32"/>
          <w:szCs w:val="32"/>
        </w:rPr>
      </w:pPr>
      <w:bookmarkStart w:id="106" w:name="_Toc7637"/>
      <w:bookmarkStart w:id="107" w:name="_Toc232004908"/>
      <w:r>
        <w:rPr>
          <w:rFonts w:hint="eastAsia" w:ascii="仿宋" w:hAnsi="仿宋" w:eastAsia="仿宋" w:cs="宋体"/>
          <w:b/>
          <w:bCs/>
          <w:color w:val="auto"/>
          <w:sz w:val="32"/>
          <w:szCs w:val="32"/>
        </w:rPr>
        <w:t>五、竞争性磋商</w:t>
      </w:r>
      <w:bookmarkEnd w:id="106"/>
      <w:bookmarkEnd w:id="107"/>
    </w:p>
    <w:p w14:paraId="4065417E">
      <w:pPr>
        <w:spacing w:line="520" w:lineRule="exact"/>
        <w:rPr>
          <w:rFonts w:ascii="仿宋" w:hAnsi="仿宋" w:eastAsia="仿宋" w:cs="宋体"/>
          <w:b/>
          <w:color w:val="auto"/>
          <w:sz w:val="24"/>
          <w:szCs w:val="24"/>
        </w:rPr>
      </w:pPr>
      <w:bookmarkStart w:id="108" w:name="_Toc144974528"/>
      <w:bookmarkStart w:id="109" w:name="_Toc179632578"/>
      <w:bookmarkStart w:id="110" w:name="_Toc152042336"/>
      <w:bookmarkStart w:id="111" w:name="_Toc152045560"/>
      <w:r>
        <w:rPr>
          <w:rFonts w:hint="eastAsia" w:ascii="仿宋" w:hAnsi="仿宋" w:eastAsia="仿宋" w:cs="宋体"/>
          <w:b/>
          <w:color w:val="auto"/>
          <w:sz w:val="24"/>
          <w:szCs w:val="24"/>
        </w:rPr>
        <w:t>14.磋商时间和地点</w:t>
      </w:r>
      <w:bookmarkEnd w:id="108"/>
      <w:bookmarkEnd w:id="109"/>
      <w:bookmarkEnd w:id="110"/>
      <w:bookmarkEnd w:id="111"/>
    </w:p>
    <w:p w14:paraId="0CFF69CF">
      <w:pPr>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14.1磋商时间和地点：见供应商须知前附表。</w:t>
      </w:r>
    </w:p>
    <w:p w14:paraId="2D15FCD4">
      <w:pPr>
        <w:spacing w:line="520" w:lineRule="exact"/>
        <w:rPr>
          <w:rFonts w:ascii="仿宋" w:hAnsi="仿宋" w:eastAsia="仿宋" w:cs="宋体"/>
          <w:b/>
          <w:color w:val="auto"/>
          <w:sz w:val="24"/>
          <w:szCs w:val="24"/>
        </w:rPr>
      </w:pPr>
      <w:bookmarkStart w:id="112" w:name="_Toc144974529"/>
      <w:bookmarkStart w:id="113" w:name="_Toc152042337"/>
      <w:bookmarkStart w:id="114" w:name="_Toc152045561"/>
      <w:bookmarkStart w:id="115" w:name="_Toc179632579"/>
      <w:r>
        <w:rPr>
          <w:rFonts w:hint="eastAsia" w:ascii="仿宋" w:hAnsi="仿宋" w:eastAsia="仿宋" w:cs="宋体"/>
          <w:b/>
          <w:color w:val="auto"/>
          <w:sz w:val="24"/>
          <w:szCs w:val="24"/>
        </w:rPr>
        <w:t>15.磋商程序</w:t>
      </w:r>
      <w:bookmarkEnd w:id="112"/>
      <w:bookmarkEnd w:id="113"/>
      <w:bookmarkEnd w:id="114"/>
      <w:bookmarkEnd w:id="115"/>
    </w:p>
    <w:p w14:paraId="0E7CFBB2">
      <w:pPr>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15.1磋商程序：见供应商须知前附表。</w:t>
      </w:r>
    </w:p>
    <w:p w14:paraId="313A06D0">
      <w:pPr>
        <w:snapToGrid w:val="0"/>
        <w:spacing w:before="240" w:line="520" w:lineRule="exact"/>
        <w:rPr>
          <w:rFonts w:ascii="仿宋" w:hAnsi="仿宋" w:eastAsia="仿宋" w:cs="宋体"/>
          <w:b/>
          <w:color w:val="auto"/>
          <w:sz w:val="24"/>
          <w:szCs w:val="24"/>
        </w:rPr>
      </w:pPr>
      <w:r>
        <w:rPr>
          <w:rFonts w:hint="eastAsia" w:ascii="仿宋" w:hAnsi="仿宋" w:eastAsia="仿宋" w:cs="宋体"/>
          <w:b/>
          <w:bCs/>
          <w:color w:val="auto"/>
          <w:sz w:val="24"/>
          <w:szCs w:val="24"/>
        </w:rPr>
        <w:t>16.</w:t>
      </w:r>
      <w:r>
        <w:rPr>
          <w:rFonts w:hint="eastAsia" w:ascii="仿宋" w:hAnsi="仿宋" w:eastAsia="仿宋" w:cs="宋体"/>
          <w:b/>
          <w:color w:val="auto"/>
          <w:sz w:val="24"/>
          <w:szCs w:val="24"/>
        </w:rPr>
        <w:t>磋商小组</w:t>
      </w:r>
    </w:p>
    <w:p w14:paraId="5DDE4AB1">
      <w:pPr>
        <w:snapToGrid w:val="0"/>
        <w:spacing w:line="520" w:lineRule="exact"/>
        <w:ind w:firstLine="436" w:firstLineChars="182"/>
        <w:rPr>
          <w:rFonts w:ascii="仿宋" w:hAnsi="仿宋" w:eastAsia="仿宋" w:cs="宋体"/>
          <w:color w:val="auto"/>
          <w:sz w:val="24"/>
          <w:szCs w:val="24"/>
        </w:rPr>
      </w:pPr>
      <w:r>
        <w:rPr>
          <w:rFonts w:hint="eastAsia" w:ascii="仿宋" w:hAnsi="仿宋" w:eastAsia="仿宋" w:cs="宋体"/>
          <w:color w:val="auto"/>
          <w:sz w:val="24"/>
          <w:szCs w:val="24"/>
        </w:rPr>
        <w:t>16.1磋商小组由随机抽取的专家组成，人数为3人或3人以上单数。采购代理机构人员不得参加本机构代理的采购项目的评审。</w:t>
      </w:r>
    </w:p>
    <w:p w14:paraId="03E040FC">
      <w:pPr>
        <w:snapToGrid w:val="0"/>
        <w:spacing w:line="520" w:lineRule="exact"/>
        <w:ind w:firstLine="436" w:firstLineChars="182"/>
        <w:rPr>
          <w:rFonts w:ascii="仿宋" w:hAnsi="仿宋" w:eastAsia="仿宋" w:cs="宋体"/>
          <w:color w:val="auto"/>
          <w:sz w:val="24"/>
          <w:szCs w:val="24"/>
        </w:rPr>
      </w:pPr>
      <w:r>
        <w:rPr>
          <w:rFonts w:hint="eastAsia" w:ascii="仿宋" w:hAnsi="仿宋" w:eastAsia="仿宋" w:cs="宋体"/>
          <w:color w:val="auto"/>
          <w:sz w:val="24"/>
          <w:szCs w:val="24"/>
        </w:rPr>
        <w:t>16.2磋商小组成员人数及名单在磋商工作结束之前保密。</w:t>
      </w:r>
    </w:p>
    <w:p w14:paraId="783F3BF8">
      <w:pPr>
        <w:spacing w:before="240" w:line="520" w:lineRule="exact"/>
        <w:rPr>
          <w:rFonts w:ascii="仿宋" w:hAnsi="仿宋" w:eastAsia="仿宋" w:cs="宋体"/>
          <w:b/>
          <w:color w:val="auto"/>
          <w:sz w:val="24"/>
          <w:szCs w:val="24"/>
        </w:rPr>
      </w:pPr>
      <w:bookmarkStart w:id="116" w:name="_Toc432873644"/>
      <w:bookmarkStart w:id="117" w:name="_Toc359414727"/>
      <w:bookmarkStart w:id="118" w:name="_Toc402091801"/>
      <w:bookmarkStart w:id="119" w:name="_Toc360805585"/>
      <w:r>
        <w:rPr>
          <w:rFonts w:hint="eastAsia" w:ascii="仿宋" w:hAnsi="仿宋" w:eastAsia="仿宋" w:cs="宋体"/>
          <w:b/>
          <w:color w:val="auto"/>
          <w:sz w:val="24"/>
          <w:szCs w:val="24"/>
        </w:rPr>
        <w:t>17.竞争性磋商原则</w:t>
      </w:r>
      <w:bookmarkEnd w:id="116"/>
      <w:bookmarkEnd w:id="117"/>
      <w:bookmarkEnd w:id="118"/>
      <w:bookmarkEnd w:id="119"/>
    </w:p>
    <w:p w14:paraId="633B6B65">
      <w:pPr>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竞争性磋商活动遵循公平、公正、科学和择优的原则。</w:t>
      </w:r>
    </w:p>
    <w:p w14:paraId="341B2617">
      <w:pPr>
        <w:spacing w:line="520" w:lineRule="exact"/>
        <w:rPr>
          <w:rFonts w:ascii="仿宋" w:hAnsi="仿宋" w:eastAsia="仿宋" w:cs="宋体"/>
          <w:b/>
          <w:color w:val="auto"/>
          <w:sz w:val="24"/>
          <w:szCs w:val="24"/>
        </w:rPr>
      </w:pPr>
      <w:bookmarkStart w:id="120" w:name="_Toc360805586"/>
      <w:bookmarkStart w:id="121" w:name="_Toc402091802"/>
      <w:bookmarkStart w:id="122" w:name="_Toc432873645"/>
      <w:bookmarkStart w:id="123" w:name="_Toc359414728"/>
      <w:r>
        <w:rPr>
          <w:rFonts w:hint="eastAsia" w:ascii="仿宋" w:hAnsi="仿宋" w:eastAsia="仿宋" w:cs="宋体"/>
          <w:b/>
          <w:color w:val="auto"/>
          <w:sz w:val="24"/>
          <w:szCs w:val="24"/>
        </w:rPr>
        <w:t>18.评审</w:t>
      </w:r>
      <w:bookmarkEnd w:id="120"/>
      <w:bookmarkEnd w:id="121"/>
      <w:bookmarkEnd w:id="122"/>
      <w:bookmarkEnd w:id="123"/>
    </w:p>
    <w:p w14:paraId="7091DF39">
      <w:pPr>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18.1磋商小组按照第三章“评审办法”内容进行评审。</w:t>
      </w:r>
    </w:p>
    <w:p w14:paraId="6B1C8256">
      <w:pPr>
        <w:tabs>
          <w:tab w:val="left" w:pos="105"/>
          <w:tab w:val="left" w:pos="735"/>
          <w:tab w:val="left" w:pos="945"/>
          <w:tab w:val="left" w:pos="3360"/>
        </w:tabs>
        <w:adjustRightInd w:val="0"/>
        <w:snapToGrid w:val="0"/>
        <w:spacing w:line="520" w:lineRule="exact"/>
        <w:jc w:val="center"/>
        <w:outlineLvl w:val="2"/>
        <w:rPr>
          <w:rFonts w:ascii="仿宋" w:hAnsi="仿宋" w:eastAsia="仿宋" w:cs="宋体"/>
          <w:b/>
          <w:bCs/>
          <w:color w:val="auto"/>
          <w:sz w:val="32"/>
          <w:szCs w:val="32"/>
        </w:rPr>
      </w:pPr>
      <w:bookmarkStart w:id="124" w:name="_Toc232004909"/>
      <w:bookmarkStart w:id="125" w:name="_Toc4653"/>
      <w:r>
        <w:rPr>
          <w:rFonts w:hint="eastAsia" w:ascii="仿宋" w:hAnsi="仿宋" w:eastAsia="仿宋" w:cs="宋体"/>
          <w:b/>
          <w:bCs/>
          <w:color w:val="auto"/>
          <w:sz w:val="32"/>
          <w:szCs w:val="32"/>
        </w:rPr>
        <w:t>六、确定成交商</w:t>
      </w:r>
      <w:bookmarkEnd w:id="124"/>
      <w:bookmarkEnd w:id="125"/>
    </w:p>
    <w:p w14:paraId="679C87F4">
      <w:pPr>
        <w:snapToGrid w:val="0"/>
        <w:spacing w:line="520" w:lineRule="exact"/>
        <w:ind w:firstLine="118" w:firstLineChars="49"/>
        <w:rPr>
          <w:rFonts w:ascii="仿宋" w:hAnsi="仿宋" w:eastAsia="仿宋" w:cs="宋体"/>
          <w:b/>
          <w:color w:val="auto"/>
          <w:sz w:val="24"/>
          <w:szCs w:val="24"/>
        </w:rPr>
      </w:pPr>
      <w:r>
        <w:rPr>
          <w:rFonts w:hint="eastAsia" w:ascii="仿宋" w:hAnsi="仿宋" w:eastAsia="仿宋" w:cs="宋体"/>
          <w:b/>
          <w:color w:val="auto"/>
          <w:sz w:val="24"/>
          <w:szCs w:val="24"/>
        </w:rPr>
        <w:t>19.成交条件</w:t>
      </w:r>
    </w:p>
    <w:p w14:paraId="066617AF">
      <w:pPr>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 xml:space="preserve">19.1采购人从磋商小组推荐的成交候选供应商中，按推荐顺序确定成交供应商，本次竞争性磋商不保证合同授予最低报价的供应商。 </w:t>
      </w:r>
    </w:p>
    <w:p w14:paraId="77CA6D9A">
      <w:pPr>
        <w:spacing w:line="520" w:lineRule="exact"/>
        <w:ind w:firstLine="360" w:firstLineChars="150"/>
        <w:rPr>
          <w:rFonts w:ascii="仿宋" w:hAnsi="仿宋" w:eastAsia="仿宋" w:cs="宋体"/>
          <w:color w:val="auto"/>
          <w:sz w:val="24"/>
          <w:szCs w:val="24"/>
        </w:rPr>
      </w:pPr>
      <w:r>
        <w:rPr>
          <w:rFonts w:ascii="仿宋" w:hAnsi="仿宋" w:eastAsia="仿宋" w:cs="宋体"/>
          <w:color w:val="auto"/>
          <w:sz w:val="24"/>
          <w:szCs w:val="24"/>
        </w:rPr>
        <w:t>19.2</w:t>
      </w:r>
      <w:r>
        <w:rPr>
          <w:rFonts w:hint="eastAsia" w:ascii="仿宋" w:hAnsi="仿宋" w:eastAsia="仿宋" w:cs="宋体"/>
          <w:color w:val="auto"/>
          <w:sz w:val="24"/>
          <w:szCs w:val="24"/>
        </w:rPr>
        <w:t>在成交通知书发出前，采购人将成交候选人的情况在中国招标投标公共服务平台(http://www.cebpubservice.com/)、云采招阳专业招投标交易平台（https://www.ebidcn.com）予以公示。</w:t>
      </w:r>
    </w:p>
    <w:p w14:paraId="73955C8F">
      <w:pPr>
        <w:spacing w:line="520" w:lineRule="exact"/>
        <w:ind w:firstLine="360" w:firstLineChars="150"/>
        <w:rPr>
          <w:rFonts w:ascii="仿宋" w:hAnsi="仿宋" w:eastAsia="仿宋" w:cs="宋体"/>
          <w:color w:val="auto"/>
          <w:spacing w:val="6"/>
          <w:sz w:val="24"/>
          <w:szCs w:val="24"/>
        </w:rPr>
      </w:pPr>
      <w:r>
        <w:rPr>
          <w:rFonts w:hint="eastAsia" w:ascii="仿宋" w:hAnsi="仿宋" w:eastAsia="仿宋" w:cs="宋体"/>
          <w:color w:val="auto"/>
          <w:sz w:val="24"/>
          <w:szCs w:val="24"/>
        </w:rPr>
        <w:t>19.3采购人没有义务向未成交供应商解释未成交的理由。</w:t>
      </w:r>
    </w:p>
    <w:p w14:paraId="27F0DE4C">
      <w:pPr>
        <w:tabs>
          <w:tab w:val="left" w:pos="105"/>
          <w:tab w:val="left" w:pos="735"/>
          <w:tab w:val="left" w:pos="945"/>
          <w:tab w:val="left" w:pos="3360"/>
        </w:tabs>
        <w:adjustRightInd w:val="0"/>
        <w:snapToGrid w:val="0"/>
        <w:spacing w:before="240" w:line="520" w:lineRule="exact"/>
        <w:jc w:val="center"/>
        <w:outlineLvl w:val="2"/>
        <w:rPr>
          <w:rFonts w:ascii="仿宋" w:hAnsi="仿宋" w:eastAsia="仿宋" w:cs="宋体"/>
          <w:b/>
          <w:bCs/>
          <w:color w:val="auto"/>
          <w:sz w:val="32"/>
          <w:szCs w:val="32"/>
        </w:rPr>
      </w:pPr>
      <w:bookmarkStart w:id="126" w:name="_Toc27804"/>
      <w:bookmarkStart w:id="127" w:name="_Toc232004910"/>
      <w:r>
        <w:rPr>
          <w:rFonts w:hint="eastAsia" w:ascii="仿宋" w:hAnsi="仿宋" w:eastAsia="仿宋" w:cs="宋体"/>
          <w:b/>
          <w:bCs/>
          <w:color w:val="auto"/>
          <w:sz w:val="32"/>
          <w:szCs w:val="32"/>
        </w:rPr>
        <w:t>七、合同授予</w:t>
      </w:r>
      <w:bookmarkEnd w:id="126"/>
      <w:bookmarkEnd w:id="127"/>
    </w:p>
    <w:p w14:paraId="2DA42D6B">
      <w:pPr>
        <w:snapToGrid w:val="0"/>
        <w:spacing w:line="520" w:lineRule="exact"/>
        <w:rPr>
          <w:rFonts w:ascii="仿宋" w:hAnsi="仿宋" w:eastAsia="仿宋" w:cs="宋体"/>
          <w:b/>
          <w:color w:val="auto"/>
          <w:sz w:val="24"/>
          <w:szCs w:val="24"/>
        </w:rPr>
      </w:pPr>
      <w:r>
        <w:rPr>
          <w:rFonts w:hint="eastAsia" w:ascii="仿宋" w:hAnsi="仿宋" w:eastAsia="仿宋" w:cs="宋体"/>
          <w:b/>
          <w:color w:val="auto"/>
          <w:sz w:val="24"/>
          <w:szCs w:val="24"/>
        </w:rPr>
        <w:t>20.成交供应商的确定</w:t>
      </w:r>
    </w:p>
    <w:p w14:paraId="14BD7DF2">
      <w:pPr>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20.1 采购代理机构在评审结束后2个工作日内将评审报告送采购人确认。</w:t>
      </w:r>
    </w:p>
    <w:p w14:paraId="200D6241">
      <w:pPr>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20.2 采购人在收到评审报告后5个工作日内，按照评审报告中推荐的成交供应商顺序确定成交供应商。</w:t>
      </w:r>
    </w:p>
    <w:p w14:paraId="7EBB28F6">
      <w:pPr>
        <w:snapToGrid w:val="0"/>
        <w:spacing w:before="240" w:line="520" w:lineRule="exact"/>
        <w:ind w:firstLine="118" w:firstLineChars="49"/>
        <w:rPr>
          <w:rFonts w:ascii="仿宋" w:hAnsi="仿宋" w:eastAsia="仿宋" w:cs="宋体"/>
          <w:b/>
          <w:color w:val="auto"/>
          <w:sz w:val="24"/>
          <w:szCs w:val="24"/>
        </w:rPr>
      </w:pPr>
      <w:r>
        <w:rPr>
          <w:rFonts w:hint="eastAsia" w:ascii="仿宋" w:hAnsi="仿宋" w:eastAsia="仿宋" w:cs="宋体"/>
          <w:b/>
          <w:color w:val="auto"/>
          <w:sz w:val="24"/>
          <w:szCs w:val="24"/>
        </w:rPr>
        <w:t>21.成交通知书</w:t>
      </w:r>
    </w:p>
    <w:p w14:paraId="1A3A0BC8">
      <w:pPr>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2</w:t>
      </w:r>
      <w:r>
        <w:rPr>
          <w:rFonts w:ascii="仿宋" w:hAnsi="仿宋" w:eastAsia="仿宋" w:cs="宋体"/>
          <w:color w:val="auto"/>
          <w:sz w:val="24"/>
          <w:szCs w:val="24"/>
        </w:rPr>
        <w:t>1</w:t>
      </w:r>
      <w:r>
        <w:rPr>
          <w:rFonts w:hint="eastAsia" w:ascii="仿宋" w:hAnsi="仿宋" w:eastAsia="仿宋" w:cs="宋体"/>
          <w:color w:val="auto"/>
          <w:sz w:val="24"/>
          <w:szCs w:val="24"/>
        </w:rPr>
        <w:t>.1成交供应商确定后</w:t>
      </w:r>
      <w:r>
        <w:rPr>
          <w:rFonts w:ascii="仿宋" w:hAnsi="仿宋" w:eastAsia="仿宋" w:cs="宋体"/>
          <w:color w:val="auto"/>
          <w:sz w:val="24"/>
          <w:szCs w:val="24"/>
        </w:rPr>
        <w:t>2个工作日内，</w:t>
      </w:r>
      <w:r>
        <w:rPr>
          <w:rFonts w:hint="eastAsia" w:ascii="仿宋" w:hAnsi="仿宋" w:eastAsia="仿宋" w:cs="宋体"/>
          <w:color w:val="auto"/>
          <w:sz w:val="24"/>
          <w:szCs w:val="24"/>
        </w:rPr>
        <w:t>成交结果由采购代理机构在中国招标投标公共服务平台(http://www.cebpubservice.com/)、云采招阳专业招投标交易平台（https://www.ebidcn.com）予以公示,发布同时向成交供应商发出成交通知书。</w:t>
      </w:r>
    </w:p>
    <w:p w14:paraId="133E9C8E">
      <w:pPr>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21.2 成交通知书是合同的一个组成部分。</w:t>
      </w:r>
    </w:p>
    <w:p w14:paraId="5D41AF91">
      <w:pPr>
        <w:snapToGrid w:val="0"/>
        <w:spacing w:before="240" w:line="520" w:lineRule="exact"/>
        <w:ind w:firstLine="118" w:firstLineChars="49"/>
        <w:rPr>
          <w:rFonts w:ascii="仿宋" w:hAnsi="仿宋" w:eastAsia="仿宋" w:cs="宋体"/>
          <w:b/>
          <w:color w:val="auto"/>
          <w:sz w:val="24"/>
          <w:szCs w:val="24"/>
        </w:rPr>
      </w:pPr>
      <w:r>
        <w:rPr>
          <w:rFonts w:hint="eastAsia" w:ascii="仿宋" w:hAnsi="仿宋" w:eastAsia="仿宋" w:cs="宋体"/>
          <w:b/>
          <w:color w:val="auto"/>
          <w:sz w:val="24"/>
          <w:szCs w:val="24"/>
        </w:rPr>
        <w:t>22. 磋商履约担保</w:t>
      </w:r>
    </w:p>
    <w:p w14:paraId="450B75B0">
      <w:pPr>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22.1本项目不收取履约担保。</w:t>
      </w:r>
    </w:p>
    <w:p w14:paraId="7F345057">
      <w:pPr>
        <w:snapToGrid w:val="0"/>
        <w:spacing w:before="240" w:line="520" w:lineRule="exact"/>
        <w:ind w:firstLine="118" w:firstLineChars="49"/>
        <w:rPr>
          <w:rFonts w:ascii="仿宋" w:hAnsi="仿宋" w:eastAsia="仿宋" w:cs="宋体"/>
          <w:b/>
          <w:color w:val="auto"/>
          <w:sz w:val="24"/>
          <w:szCs w:val="24"/>
        </w:rPr>
      </w:pPr>
      <w:bookmarkStart w:id="128" w:name="_Toc422500157"/>
      <w:r>
        <w:rPr>
          <w:rFonts w:hint="eastAsia" w:ascii="仿宋" w:hAnsi="仿宋" w:eastAsia="仿宋" w:cs="宋体"/>
          <w:b/>
          <w:color w:val="auto"/>
          <w:sz w:val="24"/>
          <w:szCs w:val="24"/>
        </w:rPr>
        <w:t xml:space="preserve">23. </w:t>
      </w:r>
      <w:bookmarkEnd w:id="128"/>
      <w:bookmarkStart w:id="129" w:name="_Toc320890577"/>
      <w:bookmarkStart w:id="130" w:name="_Toc112595559"/>
      <w:r>
        <w:rPr>
          <w:rFonts w:hint="eastAsia" w:ascii="仿宋" w:hAnsi="仿宋" w:eastAsia="仿宋" w:cs="宋体"/>
          <w:b/>
          <w:color w:val="auto"/>
          <w:sz w:val="24"/>
          <w:szCs w:val="24"/>
        </w:rPr>
        <w:t>签订合同</w:t>
      </w:r>
      <w:bookmarkEnd w:id="129"/>
      <w:bookmarkEnd w:id="130"/>
    </w:p>
    <w:p w14:paraId="1BA7BA73">
      <w:pPr>
        <w:snapToGrid w:val="0"/>
        <w:spacing w:line="520" w:lineRule="exact"/>
        <w:ind w:firstLine="480" w:firstLineChars="200"/>
        <w:rPr>
          <w:rFonts w:ascii="仿宋" w:hAnsi="仿宋" w:eastAsia="仿宋" w:cs="宋体"/>
          <w:color w:val="auto"/>
          <w:sz w:val="24"/>
          <w:szCs w:val="24"/>
        </w:rPr>
      </w:pPr>
      <w:r>
        <w:rPr>
          <w:rFonts w:ascii="仿宋" w:hAnsi="仿宋" w:eastAsia="仿宋" w:cs="宋体"/>
          <w:color w:val="auto"/>
          <w:sz w:val="24"/>
          <w:szCs w:val="24"/>
        </w:rPr>
        <w:t>23.1</w:t>
      </w:r>
      <w:r>
        <w:rPr>
          <w:rFonts w:hint="eastAsia" w:ascii="仿宋" w:hAnsi="仿宋" w:eastAsia="仿宋" w:cs="宋体"/>
          <w:color w:val="auto"/>
          <w:sz w:val="24"/>
          <w:szCs w:val="24"/>
        </w:rPr>
        <w:t>成交</w:t>
      </w:r>
      <w:r>
        <w:rPr>
          <w:rFonts w:hint="eastAsia" w:ascii="仿宋" w:hAnsi="仿宋" w:eastAsia="仿宋" w:cs="宋体"/>
          <w:bCs/>
          <w:color w:val="auto"/>
          <w:sz w:val="24"/>
          <w:szCs w:val="24"/>
        </w:rPr>
        <w:t>供应商应按采购人要求的时间和地点按时参加合同</w:t>
      </w:r>
      <w:r>
        <w:rPr>
          <w:rFonts w:hint="eastAsia" w:ascii="仿宋" w:hAnsi="仿宋" w:eastAsia="仿宋" w:cs="宋体"/>
          <w:color w:val="auto"/>
          <w:sz w:val="24"/>
          <w:szCs w:val="24"/>
        </w:rPr>
        <w:t>磋商</w:t>
      </w:r>
      <w:r>
        <w:rPr>
          <w:rFonts w:hint="eastAsia" w:ascii="仿宋" w:hAnsi="仿宋" w:eastAsia="仿宋" w:cs="宋体"/>
          <w:bCs/>
          <w:color w:val="auto"/>
          <w:sz w:val="24"/>
          <w:szCs w:val="24"/>
        </w:rPr>
        <w:t>。如成交单位不按时参加合同</w:t>
      </w:r>
      <w:r>
        <w:rPr>
          <w:rFonts w:hint="eastAsia" w:ascii="仿宋" w:hAnsi="仿宋" w:eastAsia="仿宋" w:cs="宋体"/>
          <w:color w:val="auto"/>
          <w:sz w:val="24"/>
          <w:szCs w:val="24"/>
        </w:rPr>
        <w:t>磋商</w:t>
      </w:r>
      <w:r>
        <w:rPr>
          <w:rFonts w:hint="eastAsia" w:ascii="仿宋" w:hAnsi="仿宋" w:eastAsia="仿宋" w:cs="宋体"/>
          <w:bCs/>
          <w:color w:val="auto"/>
          <w:sz w:val="24"/>
          <w:szCs w:val="24"/>
        </w:rPr>
        <w:t>，视为自动放弃，</w:t>
      </w:r>
      <w:r>
        <w:rPr>
          <w:rFonts w:hint="eastAsia" w:ascii="仿宋" w:hAnsi="仿宋" w:eastAsia="仿宋" w:cs="宋体"/>
          <w:color w:val="auto"/>
          <w:sz w:val="24"/>
          <w:szCs w:val="24"/>
        </w:rPr>
        <w:t>采购人将有充分的理由取消该成交决定，给采购人造成的损失，成交单位应予以赔偿。在此情况下，</w:t>
      </w:r>
      <w:r>
        <w:rPr>
          <w:rFonts w:hint="eastAsia" w:ascii="仿宋" w:hAnsi="仿宋" w:eastAsia="仿宋" w:cs="宋体"/>
          <w:bCs/>
          <w:color w:val="auto"/>
          <w:sz w:val="24"/>
          <w:szCs w:val="24"/>
        </w:rPr>
        <w:t>采购人将根据竞争性</w:t>
      </w:r>
      <w:r>
        <w:rPr>
          <w:rFonts w:hint="eastAsia" w:ascii="仿宋" w:hAnsi="仿宋" w:eastAsia="仿宋" w:cs="宋体"/>
          <w:color w:val="auto"/>
          <w:sz w:val="24"/>
          <w:szCs w:val="24"/>
        </w:rPr>
        <w:t>磋商</w:t>
      </w:r>
      <w:r>
        <w:rPr>
          <w:rFonts w:hint="eastAsia" w:ascii="仿宋" w:hAnsi="仿宋" w:eastAsia="仿宋" w:cs="宋体"/>
          <w:bCs/>
          <w:color w:val="auto"/>
          <w:sz w:val="24"/>
          <w:szCs w:val="24"/>
        </w:rPr>
        <w:t>小组推荐</w:t>
      </w:r>
      <w:r>
        <w:rPr>
          <w:rFonts w:hint="eastAsia" w:ascii="仿宋" w:hAnsi="仿宋" w:eastAsia="仿宋" w:cs="宋体"/>
          <w:color w:val="auto"/>
          <w:sz w:val="24"/>
          <w:szCs w:val="24"/>
        </w:rPr>
        <w:t>的成交候选人</w:t>
      </w:r>
      <w:r>
        <w:rPr>
          <w:rFonts w:hint="eastAsia" w:ascii="仿宋" w:hAnsi="仿宋" w:eastAsia="仿宋" w:cs="宋体"/>
          <w:bCs/>
          <w:color w:val="auto"/>
          <w:sz w:val="24"/>
          <w:szCs w:val="24"/>
        </w:rPr>
        <w:t>顺序重新确定成交单位</w:t>
      </w:r>
      <w:r>
        <w:rPr>
          <w:rFonts w:hint="eastAsia" w:ascii="仿宋" w:hAnsi="仿宋" w:eastAsia="仿宋" w:cs="宋体"/>
          <w:color w:val="auto"/>
          <w:sz w:val="24"/>
          <w:szCs w:val="24"/>
        </w:rPr>
        <w:t>，或重新磋商。</w:t>
      </w:r>
    </w:p>
    <w:p w14:paraId="2A29CB4B">
      <w:pPr>
        <w:tabs>
          <w:tab w:val="left" w:pos="105"/>
          <w:tab w:val="left" w:pos="735"/>
          <w:tab w:val="left" w:pos="945"/>
          <w:tab w:val="left" w:pos="3360"/>
        </w:tabs>
        <w:adjustRightInd w:val="0"/>
        <w:snapToGrid w:val="0"/>
        <w:spacing w:line="520" w:lineRule="exact"/>
        <w:jc w:val="center"/>
        <w:outlineLvl w:val="2"/>
        <w:rPr>
          <w:rFonts w:ascii="仿宋" w:hAnsi="仿宋" w:eastAsia="仿宋" w:cs="宋体"/>
          <w:b/>
          <w:bCs/>
          <w:color w:val="auto"/>
          <w:sz w:val="32"/>
          <w:szCs w:val="32"/>
        </w:rPr>
      </w:pPr>
      <w:bookmarkStart w:id="131" w:name="_Toc1176"/>
      <w:bookmarkStart w:id="132" w:name="_Toc232004911"/>
      <w:r>
        <w:rPr>
          <w:rFonts w:hint="eastAsia" w:ascii="仿宋" w:hAnsi="仿宋" w:eastAsia="仿宋" w:cs="宋体"/>
          <w:b/>
          <w:bCs/>
          <w:color w:val="auto"/>
          <w:sz w:val="32"/>
          <w:szCs w:val="32"/>
        </w:rPr>
        <w:t>八</w:t>
      </w:r>
      <w:bookmarkEnd w:id="131"/>
      <w:r>
        <w:rPr>
          <w:rFonts w:hint="eastAsia" w:ascii="仿宋" w:hAnsi="仿宋" w:eastAsia="仿宋" w:cs="宋体"/>
          <w:b/>
          <w:bCs/>
          <w:color w:val="auto"/>
          <w:sz w:val="32"/>
          <w:szCs w:val="32"/>
        </w:rPr>
        <w:t>、质疑及投诉</w:t>
      </w:r>
      <w:bookmarkEnd w:id="132"/>
    </w:p>
    <w:p w14:paraId="3C8F11FF">
      <w:pPr>
        <w:snapToGrid w:val="0"/>
        <w:spacing w:line="520" w:lineRule="exact"/>
        <w:ind w:firstLine="118" w:firstLineChars="49"/>
        <w:rPr>
          <w:rFonts w:ascii="仿宋" w:hAnsi="仿宋" w:eastAsia="仿宋" w:cs="宋体"/>
          <w:b/>
          <w:color w:val="auto"/>
          <w:sz w:val="24"/>
          <w:szCs w:val="24"/>
        </w:rPr>
      </w:pPr>
      <w:bookmarkStart w:id="133" w:name="_Toc321836356"/>
      <w:r>
        <w:rPr>
          <w:rFonts w:hint="eastAsia" w:ascii="仿宋" w:hAnsi="仿宋" w:eastAsia="仿宋" w:cs="宋体"/>
          <w:b/>
          <w:color w:val="auto"/>
          <w:sz w:val="24"/>
          <w:szCs w:val="24"/>
        </w:rPr>
        <w:t>24</w:t>
      </w:r>
      <w:r>
        <w:rPr>
          <w:rFonts w:ascii="仿宋" w:hAnsi="仿宋" w:eastAsia="仿宋" w:cs="宋体"/>
          <w:b/>
          <w:color w:val="auto"/>
          <w:sz w:val="24"/>
          <w:szCs w:val="24"/>
        </w:rPr>
        <w:t>、质疑</w:t>
      </w:r>
      <w:bookmarkEnd w:id="133"/>
    </w:p>
    <w:p w14:paraId="1C493D4F">
      <w:pPr>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24</w:t>
      </w:r>
      <w:r>
        <w:rPr>
          <w:rFonts w:ascii="仿宋" w:hAnsi="仿宋" w:eastAsia="仿宋" w:cs="宋体"/>
          <w:color w:val="auto"/>
          <w:sz w:val="24"/>
          <w:szCs w:val="24"/>
        </w:rPr>
        <w:t>.1 供应商认为竞争性磋商文件、采购过程和</w:t>
      </w:r>
      <w:r>
        <w:rPr>
          <w:rFonts w:hint="eastAsia" w:ascii="仿宋" w:hAnsi="仿宋" w:eastAsia="仿宋" w:cs="宋体"/>
          <w:color w:val="auto"/>
          <w:sz w:val="24"/>
          <w:szCs w:val="24"/>
        </w:rPr>
        <w:t>成交</w:t>
      </w:r>
      <w:r>
        <w:rPr>
          <w:rFonts w:ascii="仿宋" w:hAnsi="仿宋" w:eastAsia="仿宋" w:cs="宋体"/>
          <w:color w:val="auto"/>
          <w:sz w:val="24"/>
          <w:szCs w:val="24"/>
        </w:rPr>
        <w:t>结果使自己的权益受到损害的，应当</w:t>
      </w:r>
      <w:r>
        <w:rPr>
          <w:rFonts w:hint="eastAsia" w:ascii="仿宋" w:hAnsi="仿宋" w:eastAsia="仿宋" w:cs="宋体"/>
          <w:color w:val="auto"/>
          <w:sz w:val="24"/>
          <w:szCs w:val="24"/>
        </w:rPr>
        <w:t>在知道或者应知其权益受到损害之日起7个工作日内</w:t>
      </w:r>
      <w:r>
        <w:rPr>
          <w:rFonts w:ascii="仿宋" w:hAnsi="仿宋" w:eastAsia="仿宋" w:cs="宋体"/>
          <w:color w:val="auto"/>
          <w:sz w:val="24"/>
          <w:szCs w:val="24"/>
        </w:rPr>
        <w:t>，以书面形式向采购人或采购代理机构提出质疑，质疑内容不得含有虚假、恶意成分。当事人对自己提出的主张，有责任提供证据，提出质疑时应同时提交相关证据材料和注明事实的确切来源且证据合法、真实、有效。采购人或采购代理机构应当在7个工作日内对供应商依法提出的质疑作出书面答复，但答复的内容不得涉及商业秘密。</w:t>
      </w:r>
    </w:p>
    <w:p w14:paraId="6F91736C">
      <w:pPr>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受理质疑单位：昆明市同力建设工程咨询有限公司</w:t>
      </w:r>
    </w:p>
    <w:p w14:paraId="79611ACF">
      <w:pPr>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电话：0871-63114071</w:t>
      </w:r>
    </w:p>
    <w:p w14:paraId="68B48AF3">
      <w:pPr>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 xml:space="preserve">通讯地址：昆明市新兴路中段霖岚国际A座913室 </w:t>
      </w:r>
    </w:p>
    <w:p w14:paraId="56B7AF15">
      <w:pPr>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邮编：650000</w:t>
      </w:r>
    </w:p>
    <w:p w14:paraId="5F4E7DD1">
      <w:pPr>
        <w:snapToGrid w:val="0"/>
        <w:spacing w:line="520" w:lineRule="exact"/>
        <w:ind w:firstLine="480" w:firstLineChars="200"/>
        <w:rPr>
          <w:rFonts w:ascii="仿宋" w:hAnsi="仿宋" w:eastAsia="仿宋" w:cs="宋体"/>
          <w:color w:val="auto"/>
          <w:sz w:val="24"/>
          <w:szCs w:val="24"/>
        </w:rPr>
      </w:pPr>
      <w:r>
        <w:rPr>
          <w:rFonts w:ascii="仿宋" w:hAnsi="仿宋" w:eastAsia="仿宋" w:cs="宋体"/>
          <w:color w:val="auto"/>
          <w:sz w:val="24"/>
          <w:szCs w:val="24"/>
        </w:rPr>
        <w:t>供应商知其权益受到损害之日，是指：</w:t>
      </w:r>
    </w:p>
    <w:p w14:paraId="072C5FA9">
      <w:pPr>
        <w:snapToGrid w:val="0"/>
        <w:spacing w:line="520" w:lineRule="exact"/>
        <w:ind w:firstLine="480" w:firstLineChars="200"/>
        <w:rPr>
          <w:rFonts w:ascii="仿宋" w:hAnsi="仿宋" w:eastAsia="仿宋" w:cs="宋体"/>
          <w:color w:val="auto"/>
          <w:sz w:val="24"/>
          <w:szCs w:val="24"/>
        </w:rPr>
      </w:pPr>
      <w:r>
        <w:rPr>
          <w:rFonts w:ascii="仿宋" w:hAnsi="仿宋" w:eastAsia="仿宋" w:cs="宋体"/>
          <w:color w:val="auto"/>
          <w:sz w:val="24"/>
          <w:szCs w:val="24"/>
        </w:rPr>
        <w:t>（一）对可以质疑的竞争性磋商文件提出质疑的，为收到竞争性磋商文件之日或者竞争性磋商文件公告期限届满之日；</w:t>
      </w:r>
    </w:p>
    <w:p w14:paraId="6B0F9624">
      <w:pPr>
        <w:snapToGrid w:val="0"/>
        <w:spacing w:line="520" w:lineRule="exact"/>
        <w:ind w:firstLine="480" w:firstLineChars="200"/>
        <w:rPr>
          <w:rFonts w:ascii="仿宋" w:hAnsi="仿宋" w:eastAsia="仿宋" w:cs="宋体"/>
          <w:color w:val="auto"/>
          <w:sz w:val="24"/>
          <w:szCs w:val="24"/>
        </w:rPr>
      </w:pPr>
      <w:r>
        <w:rPr>
          <w:rFonts w:ascii="仿宋" w:hAnsi="仿宋" w:eastAsia="仿宋" w:cs="宋体"/>
          <w:color w:val="auto"/>
          <w:sz w:val="24"/>
          <w:szCs w:val="24"/>
        </w:rPr>
        <w:t>（二）对采购过程提出质疑的，为各采购程序环节结束之日；</w:t>
      </w:r>
    </w:p>
    <w:p w14:paraId="682ED07D">
      <w:pPr>
        <w:snapToGrid w:val="0"/>
        <w:spacing w:line="520" w:lineRule="exact"/>
        <w:ind w:firstLine="480" w:firstLineChars="200"/>
        <w:rPr>
          <w:rFonts w:ascii="仿宋" w:hAnsi="仿宋" w:eastAsia="仿宋" w:cs="宋体"/>
          <w:color w:val="auto"/>
          <w:sz w:val="24"/>
          <w:szCs w:val="24"/>
        </w:rPr>
      </w:pPr>
      <w:r>
        <w:rPr>
          <w:rFonts w:ascii="仿宋" w:hAnsi="仿宋" w:eastAsia="仿宋" w:cs="宋体"/>
          <w:color w:val="auto"/>
          <w:sz w:val="24"/>
          <w:szCs w:val="24"/>
        </w:rPr>
        <w:t>（三）对</w:t>
      </w:r>
      <w:r>
        <w:rPr>
          <w:rFonts w:hint="eastAsia" w:ascii="仿宋" w:hAnsi="仿宋" w:eastAsia="仿宋" w:cs="宋体"/>
          <w:color w:val="auto"/>
          <w:sz w:val="24"/>
          <w:szCs w:val="24"/>
        </w:rPr>
        <w:t>成交</w:t>
      </w:r>
      <w:r>
        <w:rPr>
          <w:rFonts w:ascii="仿宋" w:hAnsi="仿宋" w:eastAsia="仿宋" w:cs="宋体"/>
          <w:color w:val="auto"/>
          <w:sz w:val="24"/>
          <w:szCs w:val="24"/>
        </w:rPr>
        <w:t>结果提出质疑的，为</w:t>
      </w:r>
      <w:r>
        <w:rPr>
          <w:rFonts w:hint="eastAsia" w:ascii="仿宋" w:hAnsi="仿宋" w:eastAsia="仿宋" w:cs="宋体"/>
          <w:color w:val="auto"/>
          <w:sz w:val="24"/>
          <w:szCs w:val="24"/>
        </w:rPr>
        <w:t>成交</w:t>
      </w:r>
      <w:r>
        <w:rPr>
          <w:rFonts w:ascii="仿宋" w:hAnsi="仿宋" w:eastAsia="仿宋" w:cs="宋体"/>
          <w:color w:val="auto"/>
          <w:sz w:val="24"/>
          <w:szCs w:val="24"/>
        </w:rPr>
        <w:t>结果公告期限届满之日。</w:t>
      </w:r>
    </w:p>
    <w:p w14:paraId="4F534361">
      <w:pPr>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24</w:t>
      </w:r>
      <w:r>
        <w:rPr>
          <w:rFonts w:ascii="仿宋" w:hAnsi="仿宋" w:eastAsia="仿宋" w:cs="宋体"/>
          <w:color w:val="auto"/>
          <w:sz w:val="24"/>
          <w:szCs w:val="24"/>
        </w:rPr>
        <w:t>.2供应商必须在法定质疑期内一次性提出针对同一采购程序环节的质疑，否则不予受理。</w:t>
      </w:r>
    </w:p>
    <w:p w14:paraId="0642F1D6">
      <w:pPr>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24</w:t>
      </w:r>
      <w:r>
        <w:rPr>
          <w:rFonts w:ascii="仿宋" w:hAnsi="仿宋" w:eastAsia="仿宋" w:cs="宋体"/>
          <w:color w:val="auto"/>
          <w:sz w:val="24"/>
          <w:szCs w:val="24"/>
        </w:rPr>
        <w:t>.3提出质疑的供应商应当是参与所质疑项目采购活动的供应商。</w:t>
      </w:r>
    </w:p>
    <w:p w14:paraId="36EAA9CC">
      <w:pPr>
        <w:snapToGrid w:val="0"/>
        <w:spacing w:line="52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24</w:t>
      </w:r>
      <w:r>
        <w:rPr>
          <w:rFonts w:ascii="仿宋" w:hAnsi="仿宋" w:eastAsia="仿宋" w:cs="宋体"/>
          <w:color w:val="auto"/>
          <w:sz w:val="24"/>
          <w:szCs w:val="24"/>
        </w:rPr>
        <w:t>.4供应商提供的质疑书（如材料中有外文资料应同时附上中文译本）应当包括以下主要内容：</w:t>
      </w:r>
    </w:p>
    <w:p w14:paraId="6E16CBC2">
      <w:pPr>
        <w:snapToGrid w:val="0"/>
        <w:spacing w:line="520" w:lineRule="exact"/>
        <w:ind w:firstLine="480" w:firstLineChars="200"/>
        <w:rPr>
          <w:rFonts w:ascii="仿宋" w:hAnsi="仿宋" w:eastAsia="仿宋" w:cs="宋体"/>
          <w:color w:val="auto"/>
          <w:sz w:val="24"/>
          <w:szCs w:val="24"/>
        </w:rPr>
      </w:pPr>
      <w:r>
        <w:rPr>
          <w:rFonts w:ascii="仿宋" w:hAnsi="仿宋" w:eastAsia="仿宋" w:cs="宋体"/>
          <w:color w:val="auto"/>
          <w:sz w:val="24"/>
          <w:szCs w:val="24"/>
        </w:rPr>
        <w:t>（一）供应商的姓名或者名称、地址、邮编、联系人及联系电话；</w:t>
      </w:r>
    </w:p>
    <w:p w14:paraId="3AF635E9">
      <w:pPr>
        <w:snapToGrid w:val="0"/>
        <w:spacing w:line="520" w:lineRule="exact"/>
        <w:ind w:firstLine="480" w:firstLineChars="200"/>
        <w:rPr>
          <w:rFonts w:ascii="仿宋" w:hAnsi="仿宋" w:eastAsia="仿宋" w:cs="宋体"/>
          <w:color w:val="auto"/>
          <w:sz w:val="24"/>
          <w:szCs w:val="24"/>
        </w:rPr>
      </w:pPr>
      <w:r>
        <w:rPr>
          <w:rFonts w:ascii="仿宋" w:hAnsi="仿宋" w:eastAsia="仿宋" w:cs="宋体"/>
          <w:color w:val="auto"/>
          <w:sz w:val="24"/>
          <w:szCs w:val="24"/>
        </w:rPr>
        <w:t>（二）质疑项目的名称、编号；</w:t>
      </w:r>
    </w:p>
    <w:p w14:paraId="681B675C">
      <w:pPr>
        <w:snapToGrid w:val="0"/>
        <w:spacing w:line="520" w:lineRule="exact"/>
        <w:ind w:firstLine="480" w:firstLineChars="200"/>
        <w:rPr>
          <w:rFonts w:ascii="仿宋" w:hAnsi="仿宋" w:eastAsia="仿宋" w:cs="宋体"/>
          <w:color w:val="auto"/>
          <w:sz w:val="24"/>
          <w:szCs w:val="24"/>
        </w:rPr>
      </w:pPr>
      <w:r>
        <w:rPr>
          <w:rFonts w:ascii="仿宋" w:hAnsi="仿宋" w:eastAsia="仿宋" w:cs="宋体"/>
          <w:color w:val="auto"/>
          <w:sz w:val="24"/>
          <w:szCs w:val="24"/>
        </w:rPr>
        <w:t>（三）具体、明确的质疑事项和与质疑事项相关的请求；</w:t>
      </w:r>
    </w:p>
    <w:p w14:paraId="6D178F70">
      <w:pPr>
        <w:snapToGrid w:val="0"/>
        <w:spacing w:line="520" w:lineRule="exact"/>
        <w:ind w:firstLine="480" w:firstLineChars="200"/>
        <w:rPr>
          <w:rFonts w:ascii="仿宋" w:hAnsi="仿宋" w:eastAsia="仿宋" w:cs="宋体"/>
          <w:color w:val="auto"/>
          <w:sz w:val="24"/>
          <w:szCs w:val="24"/>
        </w:rPr>
      </w:pPr>
      <w:r>
        <w:rPr>
          <w:rFonts w:ascii="仿宋" w:hAnsi="仿宋" w:eastAsia="仿宋" w:cs="宋体"/>
          <w:color w:val="auto"/>
          <w:sz w:val="24"/>
          <w:szCs w:val="24"/>
        </w:rPr>
        <w:t>（四）事实依据；</w:t>
      </w:r>
    </w:p>
    <w:p w14:paraId="4FC3B915">
      <w:pPr>
        <w:snapToGrid w:val="0"/>
        <w:spacing w:line="520" w:lineRule="exact"/>
        <w:ind w:firstLine="480" w:firstLineChars="200"/>
        <w:rPr>
          <w:rFonts w:ascii="仿宋" w:hAnsi="仿宋" w:eastAsia="仿宋" w:cs="宋体"/>
          <w:color w:val="auto"/>
          <w:sz w:val="24"/>
          <w:szCs w:val="24"/>
        </w:rPr>
      </w:pPr>
      <w:r>
        <w:rPr>
          <w:rFonts w:ascii="仿宋" w:hAnsi="仿宋" w:eastAsia="仿宋" w:cs="宋体"/>
          <w:color w:val="auto"/>
          <w:sz w:val="24"/>
          <w:szCs w:val="24"/>
        </w:rPr>
        <w:t>（五）必要的法律依据；</w:t>
      </w:r>
    </w:p>
    <w:p w14:paraId="2898FB72">
      <w:pPr>
        <w:snapToGrid w:val="0"/>
        <w:spacing w:line="520" w:lineRule="exact"/>
        <w:ind w:firstLine="480" w:firstLineChars="200"/>
        <w:rPr>
          <w:rFonts w:ascii="仿宋" w:hAnsi="仿宋" w:eastAsia="仿宋" w:cs="宋体"/>
          <w:color w:val="auto"/>
          <w:sz w:val="24"/>
          <w:szCs w:val="24"/>
        </w:rPr>
      </w:pPr>
      <w:r>
        <w:rPr>
          <w:rFonts w:ascii="仿宋" w:hAnsi="仿宋" w:eastAsia="仿宋" w:cs="宋体"/>
          <w:color w:val="auto"/>
          <w:sz w:val="24"/>
          <w:szCs w:val="24"/>
        </w:rPr>
        <w:t>（六）提出质疑的日期。</w:t>
      </w:r>
    </w:p>
    <w:p w14:paraId="3E8502B5">
      <w:pPr>
        <w:snapToGrid w:val="0"/>
        <w:spacing w:line="520" w:lineRule="exact"/>
        <w:ind w:firstLine="480" w:firstLineChars="200"/>
        <w:rPr>
          <w:rFonts w:ascii="仿宋" w:hAnsi="仿宋" w:eastAsia="仿宋" w:cs="宋体"/>
          <w:color w:val="auto"/>
          <w:sz w:val="24"/>
          <w:szCs w:val="24"/>
        </w:rPr>
      </w:pPr>
      <w:r>
        <w:rPr>
          <w:rFonts w:ascii="仿宋" w:hAnsi="仿宋" w:eastAsia="仿宋" w:cs="宋体"/>
          <w:color w:val="auto"/>
          <w:sz w:val="24"/>
          <w:szCs w:val="24"/>
        </w:rPr>
        <w:t>供应商为自然人的，应当由本人签字；供应商为法人或者其他组织的，应当由法定代表人、主要负责人，或者其授权代表签字或者盖章，并加盖公章（原件）。</w:t>
      </w:r>
    </w:p>
    <w:p w14:paraId="5A070646">
      <w:pPr>
        <w:snapToGrid w:val="0"/>
        <w:spacing w:line="520" w:lineRule="exact"/>
        <w:ind w:firstLine="118" w:firstLineChars="49"/>
        <w:rPr>
          <w:rFonts w:ascii="仿宋" w:hAnsi="仿宋" w:eastAsia="仿宋" w:cs="宋体"/>
          <w:b/>
          <w:color w:val="auto"/>
          <w:sz w:val="24"/>
          <w:szCs w:val="24"/>
        </w:rPr>
      </w:pPr>
      <w:bookmarkStart w:id="134" w:name="_Toc321836357"/>
      <w:r>
        <w:rPr>
          <w:rFonts w:hint="eastAsia" w:ascii="仿宋" w:hAnsi="仿宋" w:eastAsia="仿宋" w:cs="宋体"/>
          <w:b/>
          <w:color w:val="auto"/>
          <w:sz w:val="24"/>
          <w:szCs w:val="24"/>
        </w:rPr>
        <w:t>25</w:t>
      </w:r>
      <w:r>
        <w:rPr>
          <w:rFonts w:ascii="仿宋" w:hAnsi="仿宋" w:eastAsia="仿宋" w:cs="宋体"/>
          <w:b/>
          <w:color w:val="auto"/>
          <w:sz w:val="24"/>
          <w:szCs w:val="24"/>
        </w:rPr>
        <w:t>、投诉</w:t>
      </w:r>
      <w:bookmarkEnd w:id="134"/>
    </w:p>
    <w:p w14:paraId="2D0A89EA">
      <w:pPr>
        <w:snapToGrid w:val="0"/>
        <w:spacing w:line="520" w:lineRule="exact"/>
        <w:ind w:firstLine="480" w:firstLineChars="200"/>
        <w:rPr>
          <w:rFonts w:ascii="仿宋" w:hAnsi="仿宋" w:eastAsia="仿宋" w:cs="宋体"/>
          <w:color w:val="auto"/>
          <w:sz w:val="24"/>
          <w:szCs w:val="24"/>
        </w:rPr>
      </w:pPr>
      <w:r>
        <w:rPr>
          <w:rFonts w:ascii="仿宋" w:hAnsi="仿宋" w:eastAsia="仿宋" w:cs="宋体"/>
          <w:color w:val="auto"/>
          <w:sz w:val="24"/>
          <w:szCs w:val="24"/>
        </w:rPr>
        <w:t>当事人提出的投诉事项必须首先经过质疑程序。质疑人对采购人、采购代理机构的答复不满意，或者采购人、采购代理机构未在规定的时间内做出答复的，可以在答复期满后十五个工作日内书面向同级财政部门提出投诉。</w:t>
      </w:r>
    </w:p>
    <w:p w14:paraId="241F9084">
      <w:pPr>
        <w:snapToGrid w:val="0"/>
        <w:spacing w:line="520" w:lineRule="exact"/>
        <w:ind w:firstLine="118" w:firstLineChars="49"/>
        <w:rPr>
          <w:rFonts w:ascii="仿宋" w:hAnsi="仿宋" w:eastAsia="仿宋" w:cs="宋体"/>
          <w:b/>
          <w:color w:val="auto"/>
          <w:sz w:val="24"/>
          <w:szCs w:val="24"/>
        </w:rPr>
      </w:pPr>
      <w:r>
        <w:rPr>
          <w:rFonts w:hint="eastAsia" w:ascii="仿宋" w:hAnsi="仿宋" w:eastAsia="仿宋" w:cs="宋体"/>
          <w:b/>
          <w:color w:val="auto"/>
          <w:sz w:val="24"/>
          <w:szCs w:val="24"/>
        </w:rPr>
        <w:t>26、其他</w:t>
      </w:r>
    </w:p>
    <w:p w14:paraId="4C3EE771">
      <w:pPr>
        <w:spacing w:line="520" w:lineRule="exact"/>
        <w:ind w:firstLine="480" w:firstLineChars="200"/>
        <w:rPr>
          <w:rFonts w:ascii="仿宋" w:hAnsi="仿宋" w:eastAsia="仿宋" w:cs="宋体"/>
          <w:color w:val="auto"/>
          <w:sz w:val="24"/>
        </w:rPr>
      </w:pPr>
      <w:r>
        <w:rPr>
          <w:rFonts w:hint="eastAsia" w:ascii="仿宋" w:hAnsi="仿宋" w:eastAsia="仿宋" w:cs="宋体"/>
          <w:color w:val="auto"/>
          <w:sz w:val="24"/>
        </w:rPr>
        <w:t>26.1自获取竞争性磋商文件之日起，供应商应保证其提供的联系方式（电话、传真、电子邮件）一直有效，以保证往来函件（竞争性磋商文件的澄清、修改等）能及时通知供应商，并能及时反馈信息，否则采购人不承担由此引起的一切后果。</w:t>
      </w:r>
    </w:p>
    <w:p w14:paraId="00272DC6">
      <w:pPr>
        <w:spacing w:line="520" w:lineRule="exact"/>
        <w:ind w:firstLine="480" w:firstLineChars="200"/>
        <w:rPr>
          <w:rFonts w:ascii="仿宋" w:hAnsi="仿宋" w:eastAsia="仿宋" w:cs="宋体"/>
          <w:color w:val="auto"/>
          <w:sz w:val="24"/>
        </w:rPr>
      </w:pPr>
      <w:r>
        <w:rPr>
          <w:rFonts w:hint="eastAsia" w:ascii="仿宋" w:hAnsi="仿宋" w:eastAsia="仿宋" w:cs="宋体"/>
          <w:color w:val="auto"/>
          <w:sz w:val="24"/>
        </w:rPr>
        <w:t>26.2需要补充的其他内容：见供应商须知前附表。</w:t>
      </w:r>
    </w:p>
    <w:p w14:paraId="60B784BD">
      <w:pPr>
        <w:spacing w:line="520" w:lineRule="exact"/>
        <w:ind w:firstLine="480" w:firstLineChars="200"/>
        <w:rPr>
          <w:rFonts w:ascii="仿宋" w:hAnsi="仿宋" w:eastAsia="仿宋" w:cs="宋体"/>
          <w:color w:val="auto"/>
          <w:sz w:val="24"/>
        </w:rPr>
      </w:pPr>
      <w:r>
        <w:rPr>
          <w:rFonts w:hint="eastAsia" w:ascii="仿宋" w:hAnsi="仿宋" w:eastAsia="仿宋" w:cs="宋体"/>
          <w:color w:val="auto"/>
          <w:sz w:val="24"/>
        </w:rPr>
        <w:t>26.3相关费用：</w:t>
      </w:r>
    </w:p>
    <w:p w14:paraId="7F136926">
      <w:pPr>
        <w:spacing w:line="520" w:lineRule="exact"/>
        <w:ind w:firstLine="480" w:firstLineChars="200"/>
        <w:rPr>
          <w:rFonts w:ascii="仿宋" w:hAnsi="仿宋" w:eastAsia="仿宋" w:cs="宋体"/>
          <w:color w:val="auto"/>
          <w:sz w:val="24"/>
        </w:rPr>
      </w:pPr>
      <w:r>
        <w:rPr>
          <w:rFonts w:hint="eastAsia" w:ascii="仿宋" w:hAnsi="仿宋" w:eastAsia="仿宋" w:cs="宋体"/>
          <w:color w:val="auto"/>
          <w:sz w:val="24"/>
        </w:rPr>
        <w:t>26.3.1不论响应结果如何,供应商应承担其参加本磋商活动所涉及的一切费用。</w:t>
      </w:r>
    </w:p>
    <w:p w14:paraId="076E05DB">
      <w:pPr>
        <w:spacing w:line="520" w:lineRule="exact"/>
        <w:ind w:firstLine="480" w:firstLineChars="200"/>
        <w:rPr>
          <w:rFonts w:ascii="仿宋" w:hAnsi="仿宋" w:eastAsia="仿宋" w:cs="宋体"/>
          <w:color w:val="auto"/>
          <w:sz w:val="24"/>
        </w:rPr>
      </w:pPr>
      <w:r>
        <w:rPr>
          <w:rFonts w:hint="eastAsia" w:ascii="仿宋" w:hAnsi="仿宋" w:eastAsia="仿宋" w:cs="宋体"/>
          <w:color w:val="auto"/>
          <w:sz w:val="24"/>
        </w:rPr>
        <w:t>26.3.2</w:t>
      </w:r>
      <w:r>
        <w:rPr>
          <w:rFonts w:hint="eastAsia" w:ascii="仿宋" w:hAnsi="仿宋" w:eastAsia="仿宋" w:cs="宋体"/>
          <w:b/>
          <w:color w:val="auto"/>
          <w:sz w:val="24"/>
        </w:rPr>
        <w:t>采购代理服务费按照《云南省建设工程招标代理服务收费参考意见》云建招协[2024]58号文件规定的收费标准下浮</w:t>
      </w:r>
      <w:r>
        <w:rPr>
          <w:rFonts w:ascii="仿宋" w:hAnsi="仿宋" w:eastAsia="仿宋" w:cs="宋体"/>
          <w:b/>
          <w:color w:val="auto"/>
          <w:sz w:val="24"/>
        </w:rPr>
        <w:t>2</w:t>
      </w:r>
      <w:r>
        <w:rPr>
          <w:rFonts w:hint="eastAsia" w:ascii="仿宋" w:hAnsi="仿宋" w:eastAsia="仿宋" w:cs="宋体"/>
          <w:b/>
          <w:color w:val="auto"/>
          <w:sz w:val="24"/>
        </w:rPr>
        <w:t>0％后，低于7000.00元的按包干价7000.00元计取。</w:t>
      </w:r>
      <w:r>
        <w:rPr>
          <w:rFonts w:ascii="仿宋" w:hAnsi="仿宋" w:eastAsia="仿宋" w:cs="宋体"/>
          <w:b/>
          <w:color w:val="auto"/>
          <w:sz w:val="24"/>
        </w:rPr>
        <w:t>由</w:t>
      </w:r>
      <w:r>
        <w:rPr>
          <w:rFonts w:hint="eastAsia" w:ascii="仿宋" w:hAnsi="仿宋" w:eastAsia="仿宋" w:cs="宋体"/>
          <w:b/>
          <w:color w:val="auto"/>
          <w:sz w:val="24"/>
        </w:rPr>
        <w:t>成交</w:t>
      </w:r>
      <w:r>
        <w:rPr>
          <w:rFonts w:ascii="仿宋" w:hAnsi="仿宋" w:eastAsia="仿宋" w:cs="宋体"/>
          <w:b/>
          <w:color w:val="auto"/>
          <w:sz w:val="24"/>
        </w:rPr>
        <w:t>人在领取</w:t>
      </w:r>
      <w:r>
        <w:rPr>
          <w:rFonts w:hint="eastAsia" w:ascii="仿宋" w:hAnsi="仿宋" w:eastAsia="仿宋" w:cs="宋体"/>
          <w:b/>
          <w:color w:val="auto"/>
          <w:sz w:val="24"/>
        </w:rPr>
        <w:t>成交</w:t>
      </w:r>
      <w:r>
        <w:rPr>
          <w:rFonts w:ascii="仿宋" w:hAnsi="仿宋" w:eastAsia="仿宋" w:cs="宋体"/>
          <w:b/>
          <w:color w:val="auto"/>
          <w:sz w:val="24"/>
        </w:rPr>
        <w:t>通知书前一次性向</w:t>
      </w:r>
      <w:r>
        <w:rPr>
          <w:rFonts w:hint="eastAsia" w:ascii="仿宋" w:hAnsi="仿宋" w:eastAsia="仿宋" w:cs="宋体"/>
          <w:b/>
          <w:color w:val="auto"/>
          <w:sz w:val="24"/>
        </w:rPr>
        <w:t>采购</w:t>
      </w:r>
      <w:r>
        <w:rPr>
          <w:rFonts w:ascii="仿宋" w:hAnsi="仿宋" w:eastAsia="仿宋" w:cs="宋体"/>
          <w:b/>
          <w:color w:val="auto"/>
          <w:sz w:val="24"/>
        </w:rPr>
        <w:t>代理机构支付。</w:t>
      </w:r>
    </w:p>
    <w:p w14:paraId="4127BCE7">
      <w:pPr>
        <w:spacing w:line="360" w:lineRule="auto"/>
        <w:jc w:val="center"/>
        <w:outlineLvl w:val="0"/>
        <w:rPr>
          <w:rFonts w:ascii="仿宋" w:hAnsi="仿宋" w:eastAsia="仿宋" w:cs="宋体"/>
          <w:color w:val="auto"/>
          <w:sz w:val="24"/>
          <w:szCs w:val="24"/>
        </w:rPr>
      </w:pPr>
      <w:bookmarkStart w:id="135" w:name="_Toc7609"/>
      <w:bookmarkStart w:id="136" w:name="_Toc450311985"/>
      <w:bookmarkStart w:id="137" w:name="_Toc308530453"/>
      <w:bookmarkStart w:id="138" w:name="_Toc309029546"/>
      <w:bookmarkStart w:id="139" w:name="_Toc308530175"/>
      <w:bookmarkStart w:id="140" w:name="_Toc309030723"/>
      <w:bookmarkStart w:id="141" w:name="_Toc309030120"/>
      <w:r>
        <w:rPr>
          <w:rFonts w:ascii="仿宋" w:hAnsi="仿宋" w:eastAsia="仿宋" w:cs="宋体"/>
          <w:b/>
          <w:color w:val="auto"/>
          <w:sz w:val="32"/>
          <w:szCs w:val="32"/>
        </w:rPr>
        <w:br w:type="page"/>
      </w:r>
      <w:bookmarkStart w:id="142" w:name="_Toc232004912"/>
      <w:r>
        <w:rPr>
          <w:rFonts w:hint="eastAsia" w:ascii="仿宋" w:hAnsi="仿宋" w:eastAsia="仿宋" w:cs="宋体"/>
          <w:b/>
          <w:color w:val="auto"/>
          <w:sz w:val="32"/>
          <w:szCs w:val="32"/>
        </w:rPr>
        <w:t>第三章 评审办法（综合评分法）</w:t>
      </w:r>
      <w:bookmarkEnd w:id="135"/>
      <w:bookmarkEnd w:id="136"/>
      <w:bookmarkEnd w:id="142"/>
    </w:p>
    <w:p w14:paraId="51DA52A6">
      <w:pPr>
        <w:spacing w:line="360" w:lineRule="auto"/>
        <w:jc w:val="center"/>
        <w:outlineLvl w:val="1"/>
        <w:rPr>
          <w:rFonts w:ascii="仿宋" w:hAnsi="仿宋" w:eastAsia="仿宋" w:cs="宋体"/>
          <w:b/>
          <w:color w:val="auto"/>
          <w:sz w:val="30"/>
          <w:szCs w:val="30"/>
        </w:rPr>
      </w:pPr>
      <w:bookmarkStart w:id="143" w:name="_Toc232004913"/>
      <w:bookmarkStart w:id="144" w:name="_Toc450311986"/>
      <w:bookmarkStart w:id="145" w:name="_Toc27209"/>
      <w:r>
        <w:rPr>
          <w:rFonts w:hint="eastAsia" w:ascii="仿宋" w:hAnsi="仿宋" w:eastAsia="仿宋" w:cs="宋体"/>
          <w:b/>
          <w:color w:val="auto"/>
          <w:sz w:val="30"/>
          <w:szCs w:val="30"/>
        </w:rPr>
        <w:t>一、评审办法前附表</w:t>
      </w:r>
      <w:bookmarkEnd w:id="143"/>
      <w:bookmarkEnd w:id="144"/>
      <w:bookmarkEnd w:id="145"/>
    </w:p>
    <w:tbl>
      <w:tblPr>
        <w:tblStyle w:val="62"/>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719"/>
        <w:gridCol w:w="142"/>
        <w:gridCol w:w="5811"/>
        <w:gridCol w:w="9"/>
        <w:gridCol w:w="8"/>
      </w:tblGrid>
      <w:tr w14:paraId="0A4F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 w:type="dxa"/>
          <w:trHeight w:val="517" w:hRule="atLeast"/>
          <w:jc w:val="center"/>
        </w:trPr>
        <w:tc>
          <w:tcPr>
            <w:tcW w:w="1951" w:type="dxa"/>
            <w:gridSpan w:val="2"/>
          </w:tcPr>
          <w:p w14:paraId="4895643B">
            <w:pPr>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条款号</w:t>
            </w:r>
          </w:p>
        </w:tc>
        <w:tc>
          <w:tcPr>
            <w:tcW w:w="1861" w:type="dxa"/>
            <w:gridSpan w:val="2"/>
          </w:tcPr>
          <w:p w14:paraId="08248622">
            <w:pPr>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评审因素</w:t>
            </w:r>
          </w:p>
        </w:tc>
        <w:tc>
          <w:tcPr>
            <w:tcW w:w="5811" w:type="dxa"/>
          </w:tcPr>
          <w:p w14:paraId="2DD9642E">
            <w:pPr>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评审标准</w:t>
            </w:r>
          </w:p>
        </w:tc>
      </w:tr>
      <w:tr w14:paraId="6A26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 w:type="dxa"/>
          <w:trHeight w:val="469" w:hRule="atLeast"/>
          <w:jc w:val="center"/>
        </w:trPr>
        <w:tc>
          <w:tcPr>
            <w:tcW w:w="817" w:type="dxa"/>
            <w:vMerge w:val="restart"/>
            <w:vAlign w:val="center"/>
          </w:tcPr>
          <w:p w14:paraId="5D53B25D">
            <w:pPr>
              <w:adjustRightInd w:val="0"/>
              <w:spacing w:line="360" w:lineRule="auto"/>
              <w:jc w:val="center"/>
              <w:textAlignment w:val="baseline"/>
              <w:rPr>
                <w:rFonts w:ascii="仿宋" w:hAnsi="仿宋" w:eastAsia="仿宋" w:cs="宋体"/>
                <w:color w:val="auto"/>
                <w:sz w:val="24"/>
                <w:szCs w:val="24"/>
              </w:rPr>
            </w:pPr>
            <w:r>
              <w:rPr>
                <w:rFonts w:ascii="仿宋" w:hAnsi="仿宋" w:eastAsia="仿宋" w:cs="宋体"/>
                <w:color w:val="auto"/>
                <w:sz w:val="24"/>
                <w:szCs w:val="24"/>
              </w:rPr>
              <w:t>3.7</w:t>
            </w:r>
          </w:p>
        </w:tc>
        <w:tc>
          <w:tcPr>
            <w:tcW w:w="1134" w:type="dxa"/>
            <w:vMerge w:val="restart"/>
            <w:vAlign w:val="center"/>
          </w:tcPr>
          <w:p w14:paraId="6C715E16">
            <w:pPr>
              <w:adjustRightInd w:val="0"/>
              <w:spacing w:line="360" w:lineRule="auto"/>
              <w:jc w:val="center"/>
              <w:textAlignment w:val="baseline"/>
              <w:rPr>
                <w:rFonts w:ascii="仿宋" w:hAnsi="仿宋" w:eastAsia="仿宋" w:cs="宋体"/>
                <w:color w:val="auto"/>
                <w:sz w:val="24"/>
                <w:szCs w:val="24"/>
              </w:rPr>
            </w:pPr>
            <w:r>
              <w:rPr>
                <w:rFonts w:hint="eastAsia" w:ascii="仿宋" w:hAnsi="仿宋" w:eastAsia="仿宋" w:cs="宋体"/>
                <w:color w:val="auto"/>
                <w:sz w:val="24"/>
                <w:szCs w:val="24"/>
              </w:rPr>
              <w:t>资格审查</w:t>
            </w:r>
          </w:p>
        </w:tc>
        <w:tc>
          <w:tcPr>
            <w:tcW w:w="1861" w:type="dxa"/>
            <w:gridSpan w:val="2"/>
            <w:vAlign w:val="center"/>
          </w:tcPr>
          <w:p w14:paraId="5091AC61">
            <w:pPr>
              <w:adjustRightInd w:val="0"/>
              <w:spacing w:line="360" w:lineRule="auto"/>
              <w:jc w:val="center"/>
              <w:textAlignment w:val="baseline"/>
              <w:rPr>
                <w:rFonts w:ascii="仿宋" w:hAnsi="仿宋" w:eastAsia="仿宋" w:cs="宋体"/>
                <w:color w:val="auto"/>
                <w:sz w:val="24"/>
                <w:szCs w:val="24"/>
              </w:rPr>
            </w:pPr>
            <w:r>
              <w:rPr>
                <w:rFonts w:hint="eastAsia" w:ascii="仿宋" w:hAnsi="仿宋" w:eastAsia="仿宋" w:cs="宋体"/>
                <w:color w:val="auto"/>
                <w:sz w:val="24"/>
                <w:szCs w:val="24"/>
              </w:rPr>
              <w:t>基本要求</w:t>
            </w:r>
          </w:p>
        </w:tc>
        <w:tc>
          <w:tcPr>
            <w:tcW w:w="5811" w:type="dxa"/>
          </w:tcPr>
          <w:p w14:paraId="15EFFFCE">
            <w:pPr>
              <w:tabs>
                <w:tab w:val="left" w:pos="5505"/>
              </w:tabs>
              <w:spacing w:line="360" w:lineRule="auto"/>
              <w:rPr>
                <w:rFonts w:ascii="仿宋" w:hAnsi="仿宋" w:eastAsia="仿宋" w:cs="宋体"/>
                <w:color w:val="auto"/>
                <w:sz w:val="24"/>
                <w:szCs w:val="24"/>
              </w:rPr>
            </w:pPr>
            <w:r>
              <w:rPr>
                <w:rFonts w:hint="eastAsia" w:ascii="仿宋" w:hAnsi="仿宋" w:eastAsia="仿宋" w:cs="宋体"/>
                <w:color w:val="auto"/>
                <w:sz w:val="24"/>
                <w:szCs w:val="24"/>
              </w:rPr>
              <w:t>符合《中华人民共和国政府采购法》第二十二条的规定：</w:t>
            </w:r>
          </w:p>
          <w:p w14:paraId="75F5935B">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（一）</w:t>
            </w:r>
            <w:r>
              <w:rPr>
                <w:rFonts w:hint="eastAsia" w:ascii="仿宋" w:hAnsi="仿宋" w:eastAsia="仿宋" w:cs="宋体"/>
                <w:b/>
                <w:color w:val="auto"/>
                <w:sz w:val="24"/>
                <w:szCs w:val="24"/>
              </w:rPr>
              <w:t>具有独立承担民事责任的能力；</w:t>
            </w:r>
          </w:p>
          <w:p w14:paraId="25D0ABCA">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提供企业有效的法人营业执照或社团组织法人营业执照或事业单位法人证书或自然人证明材料。</w:t>
            </w:r>
          </w:p>
          <w:p w14:paraId="42D0163A">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（二）</w:t>
            </w:r>
            <w:r>
              <w:rPr>
                <w:rFonts w:hint="eastAsia" w:ascii="仿宋" w:hAnsi="仿宋" w:eastAsia="仿宋" w:cs="宋体"/>
                <w:b/>
                <w:color w:val="auto"/>
                <w:sz w:val="24"/>
                <w:szCs w:val="24"/>
              </w:rPr>
              <w:t>具有良好的商业信誉和健全的财务会计制度；</w:t>
            </w:r>
          </w:p>
          <w:p w14:paraId="361EF75E">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满足下列任一要求：①提供202</w:t>
            </w:r>
            <w:r>
              <w:rPr>
                <w:rFonts w:ascii="仿宋" w:hAnsi="仿宋" w:eastAsia="仿宋" w:cs="宋体"/>
                <w:color w:val="auto"/>
                <w:sz w:val="24"/>
                <w:szCs w:val="24"/>
              </w:rPr>
              <w:t>4</w:t>
            </w:r>
            <w:r>
              <w:rPr>
                <w:rFonts w:hint="eastAsia" w:ascii="仿宋" w:hAnsi="仿宋" w:eastAsia="仿宋" w:cs="宋体"/>
                <w:color w:val="auto"/>
                <w:sz w:val="24"/>
                <w:szCs w:val="24"/>
              </w:rPr>
              <w:t>年或2</w:t>
            </w:r>
            <w:r>
              <w:rPr>
                <w:rFonts w:ascii="仿宋" w:hAnsi="仿宋" w:eastAsia="仿宋" w:cs="宋体"/>
                <w:color w:val="auto"/>
                <w:sz w:val="24"/>
                <w:szCs w:val="24"/>
              </w:rPr>
              <w:t>025</w:t>
            </w:r>
            <w:r>
              <w:rPr>
                <w:rFonts w:hint="eastAsia" w:ascii="仿宋" w:hAnsi="仿宋" w:eastAsia="仿宋" w:cs="宋体"/>
                <w:color w:val="auto"/>
                <w:sz w:val="24"/>
                <w:szCs w:val="24"/>
              </w:rPr>
              <w:t>年经第三方审计的审计报告及财务报表（包括资产负债表、利润表或损益表、现金流量表），成立不满1年的，提供自成立至今财务报表（包括资产负债表、利润表或损益表、现金流量表）；②提供响应文件提交截止时间前三个月内基本开户银行出具的资信证明文件（加盖公章）；③非营利性单位或者社会团体或者其他机关事业单位以符合财务会计制度为准或者提供承诺函；④供应商为自然人的提供承诺函（格式自拟）。</w:t>
            </w:r>
          </w:p>
          <w:p w14:paraId="3B4B4231">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（三）</w:t>
            </w:r>
            <w:r>
              <w:rPr>
                <w:rFonts w:hint="eastAsia" w:ascii="仿宋" w:hAnsi="仿宋" w:eastAsia="仿宋" w:cs="宋体"/>
                <w:b/>
                <w:color w:val="auto"/>
                <w:sz w:val="24"/>
                <w:szCs w:val="24"/>
              </w:rPr>
              <w:t>具有履行合同所必需的设备和专业技术能力；</w:t>
            </w:r>
          </w:p>
          <w:p w14:paraId="384CA8C1">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提供具备履行合同所必需的设备和专业技术能力的证明材料或提供书面承诺（加盖供应商公章）。</w:t>
            </w:r>
          </w:p>
          <w:p w14:paraId="2DE3AD8D">
            <w:pPr>
              <w:spacing w:line="360" w:lineRule="auto"/>
              <w:rPr>
                <w:rFonts w:ascii="仿宋" w:hAnsi="仿宋" w:eastAsia="仿宋" w:cs="宋体"/>
                <w:b/>
                <w:color w:val="auto"/>
                <w:sz w:val="24"/>
                <w:szCs w:val="24"/>
              </w:rPr>
            </w:pPr>
            <w:r>
              <w:rPr>
                <w:rFonts w:hint="eastAsia" w:ascii="仿宋" w:hAnsi="仿宋" w:eastAsia="仿宋" w:cs="宋体"/>
                <w:color w:val="auto"/>
                <w:sz w:val="24"/>
                <w:szCs w:val="24"/>
              </w:rPr>
              <w:t>（四）</w:t>
            </w:r>
            <w:r>
              <w:rPr>
                <w:rFonts w:hint="eastAsia" w:ascii="仿宋" w:hAnsi="仿宋" w:eastAsia="仿宋" w:cs="宋体"/>
                <w:b/>
                <w:color w:val="auto"/>
                <w:sz w:val="24"/>
                <w:szCs w:val="24"/>
              </w:rPr>
              <w:t>有依法缴纳税收和社会保障资金的良好记录；</w:t>
            </w:r>
          </w:p>
          <w:p w14:paraId="259D066C">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①提供供应商缴税所属时间在2025年01月至本项目提交响应文件截止时间前任意1个月的税务局税收通用缴款书或银行电子缴税（费）凭证或税务局出具纳税情况的相关证明；依法免税的，应提供依法免税的相关证明文件（加盖供应商公章）；至响应文件提交截止时间止成立不足1个月的供应商可提供相关情况说明（加盖供应商公章）。</w:t>
            </w:r>
          </w:p>
          <w:p w14:paraId="7F8FFF1C">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②提供供应商缴费所属时间在2025年01月至本项目提交响应文件截止时间前任意1个月的社会保险费缴款书或银行电子缴税（费）凭证或社保管理部门出具的有效的缴款证明，依法免缴的，应提供依法免缴的相关证明文件（加盖供应商公章），至响应文件提交截止时间止成立不足1个月的供应商可提供相关情况说明（加盖供应商公章）。</w:t>
            </w:r>
          </w:p>
          <w:p w14:paraId="283DBF2C">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（五）</w:t>
            </w:r>
            <w:r>
              <w:rPr>
                <w:rFonts w:hint="eastAsia" w:ascii="仿宋" w:hAnsi="仿宋" w:eastAsia="仿宋" w:cs="宋体"/>
                <w:b/>
                <w:color w:val="auto"/>
                <w:sz w:val="24"/>
                <w:szCs w:val="24"/>
              </w:rPr>
              <w:t>参加政府采购活动前三年内，在经营活动中没有重大违法记录；</w:t>
            </w:r>
          </w:p>
          <w:p w14:paraId="7A6771D5">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提供供应商参加政府采购活动前三年内，在经营活动中没有重大违法记录，重大违法记录，是指供应商因违法经营受到刑事处罚或者责令停产停业、吊销许可证或者执照、较大数额罚款（较大数额罚款是指200万元以上罚款）等行政处罚的书面声明（加盖供应商公章）。</w:t>
            </w:r>
          </w:p>
          <w:p w14:paraId="58D3DE9F">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（六）</w:t>
            </w:r>
            <w:r>
              <w:rPr>
                <w:rFonts w:hint="eastAsia" w:ascii="仿宋" w:hAnsi="仿宋" w:eastAsia="仿宋" w:cs="宋体"/>
                <w:b/>
                <w:color w:val="auto"/>
                <w:sz w:val="24"/>
                <w:szCs w:val="24"/>
              </w:rPr>
              <w:t>法律、行政法规规定的其他条件</w:t>
            </w:r>
            <w:r>
              <w:rPr>
                <w:rFonts w:hint="eastAsia" w:ascii="仿宋" w:hAnsi="仿宋" w:eastAsia="仿宋" w:cs="宋体"/>
                <w:color w:val="auto"/>
                <w:sz w:val="24"/>
                <w:szCs w:val="24"/>
              </w:rPr>
              <w:t>。</w:t>
            </w:r>
          </w:p>
          <w:p w14:paraId="2A1CC1AA">
            <w:pPr>
              <w:spacing w:line="360" w:lineRule="auto"/>
              <w:rPr>
                <w:rFonts w:ascii="仿宋" w:hAnsi="仿宋" w:eastAsia="仿宋"/>
                <w:color w:val="auto"/>
                <w:sz w:val="24"/>
                <w:szCs w:val="24"/>
              </w:rPr>
            </w:pPr>
            <w:r>
              <w:rPr>
                <w:rFonts w:hint="eastAsia" w:ascii="仿宋" w:hAnsi="仿宋" w:eastAsia="仿宋"/>
                <w:color w:val="auto"/>
                <w:sz w:val="24"/>
                <w:szCs w:val="24"/>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供应商提供承诺函，加盖供应商公章）。</w:t>
            </w:r>
          </w:p>
          <w:p w14:paraId="189E538B">
            <w:pPr>
              <w:spacing w:line="360" w:lineRule="auto"/>
              <w:rPr>
                <w:rFonts w:ascii="仿宋" w:hAnsi="仿宋" w:eastAsia="仿宋" w:cs="宋体"/>
                <w:color w:val="auto"/>
                <w:sz w:val="24"/>
                <w:szCs w:val="24"/>
              </w:rPr>
            </w:pPr>
            <w:r>
              <w:rPr>
                <w:rFonts w:hint="eastAsia" w:ascii="仿宋" w:hAnsi="仿宋" w:eastAsia="仿宋"/>
                <w:color w:val="auto"/>
                <w:sz w:val="24"/>
                <w:szCs w:val="24"/>
              </w:rPr>
              <w:t>（2）</w:t>
            </w:r>
            <w:r>
              <w:rPr>
                <w:rFonts w:ascii="仿宋" w:hAnsi="仿宋" w:eastAsia="仿宋"/>
                <w:color w:val="auto"/>
                <w:sz w:val="24"/>
                <w:szCs w:val="24"/>
              </w:rPr>
              <w:t>供应商未被“信用中国”（https://www.creditchina.gov.cn/）列为“重大税收违法失信主体名单”；未被中国执行信息公开网（https://zxgk.court.gov.cn/shixin/）列为“失信被执行人”；未被中国政府采购网（https://www.ccgp.gov.cn/）列为“政府采购严重违法失信行为记录名单”。（查询结果以采购人、采购代理机构查询结果为准，采购人或采购代理机构将在响应文件提交截止时间后查询上述网站信用信息，查询结果作为证据留存）。</w:t>
            </w:r>
          </w:p>
        </w:tc>
      </w:tr>
      <w:tr w14:paraId="0048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 w:type="dxa"/>
          <w:trHeight w:val="469" w:hRule="atLeast"/>
          <w:jc w:val="center"/>
        </w:trPr>
        <w:tc>
          <w:tcPr>
            <w:tcW w:w="817" w:type="dxa"/>
            <w:vMerge w:val="continue"/>
            <w:vAlign w:val="center"/>
          </w:tcPr>
          <w:p w14:paraId="3B20E41F">
            <w:pPr>
              <w:adjustRightInd w:val="0"/>
              <w:spacing w:line="360" w:lineRule="auto"/>
              <w:jc w:val="center"/>
              <w:textAlignment w:val="baseline"/>
              <w:rPr>
                <w:rFonts w:ascii="仿宋" w:hAnsi="仿宋" w:eastAsia="仿宋" w:cs="宋体"/>
                <w:color w:val="auto"/>
                <w:sz w:val="24"/>
                <w:szCs w:val="24"/>
              </w:rPr>
            </w:pPr>
          </w:p>
        </w:tc>
        <w:tc>
          <w:tcPr>
            <w:tcW w:w="1134" w:type="dxa"/>
            <w:vMerge w:val="continue"/>
            <w:vAlign w:val="center"/>
          </w:tcPr>
          <w:p w14:paraId="1CEFD5D9">
            <w:pPr>
              <w:adjustRightInd w:val="0"/>
              <w:spacing w:line="360" w:lineRule="auto"/>
              <w:jc w:val="center"/>
              <w:textAlignment w:val="baseline"/>
              <w:rPr>
                <w:rFonts w:ascii="仿宋" w:hAnsi="仿宋" w:eastAsia="仿宋" w:cs="宋体"/>
                <w:color w:val="auto"/>
                <w:sz w:val="24"/>
                <w:szCs w:val="24"/>
              </w:rPr>
            </w:pPr>
          </w:p>
        </w:tc>
        <w:tc>
          <w:tcPr>
            <w:tcW w:w="1861" w:type="dxa"/>
            <w:gridSpan w:val="2"/>
            <w:vAlign w:val="center"/>
          </w:tcPr>
          <w:p w14:paraId="4FCE1D16">
            <w:pPr>
              <w:adjustRightInd w:val="0"/>
              <w:spacing w:line="360" w:lineRule="auto"/>
              <w:jc w:val="center"/>
              <w:textAlignment w:val="baseline"/>
              <w:rPr>
                <w:rFonts w:ascii="仿宋" w:hAnsi="仿宋" w:eastAsia="仿宋" w:cs="宋体"/>
                <w:color w:val="auto"/>
                <w:sz w:val="24"/>
                <w:szCs w:val="24"/>
              </w:rPr>
            </w:pPr>
            <w:r>
              <w:rPr>
                <w:rFonts w:hint="eastAsia" w:ascii="仿宋" w:hAnsi="仿宋" w:eastAsia="仿宋" w:cs="宋体"/>
                <w:color w:val="auto"/>
                <w:sz w:val="24"/>
                <w:szCs w:val="24"/>
              </w:rPr>
              <w:t>落实采购政策需满足的资格要求</w:t>
            </w:r>
          </w:p>
        </w:tc>
        <w:tc>
          <w:tcPr>
            <w:tcW w:w="5811" w:type="dxa"/>
            <w:vAlign w:val="center"/>
          </w:tcPr>
          <w:p w14:paraId="73AE1C39">
            <w:pPr>
              <w:spacing w:line="360" w:lineRule="auto"/>
              <w:rPr>
                <w:rFonts w:ascii="仿宋" w:hAnsi="仿宋" w:eastAsia="仿宋" w:cs="宋体"/>
                <w:color w:val="auto"/>
                <w:sz w:val="24"/>
                <w:szCs w:val="24"/>
              </w:rPr>
            </w:pPr>
            <w:r>
              <w:rPr>
                <w:rFonts w:hint="eastAsia" w:ascii="仿宋" w:hAnsi="仿宋" w:eastAsia="仿宋" w:cs="宋体"/>
                <w:b/>
                <w:color w:val="auto"/>
                <w:sz w:val="24"/>
                <w:szCs w:val="24"/>
              </w:rPr>
              <w:t>本项目非专门面向中小企业采购，小微企业价格扣除优惠比例：10%。</w:t>
            </w:r>
            <w:r>
              <w:rPr>
                <w:rFonts w:hint="eastAsia" w:ascii="仿宋" w:hAnsi="仿宋" w:eastAsia="仿宋" w:cs="宋体"/>
                <w:color w:val="auto"/>
                <w:sz w:val="24"/>
                <w:szCs w:val="24"/>
              </w:rPr>
              <w:t>执行《关于印发《政府采购促进中小企业发展管理办法》的通知》（财库〔2020〕46号）和《关于进一步加大政府采购支持中小企业力度的通知》（财库〔2022〕19号）、《财政部 司法部关于政府采购支持监狱企业发展有关问题的通知》（财库〔2014〕68号）、《关于促进残疾人就业政府采购政策的通知》（财库〔2017〕141号）等规定。</w:t>
            </w:r>
          </w:p>
        </w:tc>
      </w:tr>
      <w:tr w14:paraId="7408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 w:type="dxa"/>
          <w:trHeight w:val="469" w:hRule="atLeast"/>
          <w:jc w:val="center"/>
        </w:trPr>
        <w:tc>
          <w:tcPr>
            <w:tcW w:w="817" w:type="dxa"/>
            <w:vMerge w:val="continue"/>
            <w:vAlign w:val="center"/>
          </w:tcPr>
          <w:p w14:paraId="1C1C9940">
            <w:pPr>
              <w:adjustRightInd w:val="0"/>
              <w:spacing w:line="360" w:lineRule="auto"/>
              <w:jc w:val="center"/>
              <w:textAlignment w:val="baseline"/>
              <w:rPr>
                <w:rFonts w:ascii="仿宋" w:hAnsi="仿宋" w:eastAsia="仿宋" w:cs="宋体"/>
                <w:color w:val="auto"/>
                <w:sz w:val="24"/>
                <w:szCs w:val="24"/>
              </w:rPr>
            </w:pPr>
          </w:p>
        </w:tc>
        <w:tc>
          <w:tcPr>
            <w:tcW w:w="1134" w:type="dxa"/>
            <w:vMerge w:val="continue"/>
            <w:vAlign w:val="center"/>
          </w:tcPr>
          <w:p w14:paraId="4F5F1046">
            <w:pPr>
              <w:adjustRightInd w:val="0"/>
              <w:spacing w:line="360" w:lineRule="auto"/>
              <w:jc w:val="center"/>
              <w:textAlignment w:val="baseline"/>
              <w:rPr>
                <w:rFonts w:ascii="仿宋" w:hAnsi="仿宋" w:eastAsia="仿宋" w:cs="宋体"/>
                <w:color w:val="auto"/>
                <w:sz w:val="24"/>
                <w:szCs w:val="24"/>
              </w:rPr>
            </w:pPr>
          </w:p>
        </w:tc>
        <w:tc>
          <w:tcPr>
            <w:tcW w:w="1861" w:type="dxa"/>
            <w:gridSpan w:val="2"/>
            <w:vAlign w:val="center"/>
          </w:tcPr>
          <w:p w14:paraId="5639FB23">
            <w:pPr>
              <w:adjustRightInd w:val="0"/>
              <w:spacing w:line="360" w:lineRule="auto"/>
              <w:jc w:val="center"/>
              <w:textAlignment w:val="baseline"/>
              <w:rPr>
                <w:rFonts w:ascii="仿宋" w:hAnsi="仿宋" w:eastAsia="仿宋" w:cs="宋体"/>
                <w:color w:val="auto"/>
                <w:sz w:val="24"/>
                <w:szCs w:val="24"/>
              </w:rPr>
            </w:pPr>
            <w:r>
              <w:rPr>
                <w:rFonts w:hint="eastAsia" w:ascii="仿宋" w:hAnsi="仿宋" w:eastAsia="仿宋" w:cs="宋体"/>
                <w:color w:val="auto"/>
                <w:sz w:val="24"/>
                <w:szCs w:val="24"/>
              </w:rPr>
              <w:t>本项目的特定资格要求</w:t>
            </w:r>
          </w:p>
        </w:tc>
        <w:tc>
          <w:tcPr>
            <w:tcW w:w="5811" w:type="dxa"/>
            <w:vAlign w:val="center"/>
          </w:tcPr>
          <w:p w14:paraId="7F966337">
            <w:pPr>
              <w:spacing w:line="360" w:lineRule="auto"/>
              <w:rPr>
                <w:rFonts w:ascii="仿宋" w:hAnsi="仿宋" w:eastAsia="仿宋" w:cs="宋体"/>
                <w:color w:val="auto"/>
                <w:sz w:val="24"/>
                <w:szCs w:val="24"/>
              </w:rPr>
            </w:pPr>
            <w:r>
              <w:rPr>
                <w:rFonts w:ascii="仿宋" w:hAnsi="仿宋" w:eastAsia="仿宋" w:cs="宋体"/>
                <w:b/>
                <w:bCs/>
                <w:color w:val="auto"/>
                <w:sz w:val="24"/>
                <w:szCs w:val="24"/>
              </w:rPr>
              <w:t>供应商</w:t>
            </w:r>
            <w:r>
              <w:rPr>
                <w:rFonts w:hint="eastAsia" w:ascii="仿宋" w:hAnsi="仿宋" w:eastAsia="仿宋" w:cs="宋体"/>
                <w:b/>
                <w:bCs/>
                <w:color w:val="auto"/>
                <w:sz w:val="24"/>
                <w:szCs w:val="24"/>
              </w:rPr>
              <w:t>应具备有效的《司法鉴定许可证》，且业务范围中须包含环境损害。</w:t>
            </w:r>
          </w:p>
        </w:tc>
      </w:tr>
      <w:tr w14:paraId="50F6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 w:type="dxa"/>
          <w:trHeight w:val="467" w:hRule="atLeast"/>
          <w:jc w:val="center"/>
        </w:trPr>
        <w:tc>
          <w:tcPr>
            <w:tcW w:w="817" w:type="dxa"/>
            <w:vMerge w:val="restart"/>
            <w:vAlign w:val="center"/>
          </w:tcPr>
          <w:p w14:paraId="32B5F3C1">
            <w:pPr>
              <w:spacing w:line="360" w:lineRule="auto"/>
              <w:jc w:val="center"/>
              <w:rPr>
                <w:rFonts w:ascii="仿宋" w:hAnsi="仿宋" w:eastAsia="仿宋" w:cs="宋体"/>
                <w:color w:val="auto"/>
                <w:sz w:val="24"/>
                <w:szCs w:val="24"/>
              </w:rPr>
            </w:pPr>
            <w:r>
              <w:rPr>
                <w:rFonts w:ascii="仿宋" w:hAnsi="仿宋" w:eastAsia="仿宋" w:cs="宋体"/>
                <w:color w:val="auto"/>
                <w:sz w:val="24"/>
                <w:szCs w:val="24"/>
              </w:rPr>
              <w:t>3.8</w:t>
            </w:r>
          </w:p>
        </w:tc>
        <w:tc>
          <w:tcPr>
            <w:tcW w:w="1134" w:type="dxa"/>
            <w:vMerge w:val="restart"/>
            <w:vAlign w:val="center"/>
          </w:tcPr>
          <w:p w14:paraId="1E11AE66">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符合性评审</w:t>
            </w:r>
          </w:p>
        </w:tc>
        <w:tc>
          <w:tcPr>
            <w:tcW w:w="1861" w:type="dxa"/>
            <w:gridSpan w:val="2"/>
            <w:vAlign w:val="center"/>
          </w:tcPr>
          <w:p w14:paraId="3B0668ED">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磋商</w:t>
            </w:r>
            <w:r>
              <w:rPr>
                <w:rFonts w:ascii="仿宋" w:hAnsi="仿宋" w:eastAsia="仿宋" w:cs="宋体"/>
                <w:color w:val="auto"/>
                <w:sz w:val="24"/>
                <w:szCs w:val="24"/>
              </w:rPr>
              <w:t>报价</w:t>
            </w:r>
          </w:p>
        </w:tc>
        <w:tc>
          <w:tcPr>
            <w:tcW w:w="5811" w:type="dxa"/>
          </w:tcPr>
          <w:p w14:paraId="7AD19434">
            <w:pPr>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符合第二章“供应商须知前附表”第</w:t>
            </w:r>
            <w:r>
              <w:rPr>
                <w:rFonts w:ascii="仿宋" w:hAnsi="仿宋" w:eastAsia="仿宋" w:cs="宋体"/>
                <w:color w:val="auto"/>
                <w:sz w:val="24"/>
                <w:szCs w:val="24"/>
              </w:rPr>
              <w:t>10</w:t>
            </w:r>
            <w:r>
              <w:rPr>
                <w:rFonts w:hint="eastAsia" w:ascii="仿宋" w:hAnsi="仿宋" w:eastAsia="仿宋" w:cs="宋体"/>
                <w:color w:val="auto"/>
                <w:sz w:val="24"/>
                <w:szCs w:val="24"/>
              </w:rPr>
              <w:t>.1项款规定</w:t>
            </w:r>
          </w:p>
        </w:tc>
      </w:tr>
      <w:tr w14:paraId="4497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 w:type="dxa"/>
          <w:trHeight w:val="467" w:hRule="atLeast"/>
          <w:jc w:val="center"/>
        </w:trPr>
        <w:tc>
          <w:tcPr>
            <w:tcW w:w="817" w:type="dxa"/>
            <w:vMerge w:val="continue"/>
            <w:vAlign w:val="center"/>
          </w:tcPr>
          <w:p w14:paraId="25774680">
            <w:pPr>
              <w:spacing w:line="360" w:lineRule="auto"/>
              <w:jc w:val="center"/>
              <w:rPr>
                <w:rFonts w:ascii="仿宋" w:hAnsi="仿宋" w:eastAsia="仿宋" w:cs="宋体"/>
                <w:color w:val="auto"/>
                <w:sz w:val="24"/>
                <w:szCs w:val="24"/>
              </w:rPr>
            </w:pPr>
          </w:p>
        </w:tc>
        <w:tc>
          <w:tcPr>
            <w:tcW w:w="1134" w:type="dxa"/>
            <w:vMerge w:val="continue"/>
            <w:vAlign w:val="center"/>
          </w:tcPr>
          <w:p w14:paraId="4A735390">
            <w:pPr>
              <w:spacing w:line="360" w:lineRule="auto"/>
              <w:jc w:val="center"/>
              <w:rPr>
                <w:rFonts w:ascii="仿宋" w:hAnsi="仿宋" w:eastAsia="仿宋" w:cs="宋体"/>
                <w:color w:val="auto"/>
                <w:sz w:val="24"/>
                <w:szCs w:val="24"/>
              </w:rPr>
            </w:pPr>
          </w:p>
        </w:tc>
        <w:tc>
          <w:tcPr>
            <w:tcW w:w="1861" w:type="dxa"/>
            <w:gridSpan w:val="2"/>
            <w:vAlign w:val="center"/>
          </w:tcPr>
          <w:p w14:paraId="1A0B9A09">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磋商有效期</w:t>
            </w:r>
          </w:p>
        </w:tc>
        <w:tc>
          <w:tcPr>
            <w:tcW w:w="5811" w:type="dxa"/>
          </w:tcPr>
          <w:p w14:paraId="7D47C00D">
            <w:pPr>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符合第二章“供应商须知前附表”第</w:t>
            </w:r>
            <w:r>
              <w:rPr>
                <w:rFonts w:ascii="仿宋" w:hAnsi="仿宋" w:eastAsia="仿宋" w:cs="宋体"/>
                <w:color w:val="auto"/>
                <w:sz w:val="24"/>
                <w:szCs w:val="24"/>
              </w:rPr>
              <w:t>1</w:t>
            </w:r>
            <w:r>
              <w:rPr>
                <w:rFonts w:hint="eastAsia" w:ascii="仿宋" w:hAnsi="仿宋" w:eastAsia="仿宋" w:cs="宋体"/>
                <w:color w:val="auto"/>
                <w:sz w:val="24"/>
                <w:szCs w:val="24"/>
              </w:rPr>
              <w:t>1款规定</w:t>
            </w:r>
          </w:p>
        </w:tc>
      </w:tr>
      <w:tr w14:paraId="3B50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 w:type="dxa"/>
          <w:trHeight w:val="467" w:hRule="atLeast"/>
          <w:jc w:val="center"/>
        </w:trPr>
        <w:tc>
          <w:tcPr>
            <w:tcW w:w="817" w:type="dxa"/>
            <w:vMerge w:val="continue"/>
            <w:vAlign w:val="center"/>
          </w:tcPr>
          <w:p w14:paraId="61F540A2">
            <w:pPr>
              <w:spacing w:line="360" w:lineRule="auto"/>
              <w:jc w:val="center"/>
              <w:rPr>
                <w:rFonts w:ascii="仿宋" w:hAnsi="仿宋" w:eastAsia="仿宋" w:cs="宋体"/>
                <w:color w:val="auto"/>
                <w:sz w:val="24"/>
                <w:szCs w:val="24"/>
              </w:rPr>
            </w:pPr>
          </w:p>
        </w:tc>
        <w:tc>
          <w:tcPr>
            <w:tcW w:w="1134" w:type="dxa"/>
            <w:vMerge w:val="continue"/>
            <w:vAlign w:val="center"/>
          </w:tcPr>
          <w:p w14:paraId="129A801B">
            <w:pPr>
              <w:spacing w:line="360" w:lineRule="auto"/>
              <w:jc w:val="center"/>
              <w:rPr>
                <w:rFonts w:ascii="仿宋" w:hAnsi="仿宋" w:eastAsia="仿宋" w:cs="宋体"/>
                <w:color w:val="auto"/>
                <w:sz w:val="24"/>
                <w:szCs w:val="24"/>
              </w:rPr>
            </w:pPr>
          </w:p>
        </w:tc>
        <w:tc>
          <w:tcPr>
            <w:tcW w:w="1861" w:type="dxa"/>
            <w:gridSpan w:val="2"/>
            <w:vAlign w:val="center"/>
          </w:tcPr>
          <w:p w14:paraId="2138B920">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合同履行期限</w:t>
            </w:r>
          </w:p>
        </w:tc>
        <w:tc>
          <w:tcPr>
            <w:tcW w:w="5811" w:type="dxa"/>
          </w:tcPr>
          <w:p w14:paraId="5BAD5F45">
            <w:pPr>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符合第二章“供应商须知前附表”第</w:t>
            </w:r>
            <w:r>
              <w:rPr>
                <w:rFonts w:ascii="仿宋" w:hAnsi="仿宋" w:eastAsia="仿宋" w:cs="宋体"/>
                <w:color w:val="auto"/>
                <w:sz w:val="24"/>
                <w:szCs w:val="24"/>
              </w:rPr>
              <w:t>2.5</w:t>
            </w:r>
            <w:r>
              <w:rPr>
                <w:rFonts w:hint="eastAsia" w:ascii="仿宋" w:hAnsi="仿宋" w:eastAsia="仿宋" w:cs="宋体"/>
                <w:color w:val="auto"/>
                <w:sz w:val="24"/>
                <w:szCs w:val="24"/>
              </w:rPr>
              <w:t>款规定</w:t>
            </w:r>
          </w:p>
        </w:tc>
      </w:tr>
      <w:tr w14:paraId="6DB3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 w:type="dxa"/>
          <w:trHeight w:val="467" w:hRule="atLeast"/>
          <w:jc w:val="center"/>
        </w:trPr>
        <w:tc>
          <w:tcPr>
            <w:tcW w:w="817" w:type="dxa"/>
            <w:vMerge w:val="continue"/>
            <w:vAlign w:val="center"/>
          </w:tcPr>
          <w:p w14:paraId="00B77787">
            <w:pPr>
              <w:spacing w:line="360" w:lineRule="auto"/>
              <w:jc w:val="center"/>
              <w:rPr>
                <w:rFonts w:ascii="仿宋" w:hAnsi="仿宋" w:eastAsia="仿宋" w:cs="宋体"/>
                <w:color w:val="auto"/>
                <w:sz w:val="24"/>
                <w:szCs w:val="24"/>
              </w:rPr>
            </w:pPr>
          </w:p>
        </w:tc>
        <w:tc>
          <w:tcPr>
            <w:tcW w:w="1134" w:type="dxa"/>
            <w:vMerge w:val="continue"/>
            <w:vAlign w:val="center"/>
          </w:tcPr>
          <w:p w14:paraId="7610EBA2">
            <w:pPr>
              <w:spacing w:line="360" w:lineRule="auto"/>
              <w:jc w:val="center"/>
              <w:rPr>
                <w:rFonts w:ascii="仿宋" w:hAnsi="仿宋" w:eastAsia="仿宋" w:cs="宋体"/>
                <w:color w:val="auto"/>
                <w:sz w:val="24"/>
                <w:szCs w:val="24"/>
              </w:rPr>
            </w:pPr>
          </w:p>
        </w:tc>
        <w:tc>
          <w:tcPr>
            <w:tcW w:w="1861" w:type="dxa"/>
            <w:gridSpan w:val="2"/>
            <w:vAlign w:val="center"/>
          </w:tcPr>
          <w:p w14:paraId="61DD1328">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服务地点</w:t>
            </w:r>
          </w:p>
        </w:tc>
        <w:tc>
          <w:tcPr>
            <w:tcW w:w="5811" w:type="dxa"/>
          </w:tcPr>
          <w:p w14:paraId="12DE7CD4">
            <w:pPr>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符合第二章“供应商须知前附表”第</w:t>
            </w:r>
            <w:r>
              <w:rPr>
                <w:rFonts w:ascii="仿宋" w:hAnsi="仿宋" w:eastAsia="仿宋" w:cs="宋体"/>
                <w:color w:val="auto"/>
                <w:sz w:val="24"/>
                <w:szCs w:val="24"/>
              </w:rPr>
              <w:t>2.4</w:t>
            </w:r>
            <w:r>
              <w:rPr>
                <w:rFonts w:hint="eastAsia" w:ascii="仿宋" w:hAnsi="仿宋" w:eastAsia="仿宋" w:cs="宋体"/>
                <w:color w:val="auto"/>
                <w:sz w:val="24"/>
                <w:szCs w:val="24"/>
              </w:rPr>
              <w:t>款规定</w:t>
            </w:r>
          </w:p>
        </w:tc>
      </w:tr>
      <w:tr w14:paraId="5CBC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 w:type="dxa"/>
          <w:trHeight w:val="467" w:hRule="atLeast"/>
          <w:jc w:val="center"/>
        </w:trPr>
        <w:tc>
          <w:tcPr>
            <w:tcW w:w="817" w:type="dxa"/>
            <w:vMerge w:val="continue"/>
            <w:vAlign w:val="center"/>
          </w:tcPr>
          <w:p w14:paraId="1B9479CC">
            <w:pPr>
              <w:spacing w:line="360" w:lineRule="auto"/>
              <w:jc w:val="center"/>
              <w:rPr>
                <w:rFonts w:ascii="仿宋" w:hAnsi="仿宋" w:eastAsia="仿宋" w:cs="宋体"/>
                <w:color w:val="auto"/>
                <w:sz w:val="24"/>
                <w:szCs w:val="24"/>
              </w:rPr>
            </w:pPr>
          </w:p>
        </w:tc>
        <w:tc>
          <w:tcPr>
            <w:tcW w:w="1134" w:type="dxa"/>
            <w:vMerge w:val="continue"/>
            <w:vAlign w:val="center"/>
          </w:tcPr>
          <w:p w14:paraId="1B3EF20D">
            <w:pPr>
              <w:spacing w:line="360" w:lineRule="auto"/>
              <w:jc w:val="center"/>
              <w:rPr>
                <w:rFonts w:ascii="仿宋" w:hAnsi="仿宋" w:eastAsia="仿宋" w:cs="宋体"/>
                <w:color w:val="auto"/>
                <w:sz w:val="24"/>
                <w:szCs w:val="24"/>
              </w:rPr>
            </w:pPr>
          </w:p>
        </w:tc>
        <w:tc>
          <w:tcPr>
            <w:tcW w:w="1861" w:type="dxa"/>
            <w:gridSpan w:val="2"/>
            <w:vAlign w:val="center"/>
          </w:tcPr>
          <w:p w14:paraId="73C73B71">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质量标准</w:t>
            </w:r>
          </w:p>
        </w:tc>
        <w:tc>
          <w:tcPr>
            <w:tcW w:w="5811" w:type="dxa"/>
          </w:tcPr>
          <w:p w14:paraId="075A8A3F">
            <w:pPr>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符合第二章“供应商须知前附表”第</w:t>
            </w:r>
            <w:r>
              <w:rPr>
                <w:rFonts w:ascii="仿宋" w:hAnsi="仿宋" w:eastAsia="仿宋" w:cs="宋体"/>
                <w:color w:val="auto"/>
                <w:sz w:val="24"/>
                <w:szCs w:val="24"/>
              </w:rPr>
              <w:t>2.6</w:t>
            </w:r>
            <w:r>
              <w:rPr>
                <w:rFonts w:hint="eastAsia" w:ascii="仿宋" w:hAnsi="仿宋" w:eastAsia="仿宋" w:cs="宋体"/>
                <w:color w:val="auto"/>
                <w:sz w:val="24"/>
                <w:szCs w:val="24"/>
              </w:rPr>
              <w:t>款规定</w:t>
            </w:r>
          </w:p>
        </w:tc>
      </w:tr>
      <w:tr w14:paraId="55F0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 w:type="dxa"/>
          <w:trHeight w:val="467" w:hRule="atLeast"/>
          <w:jc w:val="center"/>
        </w:trPr>
        <w:tc>
          <w:tcPr>
            <w:tcW w:w="817" w:type="dxa"/>
            <w:vMerge w:val="continue"/>
            <w:vAlign w:val="center"/>
          </w:tcPr>
          <w:p w14:paraId="1E321D4D">
            <w:pPr>
              <w:spacing w:line="360" w:lineRule="auto"/>
              <w:jc w:val="center"/>
              <w:rPr>
                <w:rFonts w:ascii="仿宋" w:hAnsi="仿宋" w:eastAsia="仿宋" w:cs="宋体"/>
                <w:color w:val="auto"/>
                <w:sz w:val="24"/>
                <w:szCs w:val="24"/>
              </w:rPr>
            </w:pPr>
          </w:p>
        </w:tc>
        <w:tc>
          <w:tcPr>
            <w:tcW w:w="1134" w:type="dxa"/>
            <w:vMerge w:val="continue"/>
            <w:vAlign w:val="center"/>
          </w:tcPr>
          <w:p w14:paraId="66660645">
            <w:pPr>
              <w:spacing w:line="360" w:lineRule="auto"/>
              <w:jc w:val="center"/>
              <w:rPr>
                <w:rFonts w:ascii="仿宋" w:hAnsi="仿宋" w:eastAsia="仿宋" w:cs="宋体"/>
                <w:color w:val="auto"/>
                <w:sz w:val="24"/>
                <w:szCs w:val="24"/>
              </w:rPr>
            </w:pPr>
          </w:p>
        </w:tc>
        <w:tc>
          <w:tcPr>
            <w:tcW w:w="1861" w:type="dxa"/>
            <w:gridSpan w:val="2"/>
            <w:vAlign w:val="center"/>
          </w:tcPr>
          <w:p w14:paraId="753BAE51">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响应文件签署、盖章</w:t>
            </w:r>
          </w:p>
        </w:tc>
        <w:tc>
          <w:tcPr>
            <w:tcW w:w="5811" w:type="dxa"/>
          </w:tcPr>
          <w:p w14:paraId="484D1415">
            <w:pPr>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按第六章“响应文件格式”中要求在规定位置加盖单位签章、法定代表人(单位负责人)或其委托代理人签名或签章。其他部分签署盖章不作强制要求。</w:t>
            </w:r>
          </w:p>
        </w:tc>
      </w:tr>
      <w:tr w14:paraId="31AA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17" w:type="dxa"/>
            <w:vMerge w:val="continue"/>
          </w:tcPr>
          <w:p w14:paraId="20F3F8E9">
            <w:pPr>
              <w:spacing w:line="360" w:lineRule="auto"/>
              <w:jc w:val="center"/>
              <w:rPr>
                <w:rFonts w:ascii="仿宋" w:hAnsi="仿宋" w:eastAsia="仿宋" w:cs="宋体"/>
                <w:color w:val="auto"/>
                <w:sz w:val="24"/>
                <w:szCs w:val="24"/>
              </w:rPr>
            </w:pPr>
          </w:p>
        </w:tc>
        <w:tc>
          <w:tcPr>
            <w:tcW w:w="1134" w:type="dxa"/>
            <w:vMerge w:val="continue"/>
          </w:tcPr>
          <w:p w14:paraId="3E9A2770">
            <w:pPr>
              <w:spacing w:line="360" w:lineRule="auto"/>
              <w:jc w:val="center"/>
              <w:rPr>
                <w:rFonts w:ascii="仿宋" w:hAnsi="仿宋" w:eastAsia="仿宋" w:cs="宋体"/>
                <w:color w:val="auto"/>
                <w:sz w:val="24"/>
                <w:szCs w:val="24"/>
              </w:rPr>
            </w:pPr>
          </w:p>
        </w:tc>
        <w:tc>
          <w:tcPr>
            <w:tcW w:w="1861" w:type="dxa"/>
            <w:gridSpan w:val="2"/>
            <w:vAlign w:val="center"/>
          </w:tcPr>
          <w:p w14:paraId="0DC33EEC">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实质性要求</w:t>
            </w:r>
          </w:p>
        </w:tc>
        <w:tc>
          <w:tcPr>
            <w:tcW w:w="5828" w:type="dxa"/>
            <w:gridSpan w:val="3"/>
          </w:tcPr>
          <w:p w14:paraId="2A31D921">
            <w:pPr>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响应文件未出现其他不满足竞争性磋商文件实质性要求。</w:t>
            </w:r>
          </w:p>
        </w:tc>
      </w:tr>
      <w:tr w14:paraId="6D3B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17" w:type="dxa"/>
            <w:vMerge w:val="continue"/>
          </w:tcPr>
          <w:p w14:paraId="69865473">
            <w:pPr>
              <w:spacing w:line="360" w:lineRule="auto"/>
              <w:jc w:val="center"/>
              <w:rPr>
                <w:rFonts w:ascii="仿宋" w:hAnsi="仿宋" w:eastAsia="仿宋" w:cs="宋体"/>
                <w:color w:val="auto"/>
                <w:sz w:val="24"/>
                <w:szCs w:val="24"/>
              </w:rPr>
            </w:pPr>
          </w:p>
        </w:tc>
        <w:tc>
          <w:tcPr>
            <w:tcW w:w="1134" w:type="dxa"/>
            <w:vMerge w:val="continue"/>
          </w:tcPr>
          <w:p w14:paraId="365CA349">
            <w:pPr>
              <w:spacing w:line="360" w:lineRule="auto"/>
              <w:jc w:val="center"/>
              <w:rPr>
                <w:rFonts w:ascii="仿宋" w:hAnsi="仿宋" w:eastAsia="仿宋" w:cs="宋体"/>
                <w:color w:val="auto"/>
                <w:sz w:val="24"/>
                <w:szCs w:val="24"/>
              </w:rPr>
            </w:pPr>
          </w:p>
        </w:tc>
        <w:tc>
          <w:tcPr>
            <w:tcW w:w="1861" w:type="dxa"/>
            <w:gridSpan w:val="2"/>
            <w:vAlign w:val="center"/>
          </w:tcPr>
          <w:p w14:paraId="374B7C2C">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其他</w:t>
            </w:r>
          </w:p>
        </w:tc>
        <w:tc>
          <w:tcPr>
            <w:tcW w:w="5828" w:type="dxa"/>
            <w:gridSpan w:val="3"/>
          </w:tcPr>
          <w:p w14:paraId="12A04C9A">
            <w:pPr>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（1）应按竞争性磋商文件的要求提供完整的响应文件；</w:t>
            </w:r>
          </w:p>
          <w:p w14:paraId="57E91270">
            <w:pPr>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w:t>
            </w:r>
            <w:r>
              <w:rPr>
                <w:rFonts w:ascii="仿宋" w:hAnsi="仿宋" w:eastAsia="仿宋" w:cs="宋体"/>
                <w:color w:val="auto"/>
                <w:sz w:val="24"/>
                <w:szCs w:val="24"/>
              </w:rPr>
              <w:t>2</w:t>
            </w:r>
            <w:r>
              <w:rPr>
                <w:rFonts w:hint="eastAsia" w:ascii="仿宋" w:hAnsi="仿宋" w:eastAsia="仿宋" w:cs="宋体"/>
                <w:color w:val="auto"/>
                <w:sz w:val="24"/>
                <w:szCs w:val="24"/>
              </w:rPr>
              <w:t>）响应文件未出现内容不全、书写潦草、字迹模糊不清难以辨认的情形；</w:t>
            </w:r>
          </w:p>
          <w:p w14:paraId="319BC8A3">
            <w:pPr>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w:t>
            </w:r>
            <w:r>
              <w:rPr>
                <w:rFonts w:ascii="仿宋" w:hAnsi="仿宋" w:eastAsia="仿宋" w:cs="宋体"/>
                <w:color w:val="auto"/>
                <w:sz w:val="24"/>
                <w:szCs w:val="24"/>
              </w:rPr>
              <w:t>3</w:t>
            </w:r>
            <w:r>
              <w:rPr>
                <w:rFonts w:hint="eastAsia" w:ascii="仿宋" w:hAnsi="仿宋" w:eastAsia="仿宋" w:cs="宋体"/>
                <w:color w:val="auto"/>
                <w:sz w:val="24"/>
                <w:szCs w:val="24"/>
              </w:rPr>
              <w:t>）响应文件应按规定的格式、内容和要求填写；</w:t>
            </w:r>
          </w:p>
          <w:p w14:paraId="58D99D70">
            <w:pPr>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（4）供应商应按磋商小组要求澄清、说明或补正；</w:t>
            </w:r>
          </w:p>
          <w:p w14:paraId="2438B209">
            <w:pPr>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（5）供应商未出现报两个或多个响应文件、或者有两个或多个报价，又未书面声明其中哪一个有效的情形（允许二次报价的除外）；</w:t>
            </w:r>
          </w:p>
          <w:p w14:paraId="7F2C15A0">
            <w:pPr>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（6）不同供应商委托不同单位或者个人办理磋商事宜；</w:t>
            </w:r>
          </w:p>
          <w:p w14:paraId="09715328">
            <w:pPr>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（7）法律、法规和竞争性磋商文件规定的其他情形。</w:t>
            </w:r>
          </w:p>
        </w:tc>
      </w:tr>
      <w:tr w14:paraId="55F8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 w:type="dxa"/>
          <w:trHeight w:val="565" w:hRule="atLeast"/>
          <w:jc w:val="center"/>
        </w:trPr>
        <w:tc>
          <w:tcPr>
            <w:tcW w:w="1951" w:type="dxa"/>
            <w:gridSpan w:val="2"/>
          </w:tcPr>
          <w:p w14:paraId="7F18D34A">
            <w:pPr>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条款号</w:t>
            </w:r>
          </w:p>
        </w:tc>
        <w:tc>
          <w:tcPr>
            <w:tcW w:w="1861" w:type="dxa"/>
            <w:gridSpan w:val="2"/>
          </w:tcPr>
          <w:p w14:paraId="4C80EEF1">
            <w:pPr>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评审因素</w:t>
            </w:r>
          </w:p>
        </w:tc>
        <w:tc>
          <w:tcPr>
            <w:tcW w:w="5811" w:type="dxa"/>
          </w:tcPr>
          <w:p w14:paraId="2FB4982F">
            <w:pPr>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评审标准</w:t>
            </w:r>
          </w:p>
        </w:tc>
      </w:tr>
      <w:tr w14:paraId="5500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 w:type="dxa"/>
          <w:trHeight w:val="492" w:hRule="atLeast"/>
          <w:jc w:val="center"/>
        </w:trPr>
        <w:tc>
          <w:tcPr>
            <w:tcW w:w="817" w:type="dxa"/>
            <w:vMerge w:val="restart"/>
            <w:vAlign w:val="center"/>
          </w:tcPr>
          <w:p w14:paraId="7982AEF5">
            <w:pPr>
              <w:autoSpaceDE w:val="0"/>
              <w:autoSpaceDN w:val="0"/>
              <w:adjustRightInd w:val="0"/>
              <w:spacing w:line="360" w:lineRule="auto"/>
              <w:jc w:val="center"/>
              <w:rPr>
                <w:rFonts w:ascii="仿宋" w:hAnsi="仿宋" w:eastAsia="仿宋"/>
                <w:color w:val="auto"/>
                <w:kern w:val="0"/>
                <w:sz w:val="24"/>
                <w:szCs w:val="24"/>
              </w:rPr>
            </w:pPr>
            <w:r>
              <w:rPr>
                <w:rFonts w:ascii="仿宋" w:hAnsi="仿宋" w:eastAsia="仿宋"/>
                <w:color w:val="auto"/>
                <w:kern w:val="0"/>
                <w:sz w:val="24"/>
                <w:szCs w:val="24"/>
              </w:rPr>
              <w:t>3.9</w:t>
            </w:r>
          </w:p>
        </w:tc>
        <w:tc>
          <w:tcPr>
            <w:tcW w:w="1134" w:type="dxa"/>
            <w:vAlign w:val="center"/>
          </w:tcPr>
          <w:p w14:paraId="1A11DBBC">
            <w:pPr>
              <w:autoSpaceDE w:val="0"/>
              <w:autoSpaceDN w:val="0"/>
              <w:adjustRightIn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分值构成</w:t>
            </w:r>
          </w:p>
        </w:tc>
        <w:tc>
          <w:tcPr>
            <w:tcW w:w="7672" w:type="dxa"/>
            <w:gridSpan w:val="3"/>
          </w:tcPr>
          <w:p w14:paraId="13CDF30A">
            <w:pPr>
              <w:autoSpaceDE w:val="0"/>
              <w:autoSpaceDN w:val="0"/>
              <w:adjustRightIn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供应商的评审总得分（1</w:t>
            </w:r>
            <w:r>
              <w:rPr>
                <w:rFonts w:ascii="仿宋" w:hAnsi="仿宋" w:eastAsia="仿宋" w:cs="宋体"/>
                <w:color w:val="auto"/>
                <w:sz w:val="24"/>
                <w:szCs w:val="24"/>
              </w:rPr>
              <w:t>00</w:t>
            </w:r>
            <w:r>
              <w:rPr>
                <w:rFonts w:hint="eastAsia" w:ascii="仿宋" w:hAnsi="仿宋" w:eastAsia="仿宋" w:cs="宋体"/>
                <w:color w:val="auto"/>
                <w:sz w:val="24"/>
                <w:szCs w:val="24"/>
              </w:rPr>
              <w:t>分）＝F1＋F2，其中：</w:t>
            </w:r>
          </w:p>
          <w:p w14:paraId="21D21C61">
            <w:pPr>
              <w:autoSpaceDE w:val="0"/>
              <w:autoSpaceDN w:val="0"/>
              <w:adjustRightIn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F</w:t>
            </w:r>
            <w:r>
              <w:rPr>
                <w:rFonts w:ascii="仿宋" w:hAnsi="仿宋" w:eastAsia="仿宋" w:cs="宋体"/>
                <w:color w:val="auto"/>
                <w:sz w:val="24"/>
                <w:szCs w:val="24"/>
              </w:rPr>
              <w:t>1</w:t>
            </w:r>
            <w:r>
              <w:rPr>
                <w:rFonts w:hint="eastAsia" w:ascii="仿宋" w:hAnsi="仿宋" w:eastAsia="仿宋" w:cs="宋体"/>
                <w:color w:val="auto"/>
                <w:sz w:val="24"/>
                <w:szCs w:val="24"/>
              </w:rPr>
              <w:t>：技术部分</w:t>
            </w:r>
            <w:r>
              <w:rPr>
                <w:rFonts w:ascii="仿宋" w:hAnsi="仿宋" w:eastAsia="仿宋" w:cs="宋体"/>
                <w:color w:val="auto"/>
                <w:sz w:val="24"/>
                <w:szCs w:val="24"/>
              </w:rPr>
              <w:t>90</w:t>
            </w:r>
            <w:r>
              <w:rPr>
                <w:rFonts w:hint="eastAsia" w:ascii="仿宋" w:hAnsi="仿宋" w:eastAsia="仿宋" w:cs="宋体"/>
                <w:color w:val="auto"/>
                <w:sz w:val="24"/>
                <w:szCs w:val="24"/>
              </w:rPr>
              <w:t>分；</w:t>
            </w:r>
          </w:p>
          <w:p w14:paraId="40CC5A44">
            <w:pPr>
              <w:autoSpaceDE w:val="0"/>
              <w:autoSpaceDN w:val="0"/>
              <w:adjustRightIn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F2:</w:t>
            </w:r>
            <w:r>
              <w:rPr>
                <w:rFonts w:ascii="仿宋" w:hAnsi="仿宋" w:eastAsia="仿宋" w:cs="宋体"/>
                <w:color w:val="auto"/>
                <w:sz w:val="24"/>
                <w:szCs w:val="24"/>
              </w:rPr>
              <w:t xml:space="preserve"> </w:t>
            </w:r>
            <w:r>
              <w:rPr>
                <w:rFonts w:hint="eastAsia" w:ascii="仿宋" w:hAnsi="仿宋" w:eastAsia="仿宋" w:cs="宋体"/>
                <w:color w:val="auto"/>
                <w:sz w:val="24"/>
                <w:szCs w:val="24"/>
              </w:rPr>
              <w:t>报价部分</w:t>
            </w:r>
            <w:r>
              <w:rPr>
                <w:rFonts w:ascii="仿宋" w:hAnsi="仿宋" w:eastAsia="仿宋" w:cs="宋体"/>
                <w:color w:val="auto"/>
                <w:sz w:val="24"/>
                <w:szCs w:val="24"/>
              </w:rPr>
              <w:t>1</w:t>
            </w:r>
            <w:r>
              <w:rPr>
                <w:rFonts w:hint="eastAsia" w:ascii="仿宋" w:hAnsi="仿宋" w:eastAsia="仿宋" w:cs="宋体"/>
                <w:color w:val="auto"/>
                <w:sz w:val="24"/>
                <w:szCs w:val="24"/>
              </w:rPr>
              <w:t>0分。</w:t>
            </w:r>
          </w:p>
        </w:tc>
      </w:tr>
      <w:tr w14:paraId="471D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 w:type="dxa"/>
          <w:trHeight w:val="132" w:hRule="atLeast"/>
          <w:jc w:val="center"/>
        </w:trPr>
        <w:tc>
          <w:tcPr>
            <w:tcW w:w="817" w:type="dxa"/>
            <w:vMerge w:val="continue"/>
            <w:vAlign w:val="center"/>
          </w:tcPr>
          <w:p w14:paraId="5A8117EC">
            <w:pPr>
              <w:spacing w:line="360" w:lineRule="auto"/>
              <w:ind w:left="-2"/>
              <w:jc w:val="center"/>
              <w:rPr>
                <w:rFonts w:ascii="仿宋" w:hAnsi="仿宋" w:eastAsia="仿宋" w:cs="宋体"/>
                <w:color w:val="auto"/>
                <w:sz w:val="24"/>
                <w:szCs w:val="24"/>
              </w:rPr>
            </w:pPr>
          </w:p>
        </w:tc>
        <w:tc>
          <w:tcPr>
            <w:tcW w:w="1134" w:type="dxa"/>
            <w:vMerge w:val="restart"/>
            <w:vAlign w:val="center"/>
          </w:tcPr>
          <w:p w14:paraId="05983266">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技术部分</w:t>
            </w:r>
          </w:p>
          <w:p w14:paraId="41692C36">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（满分</w:t>
            </w:r>
            <w:r>
              <w:rPr>
                <w:rFonts w:ascii="仿宋" w:hAnsi="仿宋" w:eastAsia="仿宋" w:cs="宋体"/>
                <w:color w:val="auto"/>
                <w:sz w:val="24"/>
                <w:szCs w:val="24"/>
              </w:rPr>
              <w:t>90</w:t>
            </w:r>
            <w:r>
              <w:rPr>
                <w:rFonts w:hint="eastAsia" w:ascii="仿宋" w:hAnsi="仿宋" w:eastAsia="仿宋" w:cs="宋体"/>
                <w:color w:val="auto"/>
                <w:sz w:val="24"/>
                <w:szCs w:val="24"/>
              </w:rPr>
              <w:t>分）</w:t>
            </w:r>
          </w:p>
        </w:tc>
        <w:tc>
          <w:tcPr>
            <w:tcW w:w="1719" w:type="dxa"/>
            <w:vAlign w:val="center"/>
          </w:tcPr>
          <w:p w14:paraId="4B59B2F0">
            <w:pPr>
              <w:spacing w:line="500" w:lineRule="exact"/>
              <w:rPr>
                <w:rFonts w:ascii="仿宋" w:hAnsi="仿宋" w:eastAsia="仿宋"/>
                <w:color w:val="auto"/>
                <w:sz w:val="24"/>
                <w:szCs w:val="24"/>
              </w:rPr>
            </w:pPr>
            <w:bookmarkStart w:id="146" w:name="OLE_LINK125"/>
            <w:r>
              <w:rPr>
                <w:rFonts w:hint="eastAsia" w:ascii="仿宋" w:hAnsi="仿宋" w:eastAsia="仿宋"/>
                <w:color w:val="auto"/>
                <w:sz w:val="24"/>
                <w:szCs w:val="24"/>
              </w:rPr>
              <w:t>服务方案评审评分（满分</w:t>
            </w:r>
            <w:bookmarkEnd w:id="146"/>
            <w:r>
              <w:rPr>
                <w:rFonts w:hint="eastAsia" w:ascii="仿宋" w:hAnsi="仿宋" w:eastAsia="仿宋"/>
                <w:color w:val="auto"/>
                <w:sz w:val="24"/>
                <w:szCs w:val="24"/>
              </w:rPr>
              <w:t>20分）</w:t>
            </w:r>
          </w:p>
        </w:tc>
        <w:tc>
          <w:tcPr>
            <w:tcW w:w="5953" w:type="dxa"/>
            <w:gridSpan w:val="2"/>
            <w:vAlign w:val="center"/>
          </w:tcPr>
          <w:p w14:paraId="06B1A0FE">
            <w:pPr>
              <w:spacing w:line="480" w:lineRule="exact"/>
              <w:rPr>
                <w:rFonts w:ascii="仿宋" w:hAnsi="仿宋" w:eastAsia="仿宋"/>
                <w:color w:val="auto"/>
                <w:sz w:val="24"/>
                <w:szCs w:val="24"/>
              </w:rPr>
            </w:pPr>
            <w:bookmarkStart w:id="147" w:name="OLE_LINK127"/>
            <w:r>
              <w:rPr>
                <w:rFonts w:hint="eastAsia" w:ascii="仿宋" w:hAnsi="仿宋" w:eastAsia="仿宋"/>
                <w:color w:val="auto"/>
                <w:sz w:val="24"/>
                <w:szCs w:val="24"/>
              </w:rPr>
              <w:t>评审内容：</w:t>
            </w:r>
            <w:bookmarkEnd w:id="147"/>
          </w:p>
          <w:p w14:paraId="14E03C47">
            <w:pPr>
              <w:spacing w:line="480" w:lineRule="exact"/>
              <w:rPr>
                <w:rFonts w:ascii="仿宋" w:hAnsi="仿宋" w:eastAsia="仿宋"/>
                <w:color w:val="auto"/>
                <w:sz w:val="24"/>
                <w:szCs w:val="24"/>
              </w:rPr>
            </w:pPr>
            <w:r>
              <w:rPr>
                <w:rFonts w:hint="eastAsia" w:ascii="仿宋" w:hAnsi="仿宋" w:eastAsia="仿宋"/>
                <w:color w:val="auto"/>
                <w:sz w:val="24"/>
                <w:szCs w:val="24"/>
              </w:rPr>
              <w:t>（1）服务工作大纲；</w:t>
            </w:r>
          </w:p>
          <w:p w14:paraId="7E4E61A1">
            <w:pPr>
              <w:spacing w:line="480" w:lineRule="exact"/>
              <w:rPr>
                <w:rFonts w:ascii="仿宋" w:hAnsi="仿宋" w:eastAsia="仿宋"/>
                <w:color w:val="auto"/>
                <w:sz w:val="24"/>
                <w:szCs w:val="24"/>
              </w:rPr>
            </w:pPr>
            <w:r>
              <w:rPr>
                <w:rFonts w:hint="eastAsia" w:ascii="仿宋" w:hAnsi="仿宋" w:eastAsia="仿宋"/>
                <w:color w:val="auto"/>
                <w:sz w:val="24"/>
                <w:szCs w:val="24"/>
              </w:rPr>
              <w:t>（2）工作程序；</w:t>
            </w:r>
          </w:p>
          <w:p w14:paraId="7B8298AC">
            <w:pPr>
              <w:spacing w:line="480" w:lineRule="exact"/>
              <w:rPr>
                <w:rFonts w:ascii="仿宋" w:hAnsi="仿宋" w:eastAsia="仿宋"/>
                <w:color w:val="auto"/>
                <w:sz w:val="24"/>
                <w:szCs w:val="24"/>
              </w:rPr>
            </w:pPr>
            <w:r>
              <w:rPr>
                <w:rFonts w:hint="eastAsia" w:ascii="仿宋" w:hAnsi="仿宋" w:eastAsia="仿宋"/>
                <w:color w:val="auto"/>
                <w:sz w:val="24"/>
                <w:szCs w:val="24"/>
              </w:rPr>
              <w:t>（3）服务内容；</w:t>
            </w:r>
          </w:p>
          <w:p w14:paraId="00D1CB9F">
            <w:pPr>
              <w:spacing w:line="480" w:lineRule="exact"/>
              <w:rPr>
                <w:rFonts w:ascii="仿宋" w:hAnsi="仿宋" w:eastAsia="仿宋"/>
                <w:color w:val="auto"/>
                <w:sz w:val="24"/>
                <w:szCs w:val="24"/>
              </w:rPr>
            </w:pPr>
            <w:r>
              <w:rPr>
                <w:rFonts w:hint="eastAsia" w:ascii="仿宋" w:hAnsi="仿宋" w:eastAsia="仿宋"/>
                <w:color w:val="auto"/>
                <w:sz w:val="24"/>
                <w:szCs w:val="24"/>
              </w:rPr>
              <w:t>（4）对项目的重难点分析；</w:t>
            </w:r>
          </w:p>
          <w:p w14:paraId="68728187">
            <w:pPr>
              <w:spacing w:line="480" w:lineRule="exact"/>
              <w:rPr>
                <w:rFonts w:ascii="仿宋" w:hAnsi="仿宋" w:eastAsia="仿宋"/>
                <w:color w:val="auto"/>
                <w:sz w:val="24"/>
                <w:szCs w:val="24"/>
              </w:rPr>
            </w:pPr>
            <w:r>
              <w:rPr>
                <w:rFonts w:hint="eastAsia" w:ascii="仿宋" w:hAnsi="仿宋" w:eastAsia="仿宋"/>
                <w:color w:val="auto"/>
                <w:sz w:val="24"/>
                <w:szCs w:val="24"/>
              </w:rPr>
              <w:t>（5）总体组织计划、各阶段成果安排。</w:t>
            </w:r>
          </w:p>
          <w:p w14:paraId="140471BA">
            <w:pPr>
              <w:spacing w:line="480" w:lineRule="exact"/>
              <w:rPr>
                <w:rFonts w:ascii="仿宋" w:hAnsi="仿宋" w:eastAsia="仿宋"/>
                <w:color w:val="auto"/>
                <w:sz w:val="24"/>
                <w:szCs w:val="24"/>
              </w:rPr>
            </w:pPr>
            <w:r>
              <w:rPr>
                <w:rFonts w:hint="eastAsia" w:ascii="仿宋" w:hAnsi="仿宋" w:eastAsia="仿宋"/>
                <w:color w:val="auto"/>
                <w:sz w:val="24"/>
                <w:szCs w:val="24"/>
              </w:rPr>
              <w:t>以上5项内容，经磋商小组评定相关方案完整、详尽，可行性高、针对性强，能保障项目进度、质量，完全满足项目需求的每项4分，共20分，否则磋商小组根据以下原则对每项内容进行扣分，扣完为止。</w:t>
            </w:r>
          </w:p>
          <w:p w14:paraId="7D931D81">
            <w:pPr>
              <w:spacing w:line="480" w:lineRule="exact"/>
              <w:rPr>
                <w:rFonts w:ascii="仿宋" w:hAnsi="仿宋" w:eastAsia="仿宋"/>
                <w:color w:val="auto"/>
                <w:sz w:val="24"/>
                <w:szCs w:val="24"/>
              </w:rPr>
            </w:pPr>
            <w:r>
              <w:rPr>
                <w:rFonts w:hint="eastAsia" w:ascii="仿宋" w:hAnsi="仿宋" w:eastAsia="仿宋"/>
                <w:color w:val="auto"/>
                <w:sz w:val="24"/>
                <w:szCs w:val="24"/>
              </w:rPr>
              <w:t>①以上内容每缺少一项的每项扣4分。</w:t>
            </w:r>
          </w:p>
          <w:p w14:paraId="0CA299A2">
            <w:pPr>
              <w:spacing w:line="480" w:lineRule="exact"/>
              <w:rPr>
                <w:rFonts w:ascii="仿宋" w:hAnsi="仿宋" w:eastAsia="仿宋"/>
                <w:color w:val="auto"/>
                <w:sz w:val="24"/>
                <w:szCs w:val="24"/>
              </w:rPr>
            </w:pPr>
            <w:r>
              <w:rPr>
                <w:rFonts w:hint="eastAsia" w:ascii="仿宋" w:hAnsi="仿宋" w:eastAsia="仿宋"/>
                <w:color w:val="auto"/>
                <w:sz w:val="24"/>
                <w:szCs w:val="24"/>
              </w:rPr>
              <w:t>②以上内容存在缺陷的每项扣2分（缺陷是指内容不完整或缺少关键点；非专门针对本项目或不适用本项目特性或套用其他项目内容；对同一问题前后表述矛盾；存在逻辑漏洞、科学原理或常识错误等任意一种不利于本项目目标实现的情形）。</w:t>
            </w:r>
          </w:p>
          <w:p w14:paraId="2EB6D808">
            <w:pPr>
              <w:spacing w:line="480" w:lineRule="exact"/>
              <w:rPr>
                <w:rFonts w:ascii="仿宋" w:hAnsi="仿宋" w:eastAsia="仿宋"/>
                <w:color w:val="auto"/>
                <w:sz w:val="24"/>
                <w:szCs w:val="24"/>
              </w:rPr>
            </w:pPr>
            <w:r>
              <w:rPr>
                <w:rFonts w:hint="eastAsia" w:ascii="仿宋" w:hAnsi="仿宋" w:eastAsia="仿宋"/>
                <w:color w:val="auto"/>
                <w:sz w:val="24"/>
                <w:szCs w:val="24"/>
              </w:rPr>
              <w:t>③以上内容存在瑕疵的每项扣1分（瑕疵是指内容能保障项目进度、质量，满足项目需求情况下存在的缺点）。</w:t>
            </w:r>
          </w:p>
        </w:tc>
      </w:tr>
      <w:tr w14:paraId="4CCE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 w:type="dxa"/>
          <w:trHeight w:val="132" w:hRule="atLeast"/>
          <w:jc w:val="center"/>
        </w:trPr>
        <w:tc>
          <w:tcPr>
            <w:tcW w:w="817" w:type="dxa"/>
            <w:vMerge w:val="continue"/>
            <w:vAlign w:val="center"/>
          </w:tcPr>
          <w:p w14:paraId="6DD25153">
            <w:pPr>
              <w:spacing w:line="360" w:lineRule="auto"/>
              <w:ind w:left="-2"/>
              <w:jc w:val="center"/>
              <w:rPr>
                <w:rFonts w:ascii="仿宋" w:hAnsi="仿宋" w:eastAsia="仿宋" w:cs="宋体"/>
                <w:color w:val="auto"/>
                <w:sz w:val="24"/>
                <w:szCs w:val="24"/>
              </w:rPr>
            </w:pPr>
          </w:p>
        </w:tc>
        <w:tc>
          <w:tcPr>
            <w:tcW w:w="1134" w:type="dxa"/>
            <w:vMerge w:val="continue"/>
            <w:vAlign w:val="center"/>
          </w:tcPr>
          <w:p w14:paraId="597F0F42">
            <w:pPr>
              <w:spacing w:line="360" w:lineRule="auto"/>
              <w:jc w:val="center"/>
              <w:rPr>
                <w:rFonts w:ascii="仿宋" w:hAnsi="仿宋" w:eastAsia="仿宋" w:cs="宋体"/>
                <w:color w:val="auto"/>
                <w:sz w:val="24"/>
                <w:szCs w:val="24"/>
              </w:rPr>
            </w:pPr>
          </w:p>
        </w:tc>
        <w:tc>
          <w:tcPr>
            <w:tcW w:w="1719" w:type="dxa"/>
            <w:vAlign w:val="center"/>
          </w:tcPr>
          <w:p w14:paraId="4C1D34B4">
            <w:pPr>
              <w:spacing w:line="480" w:lineRule="exact"/>
              <w:rPr>
                <w:rFonts w:ascii="仿宋" w:hAnsi="仿宋" w:eastAsia="仿宋"/>
                <w:color w:val="auto"/>
                <w:sz w:val="24"/>
                <w:szCs w:val="24"/>
              </w:rPr>
            </w:pPr>
            <w:bookmarkStart w:id="148" w:name="OLE_LINK55"/>
            <w:r>
              <w:rPr>
                <w:rFonts w:hint="eastAsia" w:ascii="仿宋" w:hAnsi="仿宋" w:eastAsia="仿宋"/>
                <w:color w:val="auto"/>
                <w:sz w:val="24"/>
                <w:szCs w:val="24"/>
              </w:rPr>
              <w:t>服务质量保证措施</w:t>
            </w:r>
            <w:bookmarkEnd w:id="148"/>
            <w:r>
              <w:rPr>
                <w:rFonts w:hint="eastAsia" w:ascii="仿宋" w:hAnsi="仿宋" w:eastAsia="仿宋"/>
                <w:color w:val="auto"/>
                <w:sz w:val="24"/>
                <w:szCs w:val="24"/>
              </w:rPr>
              <w:t>评审评分（满分</w:t>
            </w:r>
            <w:r>
              <w:rPr>
                <w:rFonts w:ascii="仿宋" w:hAnsi="仿宋" w:eastAsia="仿宋"/>
                <w:color w:val="auto"/>
                <w:sz w:val="24"/>
                <w:szCs w:val="24"/>
              </w:rPr>
              <w:t>16</w:t>
            </w:r>
            <w:r>
              <w:rPr>
                <w:rFonts w:hint="eastAsia" w:ascii="仿宋" w:hAnsi="仿宋" w:eastAsia="仿宋"/>
                <w:color w:val="auto"/>
                <w:sz w:val="24"/>
                <w:szCs w:val="24"/>
              </w:rPr>
              <w:t>分）</w:t>
            </w:r>
          </w:p>
        </w:tc>
        <w:tc>
          <w:tcPr>
            <w:tcW w:w="5953" w:type="dxa"/>
            <w:gridSpan w:val="2"/>
            <w:vAlign w:val="center"/>
          </w:tcPr>
          <w:p w14:paraId="3262C66C">
            <w:pPr>
              <w:spacing w:line="480" w:lineRule="exact"/>
              <w:rPr>
                <w:rFonts w:ascii="仿宋" w:hAnsi="仿宋" w:eastAsia="仿宋"/>
                <w:color w:val="auto"/>
                <w:sz w:val="24"/>
                <w:szCs w:val="24"/>
              </w:rPr>
            </w:pPr>
            <w:bookmarkStart w:id="149" w:name="OLE_LINK130"/>
            <w:r>
              <w:rPr>
                <w:rFonts w:hint="eastAsia" w:ascii="仿宋" w:hAnsi="仿宋" w:eastAsia="仿宋"/>
                <w:color w:val="auto"/>
                <w:sz w:val="24"/>
                <w:szCs w:val="24"/>
              </w:rPr>
              <w:t>评审内容：</w:t>
            </w:r>
            <w:bookmarkEnd w:id="149"/>
          </w:p>
          <w:p w14:paraId="1A15CED9">
            <w:pPr>
              <w:spacing w:line="480" w:lineRule="exact"/>
              <w:rPr>
                <w:rFonts w:ascii="仿宋" w:hAnsi="仿宋" w:eastAsia="仿宋"/>
                <w:color w:val="auto"/>
                <w:sz w:val="24"/>
                <w:szCs w:val="24"/>
              </w:rPr>
            </w:pPr>
            <w:r>
              <w:rPr>
                <w:rFonts w:hint="eastAsia" w:ascii="仿宋" w:hAnsi="仿宋" w:eastAsia="仿宋"/>
                <w:color w:val="auto"/>
                <w:sz w:val="24"/>
                <w:szCs w:val="24"/>
              </w:rPr>
              <w:t>（1）服务管理制度（含防范、控制风险制度）；</w:t>
            </w:r>
          </w:p>
          <w:p w14:paraId="1346C4CD">
            <w:pPr>
              <w:spacing w:line="480" w:lineRule="exact"/>
              <w:rPr>
                <w:rFonts w:ascii="仿宋" w:hAnsi="仿宋" w:eastAsia="仿宋"/>
                <w:color w:val="auto"/>
                <w:sz w:val="24"/>
                <w:szCs w:val="24"/>
              </w:rPr>
            </w:pPr>
            <w:r>
              <w:rPr>
                <w:rFonts w:hint="eastAsia" w:ascii="仿宋" w:hAnsi="仿宋" w:eastAsia="仿宋"/>
                <w:color w:val="auto"/>
                <w:sz w:val="24"/>
                <w:szCs w:val="24"/>
              </w:rPr>
              <w:t>（</w:t>
            </w:r>
            <w:r>
              <w:rPr>
                <w:rFonts w:ascii="仿宋" w:hAnsi="仿宋" w:eastAsia="仿宋"/>
                <w:color w:val="auto"/>
                <w:sz w:val="24"/>
                <w:szCs w:val="24"/>
              </w:rPr>
              <w:t>2</w:t>
            </w:r>
            <w:r>
              <w:rPr>
                <w:rFonts w:hint="eastAsia" w:ascii="仿宋" w:hAnsi="仿宋" w:eastAsia="仿宋"/>
                <w:color w:val="auto"/>
                <w:sz w:val="24"/>
                <w:szCs w:val="24"/>
              </w:rPr>
              <w:t>）质量内部管理制度；</w:t>
            </w:r>
          </w:p>
          <w:p w14:paraId="1333202D">
            <w:pPr>
              <w:spacing w:line="480" w:lineRule="exact"/>
              <w:rPr>
                <w:rFonts w:ascii="仿宋" w:hAnsi="仿宋" w:eastAsia="仿宋"/>
                <w:color w:val="auto"/>
                <w:sz w:val="24"/>
                <w:szCs w:val="24"/>
              </w:rPr>
            </w:pPr>
            <w:r>
              <w:rPr>
                <w:rFonts w:hint="eastAsia" w:ascii="仿宋" w:hAnsi="仿宋" w:eastAsia="仿宋"/>
                <w:color w:val="auto"/>
                <w:sz w:val="24"/>
                <w:szCs w:val="24"/>
              </w:rPr>
              <w:t>（</w:t>
            </w:r>
            <w:r>
              <w:rPr>
                <w:rFonts w:ascii="仿宋" w:hAnsi="仿宋" w:eastAsia="仿宋"/>
                <w:color w:val="auto"/>
                <w:sz w:val="24"/>
                <w:szCs w:val="24"/>
              </w:rPr>
              <w:t>3</w:t>
            </w:r>
            <w:r>
              <w:rPr>
                <w:rFonts w:hint="eastAsia" w:ascii="仿宋" w:hAnsi="仿宋" w:eastAsia="仿宋"/>
                <w:color w:val="auto"/>
                <w:sz w:val="24"/>
                <w:szCs w:val="24"/>
              </w:rPr>
              <w:t>）保证措施；</w:t>
            </w:r>
          </w:p>
          <w:p w14:paraId="43FFB22E">
            <w:pPr>
              <w:spacing w:line="480" w:lineRule="exact"/>
              <w:rPr>
                <w:rFonts w:ascii="仿宋" w:hAnsi="仿宋" w:eastAsia="仿宋"/>
                <w:color w:val="auto"/>
                <w:sz w:val="24"/>
                <w:szCs w:val="24"/>
              </w:rPr>
            </w:pPr>
            <w:r>
              <w:rPr>
                <w:rFonts w:hint="eastAsia" w:ascii="仿宋" w:hAnsi="仿宋" w:eastAsia="仿宋"/>
                <w:color w:val="auto"/>
                <w:sz w:val="24"/>
                <w:szCs w:val="24"/>
              </w:rPr>
              <w:t>（</w:t>
            </w:r>
            <w:r>
              <w:rPr>
                <w:rFonts w:ascii="仿宋" w:hAnsi="仿宋" w:eastAsia="仿宋"/>
                <w:color w:val="auto"/>
                <w:sz w:val="24"/>
                <w:szCs w:val="24"/>
              </w:rPr>
              <w:t>4</w:t>
            </w:r>
            <w:r>
              <w:rPr>
                <w:rFonts w:hint="eastAsia" w:ascii="仿宋" w:hAnsi="仿宋" w:eastAsia="仿宋"/>
                <w:color w:val="auto"/>
                <w:sz w:val="24"/>
                <w:szCs w:val="24"/>
              </w:rPr>
              <w:t>）违约惩罚措施。</w:t>
            </w:r>
          </w:p>
          <w:p w14:paraId="22E3922E">
            <w:pPr>
              <w:spacing w:line="480" w:lineRule="exact"/>
              <w:rPr>
                <w:rFonts w:ascii="仿宋" w:hAnsi="仿宋" w:eastAsia="仿宋"/>
                <w:color w:val="auto"/>
                <w:sz w:val="24"/>
                <w:szCs w:val="24"/>
              </w:rPr>
            </w:pPr>
            <w:r>
              <w:rPr>
                <w:rFonts w:hint="eastAsia" w:ascii="仿宋" w:hAnsi="仿宋" w:eastAsia="仿宋"/>
                <w:color w:val="auto"/>
                <w:sz w:val="24"/>
                <w:szCs w:val="24"/>
              </w:rPr>
              <w:t>以上</w:t>
            </w:r>
            <w:r>
              <w:rPr>
                <w:rFonts w:ascii="仿宋" w:hAnsi="仿宋" w:eastAsia="仿宋"/>
                <w:color w:val="auto"/>
                <w:sz w:val="24"/>
                <w:szCs w:val="24"/>
              </w:rPr>
              <w:t>4</w:t>
            </w:r>
            <w:r>
              <w:rPr>
                <w:rFonts w:hint="eastAsia" w:ascii="仿宋" w:hAnsi="仿宋" w:eastAsia="仿宋"/>
                <w:color w:val="auto"/>
                <w:sz w:val="24"/>
                <w:szCs w:val="24"/>
              </w:rPr>
              <w:t>项内容，经磋商小组评定内容完整、详尽，可行性高、针对性强，能保障项目进度、质量，完全满足项目需求的，每项</w:t>
            </w:r>
            <w:r>
              <w:rPr>
                <w:rFonts w:ascii="仿宋" w:hAnsi="仿宋" w:eastAsia="仿宋"/>
                <w:color w:val="auto"/>
                <w:sz w:val="24"/>
                <w:szCs w:val="24"/>
              </w:rPr>
              <w:t>4</w:t>
            </w:r>
            <w:r>
              <w:rPr>
                <w:rFonts w:hint="eastAsia" w:ascii="仿宋" w:hAnsi="仿宋" w:eastAsia="仿宋"/>
                <w:color w:val="auto"/>
                <w:sz w:val="24"/>
                <w:szCs w:val="24"/>
              </w:rPr>
              <w:t>分，共</w:t>
            </w:r>
            <w:r>
              <w:rPr>
                <w:rFonts w:ascii="仿宋" w:hAnsi="仿宋" w:eastAsia="仿宋"/>
                <w:color w:val="auto"/>
                <w:sz w:val="24"/>
                <w:szCs w:val="24"/>
              </w:rPr>
              <w:t>16</w:t>
            </w:r>
            <w:r>
              <w:rPr>
                <w:rFonts w:hint="eastAsia" w:ascii="仿宋" w:hAnsi="仿宋" w:eastAsia="仿宋"/>
                <w:color w:val="auto"/>
                <w:sz w:val="24"/>
                <w:szCs w:val="24"/>
              </w:rPr>
              <w:t>分，否则磋商小组根据以下原则对每项内容进行扣分，扣完为止。</w:t>
            </w:r>
          </w:p>
          <w:p w14:paraId="6159C914">
            <w:pPr>
              <w:spacing w:line="480" w:lineRule="exact"/>
              <w:rPr>
                <w:rFonts w:ascii="仿宋" w:hAnsi="仿宋" w:eastAsia="仿宋"/>
                <w:color w:val="auto"/>
                <w:sz w:val="24"/>
                <w:szCs w:val="24"/>
              </w:rPr>
            </w:pPr>
            <w:r>
              <w:rPr>
                <w:rFonts w:hint="eastAsia" w:ascii="仿宋" w:hAnsi="仿宋" w:eastAsia="仿宋"/>
                <w:color w:val="auto"/>
                <w:sz w:val="24"/>
                <w:szCs w:val="24"/>
              </w:rPr>
              <w:t>①以上内容每缺少一项的每项扣</w:t>
            </w:r>
            <w:r>
              <w:rPr>
                <w:rFonts w:ascii="仿宋" w:hAnsi="仿宋" w:eastAsia="仿宋"/>
                <w:color w:val="auto"/>
                <w:sz w:val="24"/>
                <w:szCs w:val="24"/>
              </w:rPr>
              <w:t>4</w:t>
            </w:r>
            <w:r>
              <w:rPr>
                <w:rFonts w:hint="eastAsia" w:ascii="仿宋" w:hAnsi="仿宋" w:eastAsia="仿宋"/>
                <w:color w:val="auto"/>
                <w:sz w:val="24"/>
                <w:szCs w:val="24"/>
              </w:rPr>
              <w:t>分。</w:t>
            </w:r>
          </w:p>
          <w:p w14:paraId="05D3C42D">
            <w:pPr>
              <w:spacing w:line="480" w:lineRule="exact"/>
              <w:rPr>
                <w:rFonts w:ascii="仿宋" w:hAnsi="仿宋" w:eastAsia="仿宋"/>
                <w:color w:val="auto"/>
                <w:sz w:val="24"/>
                <w:szCs w:val="24"/>
              </w:rPr>
            </w:pPr>
            <w:r>
              <w:rPr>
                <w:rFonts w:hint="eastAsia" w:ascii="仿宋" w:hAnsi="仿宋" w:eastAsia="仿宋"/>
                <w:color w:val="auto"/>
                <w:sz w:val="24"/>
                <w:szCs w:val="24"/>
              </w:rPr>
              <w:t>②以上内容存在缺陷的每项扣</w:t>
            </w:r>
            <w:r>
              <w:rPr>
                <w:rFonts w:ascii="仿宋" w:hAnsi="仿宋" w:eastAsia="仿宋"/>
                <w:color w:val="auto"/>
                <w:sz w:val="24"/>
                <w:szCs w:val="24"/>
              </w:rPr>
              <w:t>2</w:t>
            </w:r>
            <w:r>
              <w:rPr>
                <w:rFonts w:hint="eastAsia" w:ascii="仿宋" w:hAnsi="仿宋" w:eastAsia="仿宋"/>
                <w:color w:val="auto"/>
                <w:sz w:val="24"/>
                <w:szCs w:val="24"/>
              </w:rPr>
              <w:t>分（缺陷是指内容不完整或缺少关键点；非专门针对本项目或不适用本项目特性或套用其他项目内容；对同一问题前后表述矛盾；存在逻辑漏洞、科学原理或常识错误等任意一种不利于本项目目标实现的情形）。</w:t>
            </w:r>
          </w:p>
          <w:p w14:paraId="7C267F53">
            <w:pPr>
              <w:spacing w:line="480" w:lineRule="exact"/>
              <w:rPr>
                <w:rFonts w:ascii="仿宋" w:hAnsi="仿宋" w:eastAsia="仿宋"/>
                <w:color w:val="auto"/>
                <w:sz w:val="24"/>
                <w:szCs w:val="24"/>
              </w:rPr>
            </w:pPr>
            <w:r>
              <w:rPr>
                <w:rFonts w:hint="eastAsia" w:ascii="仿宋" w:hAnsi="仿宋" w:eastAsia="仿宋"/>
                <w:color w:val="auto"/>
                <w:sz w:val="24"/>
                <w:szCs w:val="24"/>
              </w:rPr>
              <w:t>③以上内容存在瑕疵的每项扣1分（瑕疵是指内容能保障项目进度、质量，满足项目需求情况下存在的缺点）。</w:t>
            </w:r>
          </w:p>
        </w:tc>
      </w:tr>
      <w:tr w14:paraId="67F0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 w:type="dxa"/>
          <w:trHeight w:val="132" w:hRule="atLeast"/>
          <w:jc w:val="center"/>
        </w:trPr>
        <w:tc>
          <w:tcPr>
            <w:tcW w:w="817" w:type="dxa"/>
            <w:vMerge w:val="continue"/>
            <w:vAlign w:val="center"/>
          </w:tcPr>
          <w:p w14:paraId="69343927">
            <w:pPr>
              <w:spacing w:line="360" w:lineRule="auto"/>
              <w:ind w:left="-2"/>
              <w:jc w:val="center"/>
              <w:rPr>
                <w:rFonts w:ascii="仿宋" w:hAnsi="仿宋" w:eastAsia="仿宋" w:cs="宋体"/>
                <w:color w:val="auto"/>
                <w:sz w:val="24"/>
                <w:szCs w:val="24"/>
              </w:rPr>
            </w:pPr>
          </w:p>
        </w:tc>
        <w:tc>
          <w:tcPr>
            <w:tcW w:w="1134" w:type="dxa"/>
            <w:vMerge w:val="continue"/>
            <w:vAlign w:val="center"/>
          </w:tcPr>
          <w:p w14:paraId="1C84F51F">
            <w:pPr>
              <w:spacing w:line="360" w:lineRule="auto"/>
              <w:jc w:val="center"/>
              <w:rPr>
                <w:rFonts w:ascii="仿宋" w:hAnsi="仿宋" w:eastAsia="仿宋" w:cs="宋体"/>
                <w:color w:val="auto"/>
                <w:sz w:val="24"/>
                <w:szCs w:val="24"/>
              </w:rPr>
            </w:pPr>
          </w:p>
        </w:tc>
        <w:tc>
          <w:tcPr>
            <w:tcW w:w="1719" w:type="dxa"/>
            <w:vAlign w:val="center"/>
          </w:tcPr>
          <w:p w14:paraId="4E5D5D57">
            <w:pPr>
              <w:spacing w:line="480" w:lineRule="exact"/>
              <w:jc w:val="center"/>
              <w:rPr>
                <w:rFonts w:ascii="仿宋" w:hAnsi="仿宋" w:eastAsia="仿宋"/>
                <w:color w:val="auto"/>
                <w:sz w:val="24"/>
                <w:szCs w:val="24"/>
              </w:rPr>
            </w:pPr>
            <w:bookmarkStart w:id="150" w:name="OLE_LINK131"/>
            <w:r>
              <w:rPr>
                <w:rFonts w:hint="eastAsia" w:ascii="仿宋" w:hAnsi="仿宋" w:eastAsia="仿宋"/>
                <w:color w:val="auto"/>
                <w:sz w:val="24"/>
                <w:szCs w:val="24"/>
              </w:rPr>
              <w:t>服务期限承诺及保证措施评审评分（满分</w:t>
            </w:r>
            <w:bookmarkEnd w:id="150"/>
            <w:r>
              <w:rPr>
                <w:rFonts w:ascii="仿宋" w:hAnsi="仿宋" w:eastAsia="仿宋"/>
                <w:color w:val="auto"/>
                <w:sz w:val="24"/>
                <w:szCs w:val="24"/>
              </w:rPr>
              <w:t>16</w:t>
            </w:r>
            <w:r>
              <w:rPr>
                <w:rFonts w:hint="eastAsia" w:ascii="仿宋" w:hAnsi="仿宋" w:eastAsia="仿宋"/>
                <w:color w:val="auto"/>
                <w:sz w:val="24"/>
                <w:szCs w:val="24"/>
              </w:rPr>
              <w:t>分）</w:t>
            </w:r>
          </w:p>
        </w:tc>
        <w:tc>
          <w:tcPr>
            <w:tcW w:w="5953" w:type="dxa"/>
            <w:gridSpan w:val="2"/>
            <w:vAlign w:val="center"/>
          </w:tcPr>
          <w:p w14:paraId="11AD909B">
            <w:pPr>
              <w:spacing w:line="480" w:lineRule="exact"/>
              <w:rPr>
                <w:rFonts w:ascii="仿宋" w:hAnsi="仿宋" w:eastAsia="仿宋"/>
                <w:color w:val="auto"/>
                <w:sz w:val="24"/>
                <w:szCs w:val="24"/>
              </w:rPr>
            </w:pPr>
            <w:bookmarkStart w:id="151" w:name="OLE_LINK132"/>
            <w:r>
              <w:rPr>
                <w:rFonts w:hint="eastAsia" w:ascii="仿宋" w:hAnsi="仿宋" w:eastAsia="仿宋"/>
                <w:color w:val="auto"/>
                <w:sz w:val="24"/>
                <w:szCs w:val="24"/>
              </w:rPr>
              <w:t>评审内容：</w:t>
            </w:r>
            <w:bookmarkEnd w:id="151"/>
          </w:p>
          <w:p w14:paraId="46696A96">
            <w:pPr>
              <w:spacing w:line="480" w:lineRule="exact"/>
              <w:rPr>
                <w:rFonts w:ascii="仿宋" w:hAnsi="仿宋" w:eastAsia="仿宋"/>
                <w:color w:val="auto"/>
                <w:sz w:val="24"/>
                <w:szCs w:val="24"/>
              </w:rPr>
            </w:pPr>
            <w:r>
              <w:rPr>
                <w:rFonts w:hint="eastAsia" w:ascii="仿宋" w:hAnsi="仿宋" w:eastAsia="仿宋"/>
                <w:color w:val="auto"/>
                <w:sz w:val="24"/>
                <w:szCs w:val="24"/>
              </w:rPr>
              <w:t>（1）服务期限节点；</w:t>
            </w:r>
          </w:p>
          <w:p w14:paraId="2534FFA3">
            <w:pPr>
              <w:spacing w:line="480" w:lineRule="exact"/>
              <w:rPr>
                <w:rFonts w:ascii="仿宋" w:hAnsi="仿宋" w:eastAsia="仿宋"/>
                <w:color w:val="auto"/>
                <w:sz w:val="24"/>
                <w:szCs w:val="24"/>
              </w:rPr>
            </w:pPr>
            <w:r>
              <w:rPr>
                <w:rFonts w:hint="eastAsia" w:ascii="仿宋" w:hAnsi="仿宋" w:eastAsia="仿宋"/>
                <w:color w:val="auto"/>
                <w:sz w:val="24"/>
                <w:szCs w:val="24"/>
              </w:rPr>
              <w:t>（2）服务进度计划；</w:t>
            </w:r>
          </w:p>
          <w:p w14:paraId="67F4E09E">
            <w:pPr>
              <w:spacing w:line="480" w:lineRule="exact"/>
              <w:rPr>
                <w:rFonts w:ascii="仿宋" w:hAnsi="仿宋" w:eastAsia="仿宋"/>
                <w:color w:val="auto"/>
                <w:sz w:val="24"/>
                <w:szCs w:val="24"/>
              </w:rPr>
            </w:pPr>
            <w:r>
              <w:rPr>
                <w:rFonts w:hint="eastAsia" w:ascii="仿宋" w:hAnsi="仿宋" w:eastAsia="仿宋"/>
                <w:color w:val="auto"/>
                <w:sz w:val="24"/>
                <w:szCs w:val="24"/>
              </w:rPr>
              <w:t>（3）保证措施；</w:t>
            </w:r>
          </w:p>
          <w:p w14:paraId="373823D7">
            <w:pPr>
              <w:spacing w:line="480" w:lineRule="exact"/>
              <w:rPr>
                <w:rFonts w:ascii="仿宋" w:hAnsi="仿宋" w:eastAsia="仿宋"/>
                <w:color w:val="auto"/>
                <w:sz w:val="24"/>
                <w:szCs w:val="24"/>
              </w:rPr>
            </w:pPr>
            <w:r>
              <w:rPr>
                <w:rFonts w:hint="eastAsia" w:ascii="仿宋" w:hAnsi="仿宋" w:eastAsia="仿宋"/>
                <w:color w:val="auto"/>
                <w:sz w:val="24"/>
                <w:szCs w:val="24"/>
              </w:rPr>
              <w:t>（4）违约惩罚措施。</w:t>
            </w:r>
          </w:p>
          <w:p w14:paraId="6B0A205F">
            <w:pPr>
              <w:spacing w:line="480" w:lineRule="exact"/>
              <w:rPr>
                <w:rFonts w:ascii="仿宋" w:hAnsi="仿宋" w:eastAsia="仿宋"/>
                <w:color w:val="auto"/>
                <w:sz w:val="24"/>
                <w:szCs w:val="24"/>
              </w:rPr>
            </w:pPr>
            <w:r>
              <w:rPr>
                <w:rFonts w:hint="eastAsia" w:ascii="仿宋" w:hAnsi="仿宋" w:eastAsia="仿宋"/>
                <w:color w:val="auto"/>
                <w:sz w:val="24"/>
                <w:szCs w:val="24"/>
              </w:rPr>
              <w:t>以上4项内容，经磋商小组评定内容完整、详尽，可行性高、针对性强，能保障项目进度、质量，完全满足项目需求的，每项</w:t>
            </w:r>
            <w:r>
              <w:rPr>
                <w:rFonts w:ascii="仿宋" w:hAnsi="仿宋" w:eastAsia="仿宋"/>
                <w:color w:val="auto"/>
                <w:sz w:val="24"/>
                <w:szCs w:val="24"/>
              </w:rPr>
              <w:t>4</w:t>
            </w:r>
            <w:r>
              <w:rPr>
                <w:rFonts w:hint="eastAsia" w:ascii="仿宋" w:hAnsi="仿宋" w:eastAsia="仿宋"/>
                <w:color w:val="auto"/>
                <w:sz w:val="24"/>
                <w:szCs w:val="24"/>
              </w:rPr>
              <w:t>分，共</w:t>
            </w:r>
            <w:r>
              <w:rPr>
                <w:rFonts w:ascii="仿宋" w:hAnsi="仿宋" w:eastAsia="仿宋"/>
                <w:color w:val="auto"/>
                <w:sz w:val="24"/>
                <w:szCs w:val="24"/>
              </w:rPr>
              <w:t>16</w:t>
            </w:r>
            <w:r>
              <w:rPr>
                <w:rFonts w:hint="eastAsia" w:ascii="仿宋" w:hAnsi="仿宋" w:eastAsia="仿宋"/>
                <w:color w:val="auto"/>
                <w:sz w:val="24"/>
                <w:szCs w:val="24"/>
              </w:rPr>
              <w:t>分，否则磋商小组根据以下原则对每项内容进行扣分，扣完为止。</w:t>
            </w:r>
          </w:p>
          <w:p w14:paraId="1C509359">
            <w:pPr>
              <w:spacing w:line="480" w:lineRule="exact"/>
              <w:rPr>
                <w:rFonts w:ascii="仿宋" w:hAnsi="仿宋" w:eastAsia="仿宋"/>
                <w:color w:val="auto"/>
                <w:sz w:val="24"/>
                <w:szCs w:val="24"/>
              </w:rPr>
            </w:pPr>
            <w:r>
              <w:rPr>
                <w:rFonts w:hint="eastAsia" w:ascii="仿宋" w:hAnsi="仿宋" w:eastAsia="仿宋"/>
                <w:color w:val="auto"/>
                <w:sz w:val="24"/>
                <w:szCs w:val="24"/>
              </w:rPr>
              <w:t>①以上内容每缺少一项的每项扣</w:t>
            </w:r>
            <w:r>
              <w:rPr>
                <w:rFonts w:ascii="仿宋" w:hAnsi="仿宋" w:eastAsia="仿宋"/>
                <w:color w:val="auto"/>
                <w:sz w:val="24"/>
                <w:szCs w:val="24"/>
              </w:rPr>
              <w:t>4</w:t>
            </w:r>
            <w:r>
              <w:rPr>
                <w:rFonts w:hint="eastAsia" w:ascii="仿宋" w:hAnsi="仿宋" w:eastAsia="仿宋"/>
                <w:color w:val="auto"/>
                <w:sz w:val="24"/>
                <w:szCs w:val="24"/>
              </w:rPr>
              <w:t>分。</w:t>
            </w:r>
          </w:p>
          <w:p w14:paraId="0169AE02">
            <w:pPr>
              <w:spacing w:line="480" w:lineRule="exact"/>
              <w:rPr>
                <w:rFonts w:ascii="仿宋" w:hAnsi="仿宋" w:eastAsia="仿宋"/>
                <w:color w:val="auto"/>
                <w:sz w:val="24"/>
                <w:szCs w:val="24"/>
              </w:rPr>
            </w:pPr>
            <w:r>
              <w:rPr>
                <w:rFonts w:hint="eastAsia" w:ascii="仿宋" w:hAnsi="仿宋" w:eastAsia="仿宋"/>
                <w:color w:val="auto"/>
                <w:sz w:val="24"/>
                <w:szCs w:val="24"/>
              </w:rPr>
              <w:t>②以上内容存在缺陷的每项扣</w:t>
            </w:r>
            <w:r>
              <w:rPr>
                <w:rFonts w:ascii="仿宋" w:hAnsi="仿宋" w:eastAsia="仿宋"/>
                <w:color w:val="auto"/>
                <w:sz w:val="24"/>
                <w:szCs w:val="24"/>
              </w:rPr>
              <w:t>2</w:t>
            </w:r>
            <w:r>
              <w:rPr>
                <w:rFonts w:hint="eastAsia" w:ascii="仿宋" w:hAnsi="仿宋" w:eastAsia="仿宋"/>
                <w:color w:val="auto"/>
                <w:sz w:val="24"/>
                <w:szCs w:val="24"/>
              </w:rPr>
              <w:t>分（缺陷是指内容不完整或缺少关键点；非专门针对本项目或不适用本项目特性或套用其他项目内容；对同一问题前后表述矛盾；存在逻辑漏洞、科学原理或常识错误等任意一种不利于本项目目标实现的情形）。</w:t>
            </w:r>
          </w:p>
          <w:p w14:paraId="525F61F2">
            <w:pPr>
              <w:spacing w:line="480" w:lineRule="exact"/>
              <w:jc w:val="left"/>
              <w:rPr>
                <w:rFonts w:ascii="仿宋" w:hAnsi="仿宋" w:eastAsia="仿宋"/>
                <w:color w:val="auto"/>
                <w:sz w:val="24"/>
                <w:szCs w:val="24"/>
              </w:rPr>
            </w:pPr>
            <w:r>
              <w:rPr>
                <w:rFonts w:hint="eastAsia" w:ascii="仿宋" w:hAnsi="仿宋" w:eastAsia="仿宋"/>
                <w:color w:val="auto"/>
                <w:sz w:val="24"/>
                <w:szCs w:val="24"/>
              </w:rPr>
              <w:t>③以上内容存在瑕疵的每项扣1分（瑕疵是指内容能保障项目进度、质量，满足项目需求情况下存在的缺点）。</w:t>
            </w:r>
          </w:p>
        </w:tc>
      </w:tr>
      <w:tr w14:paraId="5999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 w:type="dxa"/>
          <w:trHeight w:val="132" w:hRule="atLeast"/>
          <w:jc w:val="center"/>
        </w:trPr>
        <w:tc>
          <w:tcPr>
            <w:tcW w:w="817" w:type="dxa"/>
            <w:vMerge w:val="continue"/>
            <w:vAlign w:val="center"/>
          </w:tcPr>
          <w:p w14:paraId="5DF3DB6E">
            <w:pPr>
              <w:spacing w:line="360" w:lineRule="auto"/>
              <w:ind w:left="-2"/>
              <w:jc w:val="center"/>
              <w:rPr>
                <w:rFonts w:ascii="仿宋" w:hAnsi="仿宋" w:eastAsia="仿宋" w:cs="宋体"/>
                <w:color w:val="auto"/>
                <w:sz w:val="24"/>
                <w:szCs w:val="24"/>
              </w:rPr>
            </w:pPr>
          </w:p>
        </w:tc>
        <w:tc>
          <w:tcPr>
            <w:tcW w:w="1134" w:type="dxa"/>
            <w:vMerge w:val="continue"/>
            <w:vAlign w:val="center"/>
          </w:tcPr>
          <w:p w14:paraId="2D28D951">
            <w:pPr>
              <w:spacing w:line="360" w:lineRule="auto"/>
              <w:jc w:val="center"/>
              <w:rPr>
                <w:rFonts w:ascii="仿宋" w:hAnsi="仿宋" w:eastAsia="仿宋" w:cs="宋体"/>
                <w:color w:val="auto"/>
                <w:sz w:val="24"/>
                <w:szCs w:val="24"/>
              </w:rPr>
            </w:pPr>
          </w:p>
        </w:tc>
        <w:tc>
          <w:tcPr>
            <w:tcW w:w="1719" w:type="dxa"/>
            <w:vAlign w:val="center"/>
          </w:tcPr>
          <w:p w14:paraId="2054529F">
            <w:pPr>
              <w:pStyle w:val="1116"/>
              <w:spacing w:before="238" w:line="360" w:lineRule="auto"/>
              <w:rPr>
                <w:rFonts w:ascii="仿宋" w:hAnsi="仿宋" w:eastAsia="仿宋" w:cs="Times New Roman"/>
                <w:color w:val="auto"/>
                <w:kern w:val="2"/>
              </w:rPr>
            </w:pPr>
            <w:bookmarkStart w:id="152" w:name="_Hlk216030789"/>
            <w:r>
              <w:rPr>
                <w:rFonts w:hint="eastAsia" w:ascii="仿宋" w:hAnsi="仿宋" w:eastAsia="仿宋" w:cs="Times New Roman"/>
                <w:color w:val="auto"/>
                <w:kern w:val="2"/>
              </w:rPr>
              <w:t>保密承诺及保证措施评审评分</w:t>
            </w:r>
            <w:bookmarkEnd w:id="152"/>
            <w:r>
              <w:rPr>
                <w:rFonts w:hint="eastAsia" w:ascii="仿宋" w:hAnsi="仿宋" w:eastAsia="仿宋" w:cs="Times New Roman"/>
                <w:color w:val="auto"/>
                <w:kern w:val="2"/>
              </w:rPr>
              <w:t>（满分</w:t>
            </w:r>
            <w:r>
              <w:rPr>
                <w:rFonts w:ascii="仿宋" w:hAnsi="仿宋" w:eastAsia="仿宋" w:cs="Times New Roman"/>
                <w:color w:val="auto"/>
                <w:kern w:val="2"/>
              </w:rPr>
              <w:t>12</w:t>
            </w:r>
            <w:r>
              <w:rPr>
                <w:rFonts w:hint="eastAsia" w:ascii="仿宋" w:hAnsi="仿宋" w:eastAsia="仿宋" w:cs="Times New Roman"/>
                <w:color w:val="auto"/>
                <w:kern w:val="2"/>
              </w:rPr>
              <w:t>分）</w:t>
            </w:r>
          </w:p>
        </w:tc>
        <w:tc>
          <w:tcPr>
            <w:tcW w:w="5953" w:type="dxa"/>
            <w:gridSpan w:val="2"/>
          </w:tcPr>
          <w:p w14:paraId="6D52D506">
            <w:pPr>
              <w:spacing w:line="360" w:lineRule="auto"/>
              <w:rPr>
                <w:rFonts w:ascii="仿宋" w:hAnsi="仿宋" w:eastAsia="仿宋"/>
                <w:color w:val="auto"/>
                <w:sz w:val="24"/>
                <w:szCs w:val="24"/>
              </w:rPr>
            </w:pPr>
            <w:bookmarkStart w:id="153" w:name="OLE_LINK135"/>
            <w:r>
              <w:rPr>
                <w:rFonts w:hint="eastAsia" w:ascii="仿宋" w:hAnsi="仿宋" w:eastAsia="仿宋"/>
                <w:color w:val="auto"/>
                <w:sz w:val="24"/>
                <w:szCs w:val="24"/>
              </w:rPr>
              <w:t>评审内容：</w:t>
            </w:r>
            <w:bookmarkEnd w:id="153"/>
          </w:p>
          <w:p w14:paraId="39E7D4F6">
            <w:pPr>
              <w:spacing w:line="360" w:lineRule="auto"/>
              <w:rPr>
                <w:rFonts w:ascii="仿宋" w:hAnsi="仿宋" w:eastAsia="仿宋"/>
                <w:color w:val="auto"/>
                <w:sz w:val="24"/>
                <w:szCs w:val="24"/>
              </w:rPr>
            </w:pPr>
            <w:r>
              <w:rPr>
                <w:rFonts w:hint="eastAsia" w:ascii="仿宋" w:hAnsi="仿宋" w:eastAsia="仿宋"/>
                <w:color w:val="auto"/>
                <w:sz w:val="24"/>
                <w:szCs w:val="24"/>
              </w:rPr>
              <w:t>（1）保密方案；</w:t>
            </w:r>
          </w:p>
          <w:p w14:paraId="7DD84DC4">
            <w:pPr>
              <w:spacing w:line="360" w:lineRule="auto"/>
              <w:rPr>
                <w:rFonts w:ascii="仿宋" w:hAnsi="仿宋" w:eastAsia="仿宋"/>
                <w:color w:val="auto"/>
                <w:sz w:val="24"/>
                <w:szCs w:val="24"/>
              </w:rPr>
            </w:pPr>
            <w:r>
              <w:rPr>
                <w:rFonts w:hint="eastAsia" w:ascii="仿宋" w:hAnsi="仿宋" w:eastAsia="仿宋"/>
                <w:color w:val="auto"/>
                <w:sz w:val="24"/>
                <w:szCs w:val="24"/>
              </w:rPr>
              <w:t>（2）保证措施；</w:t>
            </w:r>
          </w:p>
          <w:p w14:paraId="32F243F5">
            <w:pPr>
              <w:spacing w:line="360" w:lineRule="auto"/>
              <w:rPr>
                <w:rFonts w:ascii="仿宋" w:hAnsi="仿宋" w:eastAsia="仿宋"/>
                <w:color w:val="auto"/>
                <w:sz w:val="24"/>
                <w:szCs w:val="24"/>
              </w:rPr>
            </w:pPr>
            <w:r>
              <w:rPr>
                <w:rFonts w:hint="eastAsia" w:ascii="仿宋" w:hAnsi="仿宋" w:eastAsia="仿宋"/>
                <w:color w:val="auto"/>
                <w:sz w:val="24"/>
                <w:szCs w:val="24"/>
              </w:rPr>
              <w:t>（3）违约惩罚措施。</w:t>
            </w:r>
          </w:p>
          <w:p w14:paraId="4F62AFF9">
            <w:pPr>
              <w:spacing w:line="360" w:lineRule="auto"/>
              <w:rPr>
                <w:rFonts w:ascii="仿宋" w:hAnsi="仿宋" w:eastAsia="仿宋"/>
                <w:color w:val="auto"/>
                <w:sz w:val="24"/>
                <w:szCs w:val="24"/>
              </w:rPr>
            </w:pPr>
            <w:r>
              <w:rPr>
                <w:rFonts w:hint="eastAsia" w:ascii="仿宋" w:hAnsi="仿宋" w:eastAsia="仿宋"/>
                <w:color w:val="auto"/>
                <w:sz w:val="24"/>
                <w:szCs w:val="24"/>
              </w:rPr>
              <w:t>以上3项内容，经磋商小组评定内容完整、详尽，可行性高、针对性强，能保障项目进度、质量，完全满足项目需求的，每项</w:t>
            </w:r>
            <w:r>
              <w:rPr>
                <w:rFonts w:ascii="仿宋" w:hAnsi="仿宋" w:eastAsia="仿宋"/>
                <w:color w:val="auto"/>
                <w:sz w:val="24"/>
                <w:szCs w:val="24"/>
              </w:rPr>
              <w:t>4</w:t>
            </w:r>
            <w:r>
              <w:rPr>
                <w:rFonts w:hint="eastAsia" w:ascii="仿宋" w:hAnsi="仿宋" w:eastAsia="仿宋"/>
                <w:color w:val="auto"/>
                <w:sz w:val="24"/>
                <w:szCs w:val="24"/>
              </w:rPr>
              <w:t>分，共1</w:t>
            </w:r>
            <w:r>
              <w:rPr>
                <w:rFonts w:ascii="仿宋" w:hAnsi="仿宋" w:eastAsia="仿宋"/>
                <w:color w:val="auto"/>
                <w:sz w:val="24"/>
                <w:szCs w:val="24"/>
              </w:rPr>
              <w:t>2</w:t>
            </w:r>
            <w:r>
              <w:rPr>
                <w:rFonts w:hint="eastAsia" w:ascii="仿宋" w:hAnsi="仿宋" w:eastAsia="仿宋"/>
                <w:color w:val="auto"/>
                <w:sz w:val="24"/>
                <w:szCs w:val="24"/>
              </w:rPr>
              <w:t>分，否则磋商小组根据以下原则对每项内容进行扣分，扣完为止。</w:t>
            </w:r>
          </w:p>
          <w:p w14:paraId="72025AFD">
            <w:pPr>
              <w:spacing w:line="360" w:lineRule="auto"/>
              <w:rPr>
                <w:rFonts w:ascii="仿宋" w:hAnsi="仿宋" w:eastAsia="仿宋"/>
                <w:color w:val="auto"/>
                <w:sz w:val="24"/>
                <w:szCs w:val="24"/>
              </w:rPr>
            </w:pPr>
            <w:r>
              <w:rPr>
                <w:rFonts w:hint="eastAsia" w:ascii="仿宋" w:hAnsi="仿宋" w:eastAsia="仿宋"/>
                <w:color w:val="auto"/>
                <w:sz w:val="24"/>
                <w:szCs w:val="24"/>
              </w:rPr>
              <w:t>①以上内容每缺少一项的每项扣</w:t>
            </w:r>
            <w:r>
              <w:rPr>
                <w:rFonts w:ascii="仿宋" w:hAnsi="仿宋" w:eastAsia="仿宋"/>
                <w:color w:val="auto"/>
                <w:sz w:val="24"/>
                <w:szCs w:val="24"/>
              </w:rPr>
              <w:t>4</w:t>
            </w:r>
            <w:r>
              <w:rPr>
                <w:rFonts w:hint="eastAsia" w:ascii="仿宋" w:hAnsi="仿宋" w:eastAsia="仿宋"/>
                <w:color w:val="auto"/>
                <w:sz w:val="24"/>
                <w:szCs w:val="24"/>
              </w:rPr>
              <w:t>分。</w:t>
            </w:r>
          </w:p>
          <w:p w14:paraId="0015DD16">
            <w:pPr>
              <w:spacing w:line="360" w:lineRule="auto"/>
              <w:rPr>
                <w:rFonts w:ascii="仿宋" w:hAnsi="仿宋" w:eastAsia="仿宋"/>
                <w:color w:val="auto"/>
                <w:sz w:val="24"/>
                <w:szCs w:val="24"/>
              </w:rPr>
            </w:pPr>
            <w:r>
              <w:rPr>
                <w:rFonts w:hint="eastAsia" w:ascii="仿宋" w:hAnsi="仿宋" w:eastAsia="仿宋"/>
                <w:color w:val="auto"/>
                <w:sz w:val="24"/>
                <w:szCs w:val="24"/>
              </w:rPr>
              <w:t>②以上内容存在缺陷的每项扣</w:t>
            </w:r>
            <w:r>
              <w:rPr>
                <w:rFonts w:ascii="仿宋" w:hAnsi="仿宋" w:eastAsia="仿宋"/>
                <w:color w:val="auto"/>
                <w:sz w:val="24"/>
                <w:szCs w:val="24"/>
              </w:rPr>
              <w:t>2</w:t>
            </w:r>
            <w:r>
              <w:rPr>
                <w:rFonts w:hint="eastAsia" w:ascii="仿宋" w:hAnsi="仿宋" w:eastAsia="仿宋"/>
                <w:color w:val="auto"/>
                <w:sz w:val="24"/>
                <w:szCs w:val="24"/>
              </w:rPr>
              <w:t>分（缺陷是指内容不完整或缺少关键点；非专门针对本项目或不适用本项目特性或套用其他项目内容；对同一问题前后表述矛盾；存在逻辑漏洞、科学原理或常识错误等任意一种不利于本项目目标实现的情形）。</w:t>
            </w:r>
          </w:p>
          <w:p w14:paraId="59859B71">
            <w:pPr>
              <w:spacing w:line="360" w:lineRule="auto"/>
              <w:rPr>
                <w:rFonts w:ascii="仿宋" w:hAnsi="仿宋" w:eastAsia="仿宋"/>
                <w:color w:val="auto"/>
                <w:sz w:val="24"/>
                <w:szCs w:val="24"/>
              </w:rPr>
            </w:pPr>
            <w:r>
              <w:rPr>
                <w:rFonts w:hint="eastAsia" w:ascii="仿宋" w:hAnsi="仿宋" w:eastAsia="仿宋"/>
                <w:color w:val="auto"/>
                <w:sz w:val="24"/>
                <w:szCs w:val="24"/>
              </w:rPr>
              <w:t>③以上内容存在瑕疵的每项扣1分（瑕疵是指内容能保障项目进度、质量，满足项目需求情况下存在的缺点）。</w:t>
            </w:r>
          </w:p>
        </w:tc>
      </w:tr>
      <w:tr w14:paraId="7D9A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 w:type="dxa"/>
          <w:trHeight w:val="132" w:hRule="atLeast"/>
          <w:jc w:val="center"/>
        </w:trPr>
        <w:tc>
          <w:tcPr>
            <w:tcW w:w="817" w:type="dxa"/>
            <w:vMerge w:val="continue"/>
            <w:vAlign w:val="center"/>
          </w:tcPr>
          <w:p w14:paraId="1F8D3280">
            <w:pPr>
              <w:spacing w:line="360" w:lineRule="auto"/>
              <w:ind w:left="-2"/>
              <w:jc w:val="center"/>
              <w:rPr>
                <w:rFonts w:ascii="仿宋" w:hAnsi="仿宋" w:eastAsia="仿宋" w:cs="宋体"/>
                <w:color w:val="auto"/>
                <w:sz w:val="24"/>
                <w:szCs w:val="24"/>
              </w:rPr>
            </w:pPr>
          </w:p>
        </w:tc>
        <w:tc>
          <w:tcPr>
            <w:tcW w:w="1134" w:type="dxa"/>
            <w:vMerge w:val="continue"/>
            <w:vAlign w:val="center"/>
          </w:tcPr>
          <w:p w14:paraId="3B1AC6C7">
            <w:pPr>
              <w:spacing w:line="360" w:lineRule="auto"/>
              <w:jc w:val="center"/>
              <w:rPr>
                <w:rFonts w:ascii="仿宋" w:hAnsi="仿宋" w:eastAsia="仿宋" w:cs="宋体"/>
                <w:color w:val="auto"/>
                <w:sz w:val="24"/>
                <w:szCs w:val="24"/>
              </w:rPr>
            </w:pPr>
          </w:p>
        </w:tc>
        <w:tc>
          <w:tcPr>
            <w:tcW w:w="1719" w:type="dxa"/>
            <w:vAlign w:val="center"/>
          </w:tcPr>
          <w:p w14:paraId="3AFED536">
            <w:pPr>
              <w:spacing w:line="480" w:lineRule="exact"/>
              <w:jc w:val="center"/>
              <w:rPr>
                <w:rFonts w:ascii="仿宋" w:hAnsi="仿宋" w:eastAsia="仿宋"/>
                <w:color w:val="auto"/>
                <w:sz w:val="24"/>
                <w:szCs w:val="24"/>
              </w:rPr>
            </w:pPr>
            <w:r>
              <w:rPr>
                <w:rFonts w:hint="eastAsia" w:ascii="仿宋" w:hAnsi="仿宋" w:eastAsia="仿宋"/>
                <w:color w:val="auto"/>
                <w:sz w:val="24"/>
                <w:szCs w:val="24"/>
              </w:rPr>
              <w:t>应急预案及措施评审评分</w:t>
            </w:r>
          </w:p>
          <w:p w14:paraId="4635101B">
            <w:pPr>
              <w:spacing w:line="480" w:lineRule="exact"/>
              <w:jc w:val="center"/>
              <w:rPr>
                <w:rFonts w:ascii="仿宋" w:hAnsi="仿宋" w:eastAsia="仿宋"/>
                <w:color w:val="auto"/>
                <w:sz w:val="24"/>
                <w:szCs w:val="24"/>
              </w:rPr>
            </w:pPr>
            <w:r>
              <w:rPr>
                <w:rFonts w:hint="eastAsia" w:ascii="仿宋" w:hAnsi="仿宋" w:eastAsia="仿宋"/>
                <w:color w:val="auto"/>
                <w:sz w:val="24"/>
                <w:szCs w:val="24"/>
              </w:rPr>
              <w:t>（</w:t>
            </w:r>
            <w:r>
              <w:rPr>
                <w:rFonts w:ascii="仿宋" w:hAnsi="仿宋" w:eastAsia="仿宋"/>
                <w:color w:val="auto"/>
                <w:sz w:val="24"/>
                <w:szCs w:val="24"/>
              </w:rPr>
              <w:t>12</w:t>
            </w:r>
            <w:r>
              <w:rPr>
                <w:rFonts w:hint="eastAsia" w:ascii="仿宋" w:hAnsi="仿宋" w:eastAsia="仿宋"/>
                <w:color w:val="auto"/>
                <w:sz w:val="24"/>
                <w:szCs w:val="24"/>
              </w:rPr>
              <w:t>分）</w:t>
            </w:r>
          </w:p>
        </w:tc>
        <w:tc>
          <w:tcPr>
            <w:tcW w:w="5953" w:type="dxa"/>
            <w:gridSpan w:val="2"/>
            <w:vAlign w:val="center"/>
          </w:tcPr>
          <w:p w14:paraId="7706D909">
            <w:pPr>
              <w:spacing w:line="360" w:lineRule="auto"/>
              <w:rPr>
                <w:rFonts w:ascii="仿宋" w:hAnsi="仿宋" w:eastAsia="仿宋"/>
                <w:color w:val="auto"/>
                <w:sz w:val="24"/>
                <w:szCs w:val="24"/>
              </w:rPr>
            </w:pPr>
            <w:r>
              <w:rPr>
                <w:rFonts w:hint="eastAsia" w:ascii="仿宋" w:hAnsi="仿宋" w:eastAsia="仿宋"/>
                <w:color w:val="auto"/>
                <w:sz w:val="24"/>
                <w:szCs w:val="24"/>
              </w:rPr>
              <w:t>评审内容：</w:t>
            </w:r>
          </w:p>
          <w:p w14:paraId="5234FEC2">
            <w:pPr>
              <w:spacing w:line="360" w:lineRule="auto"/>
              <w:rPr>
                <w:rFonts w:ascii="仿宋" w:hAnsi="仿宋" w:eastAsia="仿宋"/>
                <w:color w:val="auto"/>
                <w:sz w:val="24"/>
                <w:szCs w:val="24"/>
              </w:rPr>
            </w:pPr>
            <w:r>
              <w:rPr>
                <w:rFonts w:hint="eastAsia" w:ascii="仿宋" w:hAnsi="仿宋" w:eastAsia="仿宋"/>
                <w:color w:val="auto"/>
                <w:sz w:val="24"/>
                <w:szCs w:val="24"/>
              </w:rPr>
              <w:t>（1）应急处置方案；</w:t>
            </w:r>
          </w:p>
          <w:p w14:paraId="02D740F9">
            <w:pPr>
              <w:spacing w:line="360" w:lineRule="auto"/>
              <w:rPr>
                <w:rFonts w:ascii="仿宋" w:hAnsi="仿宋" w:eastAsia="仿宋"/>
                <w:color w:val="auto"/>
                <w:sz w:val="24"/>
                <w:szCs w:val="24"/>
              </w:rPr>
            </w:pPr>
            <w:r>
              <w:rPr>
                <w:rFonts w:hint="eastAsia" w:ascii="仿宋" w:hAnsi="仿宋" w:eastAsia="仿宋"/>
                <w:color w:val="auto"/>
                <w:sz w:val="24"/>
                <w:szCs w:val="24"/>
              </w:rPr>
              <w:t>（2）应急处置措施；</w:t>
            </w:r>
          </w:p>
          <w:p w14:paraId="10319E94">
            <w:pPr>
              <w:spacing w:line="360" w:lineRule="auto"/>
              <w:rPr>
                <w:rFonts w:ascii="仿宋" w:hAnsi="仿宋" w:eastAsia="仿宋"/>
                <w:color w:val="auto"/>
                <w:sz w:val="24"/>
                <w:szCs w:val="24"/>
              </w:rPr>
            </w:pPr>
            <w:r>
              <w:rPr>
                <w:rFonts w:hint="eastAsia" w:ascii="仿宋" w:hAnsi="仿宋" w:eastAsia="仿宋"/>
                <w:color w:val="auto"/>
                <w:sz w:val="24"/>
                <w:szCs w:val="24"/>
              </w:rPr>
              <w:t>（3）应急处置违约承诺及具体的处罚措施。</w:t>
            </w:r>
          </w:p>
          <w:p w14:paraId="6F2D4542">
            <w:pPr>
              <w:spacing w:line="360" w:lineRule="auto"/>
              <w:rPr>
                <w:rFonts w:ascii="仿宋" w:hAnsi="仿宋" w:eastAsia="仿宋"/>
                <w:color w:val="auto"/>
                <w:sz w:val="24"/>
                <w:szCs w:val="24"/>
              </w:rPr>
            </w:pPr>
            <w:r>
              <w:rPr>
                <w:rFonts w:hint="eastAsia" w:ascii="仿宋" w:hAnsi="仿宋" w:eastAsia="仿宋"/>
                <w:color w:val="auto"/>
                <w:sz w:val="24"/>
                <w:szCs w:val="24"/>
              </w:rPr>
              <w:t>以上3个方面，经磋商小组评定相关方案内容详尽、明确、清晰，阐述细致、透彻、条理清楚、思路清晰，对项目实际情况和关键难点把握充分，方案合理有效、有针对性、可行性和可操作性，完全满足项目需求的每项</w:t>
            </w:r>
            <w:r>
              <w:rPr>
                <w:rFonts w:ascii="仿宋" w:hAnsi="仿宋" w:eastAsia="仿宋"/>
                <w:color w:val="auto"/>
                <w:sz w:val="24"/>
                <w:szCs w:val="24"/>
              </w:rPr>
              <w:t>4</w:t>
            </w:r>
            <w:r>
              <w:rPr>
                <w:rFonts w:hint="eastAsia" w:ascii="仿宋" w:hAnsi="仿宋" w:eastAsia="仿宋"/>
                <w:color w:val="auto"/>
                <w:sz w:val="24"/>
                <w:szCs w:val="24"/>
              </w:rPr>
              <w:t>分，共</w:t>
            </w:r>
            <w:r>
              <w:rPr>
                <w:rFonts w:ascii="仿宋" w:hAnsi="仿宋" w:eastAsia="仿宋"/>
                <w:color w:val="auto"/>
                <w:sz w:val="24"/>
                <w:szCs w:val="24"/>
              </w:rPr>
              <w:t>12</w:t>
            </w:r>
            <w:r>
              <w:rPr>
                <w:rFonts w:hint="eastAsia" w:ascii="仿宋" w:hAnsi="仿宋" w:eastAsia="仿宋"/>
                <w:color w:val="auto"/>
                <w:sz w:val="24"/>
                <w:szCs w:val="24"/>
              </w:rPr>
              <w:t>分，否则磋商小组根据以下原则对每项内容进行扣分，扣完为止。</w:t>
            </w:r>
          </w:p>
          <w:p w14:paraId="42A8294E">
            <w:pPr>
              <w:spacing w:line="360" w:lineRule="auto"/>
              <w:rPr>
                <w:rFonts w:ascii="仿宋" w:hAnsi="仿宋" w:eastAsia="仿宋"/>
                <w:color w:val="auto"/>
                <w:sz w:val="24"/>
                <w:szCs w:val="24"/>
              </w:rPr>
            </w:pPr>
            <w:r>
              <w:rPr>
                <w:rFonts w:hint="eastAsia" w:ascii="仿宋" w:hAnsi="仿宋" w:eastAsia="仿宋"/>
                <w:color w:val="auto"/>
                <w:sz w:val="24"/>
                <w:szCs w:val="24"/>
              </w:rPr>
              <w:t>①以上内容每缺少一项的每项扣</w:t>
            </w:r>
            <w:r>
              <w:rPr>
                <w:rFonts w:ascii="仿宋" w:hAnsi="仿宋" w:eastAsia="仿宋"/>
                <w:color w:val="auto"/>
                <w:sz w:val="24"/>
                <w:szCs w:val="24"/>
              </w:rPr>
              <w:t>4</w:t>
            </w:r>
            <w:r>
              <w:rPr>
                <w:rFonts w:hint="eastAsia" w:ascii="仿宋" w:hAnsi="仿宋" w:eastAsia="仿宋"/>
                <w:color w:val="auto"/>
                <w:sz w:val="24"/>
                <w:szCs w:val="24"/>
              </w:rPr>
              <w:t>分。</w:t>
            </w:r>
          </w:p>
          <w:p w14:paraId="2868CAA6">
            <w:pPr>
              <w:spacing w:line="360" w:lineRule="auto"/>
              <w:rPr>
                <w:rFonts w:ascii="仿宋" w:hAnsi="仿宋" w:eastAsia="仿宋"/>
                <w:color w:val="auto"/>
                <w:sz w:val="24"/>
                <w:szCs w:val="24"/>
              </w:rPr>
            </w:pPr>
            <w:r>
              <w:rPr>
                <w:rFonts w:hint="eastAsia" w:ascii="仿宋" w:hAnsi="仿宋" w:eastAsia="仿宋"/>
                <w:color w:val="auto"/>
                <w:sz w:val="24"/>
                <w:szCs w:val="24"/>
              </w:rPr>
              <w:t>②以上内容存在缺陷的每项扣</w:t>
            </w:r>
            <w:r>
              <w:rPr>
                <w:rFonts w:ascii="仿宋" w:hAnsi="仿宋" w:eastAsia="仿宋"/>
                <w:color w:val="auto"/>
                <w:sz w:val="24"/>
                <w:szCs w:val="24"/>
              </w:rPr>
              <w:t>2</w:t>
            </w:r>
            <w:r>
              <w:rPr>
                <w:rFonts w:hint="eastAsia" w:ascii="仿宋" w:hAnsi="仿宋" w:eastAsia="仿宋"/>
                <w:color w:val="auto"/>
                <w:sz w:val="24"/>
                <w:szCs w:val="24"/>
              </w:rPr>
              <w:t>分（缺陷是指内容不完整或缺少关键点；非专门针对本项目或不适用本项目特性或套用其他项目内容；对同一问题前后表述矛盾；存在逻辑漏洞、科学原理或常识错误等任意一种不利于本项目目标实现的情形）。</w:t>
            </w:r>
          </w:p>
          <w:p w14:paraId="21055182">
            <w:pPr>
              <w:spacing w:line="360" w:lineRule="auto"/>
              <w:rPr>
                <w:rFonts w:ascii="仿宋" w:hAnsi="仿宋" w:eastAsia="仿宋"/>
                <w:color w:val="auto"/>
                <w:sz w:val="24"/>
                <w:szCs w:val="24"/>
              </w:rPr>
            </w:pPr>
            <w:r>
              <w:rPr>
                <w:rFonts w:hint="eastAsia" w:ascii="仿宋" w:hAnsi="仿宋" w:eastAsia="仿宋"/>
                <w:color w:val="auto"/>
                <w:sz w:val="24"/>
                <w:szCs w:val="24"/>
              </w:rPr>
              <w:t>③以上内容存在瑕疵的每项扣1分（瑕疵是指内容能保障项目进度、质量，满足项目需求情况下存在的缺点）。</w:t>
            </w:r>
          </w:p>
        </w:tc>
      </w:tr>
      <w:tr w14:paraId="0768F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86" w:hRule="atLeast"/>
          <w:jc w:val="center"/>
        </w:trPr>
        <w:tc>
          <w:tcPr>
            <w:tcW w:w="817" w:type="dxa"/>
            <w:vMerge w:val="continue"/>
          </w:tcPr>
          <w:p w14:paraId="072F79B7">
            <w:pPr>
              <w:spacing w:line="360" w:lineRule="auto"/>
              <w:ind w:left="-2"/>
              <w:jc w:val="center"/>
              <w:rPr>
                <w:rFonts w:ascii="仿宋" w:hAnsi="仿宋" w:eastAsia="仿宋" w:cs="宋体"/>
                <w:color w:val="auto"/>
                <w:sz w:val="24"/>
                <w:szCs w:val="24"/>
              </w:rPr>
            </w:pPr>
          </w:p>
        </w:tc>
        <w:tc>
          <w:tcPr>
            <w:tcW w:w="1134" w:type="dxa"/>
            <w:vMerge w:val="continue"/>
            <w:vAlign w:val="center"/>
          </w:tcPr>
          <w:p w14:paraId="406DC1F7">
            <w:pPr>
              <w:spacing w:line="360" w:lineRule="auto"/>
              <w:jc w:val="center"/>
              <w:rPr>
                <w:rFonts w:ascii="仿宋" w:hAnsi="仿宋" w:eastAsia="仿宋" w:cs="宋体"/>
                <w:color w:val="auto"/>
                <w:sz w:val="24"/>
                <w:szCs w:val="24"/>
              </w:rPr>
            </w:pPr>
          </w:p>
        </w:tc>
        <w:tc>
          <w:tcPr>
            <w:tcW w:w="1719" w:type="dxa"/>
            <w:vAlign w:val="center"/>
          </w:tcPr>
          <w:p w14:paraId="298ACC88">
            <w:pPr>
              <w:spacing w:line="480" w:lineRule="exact"/>
              <w:jc w:val="center"/>
              <w:rPr>
                <w:rFonts w:ascii="仿宋" w:hAnsi="仿宋" w:eastAsia="仿宋"/>
                <w:color w:val="auto"/>
                <w:sz w:val="24"/>
                <w:szCs w:val="24"/>
              </w:rPr>
            </w:pPr>
            <w:bookmarkStart w:id="154" w:name="OLE_LINK136"/>
            <w:r>
              <w:rPr>
                <w:rFonts w:hint="eastAsia" w:ascii="仿宋" w:hAnsi="仿宋" w:eastAsia="仿宋"/>
                <w:color w:val="auto"/>
                <w:sz w:val="24"/>
                <w:szCs w:val="24"/>
              </w:rPr>
              <w:t>拟派往本项目的人员服务能力评审评分</w:t>
            </w:r>
            <w:bookmarkEnd w:id="154"/>
            <w:r>
              <w:rPr>
                <w:rFonts w:hint="eastAsia" w:ascii="仿宋" w:hAnsi="仿宋" w:eastAsia="仿宋"/>
                <w:color w:val="auto"/>
                <w:sz w:val="24"/>
                <w:szCs w:val="24"/>
              </w:rPr>
              <w:t>（满分</w:t>
            </w:r>
            <w:r>
              <w:rPr>
                <w:rFonts w:ascii="仿宋" w:hAnsi="仿宋" w:eastAsia="仿宋"/>
                <w:color w:val="auto"/>
                <w:sz w:val="24"/>
                <w:szCs w:val="24"/>
              </w:rPr>
              <w:t>10</w:t>
            </w:r>
            <w:r>
              <w:rPr>
                <w:rFonts w:hint="eastAsia" w:ascii="仿宋" w:hAnsi="仿宋" w:eastAsia="仿宋"/>
                <w:color w:val="auto"/>
                <w:sz w:val="24"/>
                <w:szCs w:val="24"/>
              </w:rPr>
              <w:t>分）</w:t>
            </w:r>
          </w:p>
        </w:tc>
        <w:tc>
          <w:tcPr>
            <w:tcW w:w="5962" w:type="dxa"/>
            <w:gridSpan w:val="3"/>
            <w:vAlign w:val="center"/>
          </w:tcPr>
          <w:p w14:paraId="0BC656BE">
            <w:pPr>
              <w:spacing w:line="360" w:lineRule="auto"/>
              <w:rPr>
                <w:rFonts w:ascii="仿宋" w:hAnsi="仿宋" w:eastAsia="仿宋"/>
                <w:color w:val="auto"/>
                <w:sz w:val="24"/>
                <w:szCs w:val="24"/>
              </w:rPr>
            </w:pPr>
            <w:r>
              <w:rPr>
                <w:rFonts w:hint="eastAsia" w:ascii="仿宋" w:hAnsi="仿宋" w:eastAsia="仿宋"/>
                <w:b/>
                <w:color w:val="auto"/>
                <w:sz w:val="24"/>
                <w:szCs w:val="24"/>
              </w:rPr>
              <w:t>1、项目负责人能力(满分3分)</w:t>
            </w:r>
            <w:r>
              <w:rPr>
                <w:rFonts w:hint="eastAsia" w:ascii="仿宋" w:hAnsi="仿宋" w:eastAsia="仿宋"/>
                <w:color w:val="auto"/>
                <w:sz w:val="24"/>
                <w:szCs w:val="24"/>
              </w:rPr>
              <w:t>：</w:t>
            </w:r>
          </w:p>
          <w:p w14:paraId="4470E406">
            <w:pPr>
              <w:spacing w:line="360" w:lineRule="auto"/>
              <w:rPr>
                <w:rFonts w:ascii="仿宋" w:hAnsi="仿宋" w:eastAsia="仿宋"/>
                <w:color w:val="auto"/>
                <w:sz w:val="24"/>
                <w:szCs w:val="24"/>
              </w:rPr>
            </w:pPr>
            <w:bookmarkStart w:id="155" w:name="OLE_LINK138"/>
            <w:r>
              <w:rPr>
                <w:rFonts w:hint="eastAsia" w:ascii="仿宋" w:hAnsi="仿宋" w:eastAsia="仿宋"/>
                <w:color w:val="auto"/>
                <w:sz w:val="24"/>
                <w:szCs w:val="24"/>
              </w:rPr>
              <w:t>项目负责人每具有1项2023年1月1日至今的类似业绩的得1分，最多可得</w:t>
            </w:r>
            <w:bookmarkEnd w:id="155"/>
            <w:r>
              <w:rPr>
                <w:rFonts w:hint="eastAsia" w:ascii="仿宋" w:hAnsi="仿宋" w:eastAsia="仿宋"/>
                <w:color w:val="auto"/>
                <w:sz w:val="24"/>
                <w:szCs w:val="24"/>
              </w:rPr>
              <w:t>3分。</w:t>
            </w:r>
          </w:p>
          <w:p w14:paraId="43253E7C">
            <w:pPr>
              <w:spacing w:line="360" w:lineRule="auto"/>
              <w:rPr>
                <w:rFonts w:ascii="仿宋" w:hAnsi="仿宋" w:eastAsia="仿宋"/>
                <w:color w:val="auto"/>
                <w:sz w:val="24"/>
                <w:szCs w:val="24"/>
              </w:rPr>
            </w:pPr>
            <w:r>
              <w:rPr>
                <w:rFonts w:hint="eastAsia" w:ascii="仿宋" w:hAnsi="仿宋" w:eastAsia="仿宋"/>
                <w:color w:val="auto"/>
                <w:sz w:val="24"/>
                <w:szCs w:val="24"/>
              </w:rPr>
              <w:t>注：须提供业绩证明材料（如：中标通知书或合同材料，证明材料应能清晰反映主要内容、项目负责人姓名，否则不予认可）复印件。</w:t>
            </w:r>
          </w:p>
          <w:p w14:paraId="0593C3D2">
            <w:pPr>
              <w:spacing w:line="360" w:lineRule="auto"/>
              <w:rPr>
                <w:rFonts w:ascii="仿宋" w:hAnsi="仿宋" w:eastAsia="仿宋"/>
                <w:color w:val="auto"/>
                <w:sz w:val="24"/>
                <w:szCs w:val="24"/>
              </w:rPr>
            </w:pPr>
            <w:r>
              <w:rPr>
                <w:rFonts w:hint="eastAsia" w:ascii="仿宋" w:hAnsi="仿宋" w:eastAsia="仿宋"/>
                <w:b/>
                <w:color w:val="auto"/>
                <w:sz w:val="24"/>
                <w:szCs w:val="24"/>
              </w:rPr>
              <w:t>2、拟投入本项目的团队人员配置(满分</w:t>
            </w:r>
            <w:r>
              <w:rPr>
                <w:rFonts w:ascii="仿宋" w:hAnsi="仿宋" w:eastAsia="仿宋"/>
                <w:b/>
                <w:color w:val="auto"/>
                <w:sz w:val="24"/>
                <w:szCs w:val="24"/>
              </w:rPr>
              <w:t>7</w:t>
            </w:r>
            <w:r>
              <w:rPr>
                <w:rFonts w:hint="eastAsia" w:ascii="仿宋" w:hAnsi="仿宋" w:eastAsia="仿宋"/>
                <w:b/>
                <w:color w:val="auto"/>
                <w:sz w:val="24"/>
                <w:szCs w:val="24"/>
              </w:rPr>
              <w:t>分)</w:t>
            </w:r>
            <w:r>
              <w:rPr>
                <w:rFonts w:hint="eastAsia" w:ascii="仿宋" w:hAnsi="仿宋" w:eastAsia="仿宋"/>
                <w:color w:val="auto"/>
                <w:sz w:val="24"/>
                <w:szCs w:val="24"/>
              </w:rPr>
              <w:t>：</w:t>
            </w:r>
          </w:p>
          <w:p w14:paraId="6A21ECCF">
            <w:pPr>
              <w:spacing w:line="360" w:lineRule="auto"/>
              <w:rPr>
                <w:rFonts w:ascii="仿宋" w:hAnsi="仿宋" w:eastAsia="仿宋"/>
                <w:color w:val="auto"/>
                <w:sz w:val="24"/>
                <w:szCs w:val="24"/>
              </w:rPr>
            </w:pPr>
            <w:r>
              <w:rPr>
                <w:rFonts w:hint="eastAsia" w:ascii="仿宋" w:hAnsi="仿宋" w:eastAsia="仿宋"/>
                <w:color w:val="auto"/>
                <w:sz w:val="24"/>
                <w:szCs w:val="24"/>
              </w:rPr>
              <w:t>（1）团队人员需具备相应的专业能力，以满足每项服务要求，并精准匹配各项服务的技术需求，人员配置科学，专业结构合理，团队岗位职责明确清晰，分工科学合理的得</w:t>
            </w:r>
            <w:r>
              <w:rPr>
                <w:rFonts w:ascii="仿宋" w:hAnsi="仿宋" w:eastAsia="仿宋"/>
                <w:color w:val="auto"/>
                <w:sz w:val="24"/>
                <w:szCs w:val="24"/>
              </w:rPr>
              <w:t>7</w:t>
            </w:r>
            <w:r>
              <w:rPr>
                <w:rFonts w:hint="eastAsia" w:ascii="仿宋" w:hAnsi="仿宋" w:eastAsia="仿宋"/>
                <w:color w:val="auto"/>
                <w:sz w:val="24"/>
                <w:szCs w:val="24"/>
              </w:rPr>
              <w:t>分；</w:t>
            </w:r>
          </w:p>
          <w:p w14:paraId="336C1060">
            <w:pPr>
              <w:spacing w:line="360" w:lineRule="auto"/>
              <w:rPr>
                <w:rFonts w:ascii="仿宋" w:hAnsi="仿宋" w:eastAsia="仿宋"/>
                <w:color w:val="auto"/>
                <w:sz w:val="24"/>
                <w:szCs w:val="24"/>
              </w:rPr>
            </w:pPr>
            <w:r>
              <w:rPr>
                <w:rFonts w:hint="eastAsia" w:ascii="仿宋" w:hAnsi="仿宋" w:eastAsia="仿宋"/>
                <w:color w:val="auto"/>
                <w:sz w:val="24"/>
                <w:szCs w:val="24"/>
              </w:rPr>
              <w:t>（2）团队人员配置科学，专业结构合理，团队岗位职责明确但不清晰，分工合理的得</w:t>
            </w:r>
            <w:r>
              <w:rPr>
                <w:rFonts w:ascii="仿宋" w:hAnsi="仿宋" w:eastAsia="仿宋"/>
                <w:color w:val="auto"/>
                <w:sz w:val="24"/>
                <w:szCs w:val="24"/>
              </w:rPr>
              <w:t>4</w:t>
            </w:r>
            <w:r>
              <w:rPr>
                <w:rFonts w:hint="eastAsia" w:ascii="仿宋" w:hAnsi="仿宋" w:eastAsia="仿宋"/>
                <w:color w:val="auto"/>
                <w:sz w:val="24"/>
                <w:szCs w:val="24"/>
              </w:rPr>
              <w:t>分；</w:t>
            </w:r>
          </w:p>
          <w:p w14:paraId="04457A3D">
            <w:pPr>
              <w:spacing w:line="360" w:lineRule="auto"/>
              <w:rPr>
                <w:rFonts w:ascii="仿宋" w:hAnsi="仿宋" w:eastAsia="仿宋"/>
                <w:color w:val="auto"/>
                <w:sz w:val="24"/>
                <w:szCs w:val="24"/>
              </w:rPr>
            </w:pPr>
            <w:r>
              <w:rPr>
                <w:rFonts w:hint="eastAsia" w:ascii="仿宋" w:hAnsi="仿宋" w:eastAsia="仿宋"/>
                <w:color w:val="auto"/>
                <w:sz w:val="24"/>
                <w:szCs w:val="24"/>
              </w:rPr>
              <w:t>（3）团队人员配置不科学，专业结构不合理，团队岗位职责不明确，分工不合理的得</w:t>
            </w:r>
            <w:r>
              <w:rPr>
                <w:rFonts w:ascii="仿宋" w:hAnsi="仿宋" w:eastAsia="仿宋"/>
                <w:color w:val="auto"/>
                <w:sz w:val="24"/>
                <w:szCs w:val="24"/>
              </w:rPr>
              <w:t>1</w:t>
            </w:r>
            <w:r>
              <w:rPr>
                <w:rFonts w:hint="eastAsia" w:ascii="仿宋" w:hAnsi="仿宋" w:eastAsia="仿宋"/>
                <w:color w:val="auto"/>
                <w:sz w:val="24"/>
                <w:szCs w:val="24"/>
              </w:rPr>
              <w:t>分；</w:t>
            </w:r>
          </w:p>
          <w:p w14:paraId="56621F3E">
            <w:pPr>
              <w:spacing w:line="360" w:lineRule="auto"/>
              <w:rPr>
                <w:rFonts w:ascii="仿宋" w:hAnsi="仿宋" w:eastAsia="仿宋"/>
                <w:color w:val="auto"/>
                <w:sz w:val="24"/>
                <w:szCs w:val="24"/>
              </w:rPr>
            </w:pPr>
            <w:r>
              <w:rPr>
                <w:rFonts w:hint="eastAsia" w:ascii="仿宋" w:hAnsi="仿宋" w:eastAsia="仿宋"/>
                <w:color w:val="auto"/>
                <w:sz w:val="24"/>
                <w:szCs w:val="24"/>
              </w:rPr>
              <w:t>（4）没有人员配置的不得分。</w:t>
            </w:r>
          </w:p>
        </w:tc>
      </w:tr>
      <w:tr w14:paraId="21CA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17" w:type="dxa"/>
            <w:vMerge w:val="continue"/>
            <w:vAlign w:val="center"/>
          </w:tcPr>
          <w:p w14:paraId="65650A1C">
            <w:pPr>
              <w:spacing w:line="360" w:lineRule="auto"/>
              <w:ind w:left="-2"/>
              <w:jc w:val="center"/>
              <w:rPr>
                <w:rFonts w:ascii="仿宋" w:hAnsi="仿宋" w:eastAsia="仿宋" w:cs="宋体"/>
                <w:color w:val="auto"/>
                <w:sz w:val="24"/>
                <w:szCs w:val="24"/>
              </w:rPr>
            </w:pPr>
          </w:p>
        </w:tc>
        <w:tc>
          <w:tcPr>
            <w:tcW w:w="1134" w:type="dxa"/>
            <w:vMerge w:val="continue"/>
            <w:vAlign w:val="center"/>
          </w:tcPr>
          <w:p w14:paraId="2603A50F">
            <w:pPr>
              <w:spacing w:line="360" w:lineRule="auto"/>
              <w:jc w:val="center"/>
              <w:rPr>
                <w:rFonts w:ascii="仿宋" w:hAnsi="仿宋" w:eastAsia="仿宋" w:cs="宋体"/>
                <w:color w:val="auto"/>
                <w:sz w:val="24"/>
                <w:szCs w:val="24"/>
              </w:rPr>
            </w:pPr>
          </w:p>
        </w:tc>
        <w:tc>
          <w:tcPr>
            <w:tcW w:w="1719" w:type="dxa"/>
            <w:vAlign w:val="center"/>
          </w:tcPr>
          <w:p w14:paraId="10071D3F">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类似业绩评审评分（满分</w:t>
            </w:r>
            <w:r>
              <w:rPr>
                <w:rFonts w:ascii="仿宋" w:hAnsi="仿宋" w:eastAsia="仿宋" w:cs="宋体"/>
                <w:color w:val="auto"/>
                <w:sz w:val="24"/>
                <w:szCs w:val="24"/>
              </w:rPr>
              <w:t>4</w:t>
            </w:r>
            <w:r>
              <w:rPr>
                <w:rFonts w:hint="eastAsia" w:ascii="仿宋" w:hAnsi="仿宋" w:eastAsia="仿宋" w:cs="宋体"/>
                <w:color w:val="auto"/>
                <w:sz w:val="24"/>
                <w:szCs w:val="24"/>
              </w:rPr>
              <w:t>分）</w:t>
            </w:r>
          </w:p>
        </w:tc>
        <w:tc>
          <w:tcPr>
            <w:tcW w:w="5970" w:type="dxa"/>
            <w:gridSpan w:val="4"/>
          </w:tcPr>
          <w:p w14:paraId="20563223">
            <w:pPr>
              <w:spacing w:line="360" w:lineRule="auto"/>
              <w:jc w:val="left"/>
              <w:rPr>
                <w:rFonts w:ascii="仿宋" w:hAnsi="仿宋" w:eastAsia="仿宋"/>
                <w:color w:val="auto"/>
                <w:sz w:val="24"/>
                <w:szCs w:val="24"/>
              </w:rPr>
            </w:pPr>
            <w:r>
              <w:rPr>
                <w:rFonts w:hint="eastAsia" w:ascii="仿宋" w:hAnsi="仿宋" w:eastAsia="仿宋"/>
                <w:color w:val="auto"/>
                <w:sz w:val="24"/>
                <w:szCs w:val="24"/>
              </w:rPr>
              <w:t>供应商每具有1项2023年1月1日至今的类似业绩的得</w:t>
            </w:r>
            <w:r>
              <w:rPr>
                <w:rFonts w:ascii="仿宋" w:hAnsi="仿宋" w:eastAsia="仿宋"/>
                <w:color w:val="auto"/>
                <w:sz w:val="24"/>
                <w:szCs w:val="24"/>
              </w:rPr>
              <w:t>1</w:t>
            </w:r>
            <w:r>
              <w:rPr>
                <w:rFonts w:hint="eastAsia" w:ascii="仿宋" w:hAnsi="仿宋" w:eastAsia="仿宋"/>
                <w:color w:val="auto"/>
                <w:sz w:val="24"/>
                <w:szCs w:val="24"/>
              </w:rPr>
              <w:t>分，分数加满为止。</w:t>
            </w:r>
          </w:p>
          <w:p w14:paraId="5D6C87CA">
            <w:pPr>
              <w:autoSpaceDE w:val="0"/>
              <w:autoSpaceDN w:val="0"/>
              <w:adjustRightInd w:val="0"/>
              <w:spacing w:line="360" w:lineRule="auto"/>
              <w:jc w:val="left"/>
              <w:rPr>
                <w:rFonts w:ascii="仿宋" w:hAnsi="仿宋" w:eastAsia="仿宋" w:cs="宋体"/>
                <w:color w:val="auto"/>
                <w:sz w:val="24"/>
                <w:szCs w:val="24"/>
              </w:rPr>
            </w:pPr>
            <w:r>
              <w:rPr>
                <w:rFonts w:hint="eastAsia" w:ascii="仿宋" w:hAnsi="仿宋" w:eastAsia="仿宋"/>
                <w:b/>
                <w:color w:val="auto"/>
                <w:sz w:val="24"/>
                <w:szCs w:val="24"/>
              </w:rPr>
              <w:t>注：响应文件中应提供业绩证明材料（如：中标通知书或合同材料）复印件方为有效，因供应商所提供的业绩内容不明或不全，导致磋商小组无法认定时，视为未提供，不予赋分。</w:t>
            </w:r>
          </w:p>
        </w:tc>
      </w:tr>
      <w:tr w14:paraId="51D2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17" w:type="dxa"/>
            <w:vMerge w:val="continue"/>
            <w:vAlign w:val="center"/>
          </w:tcPr>
          <w:p w14:paraId="3EF3C331">
            <w:pPr>
              <w:spacing w:line="360" w:lineRule="auto"/>
              <w:ind w:left="-2"/>
              <w:jc w:val="center"/>
              <w:rPr>
                <w:rFonts w:ascii="仿宋" w:hAnsi="仿宋" w:eastAsia="仿宋" w:cs="宋体"/>
                <w:color w:val="auto"/>
                <w:sz w:val="24"/>
                <w:szCs w:val="24"/>
              </w:rPr>
            </w:pPr>
          </w:p>
        </w:tc>
        <w:tc>
          <w:tcPr>
            <w:tcW w:w="1134" w:type="dxa"/>
            <w:vMerge w:val="restart"/>
            <w:vAlign w:val="center"/>
          </w:tcPr>
          <w:p w14:paraId="62FA111A">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报价部分</w:t>
            </w:r>
          </w:p>
          <w:p w14:paraId="616C2CE1">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（满分</w:t>
            </w:r>
            <w:r>
              <w:rPr>
                <w:rFonts w:ascii="仿宋" w:hAnsi="仿宋" w:eastAsia="仿宋" w:cs="宋体"/>
                <w:color w:val="auto"/>
                <w:sz w:val="24"/>
                <w:szCs w:val="24"/>
              </w:rPr>
              <w:t>1</w:t>
            </w:r>
            <w:r>
              <w:rPr>
                <w:rFonts w:hint="eastAsia" w:ascii="仿宋" w:hAnsi="仿宋" w:eastAsia="仿宋" w:cs="宋体"/>
                <w:color w:val="auto"/>
                <w:sz w:val="24"/>
                <w:szCs w:val="24"/>
              </w:rPr>
              <w:t>0分）</w:t>
            </w:r>
          </w:p>
        </w:tc>
        <w:tc>
          <w:tcPr>
            <w:tcW w:w="1719" w:type="dxa"/>
            <w:vAlign w:val="center"/>
          </w:tcPr>
          <w:p w14:paraId="67093E88">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案件鉴定单价磋商报价评审评分（满分</w:t>
            </w:r>
            <w:r>
              <w:rPr>
                <w:rFonts w:ascii="仿宋" w:hAnsi="仿宋" w:eastAsia="仿宋" w:cs="宋体"/>
                <w:color w:val="auto"/>
                <w:sz w:val="24"/>
                <w:szCs w:val="24"/>
              </w:rPr>
              <w:t>5</w:t>
            </w:r>
            <w:r>
              <w:rPr>
                <w:rFonts w:hint="eastAsia" w:ascii="仿宋" w:hAnsi="仿宋" w:eastAsia="仿宋" w:cs="宋体"/>
                <w:color w:val="auto"/>
                <w:sz w:val="24"/>
                <w:szCs w:val="24"/>
              </w:rPr>
              <w:t>分）</w:t>
            </w:r>
          </w:p>
        </w:tc>
        <w:tc>
          <w:tcPr>
            <w:tcW w:w="5970" w:type="dxa"/>
            <w:gridSpan w:val="4"/>
          </w:tcPr>
          <w:p w14:paraId="401AA743">
            <w:pPr>
              <w:autoSpaceDE w:val="0"/>
              <w:autoSpaceDN w:val="0"/>
              <w:adjustRightIn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磋商报价得分统一采用低价优先法计算，即满足磋商文件要求且最终二次报价最低的磋商报价为磋商基准价，其价格分为满分。其他供应商的价格分统一按照下列公式计算：</w:t>
            </w:r>
          </w:p>
          <w:p w14:paraId="52309203">
            <w:pPr>
              <w:autoSpaceDE w:val="0"/>
              <w:autoSpaceDN w:val="0"/>
              <w:adjustRightIn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磋商报价得分=（磋商基准价/最后磋商报报价）×</w:t>
            </w:r>
            <w:r>
              <w:rPr>
                <w:rFonts w:ascii="仿宋" w:hAnsi="仿宋" w:eastAsia="仿宋" w:cs="宋体"/>
                <w:color w:val="auto"/>
                <w:sz w:val="24"/>
                <w:szCs w:val="24"/>
              </w:rPr>
              <w:t>5</w:t>
            </w:r>
          </w:p>
          <w:p w14:paraId="7AE3FD56">
            <w:pPr>
              <w:autoSpaceDE w:val="0"/>
              <w:autoSpaceDN w:val="0"/>
              <w:adjustRightIn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项目评审过程中，不得去掉最后报价中的最高报价和最低报价。</w:t>
            </w:r>
          </w:p>
        </w:tc>
      </w:tr>
      <w:tr w14:paraId="67A4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17" w:type="dxa"/>
            <w:vMerge w:val="continue"/>
            <w:vAlign w:val="center"/>
          </w:tcPr>
          <w:p w14:paraId="6B4C843F">
            <w:pPr>
              <w:spacing w:line="360" w:lineRule="auto"/>
              <w:ind w:left="-2"/>
              <w:jc w:val="center"/>
              <w:rPr>
                <w:rFonts w:ascii="仿宋" w:hAnsi="仿宋" w:eastAsia="仿宋" w:cs="宋体"/>
                <w:color w:val="auto"/>
                <w:sz w:val="24"/>
                <w:szCs w:val="24"/>
              </w:rPr>
            </w:pPr>
          </w:p>
        </w:tc>
        <w:tc>
          <w:tcPr>
            <w:tcW w:w="1134" w:type="dxa"/>
            <w:vMerge w:val="continue"/>
            <w:vAlign w:val="center"/>
          </w:tcPr>
          <w:p w14:paraId="78D9322F">
            <w:pPr>
              <w:spacing w:line="360" w:lineRule="auto"/>
              <w:jc w:val="center"/>
              <w:rPr>
                <w:rFonts w:ascii="仿宋" w:hAnsi="仿宋" w:eastAsia="仿宋" w:cs="宋体"/>
                <w:color w:val="auto"/>
                <w:sz w:val="24"/>
                <w:szCs w:val="24"/>
              </w:rPr>
            </w:pPr>
          </w:p>
        </w:tc>
        <w:tc>
          <w:tcPr>
            <w:tcW w:w="1719" w:type="dxa"/>
            <w:vAlign w:val="center"/>
          </w:tcPr>
          <w:p w14:paraId="766B922B">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鉴定面积单价磋商报价评审评分（满分</w:t>
            </w:r>
            <w:r>
              <w:rPr>
                <w:rFonts w:ascii="仿宋" w:hAnsi="仿宋" w:eastAsia="仿宋" w:cs="宋体"/>
                <w:color w:val="auto"/>
                <w:sz w:val="24"/>
                <w:szCs w:val="24"/>
              </w:rPr>
              <w:t>5</w:t>
            </w:r>
            <w:r>
              <w:rPr>
                <w:rFonts w:hint="eastAsia" w:ascii="仿宋" w:hAnsi="仿宋" w:eastAsia="仿宋" w:cs="宋体"/>
                <w:color w:val="auto"/>
                <w:sz w:val="24"/>
                <w:szCs w:val="24"/>
              </w:rPr>
              <w:t>分）</w:t>
            </w:r>
          </w:p>
        </w:tc>
        <w:tc>
          <w:tcPr>
            <w:tcW w:w="5970" w:type="dxa"/>
            <w:gridSpan w:val="4"/>
          </w:tcPr>
          <w:p w14:paraId="67A0126B">
            <w:pPr>
              <w:autoSpaceDE w:val="0"/>
              <w:autoSpaceDN w:val="0"/>
              <w:adjustRightIn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磋商报价得分统一采用低价优先法计算，即满足磋商文件要求且最终二次报价最低的磋商报价为磋商基准价，其价格分为满分。其他供应商的价格分统一按照下列公式计算：</w:t>
            </w:r>
          </w:p>
          <w:p w14:paraId="066BEFE8">
            <w:pPr>
              <w:autoSpaceDE w:val="0"/>
              <w:autoSpaceDN w:val="0"/>
              <w:adjustRightIn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磋商报价得分=（磋商基准价/最后磋商报报价）×</w:t>
            </w:r>
            <w:r>
              <w:rPr>
                <w:rFonts w:ascii="仿宋" w:hAnsi="仿宋" w:eastAsia="仿宋" w:cs="宋体"/>
                <w:color w:val="auto"/>
                <w:sz w:val="24"/>
                <w:szCs w:val="24"/>
              </w:rPr>
              <w:t>5</w:t>
            </w:r>
          </w:p>
          <w:p w14:paraId="0E1B4878">
            <w:pPr>
              <w:autoSpaceDE w:val="0"/>
              <w:autoSpaceDN w:val="0"/>
              <w:adjustRightIn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项目评审过程中，不得去掉最后报价中的最高报价和最低报价。</w:t>
            </w:r>
          </w:p>
        </w:tc>
      </w:tr>
      <w:tr w14:paraId="5D74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17" w:type="dxa"/>
            <w:vMerge w:val="continue"/>
            <w:vAlign w:val="center"/>
          </w:tcPr>
          <w:p w14:paraId="146F86FE">
            <w:pPr>
              <w:spacing w:line="360" w:lineRule="auto"/>
              <w:ind w:left="-2"/>
              <w:jc w:val="center"/>
              <w:rPr>
                <w:rFonts w:ascii="仿宋" w:hAnsi="仿宋" w:eastAsia="仿宋" w:cs="宋体"/>
                <w:color w:val="auto"/>
                <w:sz w:val="24"/>
                <w:szCs w:val="24"/>
              </w:rPr>
            </w:pPr>
          </w:p>
        </w:tc>
        <w:tc>
          <w:tcPr>
            <w:tcW w:w="1134" w:type="dxa"/>
            <w:vMerge w:val="continue"/>
            <w:vAlign w:val="center"/>
          </w:tcPr>
          <w:p w14:paraId="4C0F8F99">
            <w:pPr>
              <w:spacing w:line="360" w:lineRule="auto"/>
              <w:jc w:val="center"/>
              <w:rPr>
                <w:rFonts w:ascii="仿宋" w:hAnsi="仿宋" w:eastAsia="仿宋" w:cs="宋体"/>
                <w:color w:val="auto"/>
                <w:sz w:val="24"/>
                <w:szCs w:val="24"/>
              </w:rPr>
            </w:pPr>
          </w:p>
        </w:tc>
        <w:tc>
          <w:tcPr>
            <w:tcW w:w="7689" w:type="dxa"/>
            <w:gridSpan w:val="5"/>
            <w:vAlign w:val="center"/>
          </w:tcPr>
          <w:p w14:paraId="635EC6AE">
            <w:pPr>
              <w:spacing w:line="360" w:lineRule="auto"/>
              <w:rPr>
                <w:rFonts w:ascii="仿宋" w:hAnsi="仿宋" w:eastAsia="仿宋" w:cs="宋体"/>
                <w:b/>
                <w:color w:val="auto"/>
                <w:sz w:val="24"/>
                <w:szCs w:val="24"/>
              </w:rPr>
            </w:pPr>
            <w:r>
              <w:rPr>
                <w:rFonts w:hint="eastAsia" w:ascii="仿宋" w:hAnsi="仿宋" w:eastAsia="仿宋" w:cs="宋体"/>
                <w:b/>
                <w:color w:val="auto"/>
                <w:sz w:val="24"/>
                <w:szCs w:val="24"/>
              </w:rPr>
              <w:t>本项目非专门面向中小企业采购，小微企业价格扣除优惠比例：10%。</w:t>
            </w:r>
          </w:p>
          <w:p w14:paraId="66AF8C61">
            <w:pPr>
              <w:spacing w:line="360" w:lineRule="auto"/>
              <w:rPr>
                <w:rFonts w:ascii="仿宋" w:hAnsi="仿宋" w:eastAsia="仿宋" w:cs="宋体"/>
                <w:b/>
                <w:color w:val="auto"/>
                <w:sz w:val="24"/>
                <w:szCs w:val="24"/>
              </w:rPr>
            </w:pPr>
            <w:r>
              <w:rPr>
                <w:rFonts w:hint="eastAsia" w:ascii="仿宋" w:hAnsi="仿宋" w:eastAsia="仿宋" w:cs="宋体"/>
                <w:b/>
                <w:color w:val="auto"/>
                <w:sz w:val="24"/>
                <w:szCs w:val="24"/>
              </w:rPr>
              <w:t>注：1.在计算磋商报价得分时，对小型或微型企业的价格给予10%的扣除; 须提供《中小企业声明函》，因所提供材料不全导致磋商小组无法评定时，评标价格不予扣除。</w:t>
            </w:r>
          </w:p>
          <w:p w14:paraId="3219CCF8">
            <w:pPr>
              <w:spacing w:line="360" w:lineRule="auto"/>
              <w:rPr>
                <w:rFonts w:ascii="仿宋" w:hAnsi="仿宋" w:eastAsia="仿宋" w:cs="宋体"/>
                <w:b/>
                <w:color w:val="auto"/>
                <w:sz w:val="24"/>
                <w:szCs w:val="24"/>
              </w:rPr>
            </w:pPr>
            <w:r>
              <w:rPr>
                <w:rFonts w:hint="eastAsia" w:ascii="仿宋" w:hAnsi="仿宋" w:eastAsia="仿宋" w:cs="宋体"/>
                <w:b/>
                <w:color w:val="auto"/>
                <w:sz w:val="24"/>
                <w:szCs w:val="24"/>
              </w:rPr>
              <w:t>2.监狱企业、残疾人福利性单位均视同小型或微型企业;</w:t>
            </w:r>
          </w:p>
          <w:p w14:paraId="64938383">
            <w:pPr>
              <w:autoSpaceDE w:val="0"/>
              <w:autoSpaceDN w:val="0"/>
              <w:adjustRightInd w:val="0"/>
              <w:spacing w:line="360" w:lineRule="auto"/>
              <w:jc w:val="left"/>
              <w:rPr>
                <w:rFonts w:ascii="仿宋" w:hAnsi="仿宋" w:eastAsia="仿宋" w:cs="宋体"/>
                <w:color w:val="auto"/>
                <w:sz w:val="24"/>
                <w:szCs w:val="24"/>
              </w:rPr>
            </w:pPr>
            <w:r>
              <w:rPr>
                <w:rFonts w:hint="eastAsia" w:ascii="仿宋" w:hAnsi="仿宋" w:eastAsia="仿宋" w:cs="宋体"/>
                <w:b/>
                <w:color w:val="auto"/>
                <w:sz w:val="24"/>
                <w:szCs w:val="24"/>
              </w:rPr>
              <w:t>3.监狱企业或残疾人福利性单位属于小型、微型企业的，不重复享受政策，只进行一次价格扣除。</w:t>
            </w:r>
          </w:p>
        </w:tc>
      </w:tr>
    </w:tbl>
    <w:p w14:paraId="2FA18F10">
      <w:pPr>
        <w:jc w:val="center"/>
        <w:outlineLvl w:val="1"/>
        <w:rPr>
          <w:rFonts w:ascii="仿宋" w:hAnsi="仿宋" w:eastAsia="仿宋" w:cs="宋体"/>
          <w:b/>
          <w:color w:val="auto"/>
          <w:sz w:val="28"/>
          <w:szCs w:val="28"/>
        </w:rPr>
      </w:pPr>
      <w:bookmarkStart w:id="156" w:name="_Toc356201241"/>
      <w:bookmarkStart w:id="157" w:name="_Toc312067869"/>
      <w:bookmarkStart w:id="158" w:name="_Toc312067870"/>
      <w:bookmarkStart w:id="159" w:name="_Toc450311987"/>
      <w:bookmarkStart w:id="160" w:name="_Toc232004914"/>
      <w:bookmarkStart w:id="161" w:name="_Toc302769233"/>
      <w:bookmarkStart w:id="162" w:name="_Toc355944309"/>
      <w:bookmarkStart w:id="163" w:name="_Toc19253"/>
      <w:r>
        <w:rPr>
          <w:rFonts w:hint="eastAsia" w:ascii="仿宋" w:hAnsi="仿宋" w:eastAsia="仿宋" w:cs="宋体"/>
          <w:b/>
          <w:color w:val="auto"/>
          <w:sz w:val="30"/>
          <w:szCs w:val="30"/>
        </w:rPr>
        <w:t>二、评审办法</w:t>
      </w:r>
      <w:bookmarkEnd w:id="156"/>
      <w:bookmarkEnd w:id="157"/>
      <w:bookmarkEnd w:id="158"/>
      <w:bookmarkEnd w:id="159"/>
      <w:bookmarkEnd w:id="160"/>
      <w:bookmarkEnd w:id="161"/>
      <w:bookmarkEnd w:id="162"/>
      <w:bookmarkEnd w:id="163"/>
    </w:p>
    <w:p w14:paraId="335CEFB9">
      <w:pPr>
        <w:pStyle w:val="4"/>
        <w:spacing w:line="520" w:lineRule="exact"/>
        <w:jc w:val="both"/>
        <w:rPr>
          <w:rFonts w:ascii="仿宋" w:hAnsi="仿宋" w:eastAsia="仿宋" w:cs="宋体"/>
          <w:color w:val="auto"/>
          <w:kern w:val="44"/>
          <w:sz w:val="28"/>
          <w:szCs w:val="28"/>
        </w:rPr>
      </w:pPr>
      <w:bookmarkStart w:id="164" w:name="_Toc107502692"/>
      <w:bookmarkStart w:id="165" w:name="_Toc39770450"/>
      <w:bookmarkStart w:id="166" w:name="_Toc26952"/>
      <w:bookmarkStart w:id="167" w:name="_Toc450311988"/>
      <w:bookmarkStart w:id="168" w:name="_Toc276300661"/>
      <w:bookmarkStart w:id="169" w:name="_Toc232004915"/>
      <w:bookmarkStart w:id="170" w:name="_Toc275889753"/>
      <w:bookmarkStart w:id="171" w:name="_Toc430186539"/>
      <w:r>
        <w:rPr>
          <w:rFonts w:hint="eastAsia" w:ascii="仿宋" w:hAnsi="仿宋" w:eastAsia="仿宋" w:cs="宋体"/>
          <w:color w:val="auto"/>
          <w:kern w:val="44"/>
          <w:sz w:val="28"/>
          <w:szCs w:val="28"/>
        </w:rPr>
        <w:t>1、磋商小组</w:t>
      </w:r>
      <w:bookmarkEnd w:id="164"/>
      <w:bookmarkEnd w:id="165"/>
      <w:bookmarkEnd w:id="166"/>
      <w:bookmarkEnd w:id="167"/>
      <w:bookmarkEnd w:id="168"/>
      <w:bookmarkEnd w:id="169"/>
      <w:bookmarkEnd w:id="170"/>
      <w:bookmarkEnd w:id="171"/>
    </w:p>
    <w:p w14:paraId="2CB53A09">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1.1 本次磋商采购项目依法组建磋商小组；</w:t>
      </w:r>
    </w:p>
    <w:p w14:paraId="4F27D36B">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1.2 磋商原则：依照“公平、公正、科学、合法、保密”原则；</w:t>
      </w:r>
    </w:p>
    <w:p w14:paraId="2DD1A715">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1.3 磋商小组在磋商中，不得透露磋商的相关信息。响应文件有实质性变动的，磋商小组将告知所有参加磋商的供应商。</w:t>
      </w:r>
    </w:p>
    <w:p w14:paraId="2A24ABA0">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1.4 为有助于对响应文件的审查、评价和比较，磋商小组可对供应商进行技术质疑、询问，供应商在要求的时限内给予澄清或答疑。</w:t>
      </w:r>
    </w:p>
    <w:p w14:paraId="2A981FD9">
      <w:pPr>
        <w:pStyle w:val="4"/>
        <w:spacing w:before="240" w:line="520" w:lineRule="exact"/>
        <w:jc w:val="both"/>
        <w:rPr>
          <w:rFonts w:ascii="仿宋" w:hAnsi="仿宋" w:eastAsia="仿宋" w:cs="宋体"/>
          <w:color w:val="auto"/>
          <w:kern w:val="44"/>
          <w:sz w:val="28"/>
          <w:szCs w:val="28"/>
        </w:rPr>
      </w:pPr>
      <w:bookmarkStart w:id="172" w:name="_Toc39770451"/>
      <w:bookmarkStart w:id="173" w:name="_Toc275889754"/>
      <w:bookmarkStart w:id="174" w:name="_Toc450311989"/>
      <w:bookmarkStart w:id="175" w:name="_Toc107502693"/>
      <w:bookmarkStart w:id="176" w:name="_Toc276300662"/>
      <w:bookmarkStart w:id="177" w:name="_Toc232004916"/>
      <w:bookmarkStart w:id="178" w:name="_Toc20090"/>
      <w:bookmarkStart w:id="179" w:name="_Toc430186540"/>
      <w:r>
        <w:rPr>
          <w:rFonts w:hint="eastAsia" w:ascii="仿宋" w:hAnsi="仿宋" w:eastAsia="仿宋" w:cs="宋体"/>
          <w:color w:val="auto"/>
          <w:kern w:val="44"/>
          <w:sz w:val="28"/>
          <w:szCs w:val="28"/>
        </w:rPr>
        <w:t>2、磋商程序</w:t>
      </w:r>
      <w:bookmarkEnd w:id="172"/>
      <w:bookmarkEnd w:id="173"/>
      <w:bookmarkEnd w:id="174"/>
      <w:bookmarkEnd w:id="175"/>
      <w:bookmarkEnd w:id="176"/>
      <w:bookmarkEnd w:id="177"/>
      <w:bookmarkEnd w:id="178"/>
      <w:bookmarkEnd w:id="179"/>
    </w:p>
    <w:p w14:paraId="78125A4B">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2.1磋商会将于竞争性磋商文件规定的时间进行，磋商小组成员和采购人的代表出席，磋商的顺序按提交响应文件的顺序进行。</w:t>
      </w:r>
    </w:p>
    <w:p w14:paraId="01EC7A6F">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2.2参加磋商会的供应商代表应签名报到，并签字确认。</w:t>
      </w:r>
      <w:bookmarkStart w:id="180" w:name="_Toc17009857"/>
    </w:p>
    <w:p w14:paraId="463B0068">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2.3各供应商经过磋商，有唯一的最后报价机会。</w:t>
      </w:r>
    </w:p>
    <w:p w14:paraId="613C140C">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2.</w:t>
      </w:r>
      <w:bookmarkEnd w:id="180"/>
      <w:r>
        <w:rPr>
          <w:rFonts w:hint="eastAsia" w:ascii="仿宋" w:hAnsi="仿宋" w:eastAsia="仿宋" w:cs="宋体"/>
          <w:bCs/>
          <w:color w:val="auto"/>
          <w:sz w:val="24"/>
        </w:rPr>
        <w:t>4质疑与澄清：磋商小组认为有必要，可</w:t>
      </w:r>
      <w:r>
        <w:rPr>
          <w:rFonts w:hint="eastAsia" w:ascii="仿宋" w:hAnsi="仿宋" w:eastAsia="仿宋" w:cs="宋体"/>
          <w:color w:val="auto"/>
          <w:sz w:val="24"/>
        </w:rPr>
        <w:t>请供应商对</w:t>
      </w:r>
      <w:r>
        <w:rPr>
          <w:rFonts w:hint="eastAsia" w:ascii="仿宋" w:hAnsi="仿宋" w:eastAsia="仿宋" w:cs="宋体"/>
          <w:bCs/>
          <w:color w:val="auto"/>
          <w:sz w:val="24"/>
        </w:rPr>
        <w:t>其响应文件中的某些内容予以澄清明确或作出承诺。澄清明确或作出的承诺都应以书面形式进行，并由供应商法定代表人盖章，作为响应文件的组成部分。</w:t>
      </w:r>
    </w:p>
    <w:p w14:paraId="1D993CA7">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2.5如果所有响应文件不符合竞争性磋商文件要求时，磋商小组可否决所有</w:t>
      </w:r>
      <w:r>
        <w:rPr>
          <w:rFonts w:hint="eastAsia" w:ascii="仿宋" w:hAnsi="仿宋" w:eastAsia="仿宋" w:cs="宋体"/>
          <w:color w:val="auto"/>
          <w:sz w:val="24"/>
          <w:szCs w:val="24"/>
        </w:rPr>
        <w:t>响应</w:t>
      </w:r>
      <w:r>
        <w:rPr>
          <w:rFonts w:hint="eastAsia" w:ascii="仿宋" w:hAnsi="仿宋" w:eastAsia="仿宋" w:cs="宋体"/>
          <w:bCs/>
          <w:color w:val="auto"/>
          <w:sz w:val="24"/>
        </w:rPr>
        <w:t>文件并不做任何解释。</w:t>
      </w:r>
    </w:p>
    <w:p w14:paraId="762173D9">
      <w:pPr>
        <w:spacing w:line="520" w:lineRule="exact"/>
        <w:ind w:firstLine="480" w:firstLineChars="200"/>
        <w:rPr>
          <w:rFonts w:ascii="仿宋" w:hAnsi="仿宋" w:eastAsia="仿宋" w:cs="宋体"/>
          <w:bCs/>
          <w:color w:val="auto"/>
          <w:sz w:val="24"/>
        </w:rPr>
      </w:pPr>
      <w:r>
        <w:rPr>
          <w:rFonts w:ascii="仿宋" w:hAnsi="仿宋" w:eastAsia="仿宋" w:cs="宋体"/>
          <w:bCs/>
          <w:color w:val="auto"/>
          <w:sz w:val="24"/>
        </w:rPr>
        <w:t xml:space="preserve">2.6 </w:t>
      </w:r>
      <w:r>
        <w:rPr>
          <w:rFonts w:hint="eastAsia" w:ascii="仿宋" w:hAnsi="仿宋" w:eastAsia="仿宋" w:cs="宋体"/>
          <w:bCs/>
          <w:color w:val="auto"/>
          <w:sz w:val="24"/>
        </w:rPr>
        <w:t>需落实的采购政策</w:t>
      </w:r>
    </w:p>
    <w:p w14:paraId="28D3B5F3">
      <w:pPr>
        <w:spacing w:line="520" w:lineRule="exact"/>
        <w:ind w:firstLine="480" w:firstLineChars="200"/>
        <w:rPr>
          <w:rFonts w:ascii="仿宋" w:hAnsi="仿宋" w:eastAsia="仿宋" w:cs="宋体"/>
          <w:bCs/>
          <w:color w:val="auto"/>
          <w:sz w:val="24"/>
        </w:rPr>
      </w:pPr>
      <w:r>
        <w:rPr>
          <w:rFonts w:ascii="仿宋" w:hAnsi="仿宋" w:eastAsia="仿宋" w:cs="宋体"/>
          <w:bCs/>
          <w:color w:val="auto"/>
          <w:sz w:val="24"/>
        </w:rPr>
        <w:t>2.6.1</w:t>
      </w:r>
      <w:r>
        <w:rPr>
          <w:rFonts w:hint="eastAsia" w:ascii="仿宋" w:hAnsi="仿宋" w:eastAsia="仿宋" w:cs="宋体"/>
          <w:bCs/>
          <w:color w:val="auto"/>
          <w:sz w:val="24"/>
        </w:rPr>
        <w:t>中小企业</w:t>
      </w:r>
    </w:p>
    <w:p w14:paraId="368F83D3">
      <w:pPr>
        <w:spacing w:line="520" w:lineRule="exact"/>
        <w:ind w:firstLine="480" w:firstLineChars="200"/>
        <w:rPr>
          <w:rFonts w:ascii="仿宋" w:hAnsi="仿宋" w:eastAsia="仿宋" w:cs="宋体"/>
          <w:bCs/>
          <w:color w:val="auto"/>
          <w:sz w:val="24"/>
        </w:rPr>
      </w:pPr>
      <w:r>
        <w:rPr>
          <w:rFonts w:ascii="仿宋" w:hAnsi="仿宋" w:eastAsia="仿宋" w:cs="宋体"/>
          <w:bCs/>
          <w:color w:val="auto"/>
          <w:sz w:val="24"/>
        </w:rPr>
        <w:t>2.6.1</w:t>
      </w:r>
      <w:r>
        <w:rPr>
          <w:rFonts w:hint="eastAsia" w:ascii="仿宋" w:hAnsi="仿宋" w:eastAsia="仿宋" w:cs="宋体"/>
          <w:bCs/>
          <w:color w:val="auto"/>
          <w:sz w:val="24"/>
        </w:rPr>
        <w:t>.1根据《关于印发《政府采购促进中小企业发展管理办法》的通知》（财库〔2020〕46号）和《关于进一步加大政府采购支持中小企业力度的通知》（财库〔2022〕19号）等文件规定，中小企业是指在中华人民共和国境内依法设立，依据国务院批准的中小企业划分标准（详见国家统计局关于印发《统计上大中小微型企业划分办法（2017）》的通知）确定的中型企业、小型企业和微型企业，但与大企业的负责人为同一人，或者与大企业存在直接控股、管理关系的除外。符合中小企业划分标准的个体工商户，在政府采购活动中视同中小企业。</w:t>
      </w:r>
    </w:p>
    <w:p w14:paraId="3726F27D">
      <w:pPr>
        <w:spacing w:line="520" w:lineRule="exact"/>
        <w:ind w:firstLine="480" w:firstLineChars="200"/>
        <w:rPr>
          <w:rFonts w:ascii="仿宋" w:hAnsi="仿宋" w:eastAsia="仿宋" w:cs="宋体"/>
          <w:bCs/>
          <w:color w:val="auto"/>
          <w:sz w:val="24"/>
        </w:rPr>
      </w:pPr>
      <w:r>
        <w:rPr>
          <w:rFonts w:ascii="仿宋" w:hAnsi="仿宋" w:eastAsia="仿宋" w:cs="宋体"/>
          <w:bCs/>
          <w:color w:val="auto"/>
          <w:sz w:val="24"/>
        </w:rPr>
        <w:t>2.6.1</w:t>
      </w:r>
      <w:r>
        <w:rPr>
          <w:rFonts w:hint="eastAsia" w:ascii="仿宋" w:hAnsi="仿宋" w:eastAsia="仿宋" w:cs="宋体"/>
          <w:bCs/>
          <w:color w:val="auto"/>
          <w:sz w:val="24"/>
        </w:rPr>
        <w:t>.2在政府采购活动中，供应商提供的货物、工程或者服务符合下列情形的，享受《关于印发《政府采购促进中小企业发展管理办法》的通知》（财库〔2020〕46号）和《关于进一步加大政府采购支持中小企业力度的通知》（财库〔2022〕19号）规定的中小企业扶持政策：</w:t>
      </w:r>
    </w:p>
    <w:p w14:paraId="76666100">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（一）在货物采购项目中，货物由中小企业制造，即货物由中小企业生产且使用该中小企业商号或者注册商标；</w:t>
      </w:r>
    </w:p>
    <w:p w14:paraId="2C3137B5">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（二）在工程采购项目中，工程由中小企业承建，即工程施工单位为中小企业；</w:t>
      </w:r>
    </w:p>
    <w:p w14:paraId="1592AEF1">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（三）在服务采购项目中，服务由中小企业承接，即提供服务的人员为中小企业依照《中华人民共和国劳动合同法》订立劳动合同的从业人员。</w:t>
      </w:r>
    </w:p>
    <w:p w14:paraId="51B0F335">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在货物采购项目中，供应商提供的货物既有中小企业制造货物，也有大型企业制造货物的，不享受本办法规定的中小企业扶持政策。</w:t>
      </w:r>
    </w:p>
    <w:p w14:paraId="69B91F96">
      <w:pPr>
        <w:spacing w:line="520" w:lineRule="exact"/>
        <w:ind w:firstLine="480" w:firstLineChars="200"/>
        <w:rPr>
          <w:rFonts w:ascii="仿宋" w:hAnsi="仿宋" w:eastAsia="仿宋" w:cs="宋体"/>
          <w:bCs/>
          <w:color w:val="auto"/>
          <w:sz w:val="24"/>
        </w:rPr>
      </w:pPr>
      <w:r>
        <w:rPr>
          <w:rFonts w:ascii="仿宋" w:hAnsi="仿宋" w:eastAsia="仿宋" w:cs="宋体"/>
          <w:bCs/>
          <w:color w:val="auto"/>
          <w:sz w:val="24"/>
        </w:rPr>
        <w:t>2.6.1</w:t>
      </w:r>
      <w:r>
        <w:rPr>
          <w:rFonts w:hint="eastAsia" w:ascii="仿宋" w:hAnsi="仿宋" w:eastAsia="仿宋" w:cs="宋体"/>
          <w:bCs/>
          <w:color w:val="auto"/>
          <w:sz w:val="24"/>
        </w:rPr>
        <w:t>.3中小企业参加政府采购活动，应当出具《中小企业声明函》，否则不得享受相关中小企业扶持政策。</w:t>
      </w:r>
    </w:p>
    <w:p w14:paraId="20BB7688">
      <w:pPr>
        <w:spacing w:line="520" w:lineRule="exact"/>
        <w:ind w:firstLine="480" w:firstLineChars="200"/>
        <w:rPr>
          <w:rFonts w:ascii="仿宋" w:hAnsi="仿宋" w:eastAsia="仿宋" w:cs="宋体"/>
          <w:bCs/>
          <w:color w:val="auto"/>
          <w:sz w:val="24"/>
        </w:rPr>
      </w:pPr>
      <w:r>
        <w:rPr>
          <w:rFonts w:ascii="仿宋" w:hAnsi="仿宋" w:eastAsia="仿宋" w:cs="宋体"/>
          <w:bCs/>
          <w:color w:val="auto"/>
          <w:sz w:val="24"/>
        </w:rPr>
        <w:t>2.6.1</w:t>
      </w:r>
      <w:r>
        <w:rPr>
          <w:rFonts w:hint="eastAsia" w:ascii="仿宋" w:hAnsi="仿宋" w:eastAsia="仿宋" w:cs="宋体"/>
          <w:bCs/>
          <w:color w:val="auto"/>
          <w:sz w:val="24"/>
        </w:rPr>
        <w:t>.4依据《关于印发《政府采购促进中小企业发展管理办法》的通知》（财库〔2020〕46号）和《关于进一步加大政府采购支持中小企业力度的通知》（财库〔2022〕19号）规定享受扶持政策获得政府采购合同的，小微企业不得将合同分包给大中型企业，中型企业不得将合同分包给大型企业。</w:t>
      </w:r>
    </w:p>
    <w:p w14:paraId="2068DDA7">
      <w:pPr>
        <w:spacing w:line="520" w:lineRule="exact"/>
        <w:ind w:firstLine="480" w:firstLineChars="200"/>
        <w:rPr>
          <w:rFonts w:ascii="仿宋" w:hAnsi="仿宋" w:eastAsia="仿宋" w:cs="宋体"/>
          <w:bCs/>
          <w:color w:val="auto"/>
          <w:sz w:val="24"/>
        </w:rPr>
      </w:pPr>
      <w:r>
        <w:rPr>
          <w:rFonts w:ascii="仿宋" w:hAnsi="仿宋" w:eastAsia="仿宋" w:cs="宋体"/>
          <w:bCs/>
          <w:color w:val="auto"/>
          <w:sz w:val="24"/>
        </w:rPr>
        <w:t>2</w:t>
      </w:r>
      <w:r>
        <w:rPr>
          <w:rFonts w:hint="eastAsia" w:ascii="仿宋" w:hAnsi="仿宋" w:eastAsia="仿宋" w:cs="宋体"/>
          <w:bCs/>
          <w:color w:val="auto"/>
          <w:sz w:val="24"/>
        </w:rPr>
        <w:t>.2监狱企业</w:t>
      </w:r>
    </w:p>
    <w:p w14:paraId="64E80976">
      <w:pPr>
        <w:spacing w:line="520" w:lineRule="exact"/>
        <w:ind w:firstLine="480" w:firstLineChars="200"/>
        <w:rPr>
          <w:rFonts w:ascii="仿宋" w:hAnsi="仿宋" w:eastAsia="仿宋" w:cs="宋体"/>
          <w:bCs/>
          <w:color w:val="auto"/>
          <w:sz w:val="24"/>
        </w:rPr>
      </w:pPr>
      <w:r>
        <w:rPr>
          <w:rFonts w:ascii="仿宋" w:hAnsi="仿宋" w:eastAsia="仿宋" w:cs="宋体"/>
          <w:bCs/>
          <w:color w:val="auto"/>
          <w:sz w:val="24"/>
        </w:rPr>
        <w:t>2</w:t>
      </w:r>
      <w:r>
        <w:rPr>
          <w:rFonts w:hint="eastAsia" w:ascii="仿宋" w:hAnsi="仿宋" w:eastAsia="仿宋" w:cs="宋体"/>
          <w:bCs/>
          <w:color w:val="auto"/>
          <w:sz w:val="24"/>
        </w:rPr>
        <w:t>.2.1根据《财政部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1EA1DC">
      <w:pPr>
        <w:spacing w:line="520" w:lineRule="exact"/>
        <w:ind w:firstLine="480" w:firstLineChars="200"/>
        <w:rPr>
          <w:rFonts w:ascii="仿宋" w:hAnsi="仿宋" w:eastAsia="仿宋" w:cs="宋体"/>
          <w:bCs/>
          <w:color w:val="auto"/>
          <w:sz w:val="24"/>
        </w:rPr>
      </w:pPr>
      <w:r>
        <w:rPr>
          <w:rFonts w:ascii="仿宋" w:hAnsi="仿宋" w:eastAsia="仿宋" w:cs="宋体"/>
          <w:bCs/>
          <w:color w:val="auto"/>
          <w:sz w:val="24"/>
        </w:rPr>
        <w:t>2</w:t>
      </w:r>
      <w:r>
        <w:rPr>
          <w:rFonts w:hint="eastAsia" w:ascii="仿宋" w:hAnsi="仿宋" w:eastAsia="仿宋" w:cs="宋体"/>
          <w:bCs/>
          <w:color w:val="auto"/>
          <w:sz w:val="24"/>
        </w:rPr>
        <w:t>.2.2监狱企业参加政府采购活动时，应当提供由省级以上监狱管理局、戒毒管理局（含新疆生产建设兵团）出具的属于监狱企业的证明文件。</w:t>
      </w:r>
    </w:p>
    <w:p w14:paraId="162B2585">
      <w:pPr>
        <w:spacing w:line="520" w:lineRule="exact"/>
        <w:ind w:firstLine="480" w:firstLineChars="200"/>
        <w:rPr>
          <w:rFonts w:ascii="仿宋" w:hAnsi="仿宋" w:eastAsia="仿宋" w:cs="宋体"/>
          <w:bCs/>
          <w:color w:val="auto"/>
          <w:sz w:val="24"/>
        </w:rPr>
      </w:pPr>
      <w:r>
        <w:rPr>
          <w:rFonts w:ascii="仿宋" w:hAnsi="仿宋" w:eastAsia="仿宋" w:cs="宋体"/>
          <w:bCs/>
          <w:color w:val="auto"/>
          <w:sz w:val="24"/>
        </w:rPr>
        <w:t>2</w:t>
      </w:r>
      <w:r>
        <w:rPr>
          <w:rFonts w:hint="eastAsia" w:ascii="仿宋" w:hAnsi="仿宋" w:eastAsia="仿宋" w:cs="宋体"/>
          <w:bCs/>
          <w:color w:val="auto"/>
          <w:sz w:val="24"/>
        </w:rPr>
        <w:t>.2.3在政府采购活动中，监狱企业视同小型、微型企业。</w:t>
      </w:r>
    </w:p>
    <w:p w14:paraId="46341BC5">
      <w:pPr>
        <w:spacing w:line="520" w:lineRule="exact"/>
        <w:ind w:firstLine="480" w:firstLineChars="200"/>
        <w:rPr>
          <w:rFonts w:ascii="仿宋" w:hAnsi="仿宋" w:eastAsia="仿宋" w:cs="宋体"/>
          <w:bCs/>
          <w:color w:val="auto"/>
          <w:sz w:val="24"/>
        </w:rPr>
      </w:pPr>
      <w:r>
        <w:rPr>
          <w:rFonts w:ascii="仿宋" w:hAnsi="仿宋" w:eastAsia="仿宋" w:cs="宋体"/>
          <w:bCs/>
          <w:color w:val="auto"/>
          <w:sz w:val="24"/>
        </w:rPr>
        <w:t>2</w:t>
      </w:r>
      <w:r>
        <w:rPr>
          <w:rFonts w:hint="eastAsia" w:ascii="仿宋" w:hAnsi="仿宋" w:eastAsia="仿宋" w:cs="宋体"/>
          <w:bCs/>
          <w:color w:val="auto"/>
          <w:sz w:val="24"/>
        </w:rPr>
        <w:t>.3残疾人福利性单位</w:t>
      </w:r>
    </w:p>
    <w:p w14:paraId="79944C51">
      <w:pPr>
        <w:spacing w:line="520" w:lineRule="exact"/>
        <w:ind w:firstLine="480" w:firstLineChars="200"/>
        <w:rPr>
          <w:rFonts w:ascii="仿宋" w:hAnsi="仿宋" w:eastAsia="仿宋" w:cs="宋体"/>
          <w:bCs/>
          <w:color w:val="auto"/>
          <w:sz w:val="24"/>
        </w:rPr>
      </w:pPr>
      <w:r>
        <w:rPr>
          <w:rFonts w:ascii="仿宋" w:hAnsi="仿宋" w:eastAsia="仿宋" w:cs="宋体"/>
          <w:bCs/>
          <w:color w:val="auto"/>
          <w:sz w:val="24"/>
        </w:rPr>
        <w:t>2</w:t>
      </w:r>
      <w:r>
        <w:rPr>
          <w:rFonts w:hint="eastAsia" w:ascii="仿宋" w:hAnsi="仿宋" w:eastAsia="仿宋" w:cs="宋体"/>
          <w:bCs/>
          <w:color w:val="auto"/>
          <w:sz w:val="24"/>
        </w:rPr>
        <w:t>.3.1根据《三部门联合发布关于促进残疾人就业政府采购政策的通知》（财库〔2017〕141号）的规定，享受政府采购支持政策的残疾人福利性单位应当同时满足以下条件：</w:t>
      </w:r>
    </w:p>
    <w:p w14:paraId="5A544AF6">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（一）安置的残疾人占本单位在职职工人数的比例不低于25%（含25%），并且安置的残疾人人数不少于10人（含10人）；</w:t>
      </w:r>
    </w:p>
    <w:p w14:paraId="56F9D73A">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（二）依法与安置的每位残疾人签订了一年以上（含一年）的劳动合同或服务协议；</w:t>
      </w:r>
    </w:p>
    <w:p w14:paraId="4A5B8483">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（三）为安置的每位残疾人按月足额缴纳了基本养老保险、基本医疗保险、失业保险、工伤保险和生育保险等社会保险费；</w:t>
      </w:r>
    </w:p>
    <w:p w14:paraId="6677C179">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（四）通过银行等金融机构向安置的每位残疾人，按月支付了不低于单位所在区县适用的经省级人民政府批准的月最低工资标准的工资；</w:t>
      </w:r>
    </w:p>
    <w:p w14:paraId="2052639E">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（五）提供本单位制造的货物、承担的工程或者服务（以下简称产品），或者提供其他残疾人福利性单位制造的货物（不包括使用非残疾人福利性单位注册商标的货物）。</w:t>
      </w:r>
    </w:p>
    <w:p w14:paraId="26558BE5">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754B712">
      <w:pPr>
        <w:spacing w:line="520" w:lineRule="exact"/>
        <w:ind w:firstLine="480" w:firstLineChars="200"/>
        <w:rPr>
          <w:rFonts w:ascii="仿宋" w:hAnsi="仿宋" w:eastAsia="仿宋" w:cs="宋体"/>
          <w:bCs/>
          <w:color w:val="auto"/>
          <w:sz w:val="24"/>
        </w:rPr>
      </w:pPr>
      <w:r>
        <w:rPr>
          <w:rFonts w:ascii="仿宋" w:hAnsi="仿宋" w:eastAsia="仿宋" w:cs="宋体"/>
          <w:bCs/>
          <w:color w:val="auto"/>
          <w:sz w:val="24"/>
        </w:rPr>
        <w:t>2</w:t>
      </w:r>
      <w:r>
        <w:rPr>
          <w:rFonts w:hint="eastAsia" w:ascii="仿宋" w:hAnsi="仿宋" w:eastAsia="仿宋" w:cs="宋体"/>
          <w:bCs/>
          <w:color w:val="auto"/>
          <w:sz w:val="24"/>
        </w:rPr>
        <w:t>.3.2符合条件的残疾人福利性单位在参加政府采购活动时，应当按《关于促进残疾人就业政府采购政策的通知》（财库〔2017〕141号）提供规定的《残疾人福利性单位声明函》，并对声明的真实性负责。</w:t>
      </w:r>
    </w:p>
    <w:p w14:paraId="63FF87B0">
      <w:pPr>
        <w:spacing w:line="520" w:lineRule="exact"/>
        <w:ind w:firstLine="480" w:firstLineChars="200"/>
        <w:rPr>
          <w:rFonts w:ascii="仿宋" w:hAnsi="仿宋" w:eastAsia="仿宋" w:cs="宋体"/>
          <w:bCs/>
          <w:color w:val="auto"/>
          <w:sz w:val="24"/>
        </w:rPr>
      </w:pPr>
      <w:r>
        <w:rPr>
          <w:rFonts w:ascii="仿宋" w:hAnsi="仿宋" w:eastAsia="仿宋" w:cs="宋体"/>
          <w:bCs/>
          <w:color w:val="auto"/>
          <w:sz w:val="24"/>
        </w:rPr>
        <w:t>2</w:t>
      </w:r>
      <w:r>
        <w:rPr>
          <w:rFonts w:hint="eastAsia" w:ascii="仿宋" w:hAnsi="仿宋" w:eastAsia="仿宋" w:cs="宋体"/>
          <w:bCs/>
          <w:color w:val="auto"/>
          <w:sz w:val="24"/>
        </w:rPr>
        <w:t>.3.3在政府采购活动中，残疾人福利性单位视同小型、微型企业。</w:t>
      </w:r>
    </w:p>
    <w:p w14:paraId="3E0F07E7">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2.</w:t>
      </w:r>
      <w:r>
        <w:rPr>
          <w:rFonts w:ascii="仿宋" w:hAnsi="仿宋" w:eastAsia="仿宋" w:cs="宋体"/>
          <w:bCs/>
          <w:color w:val="auto"/>
          <w:sz w:val="24"/>
        </w:rPr>
        <w:t>3.4</w:t>
      </w:r>
      <w:r>
        <w:rPr>
          <w:rFonts w:hint="eastAsia" w:ascii="仿宋" w:hAnsi="仿宋" w:eastAsia="仿宋" w:cs="宋体"/>
          <w:b/>
          <w:color w:val="auto"/>
          <w:sz w:val="24"/>
          <w:szCs w:val="24"/>
        </w:rPr>
        <w:t>本项目非专门面向中小企业采购，小微企业价格扣除优惠比例：10%</w:t>
      </w:r>
      <w:r>
        <w:rPr>
          <w:rFonts w:hint="eastAsia" w:ascii="仿宋" w:hAnsi="仿宋" w:eastAsia="仿宋" w:cs="宋体"/>
          <w:bCs/>
          <w:color w:val="auto"/>
          <w:sz w:val="24"/>
        </w:rPr>
        <w:t>。</w:t>
      </w:r>
    </w:p>
    <w:p w14:paraId="1EDA8AE1">
      <w:pPr>
        <w:pStyle w:val="4"/>
        <w:spacing w:before="240" w:after="240" w:line="520" w:lineRule="exact"/>
        <w:jc w:val="both"/>
        <w:rPr>
          <w:rFonts w:ascii="仿宋" w:hAnsi="仿宋" w:eastAsia="仿宋" w:cs="宋体"/>
          <w:color w:val="auto"/>
          <w:kern w:val="44"/>
          <w:sz w:val="28"/>
          <w:szCs w:val="28"/>
        </w:rPr>
      </w:pPr>
      <w:bookmarkStart w:id="181" w:name="_Toc39770452"/>
      <w:bookmarkStart w:id="182" w:name="_Toc430186541"/>
      <w:bookmarkStart w:id="183" w:name="_Toc450311990"/>
      <w:bookmarkStart w:id="184" w:name="_Toc107502694"/>
      <w:bookmarkStart w:id="185" w:name="_Toc6873"/>
      <w:bookmarkStart w:id="186" w:name="_Toc275889755"/>
      <w:bookmarkStart w:id="187" w:name="_Toc276300663"/>
      <w:bookmarkStart w:id="188" w:name="_Toc232004917"/>
      <w:r>
        <w:rPr>
          <w:rFonts w:hint="eastAsia" w:ascii="仿宋" w:hAnsi="仿宋" w:eastAsia="仿宋" w:cs="宋体"/>
          <w:color w:val="auto"/>
          <w:kern w:val="44"/>
          <w:sz w:val="28"/>
          <w:szCs w:val="28"/>
        </w:rPr>
        <w:t>3、评审</w:t>
      </w:r>
      <w:bookmarkEnd w:id="181"/>
      <w:bookmarkEnd w:id="182"/>
      <w:bookmarkEnd w:id="183"/>
      <w:bookmarkEnd w:id="184"/>
      <w:bookmarkEnd w:id="185"/>
      <w:bookmarkEnd w:id="186"/>
      <w:bookmarkEnd w:id="187"/>
      <w:r>
        <w:rPr>
          <w:rFonts w:hint="eastAsia" w:ascii="仿宋" w:hAnsi="仿宋" w:eastAsia="仿宋" w:cs="宋体"/>
          <w:color w:val="auto"/>
          <w:kern w:val="44"/>
          <w:sz w:val="28"/>
          <w:szCs w:val="28"/>
        </w:rPr>
        <w:t>程序和标准</w:t>
      </w:r>
      <w:bookmarkEnd w:id="188"/>
    </w:p>
    <w:p w14:paraId="048E2271">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3</w:t>
      </w:r>
      <w:r>
        <w:rPr>
          <w:rFonts w:ascii="仿宋" w:hAnsi="仿宋" w:eastAsia="仿宋" w:cs="宋体"/>
          <w:bCs/>
          <w:color w:val="auto"/>
          <w:sz w:val="24"/>
        </w:rPr>
        <w:t>.1</w:t>
      </w:r>
      <w:r>
        <w:rPr>
          <w:rFonts w:hint="eastAsia" w:ascii="仿宋" w:hAnsi="仿宋" w:eastAsia="仿宋" w:cs="宋体"/>
          <w:bCs/>
          <w:color w:val="auto"/>
          <w:sz w:val="24"/>
        </w:rPr>
        <w:t>采购代理机构根据采购项目的特点依法组建磋商小组，对全部</w:t>
      </w:r>
      <w:r>
        <w:rPr>
          <w:rFonts w:hint="eastAsia" w:ascii="仿宋" w:hAnsi="仿宋" w:eastAsia="仿宋" w:cs="宋体"/>
          <w:color w:val="auto"/>
          <w:sz w:val="24"/>
          <w:szCs w:val="24"/>
        </w:rPr>
        <w:t>响应</w:t>
      </w:r>
      <w:r>
        <w:rPr>
          <w:rFonts w:hint="eastAsia" w:ascii="仿宋" w:hAnsi="仿宋" w:eastAsia="仿宋" w:cs="宋体"/>
          <w:bCs/>
          <w:color w:val="auto"/>
          <w:sz w:val="24"/>
        </w:rPr>
        <w:t>文件进行评审，对实质性响应竞争性磋商文件要求的</w:t>
      </w:r>
      <w:r>
        <w:rPr>
          <w:rFonts w:hint="eastAsia" w:ascii="仿宋" w:hAnsi="仿宋" w:eastAsia="仿宋" w:cs="宋体"/>
          <w:color w:val="auto"/>
          <w:sz w:val="24"/>
          <w:szCs w:val="24"/>
        </w:rPr>
        <w:t>响应</w:t>
      </w:r>
      <w:r>
        <w:rPr>
          <w:rFonts w:hint="eastAsia" w:ascii="仿宋" w:hAnsi="仿宋" w:eastAsia="仿宋" w:cs="宋体"/>
          <w:bCs/>
          <w:color w:val="auto"/>
          <w:sz w:val="24"/>
        </w:rPr>
        <w:t>文件进行综合评议和比较。</w:t>
      </w:r>
    </w:p>
    <w:p w14:paraId="2EF33992">
      <w:pPr>
        <w:spacing w:line="520" w:lineRule="exact"/>
        <w:ind w:firstLine="480" w:firstLineChars="200"/>
        <w:rPr>
          <w:rFonts w:ascii="仿宋" w:hAnsi="仿宋" w:eastAsia="仿宋" w:cs="宋体"/>
          <w:bCs/>
          <w:color w:val="auto"/>
          <w:sz w:val="24"/>
        </w:rPr>
      </w:pPr>
      <w:r>
        <w:rPr>
          <w:rFonts w:ascii="仿宋" w:hAnsi="仿宋" w:eastAsia="仿宋" w:cs="宋体"/>
          <w:bCs/>
          <w:color w:val="auto"/>
          <w:sz w:val="24"/>
        </w:rPr>
        <w:t>3.2</w:t>
      </w:r>
      <w:r>
        <w:rPr>
          <w:rFonts w:hint="eastAsia" w:ascii="仿宋" w:hAnsi="仿宋" w:eastAsia="仿宋" w:cs="宋体"/>
          <w:bCs/>
          <w:color w:val="auto"/>
          <w:sz w:val="24"/>
        </w:rPr>
        <w:t>磋商小组负责评审活动，向采购人推荐成交候选供应商或者根据采购人的授权直接确定成交供应商。</w:t>
      </w:r>
    </w:p>
    <w:p w14:paraId="1DC30A6E">
      <w:pPr>
        <w:spacing w:line="520" w:lineRule="exact"/>
        <w:ind w:firstLine="480" w:firstLineChars="200"/>
        <w:rPr>
          <w:rFonts w:ascii="仿宋" w:hAnsi="仿宋" w:eastAsia="仿宋" w:cs="宋体"/>
          <w:bCs/>
          <w:color w:val="auto"/>
          <w:sz w:val="24"/>
        </w:rPr>
      </w:pPr>
      <w:r>
        <w:rPr>
          <w:rFonts w:ascii="仿宋" w:hAnsi="仿宋" w:eastAsia="仿宋" w:cs="宋体"/>
          <w:bCs/>
          <w:color w:val="auto"/>
          <w:sz w:val="24"/>
        </w:rPr>
        <w:t>3.3</w:t>
      </w:r>
      <w:r>
        <w:rPr>
          <w:rFonts w:hint="eastAsia" w:ascii="仿宋" w:hAnsi="仿宋" w:eastAsia="仿宋" w:cs="宋体"/>
          <w:bCs/>
          <w:color w:val="auto"/>
          <w:sz w:val="24"/>
        </w:rPr>
        <w:t>磋商小组成员由随机抽取的专家组成，人数为3人或3人以上单数。</w:t>
      </w:r>
    </w:p>
    <w:p w14:paraId="2629D7FB">
      <w:pPr>
        <w:spacing w:line="520" w:lineRule="exact"/>
        <w:ind w:firstLine="480" w:firstLineChars="200"/>
        <w:rPr>
          <w:rFonts w:ascii="仿宋" w:hAnsi="仿宋" w:eastAsia="仿宋" w:cs="宋体"/>
          <w:bCs/>
          <w:color w:val="auto"/>
          <w:sz w:val="24"/>
        </w:rPr>
      </w:pPr>
      <w:r>
        <w:rPr>
          <w:rFonts w:ascii="仿宋" w:hAnsi="仿宋" w:eastAsia="仿宋" w:cs="宋体"/>
          <w:bCs/>
          <w:color w:val="auto"/>
          <w:sz w:val="24"/>
        </w:rPr>
        <w:t>3.4</w:t>
      </w:r>
      <w:r>
        <w:rPr>
          <w:rFonts w:hint="eastAsia" w:ascii="仿宋" w:hAnsi="仿宋" w:eastAsia="仿宋" w:cs="宋体"/>
          <w:bCs/>
          <w:color w:val="auto"/>
          <w:sz w:val="24"/>
        </w:rPr>
        <w:t>磋商小组成员名单在成交结果确定前应当保密。</w:t>
      </w:r>
    </w:p>
    <w:p w14:paraId="343EF025">
      <w:pPr>
        <w:spacing w:line="520" w:lineRule="exact"/>
        <w:ind w:firstLine="480" w:firstLineChars="200"/>
        <w:rPr>
          <w:rFonts w:ascii="仿宋" w:hAnsi="仿宋" w:eastAsia="仿宋" w:cs="宋体"/>
          <w:bCs/>
          <w:color w:val="auto"/>
          <w:sz w:val="24"/>
        </w:rPr>
      </w:pPr>
      <w:r>
        <w:rPr>
          <w:rFonts w:ascii="仿宋" w:hAnsi="仿宋" w:eastAsia="仿宋" w:cs="宋体"/>
          <w:color w:val="auto"/>
          <w:sz w:val="24"/>
          <w:szCs w:val="24"/>
        </w:rPr>
        <w:t>3.5</w:t>
      </w:r>
      <w:r>
        <w:rPr>
          <w:rFonts w:hint="eastAsia" w:ascii="仿宋" w:hAnsi="仿宋" w:eastAsia="仿宋" w:cs="宋体"/>
          <w:color w:val="auto"/>
          <w:sz w:val="24"/>
          <w:szCs w:val="24"/>
        </w:rPr>
        <w:t>响应</w:t>
      </w:r>
      <w:r>
        <w:rPr>
          <w:rFonts w:hint="eastAsia" w:ascii="仿宋" w:hAnsi="仿宋" w:eastAsia="仿宋" w:cs="宋体"/>
          <w:bCs/>
          <w:color w:val="auto"/>
          <w:sz w:val="24"/>
        </w:rPr>
        <w:t>文件满足磋商文件全部实质性要求且按评审因素的量化指标评审得分最高的供应商为成交候选供应商。</w:t>
      </w:r>
    </w:p>
    <w:p w14:paraId="7EA5E5F6">
      <w:pPr>
        <w:spacing w:line="520" w:lineRule="exact"/>
        <w:ind w:firstLine="480" w:firstLineChars="200"/>
        <w:rPr>
          <w:rFonts w:ascii="仿宋" w:hAnsi="仿宋" w:eastAsia="仿宋" w:cs="宋体"/>
          <w:color w:val="auto"/>
          <w:sz w:val="24"/>
        </w:rPr>
      </w:pPr>
      <w:r>
        <w:rPr>
          <w:rFonts w:hint="eastAsia" w:ascii="仿宋" w:hAnsi="仿宋" w:eastAsia="仿宋" w:cs="宋体"/>
          <w:bCs/>
          <w:color w:val="auto"/>
          <w:sz w:val="24"/>
        </w:rPr>
        <w:t>3</w:t>
      </w:r>
      <w:r>
        <w:rPr>
          <w:rFonts w:ascii="仿宋" w:hAnsi="仿宋" w:eastAsia="仿宋" w:cs="宋体"/>
          <w:bCs/>
          <w:color w:val="auto"/>
          <w:sz w:val="24"/>
        </w:rPr>
        <w:t>.6</w:t>
      </w:r>
      <w:r>
        <w:rPr>
          <w:rFonts w:hint="eastAsia" w:ascii="仿宋" w:hAnsi="仿宋" w:eastAsia="仿宋" w:cs="宋体"/>
          <w:color w:val="auto"/>
          <w:sz w:val="24"/>
        </w:rPr>
        <w:t>评审程序：资格审查→符合性评审→供应商最后报价→综合评审（技术、商务及报价评审）→评审报告。</w:t>
      </w:r>
      <w:bookmarkStart w:id="189" w:name="_Toc169430814"/>
    </w:p>
    <w:bookmarkEnd w:id="189"/>
    <w:p w14:paraId="24B1A016">
      <w:pPr>
        <w:spacing w:line="520" w:lineRule="exact"/>
        <w:ind w:firstLine="504" w:firstLineChars="200"/>
        <w:rPr>
          <w:rFonts w:ascii="仿宋" w:hAnsi="仿宋" w:eastAsia="仿宋" w:cs="宋体"/>
          <w:bCs/>
          <w:color w:val="auto"/>
          <w:spacing w:val="6"/>
          <w:sz w:val="24"/>
        </w:rPr>
      </w:pPr>
      <w:r>
        <w:rPr>
          <w:rFonts w:hint="eastAsia" w:ascii="仿宋" w:hAnsi="仿宋" w:eastAsia="仿宋" w:cs="宋体"/>
          <w:bCs/>
          <w:color w:val="auto"/>
          <w:spacing w:val="6"/>
          <w:sz w:val="24"/>
        </w:rPr>
        <w:t>3</w:t>
      </w:r>
      <w:r>
        <w:rPr>
          <w:rFonts w:ascii="仿宋" w:hAnsi="仿宋" w:eastAsia="仿宋" w:cs="宋体"/>
          <w:bCs/>
          <w:color w:val="auto"/>
          <w:spacing w:val="6"/>
          <w:sz w:val="24"/>
        </w:rPr>
        <w:t>.7</w:t>
      </w:r>
      <w:r>
        <w:rPr>
          <w:rFonts w:hint="eastAsia" w:ascii="仿宋" w:hAnsi="仿宋" w:eastAsia="仿宋" w:cs="宋体"/>
          <w:bCs/>
          <w:color w:val="auto"/>
          <w:spacing w:val="6"/>
          <w:sz w:val="24"/>
        </w:rPr>
        <w:t>资格审查</w:t>
      </w:r>
    </w:p>
    <w:p w14:paraId="1A4A851E">
      <w:pPr>
        <w:spacing w:line="520" w:lineRule="exact"/>
        <w:ind w:firstLine="504" w:firstLineChars="200"/>
        <w:rPr>
          <w:rFonts w:ascii="仿宋" w:hAnsi="仿宋" w:eastAsia="仿宋" w:cs="宋体"/>
          <w:bCs/>
          <w:color w:val="auto"/>
          <w:spacing w:val="6"/>
          <w:sz w:val="24"/>
        </w:rPr>
      </w:pPr>
      <w:r>
        <w:rPr>
          <w:rFonts w:hint="eastAsia" w:ascii="仿宋" w:hAnsi="仿宋" w:eastAsia="仿宋" w:cs="宋体"/>
          <w:bCs/>
          <w:color w:val="auto"/>
          <w:spacing w:val="6"/>
          <w:sz w:val="24"/>
        </w:rPr>
        <w:t>磋商小组根据评审办法前附表中规定的评审因素和评审标准，对供应商的</w:t>
      </w:r>
      <w:r>
        <w:rPr>
          <w:rFonts w:hint="eastAsia" w:ascii="仿宋" w:hAnsi="仿宋" w:eastAsia="仿宋" w:cs="宋体"/>
          <w:color w:val="auto"/>
          <w:sz w:val="24"/>
          <w:szCs w:val="24"/>
        </w:rPr>
        <w:t>响应</w:t>
      </w:r>
      <w:r>
        <w:rPr>
          <w:rFonts w:hint="eastAsia" w:ascii="仿宋" w:hAnsi="仿宋" w:eastAsia="仿宋" w:cs="宋体"/>
          <w:bCs/>
          <w:color w:val="auto"/>
          <w:spacing w:val="6"/>
          <w:sz w:val="24"/>
        </w:rPr>
        <w:t>文件进行资格审查，并记录评审结果。</w:t>
      </w:r>
      <w:r>
        <w:rPr>
          <w:rFonts w:hint="eastAsia" w:ascii="仿宋" w:hAnsi="仿宋" w:eastAsia="仿宋" w:cs="宋体"/>
          <w:bCs/>
          <w:color w:val="auto"/>
          <w:sz w:val="24"/>
        </w:rPr>
        <w:t>资格审查不合格的供应商，不得进入符合性评审，对不合格的内容应在评审报告中说明。</w:t>
      </w:r>
    </w:p>
    <w:p w14:paraId="0D573E47">
      <w:pPr>
        <w:spacing w:line="520" w:lineRule="exact"/>
        <w:ind w:firstLine="504" w:firstLineChars="200"/>
        <w:rPr>
          <w:rFonts w:ascii="仿宋" w:hAnsi="仿宋" w:eastAsia="仿宋" w:cs="宋体"/>
          <w:bCs/>
          <w:color w:val="auto"/>
          <w:spacing w:val="6"/>
          <w:sz w:val="24"/>
        </w:rPr>
      </w:pPr>
      <w:r>
        <w:rPr>
          <w:rFonts w:hint="eastAsia" w:ascii="仿宋" w:hAnsi="仿宋" w:eastAsia="仿宋" w:cs="宋体"/>
          <w:bCs/>
          <w:color w:val="auto"/>
          <w:spacing w:val="6"/>
          <w:sz w:val="24"/>
        </w:rPr>
        <w:t>3</w:t>
      </w:r>
      <w:r>
        <w:rPr>
          <w:rFonts w:ascii="仿宋" w:hAnsi="仿宋" w:eastAsia="仿宋" w:cs="宋体"/>
          <w:bCs/>
          <w:color w:val="auto"/>
          <w:spacing w:val="6"/>
          <w:sz w:val="24"/>
        </w:rPr>
        <w:t>.8</w:t>
      </w:r>
      <w:r>
        <w:rPr>
          <w:rFonts w:hint="eastAsia" w:ascii="仿宋" w:hAnsi="仿宋" w:eastAsia="仿宋" w:cs="宋体"/>
          <w:bCs/>
          <w:color w:val="auto"/>
          <w:spacing w:val="6"/>
          <w:sz w:val="24"/>
        </w:rPr>
        <w:t>符合性评审</w:t>
      </w:r>
    </w:p>
    <w:p w14:paraId="1EF29FF3">
      <w:pPr>
        <w:spacing w:line="520" w:lineRule="exact"/>
        <w:ind w:firstLine="504" w:firstLineChars="200"/>
        <w:rPr>
          <w:rFonts w:ascii="仿宋" w:hAnsi="仿宋" w:eastAsia="仿宋" w:cs="宋体"/>
          <w:bCs/>
          <w:color w:val="auto"/>
          <w:sz w:val="24"/>
        </w:rPr>
      </w:pPr>
      <w:r>
        <w:rPr>
          <w:rFonts w:hint="eastAsia" w:ascii="仿宋" w:hAnsi="仿宋" w:eastAsia="仿宋" w:cs="宋体"/>
          <w:bCs/>
          <w:color w:val="auto"/>
          <w:spacing w:val="6"/>
          <w:sz w:val="24"/>
        </w:rPr>
        <w:t>3.8.1磋商小组根据评审办法前附表中规定的评审因素和评审标准，对供应商的</w:t>
      </w:r>
      <w:r>
        <w:rPr>
          <w:rFonts w:hint="eastAsia" w:ascii="仿宋" w:hAnsi="仿宋" w:eastAsia="仿宋" w:cs="宋体"/>
          <w:color w:val="auto"/>
          <w:sz w:val="24"/>
          <w:szCs w:val="24"/>
        </w:rPr>
        <w:t>响应</w:t>
      </w:r>
      <w:r>
        <w:rPr>
          <w:rFonts w:hint="eastAsia" w:ascii="仿宋" w:hAnsi="仿宋" w:eastAsia="仿宋" w:cs="宋体"/>
          <w:bCs/>
          <w:color w:val="auto"/>
          <w:spacing w:val="6"/>
          <w:sz w:val="24"/>
        </w:rPr>
        <w:t>文件进行符合性审查，并记录评审结果。</w:t>
      </w:r>
      <w:r>
        <w:rPr>
          <w:rFonts w:hint="eastAsia" w:ascii="仿宋" w:hAnsi="仿宋" w:eastAsia="仿宋" w:cs="宋体"/>
          <w:bCs/>
          <w:color w:val="auto"/>
          <w:sz w:val="24"/>
        </w:rPr>
        <w:t>符合性审查不合格的供应商，不得进入详细评审，对不合格的内容应在评审报告中说明。</w:t>
      </w:r>
    </w:p>
    <w:p w14:paraId="5B6FC08A">
      <w:pPr>
        <w:pStyle w:val="31"/>
        <w:tabs>
          <w:tab w:val="left" w:pos="2472"/>
        </w:tabs>
        <w:spacing w:line="480" w:lineRule="exact"/>
        <w:ind w:firstLine="442"/>
        <w:rPr>
          <w:rFonts w:ascii="仿宋" w:hAnsi="仿宋" w:eastAsia="仿宋" w:cs="宋体"/>
          <w:b/>
          <w:bCs/>
          <w:color w:val="auto"/>
          <w:sz w:val="24"/>
          <w:szCs w:val="24"/>
        </w:rPr>
      </w:pPr>
      <w:r>
        <w:rPr>
          <w:rFonts w:hint="eastAsia" w:ascii="仿宋" w:hAnsi="仿宋" w:eastAsia="仿宋" w:cs="宋体"/>
          <w:bCs/>
          <w:color w:val="auto"/>
          <w:sz w:val="24"/>
        </w:rPr>
        <w:t>3.8.2</w:t>
      </w:r>
      <w:r>
        <w:rPr>
          <w:rFonts w:hint="eastAsia" w:ascii="仿宋" w:hAnsi="仿宋" w:eastAsia="仿宋" w:cs="宋体"/>
          <w:b/>
          <w:bCs/>
          <w:color w:val="auto"/>
          <w:sz w:val="24"/>
          <w:szCs w:val="24"/>
        </w:rPr>
        <w:t>政府采购异常低价审查</w:t>
      </w:r>
      <w:r>
        <w:rPr>
          <w:rFonts w:ascii="Calibri" w:hAnsi="Calibri" w:eastAsia="仿宋" w:cs="Calibri"/>
          <w:b/>
          <w:bCs/>
          <w:color w:val="auto"/>
          <w:sz w:val="24"/>
          <w:szCs w:val="24"/>
        </w:rPr>
        <w:t> </w:t>
      </w:r>
    </w:p>
    <w:p w14:paraId="03BDE7BB">
      <w:pPr>
        <w:pStyle w:val="31"/>
        <w:tabs>
          <w:tab w:val="left" w:pos="2472"/>
        </w:tabs>
        <w:spacing w:line="480" w:lineRule="exact"/>
        <w:ind w:firstLine="240" w:firstLineChars="100"/>
        <w:rPr>
          <w:rFonts w:ascii="仿宋" w:hAnsi="仿宋" w:eastAsia="仿宋" w:cs="宋体"/>
          <w:color w:val="auto"/>
          <w:sz w:val="24"/>
          <w:szCs w:val="24"/>
        </w:rPr>
      </w:pPr>
      <w:r>
        <w:rPr>
          <w:rFonts w:hint="eastAsia" w:ascii="仿宋" w:hAnsi="仿宋" w:eastAsia="仿宋" w:cs="宋体"/>
          <w:color w:val="auto"/>
          <w:sz w:val="24"/>
          <w:szCs w:val="24"/>
        </w:rPr>
        <w:t>（一）政府采购评审中出现下列情形之一的，磋商小组应当启动异常低价投标（响应）审查程序：</w:t>
      </w:r>
      <w:r>
        <w:rPr>
          <w:rFonts w:ascii="Calibri" w:hAnsi="Calibri" w:eastAsia="仿宋" w:cs="Calibri"/>
          <w:color w:val="auto"/>
          <w:sz w:val="24"/>
          <w:szCs w:val="24"/>
        </w:rPr>
        <w:t> </w:t>
      </w:r>
    </w:p>
    <w:p w14:paraId="252A84C0">
      <w:pPr>
        <w:pStyle w:val="31"/>
        <w:tabs>
          <w:tab w:val="left" w:pos="2472"/>
        </w:tabs>
        <w:spacing w:line="480" w:lineRule="exact"/>
        <w:ind w:firstLine="440"/>
        <w:rPr>
          <w:rFonts w:ascii="仿宋" w:hAnsi="仿宋" w:eastAsia="仿宋" w:cs="宋体"/>
          <w:color w:val="auto"/>
          <w:sz w:val="24"/>
          <w:szCs w:val="24"/>
        </w:rPr>
      </w:pPr>
      <w:r>
        <w:rPr>
          <w:rFonts w:hint="eastAsia" w:ascii="仿宋" w:hAnsi="仿宋" w:eastAsia="仿宋" w:cs="宋体"/>
          <w:color w:val="auto"/>
          <w:sz w:val="24"/>
          <w:szCs w:val="24"/>
        </w:rPr>
        <w:t>1.最终磋商报价低于全部通过符合性审查供应商最终磋商报价平均值50%的，即最终磋商报价&lt;全部通过符合性审查供应商最终磋商报价平均值×50%；</w:t>
      </w:r>
      <w:r>
        <w:rPr>
          <w:rFonts w:ascii="Calibri" w:hAnsi="Calibri" w:eastAsia="仿宋" w:cs="Calibri"/>
          <w:color w:val="auto"/>
          <w:sz w:val="24"/>
          <w:szCs w:val="24"/>
        </w:rPr>
        <w:t> </w:t>
      </w:r>
    </w:p>
    <w:p w14:paraId="27EA4EDF">
      <w:pPr>
        <w:pStyle w:val="31"/>
        <w:tabs>
          <w:tab w:val="left" w:pos="2472"/>
        </w:tabs>
        <w:spacing w:line="480" w:lineRule="exact"/>
        <w:ind w:firstLine="440"/>
        <w:rPr>
          <w:rFonts w:ascii="仿宋" w:hAnsi="仿宋" w:eastAsia="仿宋" w:cs="宋体"/>
          <w:color w:val="auto"/>
          <w:sz w:val="24"/>
          <w:szCs w:val="24"/>
        </w:rPr>
      </w:pPr>
      <w:r>
        <w:rPr>
          <w:rFonts w:hint="eastAsia" w:ascii="仿宋" w:hAnsi="仿宋" w:eastAsia="仿宋" w:cs="宋体"/>
          <w:color w:val="auto"/>
          <w:sz w:val="24"/>
          <w:szCs w:val="24"/>
        </w:rPr>
        <w:t>2. 最终磋商报价低于通过符合性审查的次低报价供应商最终磋商报价50%的，即最终磋商报价&lt;通过符合性审查的次低报价供应商最终磋商报价×50%；</w:t>
      </w:r>
      <w:r>
        <w:rPr>
          <w:rFonts w:ascii="Calibri" w:hAnsi="Calibri" w:eastAsia="仿宋" w:cs="Calibri"/>
          <w:color w:val="auto"/>
          <w:sz w:val="24"/>
          <w:szCs w:val="24"/>
        </w:rPr>
        <w:t> </w:t>
      </w:r>
    </w:p>
    <w:p w14:paraId="10DC7C98">
      <w:pPr>
        <w:pStyle w:val="31"/>
        <w:tabs>
          <w:tab w:val="left" w:pos="2472"/>
        </w:tabs>
        <w:spacing w:line="480" w:lineRule="exact"/>
        <w:ind w:firstLine="440"/>
        <w:rPr>
          <w:rFonts w:ascii="仿宋" w:hAnsi="仿宋" w:eastAsia="仿宋" w:cs="宋体"/>
          <w:color w:val="auto"/>
          <w:sz w:val="24"/>
          <w:szCs w:val="24"/>
        </w:rPr>
      </w:pPr>
      <w:r>
        <w:rPr>
          <w:rFonts w:hint="eastAsia" w:ascii="仿宋" w:hAnsi="仿宋" w:eastAsia="仿宋" w:cs="宋体"/>
          <w:color w:val="auto"/>
          <w:sz w:val="24"/>
          <w:szCs w:val="24"/>
        </w:rPr>
        <w:t>3. 最终磋商报价低于采购项目最高限价45%的，即最终磋商报价&lt;采购项目最高限价×45%；</w:t>
      </w:r>
      <w:r>
        <w:rPr>
          <w:rFonts w:ascii="Calibri" w:hAnsi="Calibri" w:eastAsia="仿宋" w:cs="Calibri"/>
          <w:color w:val="auto"/>
          <w:sz w:val="24"/>
          <w:szCs w:val="24"/>
        </w:rPr>
        <w:t> </w:t>
      </w:r>
    </w:p>
    <w:p w14:paraId="4BBAFBC6">
      <w:pPr>
        <w:pStyle w:val="31"/>
        <w:tabs>
          <w:tab w:val="left" w:pos="2472"/>
        </w:tabs>
        <w:spacing w:line="480" w:lineRule="exact"/>
        <w:ind w:firstLine="440"/>
        <w:rPr>
          <w:rFonts w:ascii="仿宋" w:hAnsi="仿宋" w:eastAsia="仿宋" w:cs="宋体"/>
          <w:color w:val="auto"/>
          <w:sz w:val="24"/>
          <w:szCs w:val="24"/>
        </w:rPr>
      </w:pPr>
      <w:r>
        <w:rPr>
          <w:rFonts w:hint="eastAsia" w:ascii="仿宋" w:hAnsi="仿宋" w:eastAsia="仿宋" w:cs="宋体"/>
          <w:color w:val="auto"/>
          <w:sz w:val="24"/>
          <w:szCs w:val="24"/>
        </w:rPr>
        <w:t>4.磋商小组基于专业判断，认为供应商报价过低，有可能影响产品质量或者不能诚信履约的其他情形。</w:t>
      </w:r>
      <w:r>
        <w:rPr>
          <w:rFonts w:ascii="Calibri" w:hAnsi="Calibri" w:eastAsia="仿宋" w:cs="Calibri"/>
          <w:color w:val="auto"/>
          <w:sz w:val="24"/>
          <w:szCs w:val="24"/>
        </w:rPr>
        <w:t> </w:t>
      </w:r>
    </w:p>
    <w:p w14:paraId="001DFC68">
      <w:pPr>
        <w:pStyle w:val="31"/>
        <w:tabs>
          <w:tab w:val="left" w:pos="2472"/>
        </w:tabs>
        <w:spacing w:line="480" w:lineRule="exact"/>
        <w:ind w:firstLine="440"/>
        <w:rPr>
          <w:rFonts w:ascii="仿宋" w:hAnsi="仿宋" w:eastAsia="仿宋" w:cs="宋体"/>
          <w:color w:val="auto"/>
          <w:sz w:val="24"/>
          <w:szCs w:val="24"/>
        </w:rPr>
      </w:pPr>
      <w:r>
        <w:rPr>
          <w:rFonts w:hint="eastAsia" w:ascii="仿宋" w:hAnsi="仿宋" w:eastAsia="仿宋" w:cs="宋体"/>
          <w:color w:val="auto"/>
          <w:sz w:val="24"/>
          <w:szCs w:val="24"/>
        </w:rPr>
        <w:t>相关法律法规对供应商报价有规定的，从其规定。</w:t>
      </w:r>
      <w:r>
        <w:rPr>
          <w:rFonts w:ascii="Calibri" w:hAnsi="Calibri" w:eastAsia="仿宋" w:cs="Calibri"/>
          <w:color w:val="auto"/>
          <w:sz w:val="24"/>
          <w:szCs w:val="24"/>
        </w:rPr>
        <w:t> </w:t>
      </w:r>
    </w:p>
    <w:p w14:paraId="55022F6E">
      <w:pPr>
        <w:pStyle w:val="31"/>
        <w:tabs>
          <w:tab w:val="left" w:pos="2472"/>
        </w:tabs>
        <w:spacing w:line="480" w:lineRule="exact"/>
        <w:ind w:firstLine="440"/>
        <w:rPr>
          <w:rFonts w:ascii="仿宋" w:hAnsi="仿宋" w:eastAsia="仿宋" w:cs="宋体"/>
          <w:color w:val="auto"/>
          <w:sz w:val="24"/>
          <w:szCs w:val="24"/>
        </w:rPr>
      </w:pPr>
      <w:r>
        <w:rPr>
          <w:rFonts w:hint="eastAsia" w:ascii="仿宋" w:hAnsi="仿宋" w:eastAsia="仿宋" w:cs="宋体"/>
          <w:color w:val="auto"/>
          <w:sz w:val="24"/>
          <w:szCs w:val="24"/>
        </w:rPr>
        <w:t>（二）磋商小组启动异常低价投标（响应）审查后，属于前述第1项至第4项情形的，应当要求相关供应商在评审现场合理的时间内对最终磋商报价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r>
        <w:rPr>
          <w:rFonts w:ascii="Calibri" w:hAnsi="Calibri" w:eastAsia="仿宋" w:cs="Calibri"/>
          <w:color w:val="auto"/>
          <w:sz w:val="24"/>
          <w:szCs w:val="24"/>
        </w:rPr>
        <w:t> </w:t>
      </w:r>
    </w:p>
    <w:p w14:paraId="2CD1D2FC">
      <w:pPr>
        <w:pStyle w:val="31"/>
        <w:tabs>
          <w:tab w:val="left" w:pos="2472"/>
        </w:tabs>
        <w:spacing w:line="480" w:lineRule="exact"/>
        <w:ind w:firstLine="440"/>
        <w:rPr>
          <w:rFonts w:ascii="仿宋" w:hAnsi="仿宋" w:eastAsia="仿宋" w:cs="宋体"/>
          <w:color w:val="auto"/>
          <w:sz w:val="24"/>
          <w:szCs w:val="24"/>
        </w:rPr>
      </w:pPr>
      <w:r>
        <w:rPr>
          <w:rFonts w:hint="eastAsia" w:ascii="仿宋" w:hAnsi="仿宋" w:eastAsia="仿宋" w:cs="宋体"/>
          <w:color w:val="auto"/>
          <w:sz w:val="24"/>
          <w:szCs w:val="24"/>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投标（响应）处理。</w:t>
      </w:r>
      <w:r>
        <w:rPr>
          <w:rFonts w:ascii="Calibri" w:hAnsi="Calibri" w:eastAsia="仿宋" w:cs="Calibri"/>
          <w:color w:val="auto"/>
          <w:sz w:val="24"/>
          <w:szCs w:val="24"/>
        </w:rPr>
        <w:t> </w:t>
      </w:r>
    </w:p>
    <w:p w14:paraId="33D1473F">
      <w:pPr>
        <w:pStyle w:val="31"/>
        <w:tabs>
          <w:tab w:val="left" w:pos="2472"/>
        </w:tabs>
        <w:spacing w:line="480" w:lineRule="exact"/>
        <w:ind w:firstLine="440"/>
        <w:rPr>
          <w:rFonts w:ascii="仿宋" w:hAnsi="仿宋" w:eastAsia="仿宋" w:cs="宋体"/>
          <w:color w:val="auto"/>
          <w:sz w:val="24"/>
          <w:szCs w:val="24"/>
        </w:rPr>
      </w:pPr>
      <w:r>
        <w:rPr>
          <w:rFonts w:hint="eastAsia" w:ascii="仿宋" w:hAnsi="仿宋" w:eastAsia="仿宋" w:cs="宋体"/>
          <w:color w:val="auto"/>
          <w:sz w:val="24"/>
          <w:szCs w:val="24"/>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r>
        <w:rPr>
          <w:rFonts w:ascii="Calibri" w:hAnsi="Calibri" w:eastAsia="仿宋" w:cs="Calibri"/>
          <w:color w:val="auto"/>
          <w:sz w:val="24"/>
          <w:szCs w:val="24"/>
        </w:rPr>
        <w:t> </w:t>
      </w:r>
    </w:p>
    <w:p w14:paraId="7BA65505">
      <w:pPr>
        <w:spacing w:line="520" w:lineRule="exact"/>
        <w:ind w:firstLine="480" w:firstLineChars="200"/>
        <w:rPr>
          <w:rFonts w:ascii="仿宋" w:hAnsi="仿宋" w:eastAsia="仿宋" w:cs="宋体"/>
          <w:bCs/>
          <w:color w:val="auto"/>
          <w:spacing w:val="6"/>
          <w:sz w:val="24"/>
        </w:rPr>
      </w:pPr>
      <w:r>
        <w:rPr>
          <w:rFonts w:hint="eastAsia" w:ascii="仿宋" w:hAnsi="仿宋" w:eastAsia="仿宋" w:cs="宋体"/>
          <w:color w:val="auto"/>
          <w:sz w:val="24"/>
          <w:szCs w:val="24"/>
        </w:rPr>
        <w:t>异常低价投标（响应）审查的启动原因、审查意见和审查结果应当在评审报告中记录，并随供应商提供的相关书面说明及证明材料，以及磋商小组有关互联网浏览、查询历史一并归档。</w:t>
      </w:r>
      <w:r>
        <w:rPr>
          <w:rFonts w:hint="eastAsia" w:hAnsi="宋体" w:cs="宋体"/>
          <w:color w:val="auto"/>
          <w:sz w:val="22"/>
        </w:rPr>
        <w:t> </w:t>
      </w:r>
    </w:p>
    <w:p w14:paraId="107F4024">
      <w:pPr>
        <w:spacing w:line="520" w:lineRule="exact"/>
        <w:ind w:firstLine="480" w:firstLineChars="200"/>
        <w:rPr>
          <w:rFonts w:ascii="仿宋" w:hAnsi="仿宋" w:eastAsia="仿宋" w:cs="宋体"/>
          <w:bCs/>
          <w:color w:val="auto"/>
          <w:sz w:val="24"/>
        </w:rPr>
      </w:pPr>
      <w:bookmarkStart w:id="190" w:name="_Toc169430815"/>
      <w:r>
        <w:rPr>
          <w:rFonts w:hint="eastAsia" w:ascii="仿宋" w:hAnsi="仿宋" w:eastAsia="仿宋" w:cs="宋体"/>
          <w:bCs/>
          <w:color w:val="auto"/>
          <w:sz w:val="24"/>
        </w:rPr>
        <w:t>3</w:t>
      </w:r>
      <w:r>
        <w:rPr>
          <w:rFonts w:ascii="仿宋" w:hAnsi="仿宋" w:eastAsia="仿宋" w:cs="宋体"/>
          <w:bCs/>
          <w:color w:val="auto"/>
          <w:sz w:val="24"/>
        </w:rPr>
        <w:t>.9</w:t>
      </w:r>
      <w:r>
        <w:rPr>
          <w:rFonts w:hint="eastAsia" w:ascii="仿宋" w:hAnsi="仿宋" w:eastAsia="仿宋" w:cs="宋体"/>
          <w:bCs/>
          <w:color w:val="auto"/>
          <w:sz w:val="24"/>
        </w:rPr>
        <w:t>详细评审</w:t>
      </w:r>
      <w:bookmarkEnd w:id="190"/>
    </w:p>
    <w:p w14:paraId="3859984A">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磋商小组依据本章评审办法前附表规定的标准及分值构成对</w:t>
      </w:r>
      <w:r>
        <w:rPr>
          <w:rFonts w:hint="eastAsia" w:ascii="仿宋" w:hAnsi="仿宋" w:eastAsia="仿宋" w:cs="宋体"/>
          <w:color w:val="auto"/>
          <w:sz w:val="24"/>
          <w:szCs w:val="24"/>
        </w:rPr>
        <w:t>响应</w:t>
      </w:r>
      <w:r>
        <w:rPr>
          <w:rFonts w:hint="eastAsia" w:ascii="仿宋" w:hAnsi="仿宋" w:eastAsia="仿宋" w:cs="宋体"/>
          <w:bCs/>
          <w:color w:val="auto"/>
          <w:sz w:val="24"/>
        </w:rPr>
        <w:t>文件进行详细评审。按照本章前附表规定的评分标准进行打分，按总得分由高到低的顺序推荐成交候选供应商；磋商小组按评审总得分由高到低顺序推荐成交候选人。评审总得分相同的，按磋商报价由低到高顺序排列。得分且磋商报价相同的并列。响应文件满足竞争性磋商文件全部实质性要求，且按照评审因素的量化指标评审得分最高的供应商为排名第一的成交候选人。</w:t>
      </w:r>
    </w:p>
    <w:p w14:paraId="40BF8EA0">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3</w:t>
      </w:r>
      <w:r>
        <w:rPr>
          <w:rFonts w:ascii="仿宋" w:hAnsi="仿宋" w:eastAsia="仿宋" w:cs="宋体"/>
          <w:bCs/>
          <w:color w:val="auto"/>
          <w:sz w:val="24"/>
        </w:rPr>
        <w:t>.10</w:t>
      </w:r>
      <w:r>
        <w:rPr>
          <w:rFonts w:hint="eastAsia" w:ascii="仿宋" w:hAnsi="仿宋" w:eastAsia="仿宋" w:cs="宋体"/>
          <w:bCs/>
          <w:color w:val="auto"/>
          <w:sz w:val="24"/>
        </w:rPr>
        <w:t>响应文件内容澄清</w:t>
      </w:r>
    </w:p>
    <w:p w14:paraId="2A48E310">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5F5E63E">
      <w:pPr>
        <w:spacing w:line="520" w:lineRule="exact"/>
        <w:ind w:firstLine="480" w:firstLineChars="200"/>
        <w:rPr>
          <w:rFonts w:ascii="仿宋" w:hAnsi="仿宋" w:eastAsia="仿宋" w:cs="宋体"/>
          <w:bCs/>
          <w:color w:val="auto"/>
          <w:sz w:val="24"/>
        </w:rPr>
      </w:pPr>
      <w:r>
        <w:rPr>
          <w:rFonts w:ascii="仿宋" w:hAnsi="仿宋" w:eastAsia="仿宋" w:cs="宋体"/>
          <w:bCs/>
          <w:color w:val="auto"/>
          <w:sz w:val="24"/>
        </w:rPr>
        <w:t>3.11</w:t>
      </w:r>
      <w:r>
        <w:rPr>
          <w:rFonts w:hint="eastAsia" w:ascii="仿宋" w:hAnsi="仿宋" w:eastAsia="仿宋" w:cs="宋体"/>
          <w:bCs/>
          <w:color w:val="auto"/>
          <w:sz w:val="24"/>
        </w:rPr>
        <w:t xml:space="preserve"> </w:t>
      </w:r>
      <w:r>
        <w:rPr>
          <w:rFonts w:hint="eastAsia" w:ascii="仿宋" w:hAnsi="仿宋" w:eastAsia="仿宋" w:cs="宋体"/>
          <w:color w:val="auto"/>
          <w:sz w:val="24"/>
          <w:szCs w:val="24"/>
        </w:rPr>
        <w:t>响应</w:t>
      </w:r>
      <w:r>
        <w:rPr>
          <w:rFonts w:hint="eastAsia" w:ascii="仿宋" w:hAnsi="仿宋" w:eastAsia="仿宋" w:cs="宋体"/>
          <w:bCs/>
          <w:color w:val="auto"/>
          <w:sz w:val="24"/>
        </w:rPr>
        <w:t>文件如果出现计算或表达上的错误，修正错误的原则如下：</w:t>
      </w:r>
    </w:p>
    <w:p w14:paraId="5A0000B6">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（1）</w:t>
      </w:r>
      <w:r>
        <w:rPr>
          <w:rFonts w:hint="eastAsia" w:ascii="仿宋" w:hAnsi="仿宋" w:eastAsia="仿宋" w:cs="宋体"/>
          <w:color w:val="auto"/>
          <w:sz w:val="24"/>
          <w:szCs w:val="24"/>
        </w:rPr>
        <w:t>响应</w:t>
      </w:r>
      <w:r>
        <w:rPr>
          <w:rFonts w:hint="eastAsia" w:ascii="仿宋" w:hAnsi="仿宋" w:eastAsia="仿宋" w:cs="宋体"/>
          <w:bCs/>
          <w:color w:val="auto"/>
          <w:sz w:val="24"/>
        </w:rPr>
        <w:t>文件中磋商报价一览表内容与</w:t>
      </w:r>
      <w:r>
        <w:rPr>
          <w:rFonts w:hint="eastAsia" w:ascii="仿宋" w:hAnsi="仿宋" w:eastAsia="仿宋" w:cs="宋体"/>
          <w:color w:val="auto"/>
          <w:sz w:val="24"/>
          <w:szCs w:val="24"/>
        </w:rPr>
        <w:t>响应</w:t>
      </w:r>
      <w:r>
        <w:rPr>
          <w:rFonts w:hint="eastAsia" w:ascii="仿宋" w:hAnsi="仿宋" w:eastAsia="仿宋" w:cs="宋体"/>
          <w:bCs/>
          <w:color w:val="auto"/>
          <w:sz w:val="24"/>
        </w:rPr>
        <w:t>文件中相应内容不一致的，以磋商报价一览表为准；</w:t>
      </w:r>
    </w:p>
    <w:p w14:paraId="2CC3B9A5">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（2）大写金额和小写金额不一致的，以大写金额为准；</w:t>
      </w:r>
    </w:p>
    <w:p w14:paraId="6AF8917A">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（3）单价金额小数点或者百分比有明显错位的，以磋商报价一览表的总价为准，并修改单价；</w:t>
      </w:r>
    </w:p>
    <w:p w14:paraId="2AA933ED">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（4）总价金额与按单价汇总金额不一致的，以单价金额计算结果为准。</w:t>
      </w:r>
    </w:p>
    <w:p w14:paraId="52FDBEC1">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同时出现两种以上不一致的，按照前款规定的顺序修正。修正后的报价经供应商确认后产生约束力，供应商不确认的，其磋商文件无效。</w:t>
      </w:r>
    </w:p>
    <w:p w14:paraId="19443002">
      <w:pPr>
        <w:spacing w:line="520" w:lineRule="exact"/>
        <w:ind w:firstLine="480" w:firstLineChars="200"/>
        <w:rPr>
          <w:rFonts w:ascii="仿宋" w:hAnsi="仿宋" w:eastAsia="仿宋" w:cs="宋体"/>
          <w:b/>
          <w:bCs/>
          <w:color w:val="auto"/>
          <w:sz w:val="24"/>
        </w:rPr>
      </w:pPr>
      <w:r>
        <w:rPr>
          <w:rFonts w:ascii="仿宋" w:hAnsi="仿宋" w:eastAsia="仿宋" w:cs="宋体"/>
          <w:bCs/>
          <w:color w:val="auto"/>
          <w:sz w:val="24"/>
        </w:rPr>
        <w:t>3.12</w:t>
      </w:r>
      <w:r>
        <w:rPr>
          <w:rFonts w:hint="eastAsia" w:ascii="仿宋" w:hAnsi="仿宋" w:eastAsia="仿宋" w:cs="宋体"/>
          <w:color w:val="auto"/>
          <w:sz w:val="24"/>
          <w:szCs w:val="24"/>
        </w:rPr>
        <w:t>磋商小组</w:t>
      </w:r>
      <w:r>
        <w:rPr>
          <w:rFonts w:hint="eastAsia" w:ascii="仿宋" w:hAnsi="仿宋" w:eastAsia="仿宋" w:cs="宋体"/>
          <w:bCs/>
          <w:color w:val="auto"/>
          <w:sz w:val="24"/>
        </w:rPr>
        <w:t>认为</w:t>
      </w:r>
      <w:r>
        <w:rPr>
          <w:rFonts w:hint="eastAsia" w:ascii="仿宋" w:hAnsi="仿宋" w:eastAsia="仿宋" w:cs="宋体"/>
          <w:color w:val="auto"/>
          <w:sz w:val="24"/>
          <w:szCs w:val="24"/>
        </w:rPr>
        <w:t>供应商</w:t>
      </w:r>
      <w:r>
        <w:rPr>
          <w:rFonts w:hint="eastAsia" w:ascii="仿宋" w:hAnsi="仿宋" w:eastAsia="仿宋" w:cs="宋体"/>
          <w:bCs/>
          <w:color w:val="auto"/>
          <w:sz w:val="24"/>
        </w:rPr>
        <w:t>的报价明显低于其他通过符合性审查</w:t>
      </w:r>
      <w:r>
        <w:rPr>
          <w:rFonts w:hint="eastAsia" w:ascii="仿宋" w:hAnsi="仿宋" w:eastAsia="仿宋" w:cs="宋体"/>
          <w:color w:val="auto"/>
          <w:sz w:val="24"/>
          <w:szCs w:val="24"/>
        </w:rPr>
        <w:t>供应商</w:t>
      </w:r>
      <w:r>
        <w:rPr>
          <w:rFonts w:hint="eastAsia" w:ascii="仿宋" w:hAnsi="仿宋" w:eastAsia="仿宋" w:cs="宋体"/>
          <w:bCs/>
          <w:color w:val="auto"/>
          <w:sz w:val="24"/>
        </w:rPr>
        <w:t>的报价，有可能影响产品质量或者不能诚信履约的，应当要求其在评审现场合理的时间内提供相关证明材料，</w:t>
      </w:r>
      <w:r>
        <w:rPr>
          <w:rFonts w:hint="eastAsia" w:ascii="仿宋" w:hAnsi="仿宋" w:eastAsia="仿宋" w:cs="宋体"/>
          <w:color w:val="auto"/>
          <w:sz w:val="24"/>
          <w:szCs w:val="24"/>
        </w:rPr>
        <w:t>供应商</w:t>
      </w:r>
      <w:r>
        <w:rPr>
          <w:rFonts w:hint="eastAsia" w:ascii="仿宋" w:hAnsi="仿宋" w:eastAsia="仿宋" w:cs="宋体"/>
          <w:bCs/>
          <w:color w:val="auto"/>
          <w:sz w:val="24"/>
        </w:rPr>
        <w:t>不能提供的，</w:t>
      </w:r>
      <w:r>
        <w:rPr>
          <w:rFonts w:hint="eastAsia" w:ascii="仿宋" w:hAnsi="仿宋" w:eastAsia="仿宋" w:cs="宋体"/>
          <w:color w:val="auto"/>
          <w:sz w:val="24"/>
          <w:szCs w:val="24"/>
        </w:rPr>
        <w:t>磋商小组</w:t>
      </w:r>
      <w:r>
        <w:rPr>
          <w:rFonts w:hint="eastAsia" w:ascii="仿宋" w:hAnsi="仿宋" w:eastAsia="仿宋" w:cs="宋体"/>
          <w:bCs/>
          <w:color w:val="auto"/>
          <w:sz w:val="24"/>
        </w:rPr>
        <w:t>应当将其作为无效响应处理。</w:t>
      </w:r>
    </w:p>
    <w:p w14:paraId="2FF2607C">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3.1</w:t>
      </w:r>
      <w:r>
        <w:rPr>
          <w:rFonts w:ascii="仿宋" w:hAnsi="仿宋" w:eastAsia="仿宋" w:cs="宋体"/>
          <w:bCs/>
          <w:color w:val="auto"/>
          <w:sz w:val="24"/>
        </w:rPr>
        <w:t>3</w:t>
      </w:r>
      <w:r>
        <w:rPr>
          <w:rFonts w:hint="eastAsia" w:ascii="仿宋" w:hAnsi="仿宋" w:eastAsia="仿宋" w:cs="宋体"/>
          <w:bCs/>
          <w:color w:val="auto"/>
          <w:sz w:val="24"/>
        </w:rPr>
        <w:t>统分原则</w:t>
      </w:r>
    </w:p>
    <w:p w14:paraId="01FA0254">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（1）评委应首先对各磋商人响应文件进行评审，按竞争性磋商文件规定的档次和分值评分。</w:t>
      </w:r>
    </w:p>
    <w:p w14:paraId="41AB5C71">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（2）由各评委自主评分并签字确认。</w:t>
      </w:r>
    </w:p>
    <w:p w14:paraId="66C6E55B">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（3）统分原则：评委有效评分，直接计算算术平均分值（保留小数点后两位）。各评委的有效评分的计算算术平均分值为磋商人的该项评分因素的得分（保留小数点后两位）。</w:t>
      </w:r>
    </w:p>
    <w:p w14:paraId="3C77E560">
      <w:pPr>
        <w:spacing w:line="520" w:lineRule="exact"/>
        <w:ind w:firstLine="480" w:firstLineChars="200"/>
        <w:rPr>
          <w:rFonts w:ascii="仿宋" w:hAnsi="仿宋" w:eastAsia="仿宋" w:cs="宋体"/>
          <w:bCs/>
          <w:color w:val="auto"/>
          <w:sz w:val="24"/>
        </w:rPr>
      </w:pPr>
      <w:r>
        <w:rPr>
          <w:rFonts w:ascii="仿宋" w:hAnsi="仿宋" w:eastAsia="仿宋" w:cs="宋体"/>
          <w:bCs/>
          <w:color w:val="auto"/>
          <w:sz w:val="24"/>
        </w:rPr>
        <w:t>3.14</w:t>
      </w:r>
      <w:r>
        <w:rPr>
          <w:rFonts w:hint="eastAsia" w:ascii="仿宋" w:hAnsi="仿宋" w:eastAsia="仿宋" w:cs="宋体"/>
          <w:color w:val="auto"/>
          <w:sz w:val="24"/>
          <w:szCs w:val="24"/>
        </w:rPr>
        <w:t>磋商小组</w:t>
      </w:r>
      <w:r>
        <w:rPr>
          <w:rFonts w:hint="eastAsia" w:ascii="仿宋" w:hAnsi="仿宋" w:eastAsia="仿宋" w:cs="宋体"/>
          <w:bCs/>
          <w:color w:val="auto"/>
          <w:sz w:val="24"/>
        </w:rPr>
        <w:t>成员要依法独立评审，并对评审意见承担个人责任。</w:t>
      </w:r>
      <w:r>
        <w:rPr>
          <w:rFonts w:hint="eastAsia" w:ascii="仿宋" w:hAnsi="仿宋" w:eastAsia="仿宋" w:cs="宋体"/>
          <w:color w:val="auto"/>
          <w:sz w:val="24"/>
          <w:szCs w:val="24"/>
        </w:rPr>
        <w:t>磋商小组</w:t>
      </w:r>
      <w:r>
        <w:rPr>
          <w:rFonts w:hint="eastAsia" w:ascii="仿宋" w:hAnsi="仿宋" w:eastAsia="仿宋" w:cs="宋体"/>
          <w:bCs/>
          <w:color w:val="auto"/>
          <w:sz w:val="24"/>
        </w:rPr>
        <w:t>成员对需要共同认定的事项存在争议的，按照少数服从多数的原则做出结论。持不同意见的</w:t>
      </w:r>
      <w:r>
        <w:rPr>
          <w:rFonts w:hint="eastAsia" w:ascii="仿宋" w:hAnsi="仿宋" w:eastAsia="仿宋" w:cs="宋体"/>
          <w:color w:val="auto"/>
          <w:sz w:val="24"/>
          <w:szCs w:val="24"/>
        </w:rPr>
        <w:t>磋商小组</w:t>
      </w:r>
      <w:r>
        <w:rPr>
          <w:rFonts w:hint="eastAsia" w:ascii="仿宋" w:hAnsi="仿宋" w:eastAsia="仿宋" w:cs="宋体"/>
          <w:bCs/>
          <w:color w:val="auto"/>
          <w:sz w:val="24"/>
        </w:rPr>
        <w:t>成员应当在评审报告上签署不同意见并说明理由，否则视为同意。</w:t>
      </w:r>
    </w:p>
    <w:p w14:paraId="25905EBD">
      <w:pPr>
        <w:spacing w:line="520" w:lineRule="exact"/>
        <w:ind w:firstLine="480" w:firstLineChars="200"/>
        <w:rPr>
          <w:rFonts w:ascii="仿宋" w:hAnsi="仿宋" w:eastAsia="仿宋" w:cs="宋体"/>
          <w:bCs/>
          <w:color w:val="auto"/>
          <w:sz w:val="24"/>
        </w:rPr>
      </w:pPr>
      <w:r>
        <w:rPr>
          <w:rFonts w:ascii="仿宋" w:hAnsi="仿宋" w:eastAsia="仿宋" w:cs="宋体"/>
          <w:bCs/>
          <w:color w:val="auto"/>
          <w:sz w:val="24"/>
        </w:rPr>
        <w:t>3.15</w:t>
      </w:r>
      <w:r>
        <w:rPr>
          <w:rFonts w:hint="eastAsia" w:ascii="仿宋" w:hAnsi="仿宋" w:eastAsia="仿宋" w:cs="宋体"/>
          <w:bCs/>
          <w:color w:val="auto"/>
          <w:sz w:val="24"/>
        </w:rPr>
        <w:t>评审中若遇特殊问题，由</w:t>
      </w:r>
      <w:r>
        <w:rPr>
          <w:rFonts w:hint="eastAsia" w:ascii="仿宋" w:hAnsi="仿宋" w:eastAsia="仿宋" w:cs="宋体"/>
          <w:color w:val="auto"/>
          <w:sz w:val="24"/>
          <w:szCs w:val="24"/>
        </w:rPr>
        <w:t>磋商小组</w:t>
      </w:r>
      <w:r>
        <w:rPr>
          <w:rFonts w:hint="eastAsia" w:ascii="仿宋" w:hAnsi="仿宋" w:eastAsia="仿宋" w:cs="宋体"/>
          <w:bCs/>
          <w:color w:val="auto"/>
          <w:sz w:val="24"/>
        </w:rPr>
        <w:t>根据有关法律、法规研究决定。</w:t>
      </w:r>
    </w:p>
    <w:p w14:paraId="10E28513">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3</w:t>
      </w:r>
      <w:r>
        <w:rPr>
          <w:rFonts w:ascii="仿宋" w:hAnsi="仿宋" w:eastAsia="仿宋" w:cs="宋体"/>
          <w:bCs/>
          <w:color w:val="auto"/>
          <w:sz w:val="24"/>
        </w:rPr>
        <w:t>.16</w:t>
      </w:r>
      <w:r>
        <w:rPr>
          <w:rFonts w:hint="eastAsia" w:ascii="仿宋" w:hAnsi="仿宋" w:eastAsia="仿宋" w:cs="宋体"/>
          <w:bCs/>
          <w:color w:val="auto"/>
          <w:sz w:val="24"/>
        </w:rPr>
        <w:t>推荐</w:t>
      </w:r>
    </w:p>
    <w:p w14:paraId="707CB389">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磋商小组首先根据磋商文件规定对各供应商的</w:t>
      </w:r>
      <w:r>
        <w:rPr>
          <w:rFonts w:hint="eastAsia" w:ascii="仿宋" w:hAnsi="仿宋" w:eastAsia="仿宋" w:cs="宋体"/>
          <w:color w:val="auto"/>
          <w:sz w:val="24"/>
          <w:szCs w:val="24"/>
        </w:rPr>
        <w:t>响应</w:t>
      </w:r>
      <w:r>
        <w:rPr>
          <w:rFonts w:hint="eastAsia" w:ascii="仿宋" w:hAnsi="仿宋" w:eastAsia="仿宋" w:cs="宋体"/>
          <w:bCs/>
          <w:color w:val="auto"/>
          <w:sz w:val="24"/>
        </w:rPr>
        <w:t>文件进行资格评审和符合性评审。然后对通过资格评审和符合性评审的</w:t>
      </w:r>
      <w:r>
        <w:rPr>
          <w:rFonts w:hint="eastAsia" w:ascii="仿宋" w:hAnsi="仿宋" w:eastAsia="仿宋" w:cs="宋体"/>
          <w:color w:val="auto"/>
          <w:sz w:val="24"/>
          <w:szCs w:val="24"/>
        </w:rPr>
        <w:t>响应</w:t>
      </w:r>
      <w:r>
        <w:rPr>
          <w:rFonts w:hint="eastAsia" w:ascii="仿宋" w:hAnsi="仿宋" w:eastAsia="仿宋" w:cs="宋体"/>
          <w:bCs/>
          <w:color w:val="auto"/>
          <w:sz w:val="24"/>
        </w:rPr>
        <w:t>文件进行评审和比较，按得分从高到低的顺序推荐成交候选供应商。</w:t>
      </w:r>
    </w:p>
    <w:p w14:paraId="1CF03698">
      <w:pPr>
        <w:spacing w:line="520" w:lineRule="exact"/>
        <w:ind w:firstLine="540" w:firstLineChars="225"/>
        <w:rPr>
          <w:rFonts w:ascii="仿宋" w:hAnsi="仿宋" w:eastAsia="仿宋" w:cs="宋体"/>
          <w:bCs/>
          <w:color w:val="auto"/>
          <w:sz w:val="24"/>
        </w:rPr>
      </w:pPr>
      <w:bookmarkStart w:id="191" w:name="_Toc169430817"/>
      <w:bookmarkStart w:id="192" w:name="_Toc58036829"/>
      <w:r>
        <w:rPr>
          <w:rFonts w:hint="eastAsia" w:ascii="仿宋" w:hAnsi="仿宋" w:eastAsia="仿宋" w:cs="宋体"/>
          <w:bCs/>
          <w:color w:val="auto"/>
          <w:sz w:val="24"/>
        </w:rPr>
        <w:t>3</w:t>
      </w:r>
      <w:r>
        <w:rPr>
          <w:rFonts w:ascii="仿宋" w:hAnsi="仿宋" w:eastAsia="仿宋" w:cs="宋体"/>
          <w:bCs/>
          <w:color w:val="auto"/>
          <w:sz w:val="24"/>
        </w:rPr>
        <w:t>.17</w:t>
      </w:r>
      <w:r>
        <w:rPr>
          <w:rFonts w:hint="eastAsia" w:ascii="仿宋" w:hAnsi="仿宋" w:eastAsia="仿宋" w:cs="宋体"/>
          <w:bCs/>
          <w:color w:val="auto"/>
          <w:sz w:val="24"/>
        </w:rPr>
        <w:t>评审过程的保密</w:t>
      </w:r>
      <w:bookmarkEnd w:id="191"/>
      <w:bookmarkEnd w:id="192"/>
    </w:p>
    <w:p w14:paraId="4429BFA9">
      <w:pPr>
        <w:spacing w:line="520" w:lineRule="exact"/>
        <w:ind w:firstLine="480" w:firstLineChars="200"/>
        <w:rPr>
          <w:rFonts w:ascii="仿宋" w:hAnsi="仿宋" w:eastAsia="仿宋" w:cs="宋体"/>
          <w:bCs/>
          <w:color w:val="auto"/>
          <w:sz w:val="24"/>
        </w:rPr>
      </w:pPr>
      <w:r>
        <w:rPr>
          <w:rFonts w:hint="eastAsia" w:ascii="仿宋" w:hAnsi="仿宋" w:eastAsia="仿宋" w:cs="宋体"/>
          <w:color w:val="auto"/>
          <w:sz w:val="24"/>
        </w:rPr>
        <w:t>评</w:t>
      </w:r>
      <w:r>
        <w:rPr>
          <w:rFonts w:hint="eastAsia" w:ascii="仿宋" w:hAnsi="仿宋" w:eastAsia="仿宋" w:cs="宋体"/>
          <w:bCs/>
          <w:color w:val="auto"/>
          <w:sz w:val="24"/>
        </w:rPr>
        <w:t>审活动在严格保密的情况下进行。磋商小组成员在成交结果确定前保密。</w:t>
      </w:r>
    </w:p>
    <w:p w14:paraId="002A89DD">
      <w:pPr>
        <w:spacing w:line="52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磋商小组成员或者与评审活动有关的工作人员不得向他人透露对</w:t>
      </w:r>
      <w:r>
        <w:rPr>
          <w:rFonts w:hint="eastAsia" w:ascii="仿宋" w:hAnsi="仿宋" w:eastAsia="仿宋" w:cs="宋体"/>
          <w:color w:val="auto"/>
          <w:sz w:val="24"/>
          <w:szCs w:val="24"/>
        </w:rPr>
        <w:t>响应</w:t>
      </w:r>
      <w:r>
        <w:rPr>
          <w:rFonts w:hint="eastAsia" w:ascii="仿宋" w:hAnsi="仿宋" w:eastAsia="仿宋" w:cs="宋体"/>
          <w:bCs/>
          <w:color w:val="auto"/>
          <w:sz w:val="24"/>
        </w:rPr>
        <w:t>文件的评审和比较、成交候选供应商的推荐以及与评审有关的其他情况。</w:t>
      </w:r>
    </w:p>
    <w:p w14:paraId="0FB07A5A">
      <w:pPr>
        <w:pStyle w:val="4"/>
        <w:spacing w:before="240" w:line="520" w:lineRule="exact"/>
        <w:jc w:val="both"/>
        <w:rPr>
          <w:rFonts w:ascii="仿宋" w:hAnsi="仿宋" w:eastAsia="仿宋" w:cs="宋体"/>
          <w:color w:val="auto"/>
          <w:kern w:val="44"/>
          <w:sz w:val="28"/>
          <w:szCs w:val="28"/>
        </w:rPr>
      </w:pPr>
      <w:bookmarkStart w:id="193" w:name="_Toc107502695"/>
      <w:bookmarkStart w:id="194" w:name="_Toc21321"/>
      <w:bookmarkStart w:id="195" w:name="_Toc232004918"/>
      <w:bookmarkStart w:id="196" w:name="_Toc450311991"/>
      <w:bookmarkStart w:id="197" w:name="_Toc39770453"/>
      <w:r>
        <w:rPr>
          <w:rFonts w:hint="eastAsia" w:ascii="仿宋" w:hAnsi="仿宋" w:eastAsia="仿宋" w:cs="宋体"/>
          <w:color w:val="auto"/>
          <w:kern w:val="44"/>
          <w:sz w:val="28"/>
          <w:szCs w:val="28"/>
        </w:rPr>
        <w:t>4、编制评审报告</w:t>
      </w:r>
      <w:bookmarkEnd w:id="193"/>
      <w:bookmarkEnd w:id="194"/>
      <w:bookmarkEnd w:id="195"/>
      <w:bookmarkEnd w:id="196"/>
      <w:bookmarkEnd w:id="197"/>
    </w:p>
    <w:p w14:paraId="1437825D">
      <w:pPr>
        <w:snapToGrid w:val="0"/>
        <w:spacing w:line="50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磋商小组根据本章的规定向采购人提交评审报告。评审报告应当由全体磋商小组成员签字，采购代理机构在评审结束后二个工作日内将评审报告送采购人确认，采购人在收到评审报告后五个工作日内，按照评审报告中推荐的成交供应商顺序确定成交供应商。评审报告应当包括以下内容：</w:t>
      </w:r>
    </w:p>
    <w:p w14:paraId="5BFFD1DD">
      <w:pPr>
        <w:widowControl/>
        <w:spacing w:line="500" w:lineRule="exact"/>
        <w:ind w:firstLine="636"/>
        <w:rPr>
          <w:rFonts w:ascii="仿宋" w:hAnsi="仿宋" w:eastAsia="仿宋" w:cs="宋体"/>
          <w:snapToGrid w:val="0"/>
          <w:color w:val="auto"/>
          <w:kern w:val="0"/>
          <w:sz w:val="24"/>
          <w:szCs w:val="32"/>
        </w:rPr>
      </w:pPr>
      <w:r>
        <w:rPr>
          <w:rFonts w:hint="eastAsia" w:ascii="仿宋" w:hAnsi="仿宋" w:eastAsia="仿宋" w:cs="宋体"/>
          <w:snapToGrid w:val="0"/>
          <w:color w:val="auto"/>
          <w:kern w:val="0"/>
          <w:sz w:val="24"/>
          <w:szCs w:val="32"/>
        </w:rPr>
        <w:t>（一）邀请供应商参加采购活动的具体方式和相关情况；</w:t>
      </w:r>
    </w:p>
    <w:p w14:paraId="7807D1E8">
      <w:pPr>
        <w:widowControl/>
        <w:spacing w:line="500" w:lineRule="exact"/>
        <w:ind w:firstLine="636"/>
        <w:rPr>
          <w:rFonts w:ascii="仿宋" w:hAnsi="仿宋" w:eastAsia="仿宋" w:cs="宋体"/>
          <w:snapToGrid w:val="0"/>
          <w:color w:val="auto"/>
          <w:kern w:val="0"/>
          <w:sz w:val="24"/>
          <w:szCs w:val="32"/>
        </w:rPr>
      </w:pPr>
      <w:r>
        <w:rPr>
          <w:rFonts w:hint="eastAsia" w:ascii="仿宋" w:hAnsi="仿宋" w:eastAsia="仿宋" w:cs="宋体"/>
          <w:snapToGrid w:val="0"/>
          <w:color w:val="auto"/>
          <w:kern w:val="0"/>
          <w:sz w:val="24"/>
          <w:szCs w:val="32"/>
        </w:rPr>
        <w:t>（二）</w:t>
      </w:r>
      <w:r>
        <w:rPr>
          <w:rFonts w:hint="eastAsia" w:ascii="仿宋" w:hAnsi="仿宋" w:eastAsia="仿宋" w:cs="宋体"/>
          <w:color w:val="auto"/>
          <w:sz w:val="24"/>
          <w:szCs w:val="24"/>
        </w:rPr>
        <w:t>响应</w:t>
      </w:r>
      <w:r>
        <w:rPr>
          <w:rFonts w:hint="eastAsia" w:ascii="仿宋" w:hAnsi="仿宋" w:eastAsia="仿宋" w:cs="宋体"/>
          <w:snapToGrid w:val="0"/>
          <w:color w:val="auto"/>
          <w:kern w:val="0"/>
          <w:sz w:val="24"/>
          <w:szCs w:val="32"/>
        </w:rPr>
        <w:t>开启日期和地点；</w:t>
      </w:r>
    </w:p>
    <w:p w14:paraId="09FBF889">
      <w:pPr>
        <w:widowControl/>
        <w:spacing w:line="500" w:lineRule="exact"/>
        <w:ind w:firstLine="636"/>
        <w:rPr>
          <w:rFonts w:ascii="仿宋" w:hAnsi="仿宋" w:eastAsia="仿宋" w:cs="宋体"/>
          <w:snapToGrid w:val="0"/>
          <w:color w:val="auto"/>
          <w:kern w:val="0"/>
          <w:sz w:val="24"/>
          <w:szCs w:val="32"/>
        </w:rPr>
      </w:pPr>
      <w:r>
        <w:rPr>
          <w:rFonts w:hint="eastAsia" w:ascii="仿宋" w:hAnsi="仿宋" w:eastAsia="仿宋" w:cs="宋体"/>
          <w:snapToGrid w:val="0"/>
          <w:color w:val="auto"/>
          <w:kern w:val="0"/>
          <w:sz w:val="24"/>
          <w:szCs w:val="32"/>
        </w:rPr>
        <w:t>（三）获取磋商文件的供应商名单和磋商小组成员名单；</w:t>
      </w:r>
    </w:p>
    <w:p w14:paraId="35B2A298">
      <w:pPr>
        <w:widowControl/>
        <w:spacing w:line="500" w:lineRule="exact"/>
        <w:rPr>
          <w:rFonts w:ascii="仿宋" w:hAnsi="仿宋" w:eastAsia="仿宋" w:cs="宋体"/>
          <w:snapToGrid w:val="0"/>
          <w:color w:val="auto"/>
          <w:kern w:val="0"/>
          <w:sz w:val="24"/>
          <w:szCs w:val="32"/>
        </w:rPr>
      </w:pPr>
      <w:r>
        <w:rPr>
          <w:rFonts w:hint="eastAsia" w:ascii="仿宋" w:hAnsi="仿宋" w:eastAsia="仿宋" w:cs="宋体"/>
          <w:snapToGrid w:val="0"/>
          <w:color w:val="auto"/>
          <w:kern w:val="0"/>
          <w:sz w:val="24"/>
          <w:szCs w:val="32"/>
        </w:rPr>
        <w:t>　　 （四）评审情况记录和说明，包括对供应商的资格审查情况、供应商</w:t>
      </w:r>
      <w:r>
        <w:rPr>
          <w:rFonts w:hint="eastAsia" w:ascii="仿宋" w:hAnsi="仿宋" w:eastAsia="仿宋" w:cs="宋体"/>
          <w:color w:val="auto"/>
          <w:sz w:val="24"/>
          <w:szCs w:val="24"/>
        </w:rPr>
        <w:t>响应</w:t>
      </w:r>
      <w:r>
        <w:rPr>
          <w:rFonts w:hint="eastAsia" w:ascii="仿宋" w:hAnsi="仿宋" w:eastAsia="仿宋" w:cs="宋体"/>
          <w:snapToGrid w:val="0"/>
          <w:color w:val="auto"/>
          <w:kern w:val="0"/>
          <w:sz w:val="24"/>
          <w:szCs w:val="32"/>
        </w:rPr>
        <w:t>文件评审情况、磋商情况、报价情况等；</w:t>
      </w:r>
    </w:p>
    <w:p w14:paraId="1A3F1164">
      <w:pPr>
        <w:widowControl/>
        <w:spacing w:line="500" w:lineRule="exact"/>
        <w:rPr>
          <w:rFonts w:ascii="仿宋" w:hAnsi="仿宋" w:eastAsia="仿宋" w:cs="宋体"/>
          <w:snapToGrid w:val="0"/>
          <w:color w:val="auto"/>
          <w:kern w:val="0"/>
          <w:sz w:val="24"/>
          <w:szCs w:val="32"/>
        </w:rPr>
      </w:pPr>
      <w:r>
        <w:rPr>
          <w:rFonts w:hint="eastAsia" w:ascii="仿宋" w:hAnsi="仿宋" w:eastAsia="仿宋" w:cs="宋体"/>
          <w:snapToGrid w:val="0"/>
          <w:color w:val="auto"/>
          <w:kern w:val="0"/>
          <w:sz w:val="24"/>
          <w:szCs w:val="32"/>
        </w:rPr>
        <w:t>　　 （五）提出的成交候选供应商的排序名单及理由。</w:t>
      </w:r>
    </w:p>
    <w:p w14:paraId="7DCCBE8A">
      <w:pPr>
        <w:pStyle w:val="4"/>
        <w:spacing w:before="240" w:line="520" w:lineRule="exact"/>
        <w:jc w:val="both"/>
        <w:rPr>
          <w:rFonts w:ascii="仿宋" w:hAnsi="仿宋" w:eastAsia="仿宋" w:cs="宋体"/>
          <w:color w:val="auto"/>
          <w:kern w:val="44"/>
          <w:sz w:val="28"/>
          <w:szCs w:val="28"/>
        </w:rPr>
      </w:pPr>
      <w:bookmarkStart w:id="198" w:name="_Toc23805"/>
      <w:bookmarkStart w:id="199" w:name="_Toc107502696"/>
      <w:bookmarkStart w:id="200" w:name="_Toc39770454"/>
      <w:bookmarkStart w:id="201" w:name="_Toc450311992"/>
      <w:bookmarkStart w:id="202" w:name="_Toc232004919"/>
      <w:r>
        <w:rPr>
          <w:rFonts w:hint="eastAsia" w:ascii="仿宋" w:hAnsi="仿宋" w:eastAsia="仿宋" w:cs="宋体"/>
          <w:color w:val="auto"/>
          <w:kern w:val="44"/>
          <w:sz w:val="28"/>
          <w:szCs w:val="28"/>
        </w:rPr>
        <w:t>5、重新开展磋商活动</w:t>
      </w:r>
      <w:bookmarkEnd w:id="198"/>
      <w:bookmarkEnd w:id="199"/>
      <w:bookmarkEnd w:id="200"/>
      <w:bookmarkEnd w:id="201"/>
      <w:bookmarkEnd w:id="202"/>
    </w:p>
    <w:p w14:paraId="242FDAAD">
      <w:pPr>
        <w:tabs>
          <w:tab w:val="left" w:pos="105"/>
          <w:tab w:val="left" w:pos="945"/>
          <w:tab w:val="left" w:pos="3360"/>
        </w:tabs>
        <w:adjustRightInd w:val="0"/>
        <w:snapToGrid w:val="0"/>
        <w:spacing w:line="500" w:lineRule="exact"/>
        <w:ind w:firstLine="480" w:firstLineChars="200"/>
        <w:jc w:val="left"/>
        <w:rPr>
          <w:rFonts w:ascii="仿宋" w:hAnsi="仿宋" w:eastAsia="仿宋" w:cs="宋体"/>
          <w:color w:val="auto"/>
          <w:sz w:val="24"/>
          <w:szCs w:val="24"/>
        </w:rPr>
      </w:pPr>
      <w:r>
        <w:rPr>
          <w:rFonts w:hint="eastAsia" w:ascii="仿宋" w:hAnsi="仿宋" w:eastAsia="仿宋" w:cs="宋体"/>
          <w:color w:val="auto"/>
          <w:sz w:val="24"/>
          <w:szCs w:val="24"/>
        </w:rPr>
        <w:t>5.1采购过程中，因情况变化，不再符合规定的竞争性磋商采购方式适用情形的，采购人或者采购代理机构应当终止竞争性磋商采购活动，发布项目终止公告并说明原因，重新开展采购活动。</w:t>
      </w:r>
    </w:p>
    <w:p w14:paraId="1151E005">
      <w:pPr>
        <w:tabs>
          <w:tab w:val="left" w:pos="105"/>
          <w:tab w:val="left" w:pos="945"/>
          <w:tab w:val="left" w:pos="3360"/>
        </w:tabs>
        <w:adjustRightInd w:val="0"/>
        <w:snapToGrid w:val="0"/>
        <w:spacing w:line="500" w:lineRule="exact"/>
        <w:ind w:firstLine="480" w:firstLineChars="200"/>
        <w:jc w:val="left"/>
        <w:rPr>
          <w:rFonts w:ascii="仿宋" w:hAnsi="仿宋" w:eastAsia="仿宋" w:cs="宋体"/>
          <w:color w:val="auto"/>
          <w:sz w:val="24"/>
          <w:szCs w:val="24"/>
        </w:rPr>
      </w:pPr>
      <w:r>
        <w:rPr>
          <w:rFonts w:hint="eastAsia" w:ascii="仿宋" w:hAnsi="仿宋" w:eastAsia="仿宋" w:cs="宋体"/>
          <w:color w:val="auto"/>
          <w:sz w:val="24"/>
          <w:szCs w:val="24"/>
        </w:rPr>
        <w:t>5.2在磋商过程中，经磋商，磋商小组认为所有报价都不符合竞争性磋商文件要求的，可以否决所有报价；所有报价被否决后，采购人应当重新组织竞争性磋商。</w:t>
      </w:r>
    </w:p>
    <w:p w14:paraId="74C1753D">
      <w:pPr>
        <w:tabs>
          <w:tab w:val="left" w:pos="105"/>
          <w:tab w:val="left" w:pos="945"/>
          <w:tab w:val="left" w:pos="3360"/>
        </w:tabs>
        <w:adjustRightInd w:val="0"/>
        <w:snapToGrid w:val="0"/>
        <w:spacing w:line="500" w:lineRule="exact"/>
        <w:ind w:firstLine="480" w:firstLineChars="200"/>
        <w:jc w:val="left"/>
        <w:rPr>
          <w:rFonts w:ascii="仿宋" w:hAnsi="仿宋" w:eastAsia="仿宋" w:cs="宋体"/>
          <w:color w:val="auto"/>
          <w:sz w:val="24"/>
          <w:szCs w:val="24"/>
        </w:rPr>
      </w:pPr>
      <w:r>
        <w:rPr>
          <w:rFonts w:hint="eastAsia" w:ascii="仿宋" w:hAnsi="仿宋" w:eastAsia="仿宋" w:cs="宋体"/>
          <w:color w:val="auto"/>
          <w:sz w:val="24"/>
          <w:szCs w:val="24"/>
        </w:rPr>
        <w:t>5.3在采购过程中，出现影响采购公正的违法、违规行为时，应重新开展采购活动。</w:t>
      </w:r>
    </w:p>
    <w:p w14:paraId="647003C9">
      <w:pPr>
        <w:tabs>
          <w:tab w:val="left" w:pos="105"/>
          <w:tab w:val="left" w:pos="945"/>
          <w:tab w:val="left" w:pos="3360"/>
        </w:tabs>
        <w:adjustRightInd w:val="0"/>
        <w:snapToGrid w:val="0"/>
        <w:spacing w:line="500" w:lineRule="exact"/>
        <w:ind w:firstLine="480" w:firstLineChars="200"/>
        <w:jc w:val="left"/>
        <w:rPr>
          <w:rFonts w:ascii="仿宋" w:hAnsi="仿宋" w:eastAsia="仿宋" w:cs="宋体"/>
          <w:color w:val="auto"/>
          <w:sz w:val="24"/>
          <w:szCs w:val="24"/>
        </w:rPr>
        <w:sectPr>
          <w:headerReference r:id="rId4" w:type="first"/>
          <w:footerReference r:id="rId6" w:type="first"/>
          <w:headerReference r:id="rId3" w:type="default"/>
          <w:footerReference r:id="rId5" w:type="default"/>
          <w:pgSz w:w="11906" w:h="16838"/>
          <w:pgMar w:top="1134" w:right="1134" w:bottom="1134" w:left="1134" w:header="851" w:footer="992" w:gutter="0"/>
          <w:cols w:space="720" w:num="1"/>
          <w:titlePg/>
          <w:docGrid w:linePitch="312" w:charSpace="0"/>
        </w:sectPr>
      </w:pPr>
      <w:r>
        <w:rPr>
          <w:rFonts w:hint="eastAsia" w:ascii="仿宋" w:hAnsi="仿宋" w:eastAsia="仿宋" w:cs="宋体"/>
          <w:color w:val="auto"/>
          <w:sz w:val="24"/>
          <w:szCs w:val="24"/>
        </w:rPr>
        <w:t>5.4</w:t>
      </w:r>
      <w:bookmarkStart w:id="203" w:name="_Toc450310839"/>
      <w:bookmarkStart w:id="204" w:name="_Toc27866"/>
      <w:bookmarkStart w:id="205" w:name="_Toc450311994"/>
      <w:r>
        <w:rPr>
          <w:rFonts w:hint="eastAsia" w:ascii="仿宋" w:hAnsi="仿宋" w:eastAsia="仿宋" w:cs="宋体"/>
          <w:color w:val="auto"/>
          <w:sz w:val="24"/>
          <w:szCs w:val="24"/>
        </w:rPr>
        <w:t>为了深入推进政府采购制度改革和政府购买服务工作，促进实现“物有所值”价值目标，提高政府采购效率，现就《财政部关于印发&lt;政府采购竞争性磋商采购方式管理暂行办法&gt;的通知》（财库〔2014〕214号）有关问题补充通知如下：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bookmarkEnd w:id="203"/>
    <w:bookmarkEnd w:id="204"/>
    <w:bookmarkEnd w:id="205"/>
    <w:p w14:paraId="4A0485DA">
      <w:pPr>
        <w:spacing w:line="480" w:lineRule="auto"/>
        <w:jc w:val="center"/>
        <w:outlineLvl w:val="0"/>
        <w:rPr>
          <w:rFonts w:ascii="仿宋" w:hAnsi="仿宋" w:eastAsia="仿宋" w:cs="宋体"/>
          <w:b/>
          <w:color w:val="auto"/>
          <w:sz w:val="32"/>
          <w:szCs w:val="32"/>
        </w:rPr>
      </w:pPr>
      <w:bookmarkStart w:id="206" w:name="_Toc232004920"/>
      <w:r>
        <w:rPr>
          <w:rFonts w:hint="eastAsia" w:ascii="仿宋" w:hAnsi="仿宋" w:eastAsia="仿宋" w:cs="宋体"/>
          <w:b/>
          <w:color w:val="auto"/>
          <w:sz w:val="32"/>
          <w:szCs w:val="32"/>
        </w:rPr>
        <w:t>第四章  采购需求</w:t>
      </w:r>
      <w:bookmarkEnd w:id="206"/>
    </w:p>
    <w:p w14:paraId="0116D6E2">
      <w:pPr>
        <w:widowControl/>
        <w:spacing w:before="120" w:beforeLines="50" w:after="120" w:afterLines="50" w:line="500" w:lineRule="exact"/>
        <w:jc w:val="left"/>
        <w:rPr>
          <w:rFonts w:ascii="仿宋" w:hAnsi="仿宋" w:eastAsia="仿宋" w:cs="宋体"/>
          <w:color w:val="auto"/>
          <w:kern w:val="0"/>
          <w:sz w:val="24"/>
          <w:szCs w:val="24"/>
        </w:rPr>
      </w:pPr>
      <w:bookmarkStart w:id="207" w:name="_Toc450311997"/>
      <w:bookmarkStart w:id="208" w:name="_Toc23991"/>
      <w:r>
        <w:rPr>
          <w:rFonts w:hint="eastAsia" w:ascii="仿宋" w:hAnsi="仿宋" w:eastAsia="仿宋" w:cs="Arial"/>
          <w:b/>
          <w:bCs/>
          <w:color w:val="auto"/>
          <w:kern w:val="0"/>
          <w:sz w:val="24"/>
          <w:szCs w:val="24"/>
          <w:shd w:val="clear" w:color="auto" w:fill="FFFFFF"/>
        </w:rPr>
        <w:t>一、采购标的需实现的功能或者目标，以及为落实政府采购政策需满足的要求</w:t>
      </w:r>
    </w:p>
    <w:p w14:paraId="39958F8F">
      <w:pPr>
        <w:widowControl/>
        <w:spacing w:line="500" w:lineRule="exact"/>
        <w:ind w:firstLine="480" w:firstLineChars="200"/>
        <w:jc w:val="left"/>
        <w:rPr>
          <w:rFonts w:ascii="仿宋" w:hAnsi="仿宋" w:eastAsia="仿宋" w:cs="宋体"/>
          <w:color w:val="auto"/>
          <w:sz w:val="24"/>
          <w:szCs w:val="24"/>
        </w:rPr>
      </w:pPr>
      <w:r>
        <w:rPr>
          <w:rFonts w:hint="eastAsia" w:ascii="仿宋" w:hAnsi="仿宋" w:eastAsia="仿宋" w:cs="宋体"/>
          <w:color w:val="auto"/>
          <w:sz w:val="24"/>
          <w:szCs w:val="24"/>
        </w:rPr>
        <w:t>根据云南省自然资源厅办公室关于转发《涉嫌破坏耕地犯罪案件移送指引》通知相关要求，严厉打击破坏耕地犯罪行为，坚决守住耕地保护红线，做好破坏耕地案件的执法查处工作，需选取1家司法鉴定机构针对石林彝族自治县范围内的破坏耕地案件进行鉴定，出具司法鉴定意见，并根据采购人的需求参与处理诉讼事务。最终根据采购人下达的鉴定任务按项目据实结算，合同履行期限截止或合同执行金额达到本项目预算金额止，采购人不承诺最终实际完成结算金额达到预算金额。</w:t>
      </w:r>
    </w:p>
    <w:p w14:paraId="1088DD4E">
      <w:pPr>
        <w:spacing w:line="500" w:lineRule="exact"/>
        <w:ind w:firstLine="480" w:firstLineChars="200"/>
        <w:rPr>
          <w:rFonts w:ascii="仿宋" w:hAnsi="仿宋" w:eastAsia="仿宋" w:cs="宋体"/>
          <w:color w:val="auto"/>
          <w:sz w:val="24"/>
          <w:szCs w:val="24"/>
        </w:rPr>
      </w:pPr>
      <w:r>
        <w:rPr>
          <w:rFonts w:hint="eastAsia" w:ascii="仿宋" w:hAnsi="仿宋" w:eastAsia="仿宋" w:cs="Arial"/>
          <w:bCs/>
          <w:color w:val="auto"/>
          <w:kern w:val="0"/>
          <w:sz w:val="24"/>
          <w:szCs w:val="24"/>
          <w:shd w:val="clear" w:color="auto" w:fill="FFFFFF"/>
        </w:rPr>
        <w:t>落实采购政策需满足的要求：</w:t>
      </w:r>
      <w:r>
        <w:rPr>
          <w:rFonts w:hint="eastAsia" w:ascii="仿宋" w:hAnsi="仿宋" w:eastAsia="仿宋" w:cs="宋体"/>
          <w:bCs/>
          <w:color w:val="auto"/>
          <w:sz w:val="24"/>
          <w:szCs w:val="24"/>
        </w:rPr>
        <w:t>本项目非专门面向中小企业采购，小微企业价格扣除优惠比例：10%。</w:t>
      </w:r>
      <w:r>
        <w:rPr>
          <w:rFonts w:hint="eastAsia" w:ascii="仿宋" w:hAnsi="仿宋" w:eastAsia="仿宋" w:cs="宋体"/>
          <w:color w:val="auto"/>
          <w:sz w:val="24"/>
          <w:szCs w:val="24"/>
        </w:rPr>
        <w:t>执行《关于印发《政府采购促进中小企业发展管理办法》的通知》（财库〔2020〕46号）和《关于进一步加大政府采购支持中小企业力度的通知》（财库〔2022〕19号）、《财政部 司法部关于政府采购支持监狱企业发展有关问题的通知》（财库〔2014〕68号）、《关于促进残疾人就业政府采购政策的通知》（财库〔2017〕141号）等规定。</w:t>
      </w:r>
    </w:p>
    <w:p w14:paraId="0D0B3CE3">
      <w:pPr>
        <w:widowControl/>
        <w:spacing w:before="120" w:beforeLines="50" w:after="120" w:afterLines="50" w:line="500" w:lineRule="exact"/>
        <w:jc w:val="left"/>
        <w:rPr>
          <w:rFonts w:ascii="仿宋" w:hAnsi="仿宋" w:eastAsia="仿宋" w:cs="Arial"/>
          <w:b/>
          <w:bCs/>
          <w:color w:val="auto"/>
          <w:kern w:val="0"/>
          <w:sz w:val="24"/>
          <w:szCs w:val="24"/>
          <w:shd w:val="clear" w:color="auto" w:fill="FFFFFF"/>
        </w:rPr>
      </w:pPr>
      <w:r>
        <w:rPr>
          <w:rFonts w:hint="eastAsia" w:ascii="仿宋" w:hAnsi="仿宋" w:eastAsia="仿宋" w:cs="Arial"/>
          <w:b/>
          <w:bCs/>
          <w:color w:val="auto"/>
          <w:kern w:val="0"/>
          <w:sz w:val="24"/>
          <w:szCs w:val="24"/>
          <w:shd w:val="clear" w:color="auto" w:fill="FFFFFF"/>
        </w:rPr>
        <w:t>二、采购标的需执行的</w:t>
      </w:r>
      <w:bookmarkStart w:id="209" w:name="_Hlk135038300"/>
      <w:r>
        <w:rPr>
          <w:rFonts w:hint="eastAsia" w:ascii="仿宋" w:hAnsi="仿宋" w:eastAsia="仿宋" w:cs="Arial"/>
          <w:b/>
          <w:bCs/>
          <w:color w:val="auto"/>
          <w:kern w:val="0"/>
          <w:sz w:val="24"/>
          <w:szCs w:val="24"/>
          <w:shd w:val="clear" w:color="auto" w:fill="FFFFFF"/>
        </w:rPr>
        <w:t>国家相关标准、行业标准、地方标准或者其他标准、规范</w:t>
      </w:r>
      <w:bookmarkEnd w:id="209"/>
    </w:p>
    <w:p w14:paraId="7F3F75AE">
      <w:pPr>
        <w:widowControl/>
        <w:spacing w:line="500" w:lineRule="exact"/>
        <w:ind w:firstLine="480" w:firstLineChars="200"/>
        <w:jc w:val="left"/>
        <w:rPr>
          <w:rFonts w:ascii="仿宋" w:hAnsi="仿宋" w:eastAsia="仿宋" w:cs="Arial"/>
          <w:bCs/>
          <w:color w:val="auto"/>
          <w:kern w:val="0"/>
          <w:sz w:val="24"/>
          <w:szCs w:val="24"/>
          <w:shd w:val="clear" w:color="auto" w:fill="FFFFFF"/>
        </w:rPr>
      </w:pPr>
      <w:r>
        <w:rPr>
          <w:rFonts w:hint="eastAsia" w:ascii="仿宋" w:hAnsi="仿宋" w:eastAsia="仿宋"/>
          <w:color w:val="auto"/>
          <w:sz w:val="24"/>
          <w:szCs w:val="24"/>
        </w:rPr>
        <w:t>供应商提供的服务及成果均能满足国家、地方、行业标准及采购人需求。</w:t>
      </w:r>
    </w:p>
    <w:p w14:paraId="6C75FA9A">
      <w:pPr>
        <w:widowControl/>
        <w:spacing w:before="120" w:beforeLines="50" w:after="120" w:afterLines="50" w:line="500" w:lineRule="exact"/>
        <w:jc w:val="left"/>
        <w:rPr>
          <w:rFonts w:ascii="仿宋" w:hAnsi="仿宋" w:eastAsia="仿宋" w:cs="Arial"/>
          <w:b/>
          <w:bCs/>
          <w:color w:val="auto"/>
          <w:kern w:val="0"/>
          <w:sz w:val="24"/>
          <w:szCs w:val="24"/>
          <w:shd w:val="clear" w:color="auto" w:fill="FFFFFF"/>
        </w:rPr>
      </w:pPr>
      <w:r>
        <w:rPr>
          <w:rFonts w:hint="eastAsia" w:ascii="仿宋" w:hAnsi="仿宋" w:eastAsia="仿宋" w:cs="Arial"/>
          <w:b/>
          <w:bCs/>
          <w:color w:val="auto"/>
          <w:kern w:val="0"/>
          <w:sz w:val="24"/>
          <w:szCs w:val="24"/>
          <w:shd w:val="clear" w:color="auto" w:fill="FFFFFF"/>
        </w:rPr>
        <w:t xml:space="preserve">三、采购标的需满足的质量、安全、技术规格、物理特性等要求 </w:t>
      </w:r>
    </w:p>
    <w:p w14:paraId="4B11A063">
      <w:pPr>
        <w:widowControl/>
        <w:spacing w:line="500" w:lineRule="exact"/>
        <w:ind w:firstLine="480" w:firstLineChars="200"/>
        <w:jc w:val="left"/>
        <w:rPr>
          <w:rFonts w:ascii="仿宋" w:hAnsi="仿宋" w:eastAsia="仿宋" w:cs="Arial"/>
          <w:bCs/>
          <w:color w:val="auto"/>
          <w:kern w:val="0"/>
          <w:sz w:val="24"/>
          <w:szCs w:val="24"/>
          <w:shd w:val="clear" w:color="auto" w:fill="FFFFFF"/>
        </w:rPr>
      </w:pPr>
      <w:r>
        <w:rPr>
          <w:rFonts w:hint="eastAsia" w:ascii="仿宋" w:hAnsi="仿宋" w:eastAsia="仿宋"/>
          <w:color w:val="auto"/>
          <w:sz w:val="24"/>
          <w:szCs w:val="24"/>
        </w:rPr>
        <w:t>供应商提供的服务及成果均能满足国家、地方、行业标准及采购人需求。</w:t>
      </w:r>
    </w:p>
    <w:p w14:paraId="1757BF70">
      <w:pPr>
        <w:widowControl/>
        <w:spacing w:before="120" w:beforeLines="50" w:after="120" w:afterLines="50" w:line="500" w:lineRule="exact"/>
        <w:jc w:val="left"/>
        <w:rPr>
          <w:rFonts w:ascii="仿宋" w:hAnsi="仿宋" w:eastAsia="仿宋" w:cs="Arial"/>
          <w:b/>
          <w:bCs/>
          <w:color w:val="auto"/>
          <w:kern w:val="0"/>
          <w:sz w:val="24"/>
          <w:szCs w:val="24"/>
          <w:shd w:val="clear" w:color="auto" w:fill="FFFFFF"/>
        </w:rPr>
      </w:pPr>
      <w:r>
        <w:rPr>
          <w:rFonts w:hint="eastAsia" w:ascii="仿宋" w:hAnsi="仿宋" w:eastAsia="仿宋" w:cs="Arial"/>
          <w:b/>
          <w:bCs/>
          <w:color w:val="auto"/>
          <w:kern w:val="0"/>
          <w:sz w:val="24"/>
          <w:szCs w:val="24"/>
          <w:shd w:val="clear" w:color="auto" w:fill="FFFFFF"/>
        </w:rPr>
        <w:t>四、采购标的的数量、采购项目交付或者实施的时间和地点</w:t>
      </w:r>
    </w:p>
    <w:p w14:paraId="5C40500C">
      <w:pPr>
        <w:widowControl/>
        <w:spacing w:line="500" w:lineRule="exact"/>
        <w:ind w:firstLine="480" w:firstLineChars="200"/>
        <w:jc w:val="left"/>
        <w:rPr>
          <w:rFonts w:ascii="仿宋" w:hAnsi="仿宋" w:eastAsia="仿宋" w:cs="Arial"/>
          <w:bCs/>
          <w:color w:val="auto"/>
          <w:kern w:val="0"/>
          <w:sz w:val="24"/>
          <w:szCs w:val="24"/>
          <w:shd w:val="clear" w:color="auto" w:fill="FFFFFF"/>
        </w:rPr>
      </w:pPr>
      <w:r>
        <w:rPr>
          <w:rFonts w:hint="eastAsia" w:ascii="仿宋" w:hAnsi="仿宋" w:eastAsia="仿宋" w:cs="Arial"/>
          <w:bCs/>
          <w:color w:val="auto"/>
          <w:kern w:val="0"/>
          <w:sz w:val="24"/>
          <w:szCs w:val="24"/>
          <w:shd w:val="clear" w:color="auto" w:fill="FFFFFF"/>
        </w:rPr>
        <w:t>采购标的数量：</w:t>
      </w:r>
      <w:r>
        <w:rPr>
          <w:rFonts w:ascii="仿宋" w:hAnsi="仿宋" w:eastAsia="仿宋" w:cs="Arial"/>
          <w:bCs/>
          <w:color w:val="auto"/>
          <w:kern w:val="0"/>
          <w:sz w:val="24"/>
          <w:szCs w:val="24"/>
          <w:shd w:val="clear" w:color="auto" w:fill="FFFFFF"/>
        </w:rPr>
        <w:t>1</w:t>
      </w:r>
      <w:r>
        <w:rPr>
          <w:rFonts w:hint="eastAsia" w:ascii="仿宋" w:hAnsi="仿宋" w:eastAsia="仿宋" w:cs="Arial"/>
          <w:bCs/>
          <w:color w:val="auto"/>
          <w:kern w:val="0"/>
          <w:sz w:val="24"/>
          <w:szCs w:val="24"/>
          <w:shd w:val="clear" w:color="auto" w:fill="FFFFFF"/>
        </w:rPr>
        <w:t>项（具体以采购人下达的鉴定任务数量为准）。</w:t>
      </w:r>
    </w:p>
    <w:p w14:paraId="198C21D0">
      <w:pPr>
        <w:widowControl/>
        <w:spacing w:line="500" w:lineRule="exact"/>
        <w:ind w:firstLine="480" w:firstLineChars="200"/>
        <w:jc w:val="left"/>
        <w:rPr>
          <w:rFonts w:ascii="仿宋" w:hAnsi="仿宋" w:eastAsia="仿宋" w:cs="Arial"/>
          <w:bCs/>
          <w:color w:val="auto"/>
          <w:kern w:val="0"/>
          <w:sz w:val="24"/>
          <w:szCs w:val="24"/>
          <w:shd w:val="clear" w:color="auto" w:fill="FFFFFF"/>
        </w:rPr>
      </w:pPr>
      <w:r>
        <w:rPr>
          <w:rFonts w:hint="eastAsia" w:ascii="仿宋" w:hAnsi="仿宋" w:eastAsia="仿宋" w:cs="宋体"/>
          <w:color w:val="auto"/>
          <w:sz w:val="24"/>
          <w:szCs w:val="24"/>
        </w:rPr>
        <w:t>合同履行期限：自合同签订之日起1年（或合同执行金额达到本项目预算金额止），单项案件司法鉴定意见出具时限须满足采购人要求。</w:t>
      </w:r>
    </w:p>
    <w:p w14:paraId="1577E3B3">
      <w:pPr>
        <w:widowControl/>
        <w:spacing w:line="500" w:lineRule="exact"/>
        <w:ind w:firstLine="480" w:firstLineChars="200"/>
        <w:jc w:val="left"/>
        <w:rPr>
          <w:rFonts w:ascii="仿宋" w:hAnsi="仿宋" w:eastAsia="仿宋" w:cs="宋体"/>
          <w:color w:val="auto"/>
          <w:kern w:val="0"/>
          <w:sz w:val="24"/>
          <w:szCs w:val="24"/>
        </w:rPr>
      </w:pPr>
      <w:r>
        <w:rPr>
          <w:rFonts w:hint="eastAsia" w:ascii="仿宋" w:hAnsi="仿宋" w:eastAsia="仿宋" w:cs="Arial"/>
          <w:bCs/>
          <w:color w:val="auto"/>
          <w:kern w:val="0"/>
          <w:sz w:val="24"/>
          <w:szCs w:val="24"/>
          <w:shd w:val="clear" w:color="auto" w:fill="FFFFFF"/>
        </w:rPr>
        <w:t>项目实施地点：</w:t>
      </w:r>
      <w:r>
        <w:rPr>
          <w:rFonts w:hint="eastAsia" w:ascii="仿宋" w:hAnsi="仿宋" w:eastAsia="仿宋" w:cs="宋体"/>
          <w:color w:val="auto"/>
          <w:sz w:val="24"/>
          <w:szCs w:val="24"/>
        </w:rPr>
        <w:t>石林彝族自治县范围内采购人要求地点。</w:t>
      </w:r>
    </w:p>
    <w:p w14:paraId="6373919E">
      <w:pPr>
        <w:widowControl/>
        <w:spacing w:before="120" w:beforeLines="50" w:after="120" w:afterLines="50" w:line="500" w:lineRule="exact"/>
        <w:jc w:val="left"/>
        <w:rPr>
          <w:rFonts w:ascii="仿宋" w:hAnsi="仿宋" w:eastAsia="仿宋" w:cs="Arial"/>
          <w:b/>
          <w:bCs/>
          <w:color w:val="auto"/>
          <w:kern w:val="0"/>
          <w:sz w:val="24"/>
          <w:szCs w:val="24"/>
          <w:shd w:val="clear" w:color="auto" w:fill="FFFFFF"/>
        </w:rPr>
      </w:pPr>
      <w:r>
        <w:rPr>
          <w:rFonts w:hint="eastAsia" w:ascii="仿宋" w:hAnsi="仿宋" w:eastAsia="仿宋" w:cs="Arial"/>
          <w:b/>
          <w:bCs/>
          <w:color w:val="auto"/>
          <w:kern w:val="0"/>
          <w:sz w:val="24"/>
          <w:szCs w:val="24"/>
          <w:shd w:val="clear" w:color="auto" w:fill="FFFFFF"/>
        </w:rPr>
        <w:t>五、采购标的需满足的服务标准、期限、效率等要求</w:t>
      </w:r>
    </w:p>
    <w:p w14:paraId="279DEC70">
      <w:pPr>
        <w:widowControl/>
        <w:spacing w:line="500" w:lineRule="exact"/>
        <w:ind w:firstLine="482" w:firstLineChars="200"/>
        <w:jc w:val="left"/>
        <w:rPr>
          <w:rFonts w:ascii="仿宋" w:hAnsi="仿宋" w:eastAsia="仿宋" w:cs="Arial"/>
          <w:bCs/>
          <w:color w:val="auto"/>
          <w:kern w:val="0"/>
          <w:sz w:val="24"/>
          <w:szCs w:val="24"/>
          <w:shd w:val="clear" w:color="auto" w:fill="FFFFFF"/>
        </w:rPr>
      </w:pPr>
      <w:r>
        <w:rPr>
          <w:rFonts w:hint="eastAsia" w:ascii="仿宋" w:hAnsi="仿宋" w:eastAsia="仿宋" w:cs="宋体"/>
          <w:b/>
          <w:color w:val="auto"/>
          <w:kern w:val="0"/>
          <w:sz w:val="24"/>
          <w:szCs w:val="24"/>
        </w:rPr>
        <w:t>服务标准：</w:t>
      </w:r>
      <w:r>
        <w:rPr>
          <w:rFonts w:hint="eastAsia" w:ascii="仿宋" w:hAnsi="仿宋" w:eastAsia="仿宋"/>
          <w:color w:val="auto"/>
          <w:sz w:val="24"/>
          <w:szCs w:val="24"/>
        </w:rPr>
        <w:t>供应商提供的服务及成果均能满足国家、地方、行业标准及采购人需求。</w:t>
      </w:r>
    </w:p>
    <w:p w14:paraId="65D2D4AD">
      <w:pPr>
        <w:widowControl/>
        <w:spacing w:line="500" w:lineRule="exact"/>
        <w:ind w:firstLine="482" w:firstLineChars="200"/>
        <w:jc w:val="left"/>
        <w:rPr>
          <w:rFonts w:ascii="仿宋" w:hAnsi="仿宋" w:eastAsia="仿宋" w:cs="宋体"/>
          <w:color w:val="auto"/>
          <w:sz w:val="24"/>
          <w:szCs w:val="24"/>
        </w:rPr>
      </w:pPr>
      <w:r>
        <w:rPr>
          <w:rFonts w:hint="eastAsia" w:ascii="仿宋" w:hAnsi="仿宋" w:eastAsia="仿宋" w:cs="宋体"/>
          <w:b/>
          <w:bCs/>
          <w:color w:val="auto"/>
          <w:sz w:val="24"/>
          <w:szCs w:val="24"/>
        </w:rPr>
        <w:t>合同履行期限：</w:t>
      </w:r>
      <w:r>
        <w:rPr>
          <w:rFonts w:hint="eastAsia" w:ascii="仿宋" w:hAnsi="仿宋" w:eastAsia="仿宋" w:cs="宋体"/>
          <w:color w:val="auto"/>
          <w:sz w:val="24"/>
          <w:szCs w:val="24"/>
        </w:rPr>
        <w:t>自合同签订之日起1年（或合同执行金额达到本项目预算金额止），单项案件司法鉴定意见出具时限须满足采购人要求。</w:t>
      </w:r>
    </w:p>
    <w:p w14:paraId="5F7474D0">
      <w:pPr>
        <w:widowControl/>
        <w:spacing w:before="120" w:beforeLines="50" w:after="120" w:afterLines="50" w:line="500" w:lineRule="exact"/>
        <w:jc w:val="left"/>
        <w:rPr>
          <w:rFonts w:ascii="仿宋" w:hAnsi="仿宋" w:eastAsia="仿宋" w:cs="Arial"/>
          <w:b/>
          <w:bCs/>
          <w:color w:val="auto"/>
          <w:kern w:val="0"/>
          <w:sz w:val="24"/>
          <w:szCs w:val="24"/>
          <w:shd w:val="clear" w:color="auto" w:fill="FFFFFF"/>
        </w:rPr>
      </w:pPr>
      <w:r>
        <w:rPr>
          <w:rFonts w:hint="eastAsia" w:ascii="仿宋" w:hAnsi="仿宋" w:eastAsia="仿宋" w:cs="Arial"/>
          <w:b/>
          <w:bCs/>
          <w:color w:val="auto"/>
          <w:kern w:val="0"/>
          <w:sz w:val="24"/>
          <w:szCs w:val="24"/>
          <w:shd w:val="clear" w:color="auto" w:fill="FFFFFF"/>
        </w:rPr>
        <w:t>六、采购标的的验收标准</w:t>
      </w:r>
    </w:p>
    <w:p w14:paraId="0E629DED">
      <w:pPr>
        <w:widowControl/>
        <w:spacing w:before="100" w:beforeAutospacing="1" w:after="100" w:afterAutospacing="1" w:line="500" w:lineRule="exact"/>
        <w:ind w:firstLine="720" w:firstLineChars="300"/>
        <w:jc w:val="left"/>
        <w:rPr>
          <w:rFonts w:ascii="仿宋" w:hAnsi="仿宋" w:eastAsia="仿宋" w:cs="宋体"/>
          <w:color w:val="auto"/>
          <w:kern w:val="0"/>
          <w:sz w:val="24"/>
          <w:szCs w:val="24"/>
        </w:rPr>
      </w:pPr>
      <w:r>
        <w:rPr>
          <w:rFonts w:hint="eastAsia" w:ascii="仿宋" w:hAnsi="仿宋" w:eastAsia="仿宋"/>
          <w:color w:val="auto"/>
          <w:sz w:val="24"/>
          <w:szCs w:val="24"/>
        </w:rPr>
        <w:t>供应商提供的服务及成果均能满足国家、地方、行业标准及采购人需求。</w:t>
      </w:r>
    </w:p>
    <w:p w14:paraId="4111E518">
      <w:pPr>
        <w:widowControl/>
        <w:spacing w:before="120" w:beforeLines="50" w:after="120" w:afterLines="50" w:line="500" w:lineRule="exact"/>
        <w:jc w:val="left"/>
        <w:rPr>
          <w:rFonts w:ascii="仿宋" w:hAnsi="仿宋" w:eastAsia="仿宋" w:cs="Arial"/>
          <w:b/>
          <w:bCs/>
          <w:color w:val="auto"/>
          <w:kern w:val="0"/>
          <w:sz w:val="24"/>
          <w:szCs w:val="24"/>
          <w:shd w:val="clear" w:color="auto" w:fill="FFFFFF"/>
        </w:rPr>
      </w:pPr>
      <w:r>
        <w:rPr>
          <w:rFonts w:hint="eastAsia" w:ascii="仿宋" w:hAnsi="仿宋" w:eastAsia="仿宋" w:cs="Arial"/>
          <w:b/>
          <w:bCs/>
          <w:color w:val="auto"/>
          <w:kern w:val="0"/>
          <w:sz w:val="24"/>
          <w:szCs w:val="24"/>
          <w:shd w:val="clear" w:color="auto" w:fill="FFFFFF"/>
        </w:rPr>
        <w:t>七、采购标的的其他技术、服务等要求</w:t>
      </w:r>
    </w:p>
    <w:p w14:paraId="510D586B">
      <w:pPr>
        <w:widowControl/>
        <w:spacing w:line="360" w:lineRule="auto"/>
        <w:ind w:firstLine="482" w:firstLineChars="200"/>
        <w:rPr>
          <w:rFonts w:ascii="仿宋" w:hAnsi="仿宋" w:eastAsia="仿宋" w:cs="等线"/>
          <w:b/>
          <w:color w:val="auto"/>
          <w:sz w:val="24"/>
          <w:szCs w:val="24"/>
        </w:rPr>
      </w:pPr>
      <w:r>
        <w:rPr>
          <w:rFonts w:hint="eastAsia" w:ascii="仿宋" w:hAnsi="仿宋" w:eastAsia="仿宋" w:cs="等线"/>
          <w:b/>
          <w:color w:val="auto"/>
          <w:sz w:val="24"/>
          <w:szCs w:val="24"/>
        </w:rPr>
        <w:t>1.采购人不承诺供应商最终实际完成结算金额达到预算金额，在合同有效期内，累计结算支付金额不超过预算金额：50万元。累计结算金额达到预算金额的，合同履行完毕，权利义务终止。</w:t>
      </w:r>
    </w:p>
    <w:p w14:paraId="1A0C7EE2">
      <w:pPr>
        <w:pageBreakBefore/>
        <w:spacing w:line="480" w:lineRule="auto"/>
        <w:jc w:val="center"/>
        <w:outlineLvl w:val="0"/>
        <w:rPr>
          <w:rFonts w:ascii="仿宋" w:hAnsi="仿宋" w:eastAsia="仿宋" w:cs="黑体"/>
          <w:color w:val="auto"/>
          <w:sz w:val="28"/>
          <w:szCs w:val="28"/>
          <w:shd w:val="clear" w:color="auto" w:fill="FFFFFF"/>
        </w:rPr>
      </w:pPr>
      <w:bookmarkStart w:id="210" w:name="_Toc232004921"/>
      <w:r>
        <w:rPr>
          <w:rFonts w:hint="eastAsia" w:ascii="仿宋" w:hAnsi="仿宋" w:eastAsia="仿宋" w:cs="宋体"/>
          <w:b/>
          <w:color w:val="auto"/>
          <w:sz w:val="32"/>
          <w:szCs w:val="32"/>
        </w:rPr>
        <w:t>第五章 合同主要条款</w:t>
      </w:r>
      <w:bookmarkEnd w:id="207"/>
      <w:bookmarkEnd w:id="208"/>
      <w:bookmarkEnd w:id="210"/>
      <w:bookmarkStart w:id="211" w:name="_Toc31144"/>
      <w:bookmarkStart w:id="212" w:name="_Toc450312000"/>
      <w:bookmarkStart w:id="213" w:name="_Toc471209049"/>
    </w:p>
    <w:p w14:paraId="7C2276B3">
      <w:pPr>
        <w:spacing w:line="360" w:lineRule="auto"/>
        <w:jc w:val="center"/>
        <w:rPr>
          <w:rFonts w:ascii="仿宋" w:hAnsi="仿宋" w:eastAsia="仿宋" w:cs="宋体"/>
          <w:b/>
          <w:color w:val="auto"/>
          <w:sz w:val="24"/>
        </w:rPr>
      </w:pPr>
      <w:r>
        <w:rPr>
          <w:rFonts w:hint="eastAsia" w:ascii="仿宋" w:hAnsi="仿宋" w:eastAsia="仿宋" w:cs="宋体"/>
          <w:b/>
          <w:color w:val="auto"/>
          <w:sz w:val="24"/>
        </w:rPr>
        <w:t>（本合同仅为参考样本，具体内容以采购人与成交人签订的内容为准）</w:t>
      </w:r>
    </w:p>
    <w:p w14:paraId="03B53468">
      <w:pPr>
        <w:spacing w:line="360" w:lineRule="auto"/>
        <w:rPr>
          <w:rFonts w:ascii="仿宋" w:hAnsi="仿宋" w:eastAsia="仿宋" w:cs="宋体"/>
          <w:color w:val="auto"/>
          <w:sz w:val="24"/>
        </w:rPr>
      </w:pPr>
      <w:r>
        <w:rPr>
          <w:rFonts w:hint="eastAsia" w:ascii="仿宋" w:hAnsi="仿宋" w:eastAsia="仿宋" w:cs="宋体"/>
          <w:color w:val="auto"/>
          <w:sz w:val="24"/>
        </w:rPr>
        <w:t xml:space="preserve">             </w:t>
      </w:r>
    </w:p>
    <w:p w14:paraId="133D7FA1">
      <w:pPr>
        <w:spacing w:line="360" w:lineRule="auto"/>
        <w:rPr>
          <w:rFonts w:ascii="仿宋" w:hAnsi="仿宋" w:eastAsia="仿宋" w:cs="宋体"/>
          <w:color w:val="auto"/>
        </w:rPr>
      </w:pPr>
    </w:p>
    <w:p w14:paraId="72D80562">
      <w:pPr>
        <w:spacing w:line="360" w:lineRule="auto"/>
        <w:jc w:val="center"/>
        <w:rPr>
          <w:rFonts w:ascii="仿宋" w:hAnsi="仿宋" w:eastAsia="仿宋" w:cs="宋体"/>
          <w:color w:val="auto"/>
          <w:sz w:val="44"/>
          <w:szCs w:val="44"/>
        </w:rPr>
      </w:pPr>
      <w:r>
        <w:rPr>
          <w:rFonts w:hint="eastAsia" w:ascii="仿宋" w:hAnsi="仿宋" w:eastAsia="仿宋" w:cs="宋体"/>
          <w:color w:val="auto"/>
          <w:sz w:val="44"/>
          <w:szCs w:val="44"/>
        </w:rPr>
        <w:t>石林彝族自治县自然资源局购买破坏耕地司法鉴定服务</w:t>
      </w:r>
    </w:p>
    <w:p w14:paraId="3E8EF6D9">
      <w:pPr>
        <w:spacing w:line="360" w:lineRule="auto"/>
        <w:rPr>
          <w:rFonts w:ascii="仿宋" w:hAnsi="仿宋" w:eastAsia="仿宋" w:cs="宋体"/>
          <w:color w:val="auto"/>
        </w:rPr>
      </w:pPr>
    </w:p>
    <w:p w14:paraId="576A7783">
      <w:pPr>
        <w:spacing w:line="360" w:lineRule="auto"/>
        <w:rPr>
          <w:rFonts w:ascii="仿宋" w:hAnsi="仿宋" w:eastAsia="仿宋" w:cs="宋体"/>
          <w:color w:val="auto"/>
        </w:rPr>
      </w:pPr>
    </w:p>
    <w:p w14:paraId="0E67458A">
      <w:pPr>
        <w:spacing w:line="360" w:lineRule="auto"/>
        <w:rPr>
          <w:rFonts w:ascii="仿宋" w:hAnsi="仿宋" w:eastAsia="仿宋" w:cs="宋体"/>
          <w:color w:val="auto"/>
        </w:rPr>
      </w:pPr>
    </w:p>
    <w:p w14:paraId="4F8CFBEC">
      <w:pPr>
        <w:spacing w:line="360" w:lineRule="auto"/>
        <w:rPr>
          <w:rFonts w:ascii="仿宋" w:hAnsi="仿宋" w:eastAsia="仿宋" w:cs="宋体"/>
          <w:color w:val="auto"/>
        </w:rPr>
      </w:pPr>
    </w:p>
    <w:p w14:paraId="07749B5A">
      <w:pPr>
        <w:spacing w:line="360" w:lineRule="auto"/>
        <w:jc w:val="center"/>
        <w:rPr>
          <w:rFonts w:ascii="仿宋" w:hAnsi="仿宋" w:eastAsia="仿宋" w:cs="宋体"/>
          <w:color w:val="auto"/>
          <w:sz w:val="52"/>
          <w:szCs w:val="52"/>
        </w:rPr>
      </w:pPr>
      <w:r>
        <w:rPr>
          <w:rFonts w:hint="eastAsia" w:ascii="仿宋" w:hAnsi="仿宋" w:eastAsia="仿宋" w:cs="宋体"/>
          <w:color w:val="auto"/>
          <w:sz w:val="52"/>
          <w:szCs w:val="52"/>
        </w:rPr>
        <w:t>委托司法鉴定合同</w:t>
      </w:r>
    </w:p>
    <w:p w14:paraId="32EDAE63">
      <w:pPr>
        <w:spacing w:line="360" w:lineRule="auto"/>
        <w:rPr>
          <w:rFonts w:ascii="仿宋" w:hAnsi="仿宋" w:eastAsia="仿宋" w:cs="宋体"/>
          <w:color w:val="auto"/>
        </w:rPr>
      </w:pPr>
    </w:p>
    <w:p w14:paraId="15AB3D39">
      <w:pPr>
        <w:spacing w:line="360" w:lineRule="auto"/>
        <w:rPr>
          <w:rFonts w:ascii="仿宋" w:hAnsi="仿宋" w:eastAsia="仿宋" w:cs="宋体"/>
          <w:color w:val="auto"/>
        </w:rPr>
      </w:pPr>
    </w:p>
    <w:p w14:paraId="7FEC7AB6">
      <w:pPr>
        <w:spacing w:line="360" w:lineRule="auto"/>
        <w:rPr>
          <w:rFonts w:ascii="仿宋" w:hAnsi="仿宋" w:eastAsia="仿宋" w:cs="宋体"/>
          <w:color w:val="auto"/>
        </w:rPr>
      </w:pPr>
    </w:p>
    <w:p w14:paraId="2A722985">
      <w:pPr>
        <w:spacing w:line="360" w:lineRule="auto"/>
        <w:rPr>
          <w:rFonts w:ascii="仿宋" w:hAnsi="仿宋" w:eastAsia="仿宋" w:cs="宋体"/>
          <w:color w:val="auto"/>
        </w:rPr>
      </w:pPr>
    </w:p>
    <w:p w14:paraId="76C501C1">
      <w:pPr>
        <w:spacing w:line="360" w:lineRule="auto"/>
        <w:rPr>
          <w:rFonts w:ascii="仿宋" w:hAnsi="仿宋" w:eastAsia="仿宋" w:cs="宋体"/>
          <w:color w:val="auto"/>
        </w:rPr>
      </w:pPr>
    </w:p>
    <w:p w14:paraId="33D718D3">
      <w:pPr>
        <w:spacing w:line="360" w:lineRule="auto"/>
        <w:rPr>
          <w:rFonts w:ascii="仿宋" w:hAnsi="仿宋" w:eastAsia="仿宋" w:cs="宋体"/>
          <w:color w:val="auto"/>
        </w:rPr>
      </w:pPr>
    </w:p>
    <w:p w14:paraId="4DA8740D">
      <w:pPr>
        <w:spacing w:line="720" w:lineRule="auto"/>
        <w:jc w:val="left"/>
        <w:rPr>
          <w:rFonts w:ascii="仿宋" w:hAnsi="仿宋" w:eastAsia="仿宋" w:cs="宋体"/>
          <w:color w:val="auto"/>
          <w:sz w:val="32"/>
          <w:szCs w:val="32"/>
        </w:rPr>
      </w:pPr>
      <w:r>
        <w:rPr>
          <w:rFonts w:hint="eastAsia" w:ascii="仿宋" w:hAnsi="仿宋" w:eastAsia="仿宋" w:cs="宋体"/>
          <w:color w:val="auto"/>
          <w:sz w:val="32"/>
          <w:szCs w:val="32"/>
        </w:rPr>
        <w:t>委托人（甲方）：石林彝族自治县自然资源局</w:t>
      </w:r>
    </w:p>
    <w:p w14:paraId="1726E047">
      <w:pPr>
        <w:spacing w:line="720" w:lineRule="auto"/>
        <w:jc w:val="left"/>
        <w:rPr>
          <w:rFonts w:ascii="仿宋" w:hAnsi="仿宋" w:eastAsia="仿宋" w:cs="宋体"/>
          <w:color w:val="auto"/>
          <w:sz w:val="32"/>
          <w:szCs w:val="32"/>
        </w:rPr>
      </w:pPr>
      <w:r>
        <w:rPr>
          <w:rFonts w:hint="eastAsia" w:ascii="仿宋" w:hAnsi="仿宋" w:eastAsia="仿宋" w:cs="宋体"/>
          <w:color w:val="auto"/>
          <w:sz w:val="32"/>
          <w:szCs w:val="32"/>
        </w:rPr>
        <w:t>受托人（乙方）：</w:t>
      </w:r>
    </w:p>
    <w:p w14:paraId="2A072E92">
      <w:pPr>
        <w:jc w:val="left"/>
        <w:rPr>
          <w:rFonts w:ascii="仿宋" w:hAnsi="仿宋" w:eastAsia="仿宋" w:cs="宋体"/>
          <w:color w:val="auto"/>
          <w:sz w:val="32"/>
          <w:szCs w:val="32"/>
        </w:rPr>
      </w:pPr>
      <w:r>
        <w:rPr>
          <w:rFonts w:hint="eastAsia" w:ascii="仿宋" w:hAnsi="仿宋" w:eastAsia="仿宋" w:cs="宋体"/>
          <w:color w:val="auto"/>
          <w:sz w:val="32"/>
          <w:szCs w:val="32"/>
        </w:rPr>
        <w:t xml:space="preserve"> </w:t>
      </w:r>
    </w:p>
    <w:p w14:paraId="5372B9E0">
      <w:pPr>
        <w:spacing w:line="480" w:lineRule="auto"/>
        <w:jc w:val="left"/>
        <w:rPr>
          <w:rFonts w:ascii="仿宋" w:hAnsi="仿宋" w:eastAsia="仿宋" w:cs="宋体"/>
          <w:color w:val="auto"/>
          <w:sz w:val="32"/>
          <w:szCs w:val="32"/>
        </w:rPr>
      </w:pPr>
      <w:r>
        <w:rPr>
          <w:rFonts w:hint="eastAsia" w:ascii="仿宋" w:hAnsi="仿宋" w:eastAsia="仿宋" w:cs="宋体"/>
          <w:color w:val="auto"/>
          <w:sz w:val="32"/>
          <w:szCs w:val="32"/>
        </w:rPr>
        <w:t>签订地点：</w:t>
      </w:r>
    </w:p>
    <w:p w14:paraId="37A1B376">
      <w:pPr>
        <w:jc w:val="left"/>
        <w:rPr>
          <w:rFonts w:ascii="仿宋" w:hAnsi="仿宋" w:eastAsia="仿宋" w:cs="宋体"/>
          <w:color w:val="auto"/>
          <w:sz w:val="32"/>
          <w:szCs w:val="32"/>
        </w:rPr>
      </w:pPr>
    </w:p>
    <w:p w14:paraId="01FF0A03">
      <w:pPr>
        <w:spacing w:line="360" w:lineRule="auto"/>
        <w:jc w:val="left"/>
        <w:rPr>
          <w:rFonts w:ascii="仿宋" w:hAnsi="仿宋" w:eastAsia="仿宋" w:cs="宋体"/>
          <w:color w:val="auto"/>
          <w:sz w:val="32"/>
          <w:szCs w:val="32"/>
        </w:rPr>
      </w:pPr>
      <w:r>
        <w:rPr>
          <w:rFonts w:hint="eastAsia" w:ascii="仿宋" w:hAnsi="仿宋" w:eastAsia="仿宋" w:cs="宋体"/>
          <w:color w:val="auto"/>
          <w:sz w:val="32"/>
          <w:szCs w:val="32"/>
        </w:rPr>
        <w:t>签订日期：2026年   月    日</w:t>
      </w:r>
    </w:p>
    <w:p w14:paraId="7A710897">
      <w:pPr>
        <w:tabs>
          <w:tab w:val="left" w:pos="1590"/>
          <w:tab w:val="left" w:pos="3409"/>
          <w:tab w:val="left" w:pos="4847"/>
          <w:tab w:val="left" w:pos="5711"/>
          <w:tab w:val="left" w:pos="7020"/>
          <w:tab w:val="left" w:pos="7891"/>
        </w:tabs>
        <w:spacing w:line="360" w:lineRule="auto"/>
        <w:rPr>
          <w:rFonts w:ascii="仿宋" w:hAnsi="仿宋" w:eastAsia="仿宋"/>
          <w:color w:val="auto"/>
        </w:rPr>
      </w:pPr>
    </w:p>
    <w:p w14:paraId="2B354588">
      <w:pPr>
        <w:snapToGrid w:val="0"/>
        <w:spacing w:line="360" w:lineRule="auto"/>
        <w:rPr>
          <w:rFonts w:ascii="仿宋" w:hAnsi="仿宋" w:eastAsia="仿宋"/>
          <w:color w:val="auto"/>
          <w:sz w:val="28"/>
          <w:szCs w:val="28"/>
        </w:rPr>
      </w:pPr>
      <w:bookmarkStart w:id="214" w:name="_Hlk98084927"/>
      <w:bookmarkStart w:id="215" w:name="_Toc18853429"/>
      <w:bookmarkStart w:id="216" w:name="_Toc22829589"/>
      <w:bookmarkStart w:id="217" w:name="_Toc19108960"/>
    </w:p>
    <w:p w14:paraId="387C616A">
      <w:pPr>
        <w:snapToGrid w:val="0"/>
        <w:spacing w:line="360" w:lineRule="auto"/>
        <w:rPr>
          <w:rFonts w:ascii="仿宋" w:hAnsi="仿宋" w:eastAsia="仿宋"/>
          <w:bCs/>
          <w:color w:val="auto"/>
          <w:sz w:val="24"/>
          <w:szCs w:val="24"/>
          <w:u w:val="single"/>
        </w:rPr>
      </w:pPr>
      <w:r>
        <w:rPr>
          <w:rFonts w:hint="eastAsia" w:ascii="仿宋" w:hAnsi="仿宋" w:eastAsia="仿宋"/>
          <w:color w:val="auto"/>
          <w:sz w:val="24"/>
          <w:szCs w:val="24"/>
        </w:rPr>
        <w:t>委托方（甲方）：</w:t>
      </w:r>
      <w:r>
        <w:rPr>
          <w:rFonts w:hint="eastAsia" w:ascii="仿宋" w:hAnsi="仿宋" w:eastAsia="仿宋"/>
          <w:color w:val="auto"/>
          <w:sz w:val="24"/>
          <w:szCs w:val="24"/>
          <w:u w:val="single"/>
        </w:rPr>
        <w:t>石林彝族自治县自然资源局</w:t>
      </w:r>
    </w:p>
    <w:p w14:paraId="1C391891">
      <w:pPr>
        <w:snapToGrid w:val="0"/>
        <w:spacing w:line="360" w:lineRule="auto"/>
        <w:rPr>
          <w:rFonts w:ascii="仿宋" w:hAnsi="仿宋" w:eastAsia="仿宋"/>
          <w:bCs/>
          <w:color w:val="auto"/>
          <w:sz w:val="24"/>
          <w:szCs w:val="24"/>
          <w:u w:val="single"/>
        </w:rPr>
      </w:pPr>
      <w:r>
        <w:rPr>
          <w:rFonts w:hint="eastAsia" w:ascii="仿宋" w:hAnsi="仿宋" w:eastAsia="仿宋"/>
          <w:color w:val="auto"/>
          <w:sz w:val="24"/>
          <w:szCs w:val="24"/>
        </w:rPr>
        <w:t>受托方（乙方）：</w:t>
      </w:r>
      <w:r>
        <w:rPr>
          <w:rFonts w:hint="eastAsia" w:ascii="仿宋" w:hAnsi="仿宋" w:eastAsia="仿宋"/>
          <w:bCs/>
          <w:color w:val="auto"/>
          <w:sz w:val="24"/>
          <w:szCs w:val="24"/>
          <w:u w:val="single"/>
        </w:rPr>
        <w:t xml:space="preserve"> </w:t>
      </w:r>
      <w:r>
        <w:rPr>
          <w:rFonts w:ascii="仿宋" w:hAnsi="仿宋" w:eastAsia="仿宋"/>
          <w:bCs/>
          <w:color w:val="auto"/>
          <w:sz w:val="24"/>
          <w:szCs w:val="24"/>
          <w:u w:val="single"/>
        </w:rPr>
        <w:t xml:space="preserve">            </w:t>
      </w:r>
      <w:r>
        <w:rPr>
          <w:rFonts w:hint="eastAsia" w:ascii="仿宋" w:hAnsi="仿宋" w:eastAsia="仿宋"/>
          <w:bCs/>
          <w:color w:val="auto"/>
          <w:sz w:val="24"/>
          <w:szCs w:val="24"/>
          <w:u w:val="single"/>
        </w:rPr>
        <w:t xml:space="preserve"> </w:t>
      </w:r>
      <w:r>
        <w:rPr>
          <w:rFonts w:ascii="仿宋" w:hAnsi="仿宋" w:eastAsia="仿宋"/>
          <w:bCs/>
          <w:color w:val="auto"/>
          <w:sz w:val="24"/>
          <w:szCs w:val="24"/>
          <w:u w:val="single"/>
        </w:rPr>
        <w:t xml:space="preserve">        </w:t>
      </w:r>
    </w:p>
    <w:p w14:paraId="15F0D9ED">
      <w:pPr>
        <w:snapToGrid w:val="0"/>
        <w:spacing w:line="360" w:lineRule="auto"/>
        <w:rPr>
          <w:rFonts w:ascii="仿宋" w:hAnsi="仿宋" w:eastAsia="仿宋"/>
          <w:color w:val="auto"/>
          <w:sz w:val="24"/>
          <w:szCs w:val="24"/>
        </w:rPr>
      </w:pPr>
      <w:r>
        <w:rPr>
          <w:rFonts w:hint="eastAsia" w:ascii="仿宋" w:hAnsi="仿宋" w:eastAsia="仿宋"/>
          <w:color w:val="auto"/>
          <w:sz w:val="24"/>
          <w:szCs w:val="24"/>
        </w:rPr>
        <w:t xml:space="preserve">    甲乙双方本着公平、公正的原则，经过平等协商，在真实、充分地表达各自意愿的基础上，根据《中华人民共和国民法典》《司法鉴定程序通则》的相关规定，达成如下协议，双方共同恪守。</w:t>
      </w:r>
    </w:p>
    <w:p w14:paraId="588EF695">
      <w:pPr>
        <w:snapToGrid w:val="0"/>
        <w:spacing w:line="360" w:lineRule="auto"/>
        <w:rPr>
          <w:rFonts w:ascii="仿宋" w:hAnsi="仿宋" w:eastAsia="仿宋"/>
          <w:b/>
          <w:color w:val="auto"/>
          <w:sz w:val="24"/>
          <w:szCs w:val="24"/>
        </w:rPr>
      </w:pPr>
      <w:r>
        <w:rPr>
          <w:rFonts w:hint="eastAsia" w:ascii="仿宋" w:hAnsi="仿宋" w:eastAsia="仿宋"/>
          <w:b/>
          <w:color w:val="auto"/>
          <w:sz w:val="24"/>
          <w:szCs w:val="24"/>
        </w:rPr>
        <w:t xml:space="preserve">   </w:t>
      </w:r>
      <w:r>
        <w:rPr>
          <w:rFonts w:hint="eastAsia" w:ascii="仿宋" w:hAnsi="仿宋" w:eastAsia="仿宋"/>
          <w:b/>
          <w:bCs/>
          <w:color w:val="auto"/>
          <w:sz w:val="24"/>
          <w:szCs w:val="24"/>
        </w:rPr>
        <w:t xml:space="preserve"> </w:t>
      </w:r>
      <w:r>
        <w:rPr>
          <w:rFonts w:hint="eastAsia" w:ascii="仿宋" w:hAnsi="仿宋" w:eastAsia="仿宋"/>
          <w:b/>
          <w:color w:val="auto"/>
          <w:sz w:val="24"/>
          <w:szCs w:val="24"/>
        </w:rPr>
        <w:t>第一条  合作期限和方式</w:t>
      </w:r>
    </w:p>
    <w:p w14:paraId="68512F26">
      <w:pPr>
        <w:tabs>
          <w:tab w:val="left" w:pos="5985"/>
        </w:tabs>
        <w:snapToGrid w:val="0"/>
        <w:spacing w:line="360" w:lineRule="auto"/>
        <w:ind w:firstLine="480" w:firstLineChars="200"/>
        <w:rPr>
          <w:rFonts w:ascii="仿宋" w:hAnsi="仿宋" w:eastAsia="仿宋" w:cs="宋体"/>
          <w:color w:val="auto"/>
          <w:sz w:val="24"/>
          <w:szCs w:val="24"/>
        </w:rPr>
      </w:pPr>
      <w:r>
        <w:rPr>
          <w:rFonts w:hint="eastAsia" w:ascii="仿宋" w:hAnsi="仿宋" w:eastAsia="仿宋"/>
          <w:color w:val="auto"/>
          <w:sz w:val="24"/>
          <w:szCs w:val="24"/>
        </w:rPr>
        <w:t>一、合作期限：</w:t>
      </w:r>
      <w:r>
        <w:rPr>
          <w:rFonts w:hint="eastAsia" w:ascii="仿宋" w:hAnsi="仿宋" w:eastAsia="仿宋" w:cs="宋体"/>
          <w:color w:val="auto"/>
          <w:sz w:val="24"/>
          <w:szCs w:val="24"/>
        </w:rPr>
        <w:t>自合同签订之日起1年，</w:t>
      </w:r>
      <w:r>
        <w:rPr>
          <w:rFonts w:hint="eastAsia" w:ascii="仿宋" w:hAnsi="仿宋" w:eastAsia="仿宋"/>
          <w:color w:val="auto"/>
          <w:sz w:val="24"/>
          <w:szCs w:val="24"/>
        </w:rPr>
        <w:t>2026年</w:t>
      </w:r>
      <w:r>
        <w:rPr>
          <w:rFonts w:ascii="仿宋" w:hAnsi="仿宋" w:eastAsia="仿宋"/>
          <w:color w:val="auto"/>
          <w:sz w:val="24"/>
          <w:szCs w:val="24"/>
        </w:rPr>
        <w:t xml:space="preserve"> </w:t>
      </w:r>
      <w:r>
        <w:rPr>
          <w:rFonts w:hint="eastAsia" w:ascii="仿宋" w:hAnsi="仿宋" w:eastAsia="仿宋"/>
          <w:color w:val="auto"/>
          <w:sz w:val="24"/>
          <w:szCs w:val="24"/>
        </w:rPr>
        <w:t>月</w:t>
      </w:r>
      <w:r>
        <w:rPr>
          <w:rFonts w:ascii="仿宋" w:hAnsi="仿宋" w:eastAsia="仿宋"/>
          <w:color w:val="auto"/>
          <w:sz w:val="24"/>
          <w:szCs w:val="24"/>
        </w:rPr>
        <w:t xml:space="preserve"> </w:t>
      </w:r>
      <w:r>
        <w:rPr>
          <w:rFonts w:hint="eastAsia" w:ascii="仿宋" w:hAnsi="仿宋" w:eastAsia="仿宋"/>
          <w:color w:val="auto"/>
          <w:sz w:val="24"/>
          <w:szCs w:val="24"/>
        </w:rPr>
        <w:t>日至2027年</w:t>
      </w:r>
      <w:r>
        <w:rPr>
          <w:rFonts w:ascii="仿宋" w:hAnsi="仿宋" w:eastAsia="仿宋"/>
          <w:color w:val="auto"/>
          <w:sz w:val="24"/>
          <w:szCs w:val="24"/>
        </w:rPr>
        <w:t xml:space="preserve"> </w:t>
      </w:r>
      <w:r>
        <w:rPr>
          <w:rFonts w:hint="eastAsia" w:ascii="仿宋" w:hAnsi="仿宋" w:eastAsia="仿宋"/>
          <w:color w:val="auto"/>
          <w:sz w:val="24"/>
          <w:szCs w:val="24"/>
        </w:rPr>
        <w:t>月</w:t>
      </w:r>
      <w:r>
        <w:rPr>
          <w:rFonts w:ascii="仿宋" w:hAnsi="仿宋" w:eastAsia="仿宋"/>
          <w:color w:val="auto"/>
          <w:sz w:val="24"/>
          <w:szCs w:val="24"/>
        </w:rPr>
        <w:t xml:space="preserve"> </w:t>
      </w:r>
      <w:r>
        <w:rPr>
          <w:rFonts w:hint="eastAsia" w:ascii="仿宋" w:hAnsi="仿宋" w:eastAsia="仿宋"/>
          <w:color w:val="auto"/>
          <w:sz w:val="24"/>
          <w:szCs w:val="24"/>
        </w:rPr>
        <w:t>日</w:t>
      </w:r>
      <w:r>
        <w:rPr>
          <w:rFonts w:hint="eastAsia" w:ascii="仿宋" w:hAnsi="仿宋" w:eastAsia="仿宋" w:cs="宋体"/>
          <w:color w:val="auto"/>
          <w:sz w:val="24"/>
          <w:szCs w:val="24"/>
        </w:rPr>
        <w:t>（或合同执行金额达到本项目预算金额止），单项案件司法鉴定意见出具时限须满足甲方要求。</w:t>
      </w:r>
    </w:p>
    <w:p w14:paraId="4901FB49">
      <w:pPr>
        <w:tabs>
          <w:tab w:val="left" w:pos="5985"/>
        </w:tabs>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二、合作方式：甲方就其业务需要，委托乙方完成</w:t>
      </w:r>
      <w:r>
        <w:rPr>
          <w:rFonts w:hint="eastAsia" w:ascii="仿宋" w:hAnsi="仿宋" w:eastAsia="仿宋"/>
          <w:color w:val="auto"/>
          <w:sz w:val="24"/>
          <w:szCs w:val="24"/>
          <w:u w:val="single"/>
        </w:rPr>
        <w:t>服务期限内</w:t>
      </w:r>
      <w:r>
        <w:rPr>
          <w:rFonts w:hint="eastAsia" w:ascii="仿宋" w:hAnsi="仿宋" w:eastAsia="仿宋" w:cs="宋体"/>
          <w:color w:val="auto"/>
          <w:sz w:val="24"/>
          <w:szCs w:val="24"/>
          <w:u w:val="single"/>
        </w:rPr>
        <w:t>石林彝族自治县范围内的破坏耕地案件</w:t>
      </w:r>
      <w:r>
        <w:rPr>
          <w:rFonts w:hint="eastAsia" w:ascii="仿宋" w:hAnsi="仿宋" w:eastAsia="仿宋"/>
          <w:color w:val="auto"/>
          <w:sz w:val="24"/>
          <w:szCs w:val="24"/>
        </w:rPr>
        <w:t>的司法鉴定，甲方按本合同的约定向乙方支付鉴定费；乙方向甲方提供书面的司法鉴定意见书，并根据甲方的需求无偿配合甲方处理诉讼事务，包括但不限于出庭接受质询、书面答疑、对鉴定意见进行解释说明、协助甲方准备质证材料等。</w:t>
      </w:r>
    </w:p>
    <w:p w14:paraId="5FA1A8D5">
      <w:pPr>
        <w:tabs>
          <w:tab w:val="left" w:pos="5985"/>
        </w:tabs>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三、委托鉴定事项：</w:t>
      </w:r>
    </w:p>
    <w:p w14:paraId="4475B52E">
      <w:pPr>
        <w:tabs>
          <w:tab w:val="left" w:pos="5985"/>
        </w:tabs>
        <w:snapToGrid w:val="0"/>
        <w:spacing w:line="360" w:lineRule="auto"/>
        <w:ind w:firstLine="482" w:firstLineChars="200"/>
        <w:rPr>
          <w:rFonts w:ascii="仿宋" w:hAnsi="仿宋" w:eastAsia="仿宋"/>
          <w:color w:val="auto"/>
          <w:sz w:val="24"/>
          <w:szCs w:val="24"/>
        </w:rPr>
      </w:pPr>
      <w:r>
        <w:rPr>
          <w:rFonts w:hint="eastAsia" w:ascii="仿宋" w:hAnsi="仿宋" w:eastAsia="仿宋"/>
          <w:b/>
          <w:bCs/>
          <w:color w:val="auto"/>
          <w:sz w:val="24"/>
          <w:szCs w:val="24"/>
        </w:rPr>
        <w:t>耕地案件鉴定：</w:t>
      </w:r>
      <w:r>
        <w:rPr>
          <w:rFonts w:hint="eastAsia" w:ascii="仿宋" w:hAnsi="仿宋" w:eastAsia="仿宋"/>
          <w:color w:val="auto"/>
          <w:sz w:val="24"/>
          <w:szCs w:val="24"/>
        </w:rPr>
        <w:t>针对涉案耕地开展生态环境司法损害司法鉴定，核查涉案地块土地利用地类、实际损毁坐标及面积、耕地损毁类型、毁损程度等，并出具司法鉴定意见书。</w:t>
      </w:r>
    </w:p>
    <w:p w14:paraId="1849630B">
      <w:pPr>
        <w:tabs>
          <w:tab w:val="left" w:pos="5985"/>
        </w:tabs>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四、司法鉴定收费（以下价款均含税） </w:t>
      </w:r>
    </w:p>
    <w:p w14:paraId="6C2D0040">
      <w:pPr>
        <w:spacing w:line="360" w:lineRule="auto"/>
        <w:ind w:firstLine="482" w:firstLineChars="200"/>
        <w:rPr>
          <w:rFonts w:ascii="仿宋" w:hAnsi="仿宋" w:eastAsia="仿宋" w:cs="宋体"/>
          <w:b/>
          <w:bCs/>
          <w:color w:val="auto"/>
          <w:sz w:val="24"/>
          <w:szCs w:val="24"/>
        </w:rPr>
      </w:pPr>
      <w:r>
        <w:rPr>
          <w:rFonts w:hint="eastAsia" w:ascii="仿宋" w:hAnsi="仿宋" w:eastAsia="仿宋" w:cs="宋体"/>
          <w:b/>
          <w:bCs/>
          <w:color w:val="auto"/>
          <w:sz w:val="24"/>
          <w:szCs w:val="24"/>
        </w:rPr>
        <w:t>1.成交基础单价为：</w:t>
      </w:r>
      <w:r>
        <w:rPr>
          <w:rFonts w:ascii="仿宋" w:hAnsi="仿宋" w:eastAsia="仿宋" w:cs="宋体"/>
          <w:b/>
          <w:bCs/>
          <w:color w:val="auto"/>
          <w:sz w:val="24"/>
          <w:szCs w:val="24"/>
          <w:u w:val="single"/>
        </w:rPr>
        <w:t xml:space="preserve">    </w:t>
      </w:r>
      <w:r>
        <w:rPr>
          <w:rFonts w:hint="eastAsia" w:ascii="仿宋" w:hAnsi="仿宋" w:eastAsia="仿宋" w:cs="宋体"/>
          <w:b/>
          <w:bCs/>
          <w:color w:val="auto"/>
          <w:sz w:val="24"/>
          <w:szCs w:val="24"/>
        </w:rPr>
        <w:t>元/件；</w:t>
      </w:r>
    </w:p>
    <w:p w14:paraId="7DAB70F2">
      <w:pPr>
        <w:spacing w:line="360" w:lineRule="auto"/>
        <w:ind w:firstLine="482" w:firstLineChars="200"/>
        <w:rPr>
          <w:rFonts w:ascii="仿宋" w:hAnsi="仿宋" w:eastAsia="仿宋" w:cs="宋体"/>
          <w:b/>
          <w:bCs/>
          <w:color w:val="auto"/>
          <w:sz w:val="24"/>
          <w:szCs w:val="24"/>
        </w:rPr>
      </w:pPr>
      <w:r>
        <w:rPr>
          <w:rFonts w:hint="eastAsia" w:ascii="仿宋" w:hAnsi="仿宋" w:eastAsia="仿宋" w:cs="宋体"/>
          <w:b/>
          <w:bCs/>
          <w:color w:val="auto"/>
          <w:sz w:val="24"/>
          <w:szCs w:val="24"/>
        </w:rPr>
        <w:t>2.成交增量单价为：</w:t>
      </w:r>
      <w:r>
        <w:rPr>
          <w:rFonts w:ascii="仿宋" w:hAnsi="仿宋" w:eastAsia="仿宋" w:cs="宋体"/>
          <w:b/>
          <w:bCs/>
          <w:color w:val="auto"/>
          <w:sz w:val="24"/>
          <w:szCs w:val="24"/>
          <w:u w:val="single"/>
        </w:rPr>
        <w:t xml:space="preserve">    </w:t>
      </w:r>
      <w:r>
        <w:rPr>
          <w:rFonts w:hint="eastAsia" w:ascii="仿宋" w:hAnsi="仿宋" w:eastAsia="仿宋" w:cs="宋体"/>
          <w:b/>
          <w:bCs/>
          <w:color w:val="auto"/>
          <w:sz w:val="24"/>
          <w:szCs w:val="24"/>
        </w:rPr>
        <w:t>元/亩（鉴定总面积不足一亩按一亩计算）。</w:t>
      </w:r>
    </w:p>
    <w:p w14:paraId="37581E6D">
      <w:pPr>
        <w:spacing w:line="360" w:lineRule="auto"/>
        <w:ind w:firstLine="482" w:firstLineChars="200"/>
        <w:rPr>
          <w:rFonts w:ascii="仿宋" w:hAnsi="仿宋" w:eastAsia="仿宋" w:cs="宋体"/>
          <w:b/>
          <w:bCs/>
          <w:color w:val="auto"/>
          <w:sz w:val="24"/>
          <w:szCs w:val="24"/>
        </w:rPr>
      </w:pPr>
      <w:r>
        <w:rPr>
          <w:rFonts w:ascii="仿宋" w:hAnsi="仿宋" w:eastAsia="仿宋" w:cs="宋体"/>
          <w:b/>
          <w:bCs/>
          <w:color w:val="auto"/>
          <w:sz w:val="24"/>
          <w:szCs w:val="24"/>
        </w:rPr>
        <w:t>3</w:t>
      </w:r>
      <w:r>
        <w:rPr>
          <w:rFonts w:hint="eastAsia" w:ascii="仿宋" w:hAnsi="仿宋" w:eastAsia="仿宋" w:cs="宋体"/>
          <w:b/>
          <w:bCs/>
          <w:color w:val="auto"/>
          <w:sz w:val="24"/>
          <w:szCs w:val="24"/>
        </w:rPr>
        <w:t>.单项案件鉴定服务费=成交基础单价+鉴定总面积×成交增量单价，按实际情况据实结算。</w:t>
      </w:r>
    </w:p>
    <w:p w14:paraId="29C5664F">
      <w:pPr>
        <w:spacing w:line="360" w:lineRule="auto"/>
        <w:ind w:firstLine="482" w:firstLineChars="200"/>
        <w:rPr>
          <w:rFonts w:ascii="仿宋" w:hAnsi="仿宋" w:eastAsia="仿宋" w:cs="宋体"/>
          <w:b/>
          <w:bCs/>
          <w:color w:val="auto"/>
          <w:sz w:val="24"/>
          <w:szCs w:val="24"/>
        </w:rPr>
      </w:pPr>
      <w:r>
        <w:rPr>
          <w:rFonts w:ascii="仿宋" w:hAnsi="仿宋" w:eastAsia="仿宋" w:cs="宋体"/>
          <w:b/>
          <w:bCs/>
          <w:color w:val="auto"/>
          <w:sz w:val="24"/>
          <w:szCs w:val="24"/>
        </w:rPr>
        <w:t>4</w:t>
      </w:r>
      <w:r>
        <w:rPr>
          <w:rFonts w:hint="eastAsia" w:ascii="仿宋" w:hAnsi="仿宋" w:eastAsia="仿宋" w:cs="宋体"/>
          <w:b/>
          <w:bCs/>
          <w:color w:val="auto"/>
          <w:sz w:val="24"/>
          <w:szCs w:val="24"/>
        </w:rPr>
        <w:t>.最终服务费结算时，以经甲方确认的案件鉴定数量及鉴定面积结合成交固定综合单价据实进行结算。</w:t>
      </w:r>
    </w:p>
    <w:p w14:paraId="3FAC385F">
      <w:pPr>
        <w:spacing w:line="360" w:lineRule="auto"/>
        <w:ind w:firstLine="482" w:firstLineChars="200"/>
        <w:rPr>
          <w:rFonts w:ascii="仿宋" w:hAnsi="仿宋" w:eastAsia="仿宋" w:cs="宋体"/>
          <w:b/>
          <w:bCs/>
          <w:color w:val="auto"/>
          <w:sz w:val="24"/>
          <w:szCs w:val="24"/>
        </w:rPr>
      </w:pPr>
      <w:r>
        <w:rPr>
          <w:rFonts w:hint="eastAsia" w:ascii="仿宋" w:hAnsi="仿宋" w:eastAsia="仿宋" w:cs="宋体"/>
          <w:b/>
          <w:bCs/>
          <w:color w:val="auto"/>
          <w:sz w:val="24"/>
          <w:szCs w:val="24"/>
        </w:rPr>
        <w:t>注：甲方不承诺乙方最终实际完成结算金额达到预算金额，在合同有效期内，累计结算支付金额不超过预算金额：</w:t>
      </w:r>
      <w:r>
        <w:rPr>
          <w:rFonts w:ascii="仿宋" w:hAnsi="仿宋" w:eastAsia="仿宋" w:cs="宋体"/>
          <w:b/>
          <w:bCs/>
          <w:color w:val="auto"/>
          <w:sz w:val="24"/>
          <w:szCs w:val="24"/>
        </w:rPr>
        <w:t>50</w:t>
      </w:r>
      <w:r>
        <w:rPr>
          <w:rFonts w:hint="eastAsia" w:ascii="仿宋" w:hAnsi="仿宋" w:eastAsia="仿宋" w:cs="宋体"/>
          <w:b/>
          <w:bCs/>
          <w:color w:val="auto"/>
          <w:sz w:val="24"/>
          <w:szCs w:val="24"/>
        </w:rPr>
        <w:t>万元。累计结算金额达到预算金额的，合同履行完毕，权利义务终止。</w:t>
      </w:r>
    </w:p>
    <w:p w14:paraId="7572B9B2">
      <w:pPr>
        <w:spacing w:line="360" w:lineRule="auto"/>
        <w:ind w:firstLine="482" w:firstLineChars="200"/>
        <w:rPr>
          <w:rFonts w:ascii="仿宋" w:hAnsi="仿宋" w:eastAsia="仿宋" w:cs="宋体"/>
          <w:b/>
          <w:bCs/>
          <w:color w:val="auto"/>
          <w:sz w:val="24"/>
          <w:szCs w:val="24"/>
        </w:rPr>
      </w:pPr>
      <w:r>
        <w:rPr>
          <w:rFonts w:hint="eastAsia" w:ascii="仿宋" w:hAnsi="仿宋" w:eastAsia="仿宋" w:cs="宋体"/>
          <w:b/>
          <w:bCs/>
          <w:color w:val="auto"/>
          <w:sz w:val="24"/>
          <w:szCs w:val="24"/>
        </w:rPr>
        <w:t>5.付款前，乙方应向甲方出具相应付款金额且符合国家规定的发票以及甲方要求乙方提供的其他付款凭证。乙方未及时提供发票或提供发票不符合法律法规要求或甲方要求，甲方有权拒绝付款且不构成违约。对于不符合上述约定的发票，甲方有权拒收或于发现问题后退回，乙方应在收到退回的发票后 7日内进行更换。乙方未及时更换的，应承担相应违约责任。</w:t>
      </w:r>
    </w:p>
    <w:p w14:paraId="4C87A0D6">
      <w:pPr>
        <w:spacing w:line="360" w:lineRule="auto"/>
        <w:ind w:firstLine="482" w:firstLineChars="200"/>
        <w:rPr>
          <w:rFonts w:ascii="仿宋" w:hAnsi="仿宋" w:eastAsia="仿宋" w:cs="宋体"/>
          <w:b/>
          <w:bCs/>
          <w:color w:val="auto"/>
          <w:sz w:val="24"/>
          <w:szCs w:val="24"/>
        </w:rPr>
      </w:pPr>
      <w:r>
        <w:rPr>
          <w:rFonts w:hint="eastAsia" w:ascii="仿宋" w:hAnsi="仿宋" w:eastAsia="仿宋" w:cs="宋体"/>
          <w:b/>
          <w:bCs/>
          <w:color w:val="auto"/>
          <w:sz w:val="24"/>
          <w:szCs w:val="24"/>
        </w:rPr>
        <w:t>6.如乙方提供的发票为虚假发票，甲方有权要求乙方以发票金额十倍予以赔偿，且保留向相关部门举报和起诉的权利。</w:t>
      </w:r>
    </w:p>
    <w:p w14:paraId="0C3F066A">
      <w:pPr>
        <w:tabs>
          <w:tab w:val="left" w:pos="5985"/>
        </w:tabs>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五、付款方式：</w:t>
      </w:r>
    </w:p>
    <w:p w14:paraId="1A965F05">
      <w:pPr>
        <w:tabs>
          <w:tab w:val="left" w:pos="5985"/>
        </w:tabs>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乙方根据甲方委托鉴定要求完成司法鉴定工作，并根据司法鉴定数据据实结算并提供等额正规（增值税）发票。甲方自收到乙方开具的发票及《司法鉴定意见书》，并完成内部拨款程序后10个工作日内，全额向乙方支付对应的司法鉴定费用。</w:t>
      </w:r>
    </w:p>
    <w:p w14:paraId="3F581AE3">
      <w:pPr>
        <w:tabs>
          <w:tab w:val="left" w:pos="5985"/>
        </w:tabs>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付款名称： </w:t>
      </w:r>
    </w:p>
    <w:p w14:paraId="38669DDA">
      <w:pPr>
        <w:tabs>
          <w:tab w:val="left" w:pos="5985"/>
        </w:tabs>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开户银行： </w:t>
      </w:r>
    </w:p>
    <w:p w14:paraId="6A1FBB32">
      <w:pPr>
        <w:tabs>
          <w:tab w:val="left" w:pos="5985"/>
        </w:tabs>
        <w:snapToGrid w:val="0"/>
        <w:spacing w:line="360" w:lineRule="auto"/>
        <w:ind w:firstLine="480" w:firstLineChars="200"/>
        <w:rPr>
          <w:rFonts w:ascii="仿宋" w:hAnsi="仿宋" w:eastAsia="仿宋"/>
          <w:color w:val="auto"/>
          <w:szCs w:val="21"/>
        </w:rPr>
      </w:pPr>
      <w:r>
        <w:rPr>
          <w:rFonts w:hint="eastAsia" w:ascii="仿宋" w:hAnsi="仿宋" w:eastAsia="仿宋"/>
          <w:color w:val="auto"/>
          <w:sz w:val="24"/>
          <w:szCs w:val="24"/>
        </w:rPr>
        <w:t>账    号：</w:t>
      </w:r>
      <w:r>
        <w:rPr>
          <w:rFonts w:ascii="仿宋" w:hAnsi="仿宋" w:eastAsia="仿宋"/>
          <w:color w:val="auto"/>
          <w:sz w:val="24"/>
          <w:szCs w:val="24"/>
        </w:rPr>
        <w:t xml:space="preserve"> </w:t>
      </w:r>
    </w:p>
    <w:p w14:paraId="790B18F6">
      <w:pPr>
        <w:tabs>
          <w:tab w:val="left" w:pos="5985"/>
        </w:tabs>
        <w:snapToGrid w:val="0"/>
        <w:spacing w:line="360" w:lineRule="auto"/>
        <w:ind w:firstLine="482" w:firstLineChars="200"/>
        <w:rPr>
          <w:rFonts w:ascii="仿宋" w:hAnsi="仿宋" w:eastAsia="仿宋"/>
          <w:b/>
          <w:color w:val="auto"/>
          <w:sz w:val="24"/>
          <w:szCs w:val="24"/>
        </w:rPr>
      </w:pPr>
      <w:r>
        <w:rPr>
          <w:rFonts w:hint="eastAsia" w:ascii="仿宋" w:hAnsi="仿宋" w:eastAsia="仿宋"/>
          <w:b/>
          <w:color w:val="auto"/>
          <w:sz w:val="24"/>
          <w:szCs w:val="24"/>
        </w:rPr>
        <w:t>第二条  双方的义务和权利</w:t>
      </w:r>
    </w:p>
    <w:p w14:paraId="591A2D68">
      <w:pPr>
        <w:tabs>
          <w:tab w:val="left" w:pos="5985"/>
        </w:tabs>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一、甲方的义务和权利</w:t>
      </w:r>
    </w:p>
    <w:p w14:paraId="300FC73F">
      <w:pPr>
        <w:tabs>
          <w:tab w:val="left" w:pos="5985"/>
        </w:tabs>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1.甲方委托乙方进行司法鉴定，应向乙方出具《司法鉴定聘请书》或《司法鉴定委托书》，明确鉴定范围、鉴定时限要求。</w:t>
      </w:r>
    </w:p>
    <w:p w14:paraId="76C01D79">
      <w:pPr>
        <w:tabs>
          <w:tab w:val="left" w:pos="5985"/>
        </w:tabs>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2.为保证乙方有效进行司法鉴定工作，甲方应当向乙方提供司法鉴定所需要的技术资料、图纸资料及配套的相关因子资料和其他条件（技术资料为复印件，并加盖甲方单位的公章，图纸资料及配套的相关因子资料为电子版，如果为个人提供则在复印件上签字予以确认）。</w:t>
      </w:r>
    </w:p>
    <w:p w14:paraId="52E7077A">
      <w:pPr>
        <w:tabs>
          <w:tab w:val="left" w:pos="5985"/>
        </w:tabs>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3.在鉴定工作均结束，乙方完整交付合格司法鉴定成果资料并达到付款条件后，向乙方支付鉴定费用。</w:t>
      </w:r>
    </w:p>
    <w:p w14:paraId="2846C906">
      <w:pPr>
        <w:tabs>
          <w:tab w:val="left" w:pos="5985"/>
        </w:tabs>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4.有权对乙方鉴定全过程、人员资质、勘验流程进行监督，对不合规操作要求立即整改。</w:t>
      </w:r>
    </w:p>
    <w:p w14:paraId="24CD5A2A">
      <w:pPr>
        <w:tabs>
          <w:tab w:val="left" w:pos="5985"/>
        </w:tabs>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二、乙方的义务和权利</w:t>
      </w:r>
    </w:p>
    <w:p w14:paraId="4DDC0526">
      <w:pPr>
        <w:tabs>
          <w:tab w:val="left" w:pos="5985"/>
        </w:tabs>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1.乙方提供的服务及成果均能满足国家、地方、行业标准及甲方需求。</w:t>
      </w:r>
    </w:p>
    <w:p w14:paraId="6DA99E27">
      <w:pPr>
        <w:tabs>
          <w:tab w:val="left" w:pos="5985"/>
        </w:tabs>
        <w:snapToGrid w:val="0"/>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2</w:t>
      </w:r>
      <w:r>
        <w:rPr>
          <w:rFonts w:hint="eastAsia" w:ascii="仿宋" w:hAnsi="仿宋" w:eastAsia="仿宋"/>
          <w:color w:val="auto"/>
          <w:sz w:val="24"/>
          <w:szCs w:val="24"/>
        </w:rPr>
        <w:t>.乙方收到甲方提供的鉴定所需的资料后应当在3个工作日内完成全面审核，对资料和其他条件存在缺失、瑕疵的，须一次性书面列明全部异议及所需补充材料，在收到资料后5个工作日内送达甲方，逾期未提出异议的，视为乙方对全部资料无异议，后续不得再以资料缺陷为由延误鉴定工作；乙方在甲方提供完整有效资料的前提下（因档案灭失、主管部门无存档等客观原因甲方无法提供的情形除外），乙方应在收到资料后30个工作日内完成司法鉴定工作并出具司法鉴定意见书，属于复杂案件需要延期的，乙方应提前3个工作日向甲方提交书面延期申请，单次延期不得超过20个工作日，总工期最长不超过50个工作日。未经甲方书面同意不得擅自延期。乙方应该对其出具的鉴定报告承担相应的法律责任。</w:t>
      </w:r>
    </w:p>
    <w:p w14:paraId="2FF9B2F5">
      <w:pPr>
        <w:snapToGrid w:val="0"/>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3</w:t>
      </w:r>
      <w:r>
        <w:rPr>
          <w:rFonts w:hint="eastAsia" w:ascii="仿宋" w:hAnsi="仿宋" w:eastAsia="仿宋"/>
          <w:color w:val="auto"/>
          <w:sz w:val="24"/>
          <w:szCs w:val="24"/>
        </w:rPr>
        <w:t>.乙方配合甲方工作，在公正、依法、依规鉴定的基础上，充分保障甲方利益不受侵害。</w:t>
      </w:r>
    </w:p>
    <w:p w14:paraId="0E21FBB3">
      <w:pPr>
        <w:snapToGrid w:val="0"/>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4</w:t>
      </w:r>
      <w:r>
        <w:rPr>
          <w:rFonts w:hint="eastAsia" w:ascii="仿宋" w:hAnsi="仿宋" w:eastAsia="仿宋"/>
          <w:color w:val="auto"/>
          <w:sz w:val="24"/>
          <w:szCs w:val="24"/>
        </w:rPr>
        <w:t>.因乙方自身原因未按照本合同约定时间完成鉴定工作并提交经甲乙双方认可鉴定报告的，应当按照合同鉴定费用金额1%/日的标准向甲方支付违约金；乙方连续逾期达30个工作日未出具鉴定报告的，甲方有权解除本合同，并不支付任何鉴定费给乙方，由此造成的甲方损失由乙方全额承担。</w:t>
      </w:r>
    </w:p>
    <w:p w14:paraId="74EB4E12">
      <w:pPr>
        <w:snapToGrid w:val="0"/>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5</w:t>
      </w:r>
      <w:r>
        <w:rPr>
          <w:rFonts w:hint="eastAsia" w:ascii="仿宋" w:hAnsi="仿宋" w:eastAsia="仿宋"/>
          <w:color w:val="auto"/>
          <w:sz w:val="24"/>
          <w:szCs w:val="24"/>
        </w:rPr>
        <w:t>.若乙方出具的《司法鉴定意见书》存在事实认定错误、适用标准错误、程序严重违法或其他重大瑕疵，导致甲方无法使用或该意见未被司法机关采纳的，甲方有权要求乙方在[10]个工作日内免费重做或补充鉴定。若乙方拒绝或逾期完成，甲方有权单方解除本合同、拒绝支付该案件的任何费用（已支付的乙方应全额返还），并要求乙方承担由此给甲方造成的全部损失（包括但不限于案件处理延误、重新委托鉴定产生的费用等）。</w:t>
      </w:r>
    </w:p>
    <w:p w14:paraId="4D92733C">
      <w:pPr>
        <w:snapToGrid w:val="0"/>
        <w:spacing w:line="360" w:lineRule="auto"/>
        <w:ind w:firstLine="465"/>
        <w:rPr>
          <w:rFonts w:ascii="仿宋" w:hAnsi="仿宋" w:eastAsia="仿宋"/>
          <w:color w:val="auto"/>
          <w:sz w:val="24"/>
          <w:szCs w:val="24"/>
        </w:rPr>
      </w:pPr>
      <w:r>
        <w:rPr>
          <w:rFonts w:hint="eastAsia" w:ascii="仿宋" w:hAnsi="仿宋" w:eastAsia="仿宋"/>
          <w:color w:val="auto"/>
          <w:sz w:val="24"/>
          <w:szCs w:val="24"/>
        </w:rPr>
        <w:t>三、保密义务</w:t>
      </w:r>
    </w:p>
    <w:p w14:paraId="6069BFAE">
      <w:pPr>
        <w:snapToGrid w:val="0"/>
        <w:spacing w:line="360" w:lineRule="auto"/>
        <w:ind w:firstLine="465"/>
        <w:rPr>
          <w:rFonts w:ascii="仿宋" w:hAnsi="仿宋" w:eastAsia="仿宋"/>
          <w:color w:val="auto"/>
          <w:sz w:val="24"/>
          <w:szCs w:val="24"/>
        </w:rPr>
      </w:pPr>
      <w:r>
        <w:rPr>
          <w:rFonts w:hint="eastAsia" w:ascii="仿宋" w:hAnsi="仿宋" w:eastAsia="仿宋"/>
          <w:color w:val="auto"/>
          <w:sz w:val="24"/>
          <w:szCs w:val="24"/>
        </w:rPr>
        <w:t xml:space="preserve"> 1. 任何一方对于因签署或履行本合同而了解到的，以及合同所附、鉴定过程中获取的对方的任何未公开信息，包括但不限于案件信息、技术资料、鉴定数据和结论等，均负有保密义务。未经对方书面许可，任何一方不得向任何第三方泄露。 </w:t>
      </w:r>
    </w:p>
    <w:p w14:paraId="4F17A129">
      <w:pPr>
        <w:snapToGrid w:val="0"/>
        <w:spacing w:line="360" w:lineRule="auto"/>
        <w:ind w:firstLine="465"/>
        <w:rPr>
          <w:rFonts w:ascii="仿宋" w:hAnsi="仿宋" w:eastAsia="仿宋"/>
          <w:color w:val="auto"/>
          <w:sz w:val="24"/>
          <w:szCs w:val="24"/>
        </w:rPr>
      </w:pPr>
      <w:r>
        <w:rPr>
          <w:rFonts w:hint="eastAsia" w:ascii="仿宋" w:hAnsi="仿宋" w:eastAsia="仿宋"/>
          <w:color w:val="auto"/>
          <w:sz w:val="24"/>
          <w:szCs w:val="24"/>
        </w:rPr>
        <w:t>2. 本保密义务不因本合同的终止而终止。本合同期满、解除或终止后，本保密条款持续有效。</w:t>
      </w:r>
    </w:p>
    <w:p w14:paraId="14F3C71B">
      <w:pPr>
        <w:snapToGrid w:val="0"/>
        <w:spacing w:line="360" w:lineRule="auto"/>
        <w:ind w:firstLine="465"/>
        <w:rPr>
          <w:color w:val="auto"/>
        </w:rPr>
      </w:pPr>
      <w:r>
        <w:rPr>
          <w:rFonts w:hint="eastAsia" w:ascii="仿宋" w:hAnsi="仿宋" w:eastAsia="仿宋"/>
          <w:color w:val="auto"/>
          <w:sz w:val="24"/>
          <w:szCs w:val="24"/>
        </w:rPr>
        <w:t>3. 如乙方违反本条保密义务，应向甲方支付本合同总金额20%的违约金，若违约金不足以弥补甲方损失的，甲方有权要求乙方进一步赔偿。</w:t>
      </w:r>
    </w:p>
    <w:p w14:paraId="2443D4CE">
      <w:pPr>
        <w:snapToGrid w:val="0"/>
        <w:spacing w:line="360" w:lineRule="auto"/>
        <w:ind w:firstLine="465"/>
        <w:rPr>
          <w:color w:val="auto"/>
        </w:rPr>
      </w:pPr>
    </w:p>
    <w:p w14:paraId="2DA28FB1">
      <w:pPr>
        <w:snapToGrid w:val="0"/>
        <w:spacing w:line="360" w:lineRule="auto"/>
        <w:ind w:firstLine="482" w:firstLineChars="200"/>
        <w:rPr>
          <w:rFonts w:ascii="仿宋" w:hAnsi="仿宋" w:eastAsia="仿宋"/>
          <w:b/>
          <w:color w:val="auto"/>
          <w:sz w:val="24"/>
          <w:szCs w:val="24"/>
        </w:rPr>
      </w:pPr>
      <w:r>
        <w:rPr>
          <w:rFonts w:hint="eastAsia" w:ascii="仿宋" w:hAnsi="仿宋" w:eastAsia="仿宋"/>
          <w:b/>
          <w:color w:val="auto"/>
          <w:sz w:val="24"/>
          <w:szCs w:val="24"/>
        </w:rPr>
        <w:t>第三条  违约责任</w:t>
      </w:r>
    </w:p>
    <w:p w14:paraId="2E04A66E">
      <w:pPr>
        <w:snapToGrid w:val="0"/>
        <w:spacing w:line="360" w:lineRule="auto"/>
        <w:ind w:firstLine="480"/>
        <w:rPr>
          <w:rFonts w:ascii="仿宋" w:hAnsi="仿宋" w:eastAsia="仿宋"/>
          <w:color w:val="auto"/>
          <w:sz w:val="24"/>
          <w:szCs w:val="24"/>
        </w:rPr>
      </w:pPr>
      <w:r>
        <w:rPr>
          <w:rFonts w:hint="eastAsia" w:ascii="仿宋" w:hAnsi="仿宋" w:eastAsia="仿宋"/>
          <w:color w:val="auto"/>
          <w:sz w:val="24"/>
          <w:szCs w:val="24"/>
        </w:rPr>
        <w:t>一、合同解除情形</w:t>
      </w:r>
    </w:p>
    <w:p w14:paraId="1A0E783A">
      <w:pPr>
        <w:snapToGrid w:val="0"/>
        <w:spacing w:line="360" w:lineRule="auto"/>
        <w:ind w:firstLine="480"/>
        <w:rPr>
          <w:rFonts w:ascii="仿宋" w:hAnsi="仿宋" w:eastAsia="仿宋"/>
          <w:color w:val="auto"/>
          <w:sz w:val="24"/>
          <w:szCs w:val="24"/>
        </w:rPr>
      </w:pPr>
      <w:r>
        <w:rPr>
          <w:rFonts w:hint="eastAsia" w:ascii="仿宋" w:hAnsi="仿宋" w:eastAsia="仿宋"/>
          <w:color w:val="auto"/>
          <w:sz w:val="24"/>
          <w:szCs w:val="24"/>
        </w:rPr>
        <w:t>双方约定，出现下列情形，致使本协议履行不必要或客观无法履行的，可以解除本协议：</w:t>
      </w:r>
    </w:p>
    <w:p w14:paraId="2C729577">
      <w:pPr>
        <w:snapToGrid w:val="0"/>
        <w:spacing w:line="360" w:lineRule="auto"/>
        <w:rPr>
          <w:rFonts w:ascii="仿宋" w:hAnsi="仿宋" w:eastAsia="仿宋"/>
          <w:color w:val="auto"/>
          <w:sz w:val="24"/>
          <w:szCs w:val="24"/>
        </w:rPr>
      </w:pPr>
      <w:r>
        <w:rPr>
          <w:rFonts w:hint="eastAsia" w:ascii="仿宋" w:hAnsi="仿宋" w:eastAsia="仿宋"/>
          <w:color w:val="auto"/>
          <w:sz w:val="24"/>
          <w:szCs w:val="24"/>
        </w:rPr>
        <w:t xml:space="preserve">    1.发生不可抗力，指不能预见、不能避免、不能克服的客观情况，包括地震、洪水、台风等自然灾害，战争、暴乱，各级政府出台禁令、封控、政策调整等行政行为，遭遇不可抗力一方需3个工作日内书面告知对方；</w:t>
      </w:r>
    </w:p>
    <w:p w14:paraId="10742789">
      <w:pPr>
        <w:snapToGrid w:val="0"/>
        <w:spacing w:line="360" w:lineRule="auto"/>
        <w:rPr>
          <w:rFonts w:ascii="仿宋" w:hAnsi="仿宋" w:eastAsia="仿宋"/>
          <w:color w:val="auto"/>
          <w:sz w:val="24"/>
          <w:szCs w:val="24"/>
        </w:rPr>
      </w:pPr>
      <w:r>
        <w:rPr>
          <w:rFonts w:hint="eastAsia" w:ascii="仿宋" w:hAnsi="仿宋" w:eastAsia="仿宋"/>
          <w:color w:val="auto"/>
          <w:sz w:val="24"/>
          <w:szCs w:val="24"/>
        </w:rPr>
        <w:t xml:space="preserve">    2.甲方提供虚假材料或乙方达到付款条件但甲方故意或者重大过失未按合作协议书约定支付司法鉴定费，经乙方书面催告后15个工作日后仍不付款的；</w:t>
      </w:r>
    </w:p>
    <w:p w14:paraId="5A3C49A2">
      <w:pPr>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3.乙方无正当理由拒绝接受甲方合法委托鉴定任务、拒绝参加甲方组织的案情沟通会、拒绝出庭接受质询等，或存在其他不能保障甲方委托鉴定内容的情形；</w:t>
      </w:r>
    </w:p>
    <w:p w14:paraId="23F09CDB">
      <w:pPr>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4.乙方鉴定成果连续两次不符合办案要求、经甲方要求免费重做后仍不合格；或擅自转委托第三方开展鉴定核心工作；             </w:t>
      </w:r>
    </w:p>
    <w:p w14:paraId="7EC8D722">
      <w:pPr>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5.乙方在合同履行期间，《司法鉴定许可证》被吊销、注销、暂停执业，或其业务范围不再包含环境损害鉴定的，甲方有权立即单方解除本合同。乙方应退还已收取但尚未完成鉴定的全部费用，并赔偿因此给甲方造成的全部损失。</w:t>
      </w:r>
    </w:p>
    <w:p w14:paraId="33C54A37">
      <w:pPr>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二、乙方违约责任</w:t>
      </w:r>
    </w:p>
    <w:p w14:paraId="6147911F">
      <w:pPr>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工期逾期违约：因乙方人员不足、实验室排期、内部复核滞后、勘验安排失误等自身原因逾期交付鉴定意见的，按单案鉴定费用0.5%/日支付违约金，单案逾期违约金上限不超过该案件服务费总额的30%；乙方连续逾期达30个工作日未出具合格报告的，甲方有权单方解除本合同，不予支付该案件全部鉴定费用，乙方赔偿甲方另行委托鉴定、案件超期追责的全部损失。</w:t>
      </w:r>
    </w:p>
    <w:p w14:paraId="56D2883A">
      <w:pPr>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2.鉴定成果瑕疵违约：若《司法鉴定意见书》存在地类认定错误、面积测算错误、损毁等级判定错误、勘验程序违法、签字人无资质等重大瑕疵，导致无法用于行政执法、未被公安、检察院、法院采信的：①轻微瑕疵可补正的，乙方10个工作日内无偿补正、补充勘验、出具补充意见；②重大瑕疵无法补正的，甲方有权拒付该案件费用，已付款项乙方5日内全额退还；同时承担甲方二次鉴定费、办案人员误工、行政追责赔偿等全部损失。</w:t>
      </w:r>
    </w:p>
    <w:p w14:paraId="3871474F">
      <w:pPr>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3.乙方鉴定人员存在收受利害关系人财物、虚假鉴定、篡改勘验数据、违规修改鉴定结论等违法违规行为，除承担司法、司法行政部门行政处罚外，需向甲方支付年度预算15%违约金，甲方立即解除合同，上报司法行政主管部门，纳入政府采购失信名单。</w:t>
      </w:r>
    </w:p>
    <w:p w14:paraId="43EDFD74">
      <w:pPr>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4.未经甲方书面同意擅自转委托核心鉴定业务，甲方有权解除合同，乙方退还当期全部未结算费用，支付单案20%违约金。</w:t>
      </w:r>
    </w:p>
    <w:p w14:paraId="2188EE52">
      <w:pPr>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三、甲方专项违约责任</w:t>
      </w:r>
    </w:p>
    <w:p w14:paraId="28340223">
      <w:pPr>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1.甲方无故单方面解除合法有效、乙方已正常履约的单项鉴定委托，需据实支付乙方已完成外业勘验、实验室检测对应的合理成本费用。</w:t>
      </w:r>
    </w:p>
    <w:p w14:paraId="205B274B">
      <w:pPr>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2.甲方故意隐瞒涉案地块关键资料、隐瞒现场人为干预情况，未如实告知乙方，导致鉴定结论偏差、鉴定返工的，返工费用由甲方承担，工期相应顺延，乙方不承担违约责任。</w:t>
      </w:r>
    </w:p>
    <w:p w14:paraId="12495F5F">
      <w:pPr>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3.甲方无正当理由逾期支付鉴定费用超过15个工作日的，按照全国银行间同业拆借中心公布的同期贷款市场报价利率（LPR）支付逾期资金占用利息。</w:t>
      </w:r>
    </w:p>
    <w:p w14:paraId="47BA805D">
      <w:pPr>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第四条  其他事宜</w:t>
      </w:r>
    </w:p>
    <w:p w14:paraId="01134F18">
      <w:pPr>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一、通知及送达 本合同履行过程中，双方的所有通知、函件均应以书面形式按下列地址送达。一方变更地址、联系人、联系方式的，应在变更当日书面通知对方，否则原地址仍视为有效送达地址。以下列方式送达的，视为有效送达：（1）当面递交的，签收日为送达日；（2）以邮政方式邮寄的，邮件寄出后第3个工作日视为送达日；（3）官方邮箱发送加盖公章扫描件，发送成功当日视为送达日。</w:t>
      </w:r>
    </w:p>
    <w:p w14:paraId="5FE2929E">
      <w:pPr>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甲方送达地址：_____________________ </w:t>
      </w:r>
    </w:p>
    <w:p w14:paraId="76A2200D">
      <w:pPr>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联系人：__________</w:t>
      </w:r>
    </w:p>
    <w:p w14:paraId="1D2FB758">
      <w:pPr>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电话：__________ </w:t>
      </w:r>
    </w:p>
    <w:p w14:paraId="76EF0BDB">
      <w:pPr>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乙方送达地址：_____________________ </w:t>
      </w:r>
    </w:p>
    <w:p w14:paraId="56C757A6">
      <w:pPr>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联系人：__________ </w:t>
      </w:r>
    </w:p>
    <w:p w14:paraId="7B00E453">
      <w:pPr>
        <w:snapToGrid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电话：__________</w:t>
      </w:r>
    </w:p>
    <w:p w14:paraId="1EE07D37">
      <w:pPr>
        <w:snapToGrid w:val="0"/>
        <w:spacing w:line="360" w:lineRule="auto"/>
        <w:ind w:firstLine="560"/>
        <w:rPr>
          <w:rFonts w:ascii="仿宋" w:hAnsi="仿宋" w:eastAsia="仿宋"/>
          <w:color w:val="auto"/>
          <w:sz w:val="24"/>
          <w:szCs w:val="24"/>
        </w:rPr>
      </w:pPr>
      <w:r>
        <w:rPr>
          <w:rFonts w:hint="eastAsia" w:ascii="仿宋" w:hAnsi="仿宋" w:eastAsia="仿宋"/>
          <w:color w:val="auto"/>
          <w:sz w:val="24"/>
          <w:szCs w:val="24"/>
        </w:rPr>
        <w:t>二、争议解决</w:t>
      </w:r>
    </w:p>
    <w:p w14:paraId="1BD361D6">
      <w:pPr>
        <w:snapToGrid w:val="0"/>
        <w:spacing w:line="360" w:lineRule="auto"/>
        <w:ind w:firstLine="560"/>
        <w:rPr>
          <w:rFonts w:ascii="仿宋" w:hAnsi="仿宋" w:eastAsia="仿宋"/>
          <w:color w:val="auto"/>
          <w:sz w:val="24"/>
          <w:szCs w:val="24"/>
        </w:rPr>
      </w:pPr>
      <w:r>
        <w:rPr>
          <w:rFonts w:hint="eastAsia" w:ascii="仿宋" w:hAnsi="仿宋" w:eastAsia="仿宋"/>
          <w:color w:val="auto"/>
          <w:sz w:val="24"/>
          <w:szCs w:val="24"/>
        </w:rPr>
        <w:t>双方因履行本协议而发生的争议，应当协商、调解解决，协商、调解不成的，双方约定在甲方所在地人民法院诉讼解决，因诉讼产生的诉讼费、调解产生的调解费、保全费、保全保险费、第三方复核鉴定费、评估费、律师费、差旅费、公告费、执行费等费用均由违约方承担。</w:t>
      </w:r>
    </w:p>
    <w:p w14:paraId="56CCDD82">
      <w:pPr>
        <w:snapToGrid w:val="0"/>
        <w:spacing w:line="360" w:lineRule="auto"/>
        <w:ind w:firstLine="480"/>
        <w:rPr>
          <w:rFonts w:ascii="仿宋" w:hAnsi="仿宋" w:eastAsia="仿宋"/>
          <w:color w:val="auto"/>
          <w:sz w:val="24"/>
          <w:szCs w:val="24"/>
        </w:rPr>
      </w:pPr>
      <w:r>
        <w:rPr>
          <w:rFonts w:hint="eastAsia" w:ascii="仿宋" w:hAnsi="仿宋" w:eastAsia="仿宋"/>
          <w:color w:val="auto"/>
          <w:sz w:val="24"/>
          <w:szCs w:val="24"/>
        </w:rPr>
        <w:t>三、补充协议</w:t>
      </w:r>
    </w:p>
    <w:p w14:paraId="1ECE4B19">
      <w:pPr>
        <w:snapToGrid w:val="0"/>
        <w:spacing w:line="360" w:lineRule="auto"/>
        <w:ind w:firstLine="480"/>
        <w:rPr>
          <w:rFonts w:ascii="仿宋" w:hAnsi="仿宋" w:eastAsia="仿宋"/>
          <w:color w:val="auto"/>
          <w:sz w:val="24"/>
          <w:szCs w:val="24"/>
          <w:u w:val="single"/>
        </w:rPr>
      </w:pPr>
      <w:r>
        <w:rPr>
          <w:rFonts w:hint="eastAsia" w:ascii="仿宋" w:hAnsi="仿宋" w:eastAsia="仿宋"/>
          <w:color w:val="auto"/>
          <w:sz w:val="24"/>
          <w:szCs w:val="24"/>
        </w:rPr>
        <w:t>本合同未尽事宜，由双方签订书面补充协议进行约定，补充协议与本合同具有同等法律效力，补充协议内容与本合同冲突的，以补充协议为准。</w:t>
      </w:r>
      <w:r>
        <w:rPr>
          <w:rFonts w:hint="eastAsia" w:ascii="仿宋" w:hAnsi="仿宋" w:eastAsia="仿宋"/>
          <w:color w:val="auto"/>
          <w:sz w:val="24"/>
          <w:szCs w:val="24"/>
          <w:u w:val="single"/>
        </w:rPr>
        <w:t xml:space="preserve">                                                     </w:t>
      </w:r>
    </w:p>
    <w:p w14:paraId="2F8D2D05">
      <w:pPr>
        <w:snapToGrid w:val="0"/>
        <w:spacing w:line="360" w:lineRule="auto"/>
        <w:ind w:firstLine="480"/>
        <w:rPr>
          <w:rFonts w:ascii="仿宋" w:hAnsi="仿宋" w:eastAsia="仿宋"/>
          <w:color w:val="auto"/>
          <w:sz w:val="24"/>
          <w:szCs w:val="24"/>
        </w:rPr>
      </w:pPr>
      <w:r>
        <w:rPr>
          <w:rFonts w:hint="eastAsia" w:ascii="仿宋" w:hAnsi="仿宋" w:eastAsia="仿宋"/>
          <w:color w:val="auto"/>
          <w:sz w:val="24"/>
          <w:szCs w:val="24"/>
        </w:rPr>
        <w:t>四、本协议一式</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r>
        <w:rPr>
          <w:rFonts w:hint="eastAsia" w:ascii="仿宋" w:hAnsi="仿宋" w:eastAsia="仿宋"/>
          <w:color w:val="auto"/>
          <w:sz w:val="24"/>
          <w:szCs w:val="24"/>
        </w:rPr>
        <w:t>份，甲方持</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r>
        <w:rPr>
          <w:rFonts w:hint="eastAsia" w:ascii="仿宋" w:hAnsi="仿宋" w:eastAsia="仿宋"/>
          <w:color w:val="auto"/>
          <w:sz w:val="24"/>
          <w:szCs w:val="24"/>
        </w:rPr>
        <w:t>份，乙方持</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r>
        <w:rPr>
          <w:rFonts w:hint="eastAsia" w:ascii="仿宋" w:hAnsi="仿宋" w:eastAsia="仿宋"/>
          <w:color w:val="auto"/>
          <w:sz w:val="24"/>
          <w:szCs w:val="24"/>
        </w:rPr>
        <w:t>份，具有同等法律效力。</w:t>
      </w:r>
    </w:p>
    <w:p w14:paraId="7AB3E562">
      <w:pPr>
        <w:snapToGrid w:val="0"/>
        <w:spacing w:line="360" w:lineRule="auto"/>
        <w:ind w:firstLine="480"/>
        <w:rPr>
          <w:rFonts w:ascii="仿宋" w:hAnsi="仿宋" w:eastAsia="仿宋"/>
          <w:color w:val="auto"/>
          <w:sz w:val="24"/>
          <w:szCs w:val="24"/>
        </w:rPr>
      </w:pPr>
      <w:r>
        <w:rPr>
          <w:rFonts w:hint="eastAsia" w:ascii="仿宋" w:hAnsi="仿宋" w:eastAsia="仿宋"/>
          <w:color w:val="auto"/>
          <w:sz w:val="24"/>
          <w:szCs w:val="24"/>
        </w:rPr>
        <w:t>五、合同签订地点：</w:t>
      </w:r>
    </w:p>
    <w:p w14:paraId="7C35D99C">
      <w:pPr>
        <w:snapToGrid w:val="0"/>
        <w:spacing w:line="360" w:lineRule="auto"/>
        <w:ind w:firstLine="480"/>
        <w:rPr>
          <w:rFonts w:ascii="仿宋" w:hAnsi="仿宋" w:eastAsia="仿宋"/>
          <w:color w:val="auto"/>
          <w:sz w:val="24"/>
          <w:szCs w:val="24"/>
        </w:rPr>
      </w:pPr>
      <w:r>
        <w:rPr>
          <w:rFonts w:hint="eastAsia" w:ascii="仿宋" w:hAnsi="仿宋" w:eastAsia="仿宋"/>
          <w:color w:val="auto"/>
          <w:sz w:val="24"/>
          <w:szCs w:val="24"/>
        </w:rPr>
        <w:t>六、本协议经双方法定代表人或授权代表签字并加盖公章或合同专用章后生效。</w:t>
      </w:r>
    </w:p>
    <w:p w14:paraId="7054E86A">
      <w:pPr>
        <w:snapToGrid w:val="0"/>
        <w:spacing w:line="360" w:lineRule="auto"/>
        <w:ind w:firstLine="480"/>
        <w:rPr>
          <w:rFonts w:ascii="仿宋" w:hAnsi="仿宋" w:eastAsia="仿宋"/>
          <w:color w:val="auto"/>
          <w:sz w:val="24"/>
          <w:szCs w:val="24"/>
        </w:rPr>
      </w:pPr>
      <w:r>
        <w:rPr>
          <w:rFonts w:hint="eastAsia" w:ascii="仿宋" w:hAnsi="仿宋" w:eastAsia="仿宋"/>
          <w:color w:val="auto"/>
          <w:sz w:val="24"/>
          <w:szCs w:val="24"/>
        </w:rPr>
        <w:t>七、本合同不可分割之部分：</w:t>
      </w:r>
    </w:p>
    <w:p w14:paraId="4E3C5D01">
      <w:pPr>
        <w:snapToGrid w:val="0"/>
        <w:spacing w:line="360" w:lineRule="auto"/>
        <w:ind w:firstLine="480"/>
        <w:rPr>
          <w:rFonts w:ascii="仿宋" w:hAnsi="仿宋" w:eastAsia="仿宋"/>
          <w:color w:val="auto"/>
          <w:sz w:val="24"/>
          <w:szCs w:val="24"/>
        </w:rPr>
      </w:pPr>
      <w:r>
        <w:rPr>
          <w:rFonts w:hint="eastAsia" w:ascii="仿宋" w:hAnsi="仿宋" w:eastAsia="仿宋"/>
          <w:color w:val="auto"/>
          <w:sz w:val="24"/>
          <w:szCs w:val="24"/>
        </w:rPr>
        <w:t>1.本项目竞争性磋商文件及成交人的响应文件；</w:t>
      </w:r>
    </w:p>
    <w:p w14:paraId="67EAE99E">
      <w:pPr>
        <w:snapToGrid w:val="0"/>
        <w:spacing w:line="360" w:lineRule="auto"/>
        <w:ind w:firstLine="480"/>
        <w:rPr>
          <w:rFonts w:ascii="仿宋" w:hAnsi="仿宋" w:eastAsia="仿宋"/>
          <w:color w:val="auto"/>
          <w:sz w:val="24"/>
          <w:szCs w:val="24"/>
        </w:rPr>
      </w:pPr>
      <w:r>
        <w:rPr>
          <w:rFonts w:hint="eastAsia" w:ascii="仿宋" w:hAnsi="仿宋" w:eastAsia="仿宋"/>
          <w:color w:val="auto"/>
          <w:sz w:val="24"/>
          <w:szCs w:val="24"/>
        </w:rPr>
        <w:t>2.成交通知书；</w:t>
      </w:r>
    </w:p>
    <w:p w14:paraId="71A27AF1">
      <w:pPr>
        <w:snapToGrid w:val="0"/>
        <w:spacing w:line="360" w:lineRule="auto"/>
        <w:ind w:firstLine="480"/>
        <w:rPr>
          <w:rFonts w:ascii="仿宋" w:hAnsi="仿宋" w:eastAsia="仿宋"/>
          <w:color w:val="auto"/>
          <w:sz w:val="24"/>
          <w:szCs w:val="24"/>
        </w:rPr>
      </w:pPr>
      <w:r>
        <w:rPr>
          <w:rFonts w:hint="eastAsia" w:ascii="仿宋" w:hAnsi="仿宋" w:eastAsia="仿宋"/>
          <w:color w:val="auto"/>
          <w:sz w:val="24"/>
          <w:szCs w:val="24"/>
        </w:rPr>
        <w:t>3.合同书附件。</w:t>
      </w:r>
    </w:p>
    <w:p w14:paraId="59C98B4B">
      <w:pPr>
        <w:spacing w:line="580" w:lineRule="exact"/>
        <w:ind w:firstLine="480" w:firstLineChars="200"/>
        <w:rPr>
          <w:rFonts w:ascii="仿宋" w:hAnsi="仿宋" w:eastAsia="仿宋"/>
          <w:color w:val="auto"/>
          <w:sz w:val="24"/>
          <w:szCs w:val="24"/>
          <w:shd w:val="clear" w:color="auto" w:fill="FFFFFF"/>
        </w:rPr>
      </w:pPr>
    </w:p>
    <w:p w14:paraId="3B863561">
      <w:pPr>
        <w:spacing w:line="580" w:lineRule="exact"/>
        <w:ind w:firstLine="480" w:firstLineChars="200"/>
        <w:rPr>
          <w:rFonts w:ascii="仿宋" w:hAnsi="仿宋" w:eastAsia="仿宋" w:cs="宋体"/>
          <w:color w:val="auto"/>
          <w:sz w:val="24"/>
          <w:szCs w:val="24"/>
        </w:rPr>
      </w:pPr>
    </w:p>
    <w:p w14:paraId="658B288B">
      <w:pPr>
        <w:pStyle w:val="15"/>
        <w:widowControl/>
        <w:kinsoku w:val="0"/>
        <w:autoSpaceDE w:val="0"/>
        <w:autoSpaceDN w:val="0"/>
        <w:adjustRightInd w:val="0"/>
        <w:snapToGrid w:val="0"/>
        <w:spacing w:line="360" w:lineRule="auto"/>
        <w:ind w:firstLine="480"/>
        <w:textAlignment w:val="baseline"/>
        <w:rPr>
          <w:rFonts w:ascii="仿宋" w:hAnsi="仿宋" w:eastAsia="仿宋"/>
          <w:color w:val="auto"/>
          <w:sz w:val="24"/>
        </w:rPr>
      </w:pPr>
    </w:p>
    <w:tbl>
      <w:tblPr>
        <w:tblStyle w:val="62"/>
        <w:tblW w:w="0" w:type="auto"/>
        <w:tblInd w:w="0" w:type="dxa"/>
        <w:tblLayout w:type="autofit"/>
        <w:tblCellMar>
          <w:top w:w="0" w:type="dxa"/>
          <w:left w:w="108" w:type="dxa"/>
          <w:bottom w:w="0" w:type="dxa"/>
          <w:right w:w="108" w:type="dxa"/>
        </w:tblCellMar>
      </w:tblPr>
      <w:tblGrid>
        <w:gridCol w:w="4785"/>
        <w:gridCol w:w="4786"/>
      </w:tblGrid>
      <w:tr w14:paraId="60AB85A8">
        <w:tblPrEx>
          <w:tblCellMar>
            <w:top w:w="0" w:type="dxa"/>
            <w:left w:w="108" w:type="dxa"/>
            <w:bottom w:w="0" w:type="dxa"/>
            <w:right w:w="108" w:type="dxa"/>
          </w:tblCellMar>
        </w:tblPrEx>
        <w:trPr>
          <w:trHeight w:val="454" w:hRule="atLeast"/>
        </w:trPr>
        <w:tc>
          <w:tcPr>
            <w:tcW w:w="4785" w:type="dxa"/>
            <w:vAlign w:val="center"/>
          </w:tcPr>
          <w:p w14:paraId="037FE02F">
            <w:pPr>
              <w:pStyle w:val="15"/>
              <w:widowControl/>
              <w:kinsoku w:val="0"/>
              <w:autoSpaceDE w:val="0"/>
              <w:autoSpaceDN w:val="0"/>
              <w:adjustRightInd w:val="0"/>
              <w:snapToGrid w:val="0"/>
              <w:spacing w:before="120" w:line="360" w:lineRule="auto"/>
              <w:ind w:firstLine="0" w:firstLineChars="0"/>
              <w:textAlignment w:val="baseline"/>
              <w:rPr>
                <w:rFonts w:ascii="仿宋" w:hAnsi="仿宋" w:eastAsia="仿宋"/>
                <w:color w:val="auto"/>
                <w:sz w:val="24"/>
              </w:rPr>
            </w:pPr>
            <w:r>
              <w:rPr>
                <w:rFonts w:hint="eastAsia" w:ascii="仿宋" w:hAnsi="仿宋" w:eastAsia="仿宋"/>
                <w:color w:val="auto"/>
                <w:sz w:val="24"/>
              </w:rPr>
              <w:t>（以下无正文，为签字盖章页）</w:t>
            </w:r>
          </w:p>
          <w:p w14:paraId="2252A0E7">
            <w:pPr>
              <w:pStyle w:val="15"/>
              <w:widowControl/>
              <w:kinsoku w:val="0"/>
              <w:autoSpaceDE w:val="0"/>
              <w:autoSpaceDN w:val="0"/>
              <w:adjustRightInd w:val="0"/>
              <w:snapToGrid w:val="0"/>
              <w:spacing w:before="120" w:line="360" w:lineRule="auto"/>
              <w:ind w:firstLine="0" w:firstLineChars="0"/>
              <w:textAlignment w:val="baseline"/>
              <w:rPr>
                <w:rFonts w:ascii="仿宋" w:hAnsi="仿宋" w:eastAsia="仿宋"/>
                <w:color w:val="auto"/>
                <w:sz w:val="24"/>
              </w:rPr>
            </w:pPr>
          </w:p>
          <w:p w14:paraId="77C405D6">
            <w:pPr>
              <w:pStyle w:val="15"/>
              <w:widowControl/>
              <w:kinsoku w:val="0"/>
              <w:autoSpaceDE w:val="0"/>
              <w:autoSpaceDN w:val="0"/>
              <w:adjustRightInd w:val="0"/>
              <w:snapToGrid w:val="0"/>
              <w:spacing w:before="120" w:line="360" w:lineRule="auto"/>
              <w:ind w:firstLine="0" w:firstLineChars="0"/>
              <w:textAlignment w:val="baseline"/>
              <w:rPr>
                <w:rFonts w:ascii="仿宋" w:hAnsi="仿宋" w:eastAsia="仿宋"/>
                <w:color w:val="auto"/>
                <w:sz w:val="24"/>
              </w:rPr>
            </w:pPr>
          </w:p>
          <w:p w14:paraId="29B36447">
            <w:pPr>
              <w:pStyle w:val="15"/>
              <w:widowControl/>
              <w:kinsoku w:val="0"/>
              <w:autoSpaceDE w:val="0"/>
              <w:autoSpaceDN w:val="0"/>
              <w:adjustRightInd w:val="0"/>
              <w:snapToGrid w:val="0"/>
              <w:spacing w:before="120" w:line="360" w:lineRule="auto"/>
              <w:ind w:firstLine="0" w:firstLineChars="0"/>
              <w:textAlignment w:val="baseline"/>
              <w:rPr>
                <w:rFonts w:ascii="仿宋" w:hAnsi="仿宋" w:eastAsia="仿宋"/>
                <w:color w:val="auto"/>
                <w:sz w:val="24"/>
              </w:rPr>
            </w:pPr>
            <w:r>
              <w:rPr>
                <w:rFonts w:ascii="仿宋" w:hAnsi="仿宋" w:eastAsia="仿宋"/>
                <w:color w:val="auto"/>
                <w:sz w:val="24"/>
              </w:rPr>
              <w:t>甲方（盖章）：</w:t>
            </w:r>
            <w:r>
              <w:rPr>
                <w:rFonts w:hint="eastAsia" w:ascii="仿宋" w:hAnsi="仿宋" w:eastAsia="仿宋"/>
                <w:color w:val="auto"/>
                <w:sz w:val="24"/>
              </w:rPr>
              <w:t>石林彝族自治县自然资源局</w:t>
            </w:r>
          </w:p>
        </w:tc>
        <w:tc>
          <w:tcPr>
            <w:tcW w:w="4786" w:type="dxa"/>
            <w:vAlign w:val="center"/>
          </w:tcPr>
          <w:p w14:paraId="02D051EC">
            <w:pPr>
              <w:pStyle w:val="15"/>
              <w:widowControl/>
              <w:kinsoku w:val="0"/>
              <w:autoSpaceDE w:val="0"/>
              <w:autoSpaceDN w:val="0"/>
              <w:adjustRightInd w:val="0"/>
              <w:snapToGrid w:val="0"/>
              <w:spacing w:before="120" w:line="360" w:lineRule="auto"/>
              <w:ind w:firstLine="480"/>
              <w:textAlignment w:val="baseline"/>
              <w:rPr>
                <w:rFonts w:ascii="仿宋" w:hAnsi="仿宋" w:eastAsia="仿宋"/>
                <w:color w:val="auto"/>
                <w:sz w:val="24"/>
              </w:rPr>
            </w:pPr>
          </w:p>
          <w:p w14:paraId="70F30149">
            <w:pPr>
              <w:pStyle w:val="15"/>
              <w:widowControl/>
              <w:kinsoku w:val="0"/>
              <w:autoSpaceDE w:val="0"/>
              <w:autoSpaceDN w:val="0"/>
              <w:adjustRightInd w:val="0"/>
              <w:snapToGrid w:val="0"/>
              <w:spacing w:before="120" w:line="360" w:lineRule="auto"/>
              <w:ind w:firstLine="480"/>
              <w:textAlignment w:val="baseline"/>
              <w:rPr>
                <w:rFonts w:ascii="仿宋" w:hAnsi="仿宋" w:eastAsia="仿宋"/>
                <w:color w:val="auto"/>
                <w:sz w:val="24"/>
              </w:rPr>
            </w:pPr>
          </w:p>
          <w:p w14:paraId="55AC481C">
            <w:pPr>
              <w:pStyle w:val="15"/>
              <w:widowControl/>
              <w:kinsoku w:val="0"/>
              <w:autoSpaceDE w:val="0"/>
              <w:autoSpaceDN w:val="0"/>
              <w:adjustRightInd w:val="0"/>
              <w:snapToGrid w:val="0"/>
              <w:spacing w:before="120" w:line="360" w:lineRule="auto"/>
              <w:ind w:firstLine="480"/>
              <w:textAlignment w:val="baseline"/>
              <w:rPr>
                <w:rFonts w:ascii="仿宋" w:hAnsi="仿宋" w:eastAsia="仿宋"/>
                <w:color w:val="auto"/>
                <w:sz w:val="24"/>
              </w:rPr>
            </w:pPr>
          </w:p>
          <w:p w14:paraId="2FA0D0C6">
            <w:pPr>
              <w:pStyle w:val="15"/>
              <w:widowControl/>
              <w:kinsoku w:val="0"/>
              <w:autoSpaceDE w:val="0"/>
              <w:autoSpaceDN w:val="0"/>
              <w:adjustRightInd w:val="0"/>
              <w:snapToGrid w:val="0"/>
              <w:spacing w:before="120" w:line="360" w:lineRule="auto"/>
              <w:ind w:firstLine="480"/>
              <w:textAlignment w:val="baseline"/>
              <w:rPr>
                <w:rFonts w:ascii="仿宋" w:hAnsi="仿宋" w:eastAsia="仿宋"/>
                <w:color w:val="auto"/>
                <w:sz w:val="24"/>
              </w:rPr>
            </w:pPr>
            <w:r>
              <w:rPr>
                <w:rFonts w:ascii="仿宋" w:hAnsi="仿宋" w:eastAsia="仿宋"/>
                <w:color w:val="auto"/>
                <w:sz w:val="24"/>
              </w:rPr>
              <w:t>乙方（盖章）：</w:t>
            </w:r>
          </w:p>
        </w:tc>
      </w:tr>
      <w:tr w14:paraId="0B76852C">
        <w:tblPrEx>
          <w:tblCellMar>
            <w:top w:w="0" w:type="dxa"/>
            <w:left w:w="108" w:type="dxa"/>
            <w:bottom w:w="0" w:type="dxa"/>
            <w:right w:w="108" w:type="dxa"/>
          </w:tblCellMar>
        </w:tblPrEx>
        <w:trPr>
          <w:trHeight w:val="454" w:hRule="atLeast"/>
        </w:trPr>
        <w:tc>
          <w:tcPr>
            <w:tcW w:w="4785" w:type="dxa"/>
            <w:vAlign w:val="center"/>
          </w:tcPr>
          <w:p w14:paraId="57D9A2D5">
            <w:pPr>
              <w:pStyle w:val="15"/>
              <w:widowControl/>
              <w:kinsoku w:val="0"/>
              <w:autoSpaceDE w:val="0"/>
              <w:autoSpaceDN w:val="0"/>
              <w:adjustRightInd w:val="0"/>
              <w:snapToGrid w:val="0"/>
              <w:spacing w:before="120" w:line="360" w:lineRule="auto"/>
              <w:ind w:firstLine="0" w:firstLineChars="0"/>
              <w:textAlignment w:val="baseline"/>
              <w:rPr>
                <w:rFonts w:ascii="仿宋" w:hAnsi="仿宋" w:eastAsia="仿宋"/>
                <w:color w:val="auto"/>
                <w:sz w:val="24"/>
              </w:rPr>
            </w:pPr>
            <w:r>
              <w:rPr>
                <w:rFonts w:ascii="仿宋" w:hAnsi="仿宋" w:eastAsia="仿宋"/>
                <w:color w:val="auto"/>
                <w:sz w:val="24"/>
              </w:rPr>
              <w:t xml:space="preserve">法定代表人（授权代表）： </w:t>
            </w:r>
          </w:p>
        </w:tc>
        <w:tc>
          <w:tcPr>
            <w:tcW w:w="4786" w:type="dxa"/>
            <w:vAlign w:val="center"/>
          </w:tcPr>
          <w:p w14:paraId="4E6273DD">
            <w:pPr>
              <w:pStyle w:val="15"/>
              <w:widowControl/>
              <w:kinsoku w:val="0"/>
              <w:autoSpaceDE w:val="0"/>
              <w:autoSpaceDN w:val="0"/>
              <w:adjustRightInd w:val="0"/>
              <w:snapToGrid w:val="0"/>
              <w:spacing w:before="120" w:line="360" w:lineRule="auto"/>
              <w:ind w:firstLine="480"/>
              <w:textAlignment w:val="baseline"/>
              <w:rPr>
                <w:rFonts w:ascii="仿宋" w:hAnsi="仿宋" w:eastAsia="仿宋"/>
                <w:color w:val="auto"/>
                <w:sz w:val="24"/>
              </w:rPr>
            </w:pPr>
            <w:r>
              <w:rPr>
                <w:rFonts w:ascii="仿宋" w:hAnsi="仿宋" w:eastAsia="仿宋"/>
                <w:color w:val="auto"/>
                <w:sz w:val="24"/>
              </w:rPr>
              <w:t xml:space="preserve">法定代表人（授权代表）： </w:t>
            </w:r>
          </w:p>
        </w:tc>
      </w:tr>
      <w:tr w14:paraId="66499ADE">
        <w:tblPrEx>
          <w:tblCellMar>
            <w:top w:w="0" w:type="dxa"/>
            <w:left w:w="108" w:type="dxa"/>
            <w:bottom w:w="0" w:type="dxa"/>
            <w:right w:w="108" w:type="dxa"/>
          </w:tblCellMar>
        </w:tblPrEx>
        <w:trPr>
          <w:trHeight w:val="454" w:hRule="atLeast"/>
        </w:trPr>
        <w:tc>
          <w:tcPr>
            <w:tcW w:w="4785" w:type="dxa"/>
            <w:vAlign w:val="center"/>
          </w:tcPr>
          <w:p w14:paraId="140982FF">
            <w:pPr>
              <w:pStyle w:val="15"/>
              <w:widowControl/>
              <w:kinsoku w:val="0"/>
              <w:autoSpaceDE w:val="0"/>
              <w:autoSpaceDN w:val="0"/>
              <w:adjustRightInd w:val="0"/>
              <w:snapToGrid w:val="0"/>
              <w:spacing w:before="120" w:line="360" w:lineRule="auto"/>
              <w:ind w:firstLine="0" w:firstLineChars="0"/>
              <w:textAlignment w:val="baseline"/>
              <w:rPr>
                <w:rFonts w:ascii="仿宋" w:hAnsi="仿宋" w:eastAsia="仿宋"/>
                <w:color w:val="auto"/>
                <w:sz w:val="24"/>
              </w:rPr>
            </w:pPr>
            <w:r>
              <w:rPr>
                <w:rFonts w:ascii="仿宋" w:hAnsi="仿宋" w:eastAsia="仿宋"/>
                <w:color w:val="auto"/>
                <w:sz w:val="24"/>
              </w:rPr>
              <w:t>地址：</w:t>
            </w:r>
          </w:p>
        </w:tc>
        <w:tc>
          <w:tcPr>
            <w:tcW w:w="4786" w:type="dxa"/>
            <w:vAlign w:val="center"/>
          </w:tcPr>
          <w:p w14:paraId="15ED8C05">
            <w:pPr>
              <w:pStyle w:val="15"/>
              <w:widowControl/>
              <w:kinsoku w:val="0"/>
              <w:autoSpaceDE w:val="0"/>
              <w:autoSpaceDN w:val="0"/>
              <w:adjustRightInd w:val="0"/>
              <w:snapToGrid w:val="0"/>
              <w:spacing w:before="120" w:line="360" w:lineRule="auto"/>
              <w:ind w:firstLine="480"/>
              <w:textAlignment w:val="baseline"/>
              <w:rPr>
                <w:rFonts w:ascii="仿宋" w:hAnsi="仿宋" w:eastAsia="仿宋"/>
                <w:color w:val="auto"/>
                <w:sz w:val="24"/>
              </w:rPr>
            </w:pPr>
            <w:r>
              <w:rPr>
                <w:rFonts w:ascii="仿宋" w:hAnsi="仿宋" w:eastAsia="仿宋"/>
                <w:color w:val="auto"/>
                <w:sz w:val="24"/>
              </w:rPr>
              <w:t>地址：</w:t>
            </w:r>
          </w:p>
        </w:tc>
      </w:tr>
      <w:tr w14:paraId="4881998E">
        <w:tblPrEx>
          <w:tblCellMar>
            <w:top w:w="0" w:type="dxa"/>
            <w:left w:w="108" w:type="dxa"/>
            <w:bottom w:w="0" w:type="dxa"/>
            <w:right w:w="108" w:type="dxa"/>
          </w:tblCellMar>
        </w:tblPrEx>
        <w:trPr>
          <w:trHeight w:val="454" w:hRule="atLeast"/>
        </w:trPr>
        <w:tc>
          <w:tcPr>
            <w:tcW w:w="4785" w:type="dxa"/>
            <w:vAlign w:val="center"/>
          </w:tcPr>
          <w:p w14:paraId="1B39F329">
            <w:pPr>
              <w:pStyle w:val="15"/>
              <w:widowControl/>
              <w:kinsoku w:val="0"/>
              <w:autoSpaceDE w:val="0"/>
              <w:autoSpaceDN w:val="0"/>
              <w:adjustRightInd w:val="0"/>
              <w:snapToGrid w:val="0"/>
              <w:spacing w:before="120" w:line="360" w:lineRule="auto"/>
              <w:ind w:firstLine="0" w:firstLineChars="0"/>
              <w:textAlignment w:val="baseline"/>
              <w:rPr>
                <w:rFonts w:ascii="仿宋" w:hAnsi="仿宋" w:eastAsia="仿宋"/>
                <w:color w:val="auto"/>
                <w:sz w:val="24"/>
              </w:rPr>
            </w:pPr>
            <w:r>
              <w:rPr>
                <w:rFonts w:ascii="仿宋" w:hAnsi="仿宋" w:eastAsia="仿宋"/>
                <w:color w:val="auto"/>
                <w:sz w:val="24"/>
              </w:rPr>
              <w:t>开户银行：</w:t>
            </w:r>
          </w:p>
        </w:tc>
        <w:tc>
          <w:tcPr>
            <w:tcW w:w="4786" w:type="dxa"/>
            <w:vAlign w:val="center"/>
          </w:tcPr>
          <w:p w14:paraId="4E992220">
            <w:pPr>
              <w:pStyle w:val="15"/>
              <w:widowControl/>
              <w:kinsoku w:val="0"/>
              <w:autoSpaceDE w:val="0"/>
              <w:autoSpaceDN w:val="0"/>
              <w:adjustRightInd w:val="0"/>
              <w:snapToGrid w:val="0"/>
              <w:spacing w:before="120" w:line="360" w:lineRule="auto"/>
              <w:ind w:firstLine="480"/>
              <w:textAlignment w:val="baseline"/>
              <w:rPr>
                <w:rFonts w:ascii="仿宋" w:hAnsi="仿宋" w:eastAsia="仿宋"/>
                <w:color w:val="auto"/>
                <w:sz w:val="24"/>
              </w:rPr>
            </w:pPr>
            <w:r>
              <w:rPr>
                <w:rFonts w:ascii="仿宋" w:hAnsi="仿宋" w:eastAsia="仿宋"/>
                <w:color w:val="auto"/>
                <w:sz w:val="24"/>
              </w:rPr>
              <w:t>开户银行：</w:t>
            </w:r>
          </w:p>
        </w:tc>
      </w:tr>
      <w:tr w14:paraId="7B2D8EC8">
        <w:tblPrEx>
          <w:tblCellMar>
            <w:top w:w="0" w:type="dxa"/>
            <w:left w:w="108" w:type="dxa"/>
            <w:bottom w:w="0" w:type="dxa"/>
            <w:right w:w="108" w:type="dxa"/>
          </w:tblCellMar>
        </w:tblPrEx>
        <w:trPr>
          <w:trHeight w:val="454" w:hRule="atLeast"/>
        </w:trPr>
        <w:tc>
          <w:tcPr>
            <w:tcW w:w="4785" w:type="dxa"/>
            <w:vAlign w:val="center"/>
          </w:tcPr>
          <w:p w14:paraId="6E335CCA">
            <w:pPr>
              <w:pStyle w:val="15"/>
              <w:widowControl/>
              <w:kinsoku w:val="0"/>
              <w:autoSpaceDE w:val="0"/>
              <w:autoSpaceDN w:val="0"/>
              <w:adjustRightInd w:val="0"/>
              <w:snapToGrid w:val="0"/>
              <w:spacing w:before="120" w:line="360" w:lineRule="auto"/>
              <w:ind w:firstLine="0" w:firstLineChars="0"/>
              <w:textAlignment w:val="baseline"/>
              <w:rPr>
                <w:rFonts w:ascii="仿宋" w:hAnsi="仿宋" w:eastAsia="仿宋"/>
                <w:color w:val="auto"/>
                <w:sz w:val="24"/>
              </w:rPr>
            </w:pPr>
            <w:r>
              <w:rPr>
                <w:rFonts w:ascii="仿宋" w:hAnsi="仿宋" w:eastAsia="仿宋"/>
                <w:color w:val="auto"/>
                <w:sz w:val="24"/>
              </w:rPr>
              <w:t xml:space="preserve">账号： </w:t>
            </w:r>
          </w:p>
        </w:tc>
        <w:tc>
          <w:tcPr>
            <w:tcW w:w="4786" w:type="dxa"/>
            <w:vAlign w:val="center"/>
          </w:tcPr>
          <w:p w14:paraId="45E1A188">
            <w:pPr>
              <w:pStyle w:val="15"/>
              <w:widowControl/>
              <w:kinsoku w:val="0"/>
              <w:autoSpaceDE w:val="0"/>
              <w:autoSpaceDN w:val="0"/>
              <w:adjustRightInd w:val="0"/>
              <w:snapToGrid w:val="0"/>
              <w:spacing w:before="120" w:line="360" w:lineRule="auto"/>
              <w:ind w:firstLine="480"/>
              <w:textAlignment w:val="baseline"/>
              <w:rPr>
                <w:rFonts w:ascii="仿宋" w:hAnsi="仿宋" w:eastAsia="仿宋"/>
                <w:color w:val="auto"/>
                <w:sz w:val="24"/>
              </w:rPr>
            </w:pPr>
            <w:r>
              <w:rPr>
                <w:rFonts w:ascii="仿宋" w:hAnsi="仿宋" w:eastAsia="仿宋"/>
                <w:color w:val="auto"/>
                <w:sz w:val="24"/>
              </w:rPr>
              <w:t>账号：</w:t>
            </w:r>
          </w:p>
        </w:tc>
      </w:tr>
      <w:tr w14:paraId="29B24521">
        <w:tblPrEx>
          <w:tblCellMar>
            <w:top w:w="0" w:type="dxa"/>
            <w:left w:w="108" w:type="dxa"/>
            <w:bottom w:w="0" w:type="dxa"/>
            <w:right w:w="108" w:type="dxa"/>
          </w:tblCellMar>
        </w:tblPrEx>
        <w:trPr>
          <w:trHeight w:val="454" w:hRule="atLeast"/>
        </w:trPr>
        <w:tc>
          <w:tcPr>
            <w:tcW w:w="4785" w:type="dxa"/>
            <w:vAlign w:val="center"/>
          </w:tcPr>
          <w:p w14:paraId="7C712537">
            <w:pPr>
              <w:pStyle w:val="15"/>
              <w:widowControl/>
              <w:kinsoku w:val="0"/>
              <w:autoSpaceDE w:val="0"/>
              <w:autoSpaceDN w:val="0"/>
              <w:adjustRightInd w:val="0"/>
              <w:snapToGrid w:val="0"/>
              <w:spacing w:before="120" w:line="360" w:lineRule="auto"/>
              <w:ind w:firstLine="0" w:firstLineChars="0"/>
              <w:textAlignment w:val="baseline"/>
              <w:rPr>
                <w:rFonts w:ascii="仿宋" w:hAnsi="仿宋" w:eastAsia="仿宋"/>
                <w:color w:val="auto"/>
                <w:sz w:val="24"/>
              </w:rPr>
            </w:pPr>
            <w:r>
              <w:rPr>
                <w:rFonts w:ascii="仿宋" w:hAnsi="仿宋" w:eastAsia="仿宋"/>
                <w:color w:val="auto"/>
                <w:sz w:val="24"/>
              </w:rPr>
              <w:t>电话：</w:t>
            </w:r>
          </w:p>
        </w:tc>
        <w:tc>
          <w:tcPr>
            <w:tcW w:w="4786" w:type="dxa"/>
            <w:vAlign w:val="center"/>
          </w:tcPr>
          <w:p w14:paraId="7AD0445F">
            <w:pPr>
              <w:pStyle w:val="15"/>
              <w:widowControl/>
              <w:kinsoku w:val="0"/>
              <w:autoSpaceDE w:val="0"/>
              <w:autoSpaceDN w:val="0"/>
              <w:adjustRightInd w:val="0"/>
              <w:snapToGrid w:val="0"/>
              <w:spacing w:before="120" w:line="360" w:lineRule="auto"/>
              <w:ind w:firstLine="480"/>
              <w:textAlignment w:val="baseline"/>
              <w:rPr>
                <w:rFonts w:ascii="仿宋" w:hAnsi="仿宋" w:eastAsia="仿宋"/>
                <w:color w:val="auto"/>
                <w:sz w:val="24"/>
              </w:rPr>
            </w:pPr>
            <w:r>
              <w:rPr>
                <w:rFonts w:ascii="仿宋" w:hAnsi="仿宋" w:eastAsia="仿宋"/>
                <w:color w:val="auto"/>
                <w:sz w:val="24"/>
              </w:rPr>
              <w:t>电话：</w:t>
            </w:r>
          </w:p>
        </w:tc>
      </w:tr>
      <w:tr w14:paraId="60318497">
        <w:tblPrEx>
          <w:tblCellMar>
            <w:top w:w="0" w:type="dxa"/>
            <w:left w:w="108" w:type="dxa"/>
            <w:bottom w:w="0" w:type="dxa"/>
            <w:right w:w="108" w:type="dxa"/>
          </w:tblCellMar>
        </w:tblPrEx>
        <w:trPr>
          <w:trHeight w:val="454" w:hRule="atLeast"/>
        </w:trPr>
        <w:tc>
          <w:tcPr>
            <w:tcW w:w="4785" w:type="dxa"/>
            <w:vAlign w:val="center"/>
          </w:tcPr>
          <w:p w14:paraId="43807B12">
            <w:pPr>
              <w:pStyle w:val="15"/>
              <w:widowControl/>
              <w:kinsoku w:val="0"/>
              <w:autoSpaceDE w:val="0"/>
              <w:autoSpaceDN w:val="0"/>
              <w:adjustRightInd w:val="0"/>
              <w:snapToGrid w:val="0"/>
              <w:spacing w:before="120" w:line="360" w:lineRule="auto"/>
              <w:ind w:firstLine="0" w:firstLineChars="0"/>
              <w:textAlignment w:val="baseline"/>
              <w:rPr>
                <w:rFonts w:ascii="仿宋" w:hAnsi="仿宋" w:eastAsia="仿宋"/>
                <w:color w:val="auto"/>
                <w:sz w:val="24"/>
              </w:rPr>
            </w:pPr>
            <w:r>
              <w:rPr>
                <w:rFonts w:ascii="仿宋" w:hAnsi="仿宋" w:eastAsia="仿宋"/>
                <w:color w:val="auto"/>
                <w:sz w:val="24"/>
              </w:rPr>
              <w:t>签约日期：    年   月   日</w:t>
            </w:r>
          </w:p>
        </w:tc>
        <w:tc>
          <w:tcPr>
            <w:tcW w:w="4786" w:type="dxa"/>
            <w:vAlign w:val="center"/>
          </w:tcPr>
          <w:p w14:paraId="2A017316">
            <w:pPr>
              <w:pStyle w:val="15"/>
              <w:widowControl/>
              <w:kinsoku w:val="0"/>
              <w:autoSpaceDE w:val="0"/>
              <w:autoSpaceDN w:val="0"/>
              <w:adjustRightInd w:val="0"/>
              <w:snapToGrid w:val="0"/>
              <w:spacing w:before="120" w:line="360" w:lineRule="auto"/>
              <w:ind w:firstLine="480"/>
              <w:textAlignment w:val="baseline"/>
              <w:rPr>
                <w:rFonts w:ascii="仿宋" w:hAnsi="仿宋" w:eastAsia="仿宋"/>
                <w:color w:val="auto"/>
                <w:sz w:val="24"/>
              </w:rPr>
            </w:pPr>
            <w:r>
              <w:rPr>
                <w:rFonts w:ascii="仿宋" w:hAnsi="仿宋" w:eastAsia="仿宋"/>
                <w:color w:val="auto"/>
                <w:sz w:val="24"/>
              </w:rPr>
              <w:t>签约日期：    年   月   日</w:t>
            </w:r>
          </w:p>
        </w:tc>
      </w:tr>
    </w:tbl>
    <w:p w14:paraId="6FB74C8D">
      <w:pPr>
        <w:spacing w:line="360" w:lineRule="auto"/>
        <w:ind w:firstLine="480" w:firstLineChars="200"/>
        <w:rPr>
          <w:rFonts w:ascii="仿宋" w:hAnsi="仿宋" w:eastAsia="仿宋" w:cs="宋体"/>
          <w:bCs/>
          <w:color w:val="auto"/>
          <w:sz w:val="24"/>
        </w:rPr>
      </w:pPr>
    </w:p>
    <w:bookmarkEnd w:id="214"/>
    <w:p w14:paraId="1BC6DB97">
      <w:pPr>
        <w:spacing w:line="360" w:lineRule="auto"/>
        <w:ind w:firstLine="420"/>
        <w:jc w:val="center"/>
        <w:rPr>
          <w:rFonts w:ascii="仿宋" w:hAnsi="仿宋" w:eastAsia="仿宋"/>
          <w:b/>
          <w:color w:val="auto"/>
          <w:szCs w:val="21"/>
        </w:rPr>
        <w:sectPr>
          <w:headerReference r:id="rId7" w:type="default"/>
          <w:pgSz w:w="11906" w:h="16838"/>
          <w:pgMar w:top="1134" w:right="1134" w:bottom="1134" w:left="1134" w:header="851" w:footer="992" w:gutter="0"/>
          <w:cols w:space="720" w:num="1"/>
          <w:titlePg/>
          <w:docGrid w:linePitch="312" w:charSpace="0"/>
        </w:sectPr>
      </w:pPr>
    </w:p>
    <w:bookmarkEnd w:id="137"/>
    <w:bookmarkEnd w:id="138"/>
    <w:bookmarkEnd w:id="139"/>
    <w:bookmarkEnd w:id="140"/>
    <w:bookmarkEnd w:id="141"/>
    <w:bookmarkEnd w:id="211"/>
    <w:bookmarkEnd w:id="212"/>
    <w:bookmarkEnd w:id="213"/>
    <w:bookmarkEnd w:id="215"/>
    <w:bookmarkEnd w:id="216"/>
    <w:bookmarkEnd w:id="217"/>
    <w:p w14:paraId="255A3DDC">
      <w:pPr>
        <w:spacing w:line="480" w:lineRule="auto"/>
        <w:jc w:val="center"/>
        <w:outlineLvl w:val="0"/>
        <w:rPr>
          <w:rFonts w:ascii="仿宋" w:hAnsi="仿宋" w:eastAsia="仿宋" w:cs="宋体"/>
          <w:b/>
          <w:color w:val="auto"/>
          <w:sz w:val="32"/>
          <w:szCs w:val="32"/>
        </w:rPr>
      </w:pPr>
      <w:bookmarkStart w:id="218" w:name="_Toc232004922"/>
      <w:bookmarkStart w:id="219" w:name="_Toc101690901"/>
      <w:r>
        <w:rPr>
          <w:rFonts w:hint="eastAsia" w:ascii="仿宋" w:hAnsi="仿宋" w:eastAsia="仿宋" w:cs="宋体"/>
          <w:b/>
          <w:color w:val="auto"/>
          <w:sz w:val="32"/>
          <w:szCs w:val="32"/>
        </w:rPr>
        <w:t>第六章 响应文件格式</w:t>
      </w:r>
      <w:bookmarkEnd w:id="218"/>
      <w:bookmarkEnd w:id="219"/>
    </w:p>
    <w:p w14:paraId="3E46777C">
      <w:pPr>
        <w:spacing w:line="312" w:lineRule="auto"/>
        <w:jc w:val="center"/>
        <w:rPr>
          <w:rFonts w:ascii="仿宋" w:hAnsi="仿宋" w:eastAsia="仿宋" w:cs="宋体"/>
          <w:b/>
          <w:color w:val="auto"/>
          <w:sz w:val="28"/>
          <w:szCs w:val="32"/>
        </w:rPr>
      </w:pPr>
      <w:bookmarkStart w:id="220" w:name="_Toc308530185"/>
      <w:bookmarkStart w:id="221" w:name="_Toc308530464"/>
      <w:r>
        <w:rPr>
          <w:rFonts w:hint="eastAsia" w:ascii="仿宋" w:hAnsi="仿宋" w:eastAsia="仿宋" w:cs="宋体"/>
          <w:b/>
          <w:color w:val="auto"/>
          <w:sz w:val="44"/>
          <w:szCs w:val="48"/>
        </w:rPr>
        <w:t>石林彝族自治县自然资源局购买破坏耕地司法鉴定服务</w:t>
      </w:r>
    </w:p>
    <w:p w14:paraId="5A643CCC">
      <w:pPr>
        <w:spacing w:line="312" w:lineRule="auto"/>
        <w:jc w:val="center"/>
        <w:rPr>
          <w:rFonts w:ascii="仿宋" w:hAnsi="仿宋" w:eastAsia="仿宋" w:cs="宋体"/>
          <w:b/>
          <w:color w:val="auto"/>
          <w:sz w:val="32"/>
          <w:szCs w:val="32"/>
        </w:rPr>
      </w:pPr>
    </w:p>
    <w:p w14:paraId="0F04884B">
      <w:pPr>
        <w:spacing w:line="312" w:lineRule="auto"/>
        <w:jc w:val="center"/>
        <w:rPr>
          <w:rFonts w:ascii="仿宋" w:hAnsi="仿宋" w:eastAsia="仿宋" w:cs="宋体"/>
          <w:b/>
          <w:color w:val="auto"/>
          <w:sz w:val="32"/>
          <w:szCs w:val="32"/>
        </w:rPr>
      </w:pPr>
    </w:p>
    <w:p w14:paraId="4E0753F3">
      <w:pPr>
        <w:spacing w:line="312" w:lineRule="auto"/>
        <w:jc w:val="center"/>
        <w:rPr>
          <w:rFonts w:ascii="仿宋" w:hAnsi="仿宋" w:eastAsia="仿宋" w:cs="宋体"/>
          <w:b/>
          <w:color w:val="auto"/>
          <w:sz w:val="32"/>
          <w:szCs w:val="32"/>
        </w:rPr>
      </w:pPr>
    </w:p>
    <w:p w14:paraId="0FA67010">
      <w:pPr>
        <w:spacing w:line="312" w:lineRule="auto"/>
        <w:jc w:val="center"/>
        <w:rPr>
          <w:rFonts w:ascii="仿宋" w:hAnsi="仿宋" w:eastAsia="仿宋" w:cs="宋体"/>
          <w:b/>
          <w:color w:val="auto"/>
          <w:sz w:val="32"/>
          <w:szCs w:val="32"/>
        </w:rPr>
      </w:pPr>
    </w:p>
    <w:p w14:paraId="4C3CE6B0">
      <w:pPr>
        <w:spacing w:line="360" w:lineRule="auto"/>
        <w:jc w:val="center"/>
        <w:rPr>
          <w:rFonts w:ascii="仿宋" w:hAnsi="仿宋" w:eastAsia="仿宋" w:cs="宋体"/>
          <w:b/>
          <w:color w:val="auto"/>
          <w:sz w:val="84"/>
          <w:szCs w:val="84"/>
        </w:rPr>
      </w:pPr>
      <w:r>
        <w:rPr>
          <w:rFonts w:hint="eastAsia" w:ascii="仿宋" w:hAnsi="仿宋" w:eastAsia="仿宋" w:cs="宋体"/>
          <w:b/>
          <w:color w:val="auto"/>
          <w:sz w:val="84"/>
          <w:szCs w:val="84"/>
        </w:rPr>
        <w:t>响应文件</w:t>
      </w:r>
    </w:p>
    <w:p w14:paraId="0032352E">
      <w:pPr>
        <w:spacing w:line="360" w:lineRule="auto"/>
        <w:jc w:val="center"/>
        <w:rPr>
          <w:rFonts w:ascii="仿宋" w:hAnsi="仿宋" w:eastAsia="仿宋" w:cs="宋体"/>
          <w:color w:val="auto"/>
          <w:sz w:val="24"/>
        </w:rPr>
      </w:pPr>
      <w:r>
        <w:rPr>
          <w:rFonts w:hint="eastAsia" w:ascii="仿宋" w:hAnsi="仿宋" w:eastAsia="仿宋" w:cs="宋体"/>
          <w:b/>
          <w:color w:val="auto"/>
          <w:sz w:val="30"/>
          <w:szCs w:val="30"/>
        </w:rPr>
        <w:t>项目编号：同招2026-06-344</w:t>
      </w:r>
    </w:p>
    <w:p w14:paraId="12C16051">
      <w:pPr>
        <w:spacing w:line="360" w:lineRule="auto"/>
        <w:jc w:val="center"/>
        <w:rPr>
          <w:rFonts w:ascii="仿宋" w:hAnsi="仿宋" w:eastAsia="仿宋" w:cs="宋体"/>
          <w:b/>
          <w:color w:val="auto"/>
          <w:sz w:val="32"/>
          <w:szCs w:val="32"/>
        </w:rPr>
      </w:pPr>
    </w:p>
    <w:p w14:paraId="13CB408F">
      <w:pPr>
        <w:spacing w:line="360" w:lineRule="auto"/>
        <w:rPr>
          <w:rFonts w:ascii="仿宋" w:hAnsi="仿宋" w:eastAsia="仿宋" w:cs="宋体"/>
          <w:b/>
          <w:color w:val="auto"/>
          <w:sz w:val="32"/>
          <w:szCs w:val="32"/>
        </w:rPr>
      </w:pPr>
    </w:p>
    <w:p w14:paraId="1741FB28">
      <w:pPr>
        <w:spacing w:line="360" w:lineRule="auto"/>
        <w:rPr>
          <w:rFonts w:ascii="仿宋" w:hAnsi="仿宋" w:eastAsia="仿宋" w:cs="宋体"/>
          <w:b/>
          <w:color w:val="auto"/>
          <w:sz w:val="32"/>
          <w:szCs w:val="32"/>
        </w:rPr>
      </w:pPr>
    </w:p>
    <w:p w14:paraId="12E5AFAC">
      <w:pPr>
        <w:spacing w:line="360" w:lineRule="auto"/>
        <w:jc w:val="center"/>
        <w:rPr>
          <w:rFonts w:ascii="仿宋" w:hAnsi="仿宋" w:eastAsia="仿宋" w:cs="宋体"/>
          <w:b/>
          <w:color w:val="auto"/>
          <w:sz w:val="32"/>
          <w:szCs w:val="32"/>
        </w:rPr>
      </w:pPr>
    </w:p>
    <w:p w14:paraId="278FAB68">
      <w:pPr>
        <w:spacing w:line="360" w:lineRule="auto"/>
        <w:jc w:val="center"/>
        <w:rPr>
          <w:rFonts w:ascii="仿宋" w:hAnsi="仿宋" w:eastAsia="仿宋" w:cs="宋体"/>
          <w:b/>
          <w:color w:val="auto"/>
          <w:sz w:val="32"/>
          <w:szCs w:val="32"/>
        </w:rPr>
      </w:pPr>
    </w:p>
    <w:p w14:paraId="0A36F4BF">
      <w:pPr>
        <w:spacing w:line="360" w:lineRule="auto"/>
        <w:jc w:val="center"/>
        <w:rPr>
          <w:rFonts w:ascii="仿宋" w:hAnsi="仿宋" w:eastAsia="仿宋" w:cs="宋体"/>
          <w:b/>
          <w:color w:val="auto"/>
          <w:sz w:val="32"/>
          <w:szCs w:val="32"/>
        </w:rPr>
      </w:pPr>
    </w:p>
    <w:p w14:paraId="1CADA03C">
      <w:pPr>
        <w:spacing w:line="360" w:lineRule="auto"/>
        <w:jc w:val="center"/>
        <w:rPr>
          <w:rFonts w:ascii="仿宋" w:hAnsi="仿宋" w:eastAsia="仿宋" w:cs="宋体"/>
          <w:b/>
          <w:color w:val="auto"/>
          <w:sz w:val="32"/>
          <w:szCs w:val="32"/>
        </w:rPr>
      </w:pPr>
    </w:p>
    <w:p w14:paraId="17286152">
      <w:pPr>
        <w:spacing w:line="360" w:lineRule="auto"/>
        <w:jc w:val="center"/>
        <w:rPr>
          <w:rFonts w:ascii="仿宋" w:hAnsi="仿宋" w:eastAsia="仿宋" w:cs="宋体"/>
          <w:b/>
          <w:color w:val="auto"/>
          <w:sz w:val="32"/>
          <w:szCs w:val="32"/>
        </w:rPr>
      </w:pPr>
    </w:p>
    <w:p w14:paraId="2E26A43F">
      <w:pPr>
        <w:spacing w:line="360" w:lineRule="auto"/>
        <w:rPr>
          <w:rFonts w:ascii="仿宋" w:hAnsi="仿宋" w:eastAsia="仿宋" w:cs="宋体"/>
          <w:b/>
          <w:color w:val="auto"/>
          <w:sz w:val="32"/>
          <w:szCs w:val="32"/>
        </w:rPr>
      </w:pPr>
      <w:r>
        <w:rPr>
          <w:rFonts w:hint="eastAsia" w:ascii="仿宋" w:hAnsi="仿宋" w:eastAsia="仿宋" w:cs="宋体"/>
          <w:b/>
          <w:color w:val="auto"/>
          <w:sz w:val="32"/>
          <w:szCs w:val="32"/>
        </w:rPr>
        <w:t>供应商：</w:t>
      </w:r>
      <w:r>
        <w:rPr>
          <w:rFonts w:hint="eastAsia" w:ascii="仿宋" w:hAnsi="仿宋" w:eastAsia="仿宋" w:cs="宋体"/>
          <w:b/>
          <w:color w:val="auto"/>
          <w:sz w:val="32"/>
          <w:szCs w:val="32"/>
          <w:u w:val="single"/>
        </w:rPr>
        <w:t xml:space="preserve">                      </w:t>
      </w:r>
      <w:r>
        <w:rPr>
          <w:rFonts w:hint="eastAsia" w:ascii="仿宋" w:hAnsi="仿宋" w:eastAsia="仿宋" w:cs="宋体"/>
          <w:b/>
          <w:color w:val="auto"/>
          <w:sz w:val="32"/>
          <w:szCs w:val="32"/>
        </w:rPr>
        <w:t>（签章）</w:t>
      </w:r>
    </w:p>
    <w:p w14:paraId="63FF44D8">
      <w:pPr>
        <w:spacing w:line="360" w:lineRule="auto"/>
        <w:rPr>
          <w:rFonts w:ascii="仿宋" w:hAnsi="仿宋" w:eastAsia="仿宋" w:cs="宋体"/>
          <w:b/>
          <w:color w:val="auto"/>
          <w:sz w:val="32"/>
          <w:szCs w:val="32"/>
        </w:rPr>
      </w:pPr>
      <w:r>
        <w:rPr>
          <w:rFonts w:ascii="仿宋" w:hAnsi="仿宋" w:eastAsia="仿宋" w:cs="宋体"/>
          <w:b/>
          <w:color w:val="auto"/>
          <w:sz w:val="32"/>
          <w:szCs w:val="32"/>
        </w:rPr>
        <w:t>法定代表人或授权代理人：</w:t>
      </w:r>
      <w:r>
        <w:rPr>
          <w:rFonts w:ascii="仿宋" w:hAnsi="仿宋" w:eastAsia="仿宋" w:cs="宋体"/>
          <w:b/>
          <w:color w:val="auto"/>
          <w:sz w:val="32"/>
          <w:szCs w:val="32"/>
          <w:u w:val="single"/>
        </w:rPr>
        <w:t xml:space="preserve">                （签字或盖章）</w:t>
      </w:r>
    </w:p>
    <w:p w14:paraId="322B0F41">
      <w:pPr>
        <w:spacing w:line="360" w:lineRule="auto"/>
        <w:rPr>
          <w:rFonts w:ascii="仿宋" w:hAnsi="仿宋" w:eastAsia="仿宋" w:cs="宋体"/>
          <w:b/>
          <w:color w:val="auto"/>
          <w:sz w:val="32"/>
          <w:szCs w:val="32"/>
        </w:rPr>
      </w:pPr>
      <w:r>
        <w:rPr>
          <w:rFonts w:hint="eastAsia" w:ascii="仿宋" w:hAnsi="仿宋" w:eastAsia="仿宋" w:cs="宋体"/>
          <w:b/>
          <w:color w:val="auto"/>
          <w:sz w:val="32"/>
          <w:szCs w:val="32"/>
        </w:rPr>
        <w:t>日期：</w:t>
      </w:r>
      <w:r>
        <w:rPr>
          <w:rFonts w:hint="eastAsia" w:ascii="仿宋" w:hAnsi="仿宋" w:eastAsia="仿宋" w:cs="宋体"/>
          <w:b/>
          <w:color w:val="auto"/>
          <w:sz w:val="32"/>
          <w:szCs w:val="32"/>
          <w:u w:val="single"/>
        </w:rPr>
        <w:t xml:space="preserve">       </w:t>
      </w:r>
      <w:r>
        <w:rPr>
          <w:rFonts w:hint="eastAsia" w:ascii="仿宋" w:hAnsi="仿宋" w:eastAsia="仿宋" w:cs="宋体"/>
          <w:b/>
          <w:color w:val="auto"/>
          <w:sz w:val="32"/>
          <w:szCs w:val="32"/>
        </w:rPr>
        <w:t>年</w:t>
      </w:r>
      <w:r>
        <w:rPr>
          <w:rFonts w:hint="eastAsia" w:ascii="仿宋" w:hAnsi="仿宋" w:eastAsia="仿宋" w:cs="宋体"/>
          <w:b/>
          <w:color w:val="auto"/>
          <w:sz w:val="32"/>
          <w:szCs w:val="32"/>
          <w:u w:val="single"/>
        </w:rPr>
        <w:t xml:space="preserve">      </w:t>
      </w:r>
      <w:r>
        <w:rPr>
          <w:rFonts w:hint="eastAsia" w:ascii="仿宋" w:hAnsi="仿宋" w:eastAsia="仿宋" w:cs="宋体"/>
          <w:b/>
          <w:color w:val="auto"/>
          <w:sz w:val="32"/>
          <w:szCs w:val="32"/>
        </w:rPr>
        <w:t>月</w:t>
      </w:r>
      <w:r>
        <w:rPr>
          <w:rFonts w:hint="eastAsia" w:ascii="仿宋" w:hAnsi="仿宋" w:eastAsia="仿宋" w:cs="宋体"/>
          <w:b/>
          <w:color w:val="auto"/>
          <w:sz w:val="32"/>
          <w:szCs w:val="32"/>
          <w:u w:val="single"/>
        </w:rPr>
        <w:t xml:space="preserve">    </w:t>
      </w:r>
      <w:r>
        <w:rPr>
          <w:rFonts w:hint="eastAsia" w:ascii="仿宋" w:hAnsi="仿宋" w:eastAsia="仿宋" w:cs="宋体"/>
          <w:b/>
          <w:color w:val="auto"/>
          <w:sz w:val="32"/>
          <w:szCs w:val="32"/>
        </w:rPr>
        <w:t>日</w:t>
      </w:r>
      <w:bookmarkEnd w:id="220"/>
      <w:bookmarkEnd w:id="221"/>
    </w:p>
    <w:p w14:paraId="0204D776">
      <w:pPr>
        <w:spacing w:line="360" w:lineRule="auto"/>
        <w:jc w:val="center"/>
        <w:outlineLvl w:val="1"/>
        <w:rPr>
          <w:rFonts w:ascii="仿宋" w:hAnsi="仿宋" w:eastAsia="仿宋" w:cs="宋体"/>
          <w:b/>
          <w:color w:val="auto"/>
          <w:sz w:val="28"/>
          <w:szCs w:val="24"/>
        </w:rPr>
      </w:pPr>
      <w:bookmarkStart w:id="222" w:name="_Toc552"/>
      <w:bookmarkStart w:id="223" w:name="_Toc373135643"/>
      <w:bookmarkStart w:id="224" w:name="_Toc317067871"/>
      <w:bookmarkStart w:id="225" w:name="_Toc450312001"/>
      <w:r>
        <w:rPr>
          <w:rFonts w:hint="eastAsia" w:ascii="仿宋" w:hAnsi="仿宋" w:eastAsia="仿宋" w:cs="宋体"/>
          <w:b/>
          <w:color w:val="auto"/>
          <w:sz w:val="28"/>
          <w:szCs w:val="24"/>
        </w:rPr>
        <w:br w:type="page"/>
      </w:r>
      <w:bookmarkStart w:id="226" w:name="_Toc232004923"/>
      <w:r>
        <w:rPr>
          <w:rFonts w:hint="eastAsia" w:ascii="仿宋" w:hAnsi="仿宋" w:eastAsia="仿宋" w:cs="宋体"/>
          <w:b/>
          <w:color w:val="auto"/>
          <w:sz w:val="28"/>
          <w:szCs w:val="24"/>
        </w:rPr>
        <w:t>（一）资格部分格式</w:t>
      </w:r>
      <w:bookmarkEnd w:id="226"/>
    </w:p>
    <w:bookmarkEnd w:id="222"/>
    <w:bookmarkEnd w:id="223"/>
    <w:bookmarkEnd w:id="224"/>
    <w:bookmarkEnd w:id="225"/>
    <w:p w14:paraId="4BE574C7">
      <w:pPr>
        <w:spacing w:line="360" w:lineRule="auto"/>
        <w:jc w:val="center"/>
        <w:outlineLvl w:val="1"/>
        <w:rPr>
          <w:rFonts w:ascii="仿宋" w:hAnsi="仿宋" w:eastAsia="仿宋"/>
          <w:b/>
          <w:color w:val="auto"/>
          <w:sz w:val="30"/>
          <w:szCs w:val="30"/>
        </w:rPr>
      </w:pPr>
      <w:bookmarkStart w:id="227" w:name="_Hlt98835920"/>
      <w:bookmarkEnd w:id="227"/>
      <w:bookmarkStart w:id="228" w:name="_Toc101690914"/>
      <w:bookmarkStart w:id="229" w:name="_Toc37853829"/>
      <w:bookmarkStart w:id="230" w:name="_Toc232004924"/>
      <w:r>
        <w:rPr>
          <w:rFonts w:hint="eastAsia" w:ascii="仿宋" w:hAnsi="仿宋" w:eastAsia="仿宋"/>
          <w:b/>
          <w:color w:val="auto"/>
          <w:sz w:val="30"/>
          <w:szCs w:val="30"/>
        </w:rPr>
        <w:t>一、</w:t>
      </w:r>
      <w:bookmarkEnd w:id="228"/>
      <w:bookmarkEnd w:id="229"/>
      <w:bookmarkStart w:id="231" w:name="_Toc153180559"/>
      <w:bookmarkStart w:id="232" w:name="_Toc153441363"/>
      <w:bookmarkStart w:id="233" w:name="_Toc148624770"/>
      <w:r>
        <w:rPr>
          <w:rFonts w:hint="eastAsia" w:ascii="仿宋" w:hAnsi="仿宋" w:eastAsia="仿宋"/>
          <w:b/>
          <w:color w:val="auto"/>
          <w:sz w:val="30"/>
          <w:szCs w:val="30"/>
        </w:rPr>
        <w:t>符合《中华人民共和国政府采购法》第二十二条的规定</w:t>
      </w:r>
      <w:bookmarkEnd w:id="230"/>
      <w:bookmarkEnd w:id="231"/>
      <w:bookmarkEnd w:id="232"/>
      <w:bookmarkEnd w:id="233"/>
    </w:p>
    <w:p w14:paraId="5293EE31">
      <w:pPr>
        <w:spacing w:line="360" w:lineRule="auto"/>
        <w:ind w:firstLine="482" w:firstLineChars="200"/>
        <w:rPr>
          <w:rFonts w:ascii="仿宋" w:hAnsi="仿宋" w:eastAsia="仿宋" w:cs="宋体"/>
          <w:b/>
          <w:bCs/>
          <w:color w:val="auto"/>
          <w:sz w:val="24"/>
          <w:szCs w:val="24"/>
        </w:rPr>
      </w:pPr>
      <w:r>
        <w:rPr>
          <w:rFonts w:hint="eastAsia" w:ascii="仿宋" w:hAnsi="仿宋" w:eastAsia="仿宋" w:cs="宋体"/>
          <w:b/>
          <w:bCs/>
          <w:color w:val="auto"/>
          <w:sz w:val="24"/>
          <w:szCs w:val="24"/>
        </w:rPr>
        <w:t>（1）具有独立承担民事责任的能力；</w:t>
      </w:r>
    </w:p>
    <w:p w14:paraId="4F3927F0">
      <w:pPr>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提供企业有效的法人营业执照或社团组织法人营业执照或事业单位法人证书或自然人证明材料。</w:t>
      </w:r>
    </w:p>
    <w:p w14:paraId="4885C592">
      <w:pPr>
        <w:spacing w:line="360" w:lineRule="auto"/>
        <w:ind w:firstLine="480" w:firstLineChars="200"/>
        <w:rPr>
          <w:rFonts w:ascii="仿宋" w:hAnsi="仿宋" w:eastAsia="仿宋" w:cs="宋体"/>
          <w:color w:val="auto"/>
          <w:sz w:val="24"/>
          <w:szCs w:val="24"/>
        </w:rPr>
      </w:pPr>
    </w:p>
    <w:p w14:paraId="472E4A33">
      <w:pPr>
        <w:spacing w:line="360" w:lineRule="auto"/>
        <w:ind w:firstLine="480" w:firstLineChars="200"/>
        <w:rPr>
          <w:rFonts w:ascii="仿宋" w:hAnsi="仿宋" w:eastAsia="仿宋" w:cs="宋体"/>
          <w:color w:val="auto"/>
          <w:sz w:val="24"/>
          <w:szCs w:val="24"/>
        </w:rPr>
      </w:pPr>
    </w:p>
    <w:p w14:paraId="0207A418">
      <w:pPr>
        <w:spacing w:line="360" w:lineRule="auto"/>
        <w:ind w:firstLine="480" w:firstLineChars="200"/>
        <w:rPr>
          <w:rFonts w:ascii="仿宋" w:hAnsi="仿宋" w:eastAsia="仿宋" w:cs="宋体"/>
          <w:color w:val="auto"/>
          <w:sz w:val="24"/>
          <w:szCs w:val="24"/>
        </w:rPr>
      </w:pPr>
    </w:p>
    <w:p w14:paraId="5D760911">
      <w:pPr>
        <w:spacing w:line="360" w:lineRule="auto"/>
        <w:ind w:firstLine="482" w:firstLineChars="200"/>
        <w:rPr>
          <w:rFonts w:ascii="仿宋" w:hAnsi="仿宋" w:eastAsia="仿宋" w:cs="宋体"/>
          <w:b/>
          <w:bCs/>
          <w:color w:val="auto"/>
          <w:sz w:val="24"/>
          <w:szCs w:val="24"/>
        </w:rPr>
      </w:pPr>
      <w:r>
        <w:rPr>
          <w:rFonts w:hint="eastAsia" w:ascii="仿宋" w:hAnsi="仿宋" w:eastAsia="仿宋" w:cs="宋体"/>
          <w:b/>
          <w:bCs/>
          <w:color w:val="auto"/>
          <w:sz w:val="24"/>
          <w:szCs w:val="24"/>
        </w:rPr>
        <w:t>（2）具有良好的商业信誉和健全的财务会计制度；</w:t>
      </w:r>
    </w:p>
    <w:p w14:paraId="3EA52FA7">
      <w:pPr>
        <w:spacing w:line="360" w:lineRule="auto"/>
        <w:ind w:firstLine="480" w:firstLineChars="200"/>
        <w:rPr>
          <w:rFonts w:ascii="仿宋" w:hAnsi="仿宋" w:eastAsia="仿宋" w:cs="宋体"/>
          <w:color w:val="auto"/>
          <w:sz w:val="24"/>
          <w:szCs w:val="24"/>
        </w:rPr>
      </w:pPr>
      <w:r>
        <w:rPr>
          <w:rFonts w:hint="eastAsia" w:ascii="仿宋" w:hAnsi="仿宋" w:eastAsia="仿宋"/>
          <w:color w:val="auto"/>
          <w:sz w:val="24"/>
          <w:szCs w:val="24"/>
        </w:rPr>
        <w:t>满足下列任一要求：①提供2024年或2025年经第三方审计的审计报告及财务报表（包括资产负债表、利润表或损益表、现金流量表），成立不满1年的，提供自成立至今财务报表（包括资产负债表、利润表或损益表、现金流量表）；②提供响应文件提交截止时间前三个月内基本开户银行出具的资信证明文件（加盖公章）；③非营利性单位或者社会团体或者其他机关事业单位以符合财务会计制度为准或者提供承诺函；④供应商为自然人的提供承诺函（格式自拟）。</w:t>
      </w:r>
      <w:r>
        <w:rPr>
          <w:rFonts w:ascii="仿宋" w:hAnsi="仿宋" w:eastAsia="仿宋" w:cs="宋体"/>
          <w:color w:val="auto"/>
          <w:sz w:val="24"/>
          <w:szCs w:val="24"/>
        </w:rPr>
        <w:t xml:space="preserve"> </w:t>
      </w:r>
    </w:p>
    <w:p w14:paraId="044E1FF9">
      <w:pPr>
        <w:spacing w:line="360" w:lineRule="auto"/>
        <w:ind w:firstLine="480" w:firstLineChars="200"/>
        <w:rPr>
          <w:rFonts w:ascii="仿宋" w:hAnsi="仿宋" w:eastAsia="仿宋" w:cs="宋体"/>
          <w:color w:val="auto"/>
          <w:sz w:val="24"/>
          <w:szCs w:val="24"/>
        </w:rPr>
      </w:pPr>
    </w:p>
    <w:p w14:paraId="1C1CD3F2">
      <w:pPr>
        <w:spacing w:line="360" w:lineRule="auto"/>
        <w:ind w:firstLine="480" w:firstLineChars="200"/>
        <w:rPr>
          <w:rFonts w:ascii="仿宋" w:hAnsi="仿宋" w:eastAsia="仿宋" w:cs="宋体"/>
          <w:color w:val="auto"/>
          <w:sz w:val="24"/>
          <w:szCs w:val="24"/>
        </w:rPr>
      </w:pPr>
    </w:p>
    <w:p w14:paraId="7DAA1824">
      <w:pPr>
        <w:spacing w:line="360" w:lineRule="auto"/>
        <w:ind w:firstLine="480" w:firstLineChars="200"/>
        <w:rPr>
          <w:rFonts w:ascii="仿宋" w:hAnsi="仿宋" w:eastAsia="仿宋" w:cs="宋体"/>
          <w:color w:val="auto"/>
          <w:sz w:val="24"/>
          <w:szCs w:val="24"/>
        </w:rPr>
      </w:pPr>
    </w:p>
    <w:p w14:paraId="0D29BDB9">
      <w:pPr>
        <w:spacing w:line="360" w:lineRule="auto"/>
        <w:ind w:firstLine="482" w:firstLineChars="200"/>
        <w:rPr>
          <w:rFonts w:ascii="仿宋" w:hAnsi="仿宋" w:eastAsia="仿宋" w:cs="宋体"/>
          <w:b/>
          <w:bCs/>
          <w:color w:val="auto"/>
          <w:sz w:val="24"/>
          <w:szCs w:val="24"/>
        </w:rPr>
      </w:pPr>
      <w:r>
        <w:rPr>
          <w:rFonts w:hint="eastAsia" w:ascii="仿宋" w:hAnsi="仿宋" w:eastAsia="仿宋" w:cs="宋体"/>
          <w:b/>
          <w:bCs/>
          <w:color w:val="auto"/>
          <w:sz w:val="24"/>
          <w:szCs w:val="24"/>
        </w:rPr>
        <w:t>（3）具有履行合同所必需的设备和专业技术能力；</w:t>
      </w:r>
    </w:p>
    <w:p w14:paraId="7D8B9DE1">
      <w:pPr>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提供具备履行合同所必需的设备和专业技术能力的证明材料或提供书面承诺（加盖供应商公章）。</w:t>
      </w:r>
    </w:p>
    <w:p w14:paraId="7CCE5899">
      <w:pPr>
        <w:spacing w:line="360" w:lineRule="auto"/>
        <w:ind w:firstLine="480" w:firstLineChars="200"/>
        <w:rPr>
          <w:rFonts w:ascii="仿宋" w:hAnsi="仿宋" w:eastAsia="仿宋" w:cs="宋体"/>
          <w:color w:val="auto"/>
          <w:sz w:val="24"/>
          <w:szCs w:val="24"/>
        </w:rPr>
      </w:pPr>
    </w:p>
    <w:p w14:paraId="3EB17B9A">
      <w:pPr>
        <w:spacing w:line="360" w:lineRule="auto"/>
        <w:ind w:firstLine="480" w:firstLineChars="200"/>
        <w:rPr>
          <w:rFonts w:ascii="仿宋" w:hAnsi="仿宋" w:eastAsia="仿宋" w:cs="宋体"/>
          <w:color w:val="auto"/>
          <w:sz w:val="24"/>
          <w:szCs w:val="24"/>
        </w:rPr>
      </w:pPr>
    </w:p>
    <w:p w14:paraId="45903C5D">
      <w:pPr>
        <w:spacing w:line="360" w:lineRule="auto"/>
        <w:ind w:firstLine="480" w:firstLineChars="200"/>
        <w:rPr>
          <w:rFonts w:ascii="仿宋" w:hAnsi="仿宋" w:eastAsia="仿宋" w:cs="宋体"/>
          <w:color w:val="auto"/>
          <w:sz w:val="24"/>
          <w:szCs w:val="24"/>
        </w:rPr>
      </w:pPr>
    </w:p>
    <w:p w14:paraId="5973638A">
      <w:pPr>
        <w:spacing w:line="360" w:lineRule="auto"/>
        <w:ind w:firstLine="480" w:firstLineChars="200"/>
        <w:rPr>
          <w:rFonts w:ascii="仿宋" w:hAnsi="仿宋" w:eastAsia="仿宋" w:cs="宋体"/>
          <w:color w:val="auto"/>
          <w:sz w:val="24"/>
          <w:szCs w:val="24"/>
        </w:rPr>
      </w:pPr>
    </w:p>
    <w:p w14:paraId="019A8E23">
      <w:pPr>
        <w:spacing w:line="360" w:lineRule="auto"/>
        <w:ind w:firstLine="480" w:firstLineChars="200"/>
        <w:rPr>
          <w:rFonts w:ascii="仿宋" w:hAnsi="仿宋" w:eastAsia="仿宋" w:cs="宋体"/>
          <w:color w:val="auto"/>
          <w:sz w:val="24"/>
          <w:szCs w:val="24"/>
        </w:rPr>
      </w:pPr>
    </w:p>
    <w:p w14:paraId="2EB26C50">
      <w:pPr>
        <w:spacing w:line="360" w:lineRule="auto"/>
        <w:ind w:firstLine="480" w:firstLineChars="200"/>
        <w:rPr>
          <w:rFonts w:ascii="仿宋" w:hAnsi="仿宋" w:eastAsia="仿宋" w:cs="宋体"/>
          <w:color w:val="auto"/>
          <w:sz w:val="24"/>
          <w:szCs w:val="24"/>
        </w:rPr>
      </w:pPr>
    </w:p>
    <w:p w14:paraId="1067E827">
      <w:pPr>
        <w:spacing w:line="360" w:lineRule="auto"/>
        <w:ind w:firstLine="480" w:firstLineChars="200"/>
        <w:rPr>
          <w:rFonts w:ascii="仿宋" w:hAnsi="仿宋" w:eastAsia="仿宋" w:cs="宋体"/>
          <w:color w:val="auto"/>
          <w:sz w:val="24"/>
          <w:szCs w:val="24"/>
        </w:rPr>
      </w:pPr>
    </w:p>
    <w:p w14:paraId="49E0111E">
      <w:pPr>
        <w:spacing w:line="360" w:lineRule="auto"/>
        <w:ind w:firstLine="480" w:firstLineChars="200"/>
        <w:rPr>
          <w:rFonts w:ascii="仿宋" w:hAnsi="仿宋" w:eastAsia="仿宋" w:cs="宋体"/>
          <w:color w:val="auto"/>
          <w:sz w:val="24"/>
          <w:szCs w:val="24"/>
        </w:rPr>
      </w:pPr>
    </w:p>
    <w:p w14:paraId="640442D2">
      <w:pPr>
        <w:spacing w:line="360" w:lineRule="auto"/>
        <w:ind w:firstLine="480" w:firstLineChars="200"/>
        <w:rPr>
          <w:rFonts w:ascii="仿宋" w:hAnsi="仿宋" w:eastAsia="仿宋" w:cs="宋体"/>
          <w:color w:val="auto"/>
          <w:sz w:val="24"/>
          <w:szCs w:val="24"/>
        </w:rPr>
      </w:pPr>
    </w:p>
    <w:p w14:paraId="61C5900E">
      <w:pPr>
        <w:spacing w:line="360" w:lineRule="auto"/>
        <w:ind w:firstLine="482" w:firstLineChars="200"/>
        <w:rPr>
          <w:rFonts w:ascii="仿宋" w:hAnsi="仿宋" w:eastAsia="仿宋" w:cs="宋体"/>
          <w:b/>
          <w:bCs/>
          <w:color w:val="auto"/>
          <w:sz w:val="24"/>
          <w:szCs w:val="24"/>
        </w:rPr>
      </w:pPr>
      <w:r>
        <w:rPr>
          <w:rFonts w:hint="eastAsia" w:ascii="仿宋" w:hAnsi="仿宋" w:eastAsia="仿宋" w:cs="宋体"/>
          <w:b/>
          <w:bCs/>
          <w:color w:val="auto"/>
          <w:sz w:val="24"/>
          <w:szCs w:val="24"/>
        </w:rPr>
        <w:t>（4）有依法缴纳税收和社会保障资金的良好记录；</w:t>
      </w:r>
    </w:p>
    <w:p w14:paraId="03FE636E">
      <w:pPr>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①提供供应商缴税所属时间在2025年01月至本项目提交响应文件截止时间前任意1个月的税务局税收通用缴款书或银行电子缴税（费）凭证或税务局出具纳税情况的相关证明；依法免税的，应提供依法免税的相关证明文件（加盖供应商公章）；至响应文件提交截止时间止成立不足1个月的供应商可提供相关情况说明（加盖供应商公章）。</w:t>
      </w:r>
    </w:p>
    <w:p w14:paraId="790175D1">
      <w:pPr>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②提供供应商缴费所属时间在2025年01月至本项目提交响应文件截止时间前任意1个月的社会保险费缴款书或银行电子缴税（费）凭证或社保管理部门出具的有效的缴款证明，依法免缴的，应提供依法免缴的相关证明文件（加盖供应商公章），至响应文件提交截止时间止成立不足1个月的供应商可提供相关情况说明（加盖供应商公章）。</w:t>
      </w:r>
    </w:p>
    <w:p w14:paraId="768AAE49">
      <w:pPr>
        <w:spacing w:line="360" w:lineRule="auto"/>
        <w:ind w:firstLine="480" w:firstLineChars="200"/>
        <w:rPr>
          <w:rFonts w:ascii="仿宋" w:hAnsi="仿宋" w:eastAsia="仿宋" w:cs="宋体"/>
          <w:color w:val="auto"/>
          <w:sz w:val="24"/>
          <w:szCs w:val="24"/>
        </w:rPr>
      </w:pPr>
      <w:bookmarkStart w:id="234" w:name="_Toc7132"/>
      <w:bookmarkStart w:id="235" w:name="_Toc373135660"/>
      <w:bookmarkStart w:id="236" w:name="_Toc432873691"/>
      <w:bookmarkStart w:id="237" w:name="_Toc373135644"/>
    </w:p>
    <w:p w14:paraId="3441C992">
      <w:pPr>
        <w:spacing w:line="360" w:lineRule="auto"/>
        <w:ind w:firstLine="480" w:firstLineChars="200"/>
        <w:rPr>
          <w:rFonts w:ascii="仿宋" w:hAnsi="仿宋" w:eastAsia="仿宋" w:cs="宋体"/>
          <w:color w:val="auto"/>
          <w:sz w:val="24"/>
          <w:szCs w:val="24"/>
        </w:rPr>
      </w:pPr>
    </w:p>
    <w:p w14:paraId="15634D7A">
      <w:pPr>
        <w:spacing w:line="360" w:lineRule="auto"/>
        <w:ind w:firstLine="480" w:firstLineChars="200"/>
        <w:rPr>
          <w:rFonts w:ascii="仿宋" w:hAnsi="仿宋" w:eastAsia="仿宋" w:cs="宋体"/>
          <w:color w:val="auto"/>
          <w:sz w:val="24"/>
          <w:szCs w:val="24"/>
        </w:rPr>
      </w:pPr>
    </w:p>
    <w:p w14:paraId="61939676">
      <w:pPr>
        <w:spacing w:line="360" w:lineRule="auto"/>
        <w:ind w:firstLine="482" w:firstLineChars="200"/>
        <w:rPr>
          <w:rFonts w:ascii="仿宋" w:hAnsi="仿宋" w:eastAsia="仿宋" w:cs="宋体"/>
          <w:b/>
          <w:bCs/>
          <w:color w:val="auto"/>
          <w:sz w:val="24"/>
          <w:szCs w:val="24"/>
        </w:rPr>
      </w:pPr>
      <w:r>
        <w:rPr>
          <w:rFonts w:hint="eastAsia" w:ascii="仿宋" w:hAnsi="仿宋" w:eastAsia="仿宋" w:cs="宋体"/>
          <w:b/>
          <w:bCs/>
          <w:color w:val="auto"/>
          <w:sz w:val="24"/>
          <w:szCs w:val="24"/>
        </w:rPr>
        <w:t>（5）参加政府采购活动前三年内，在经营活动中没有重大违法记录；</w:t>
      </w:r>
    </w:p>
    <w:p w14:paraId="5E3B6867">
      <w:pPr>
        <w:spacing w:line="360" w:lineRule="auto"/>
        <w:ind w:firstLine="482" w:firstLineChars="201"/>
        <w:rPr>
          <w:rFonts w:ascii="仿宋" w:hAnsi="仿宋" w:eastAsia="仿宋"/>
          <w:color w:val="auto"/>
          <w:sz w:val="24"/>
          <w:szCs w:val="24"/>
        </w:rPr>
      </w:pPr>
      <w:r>
        <w:rPr>
          <w:rFonts w:hint="eastAsia" w:ascii="仿宋" w:hAnsi="仿宋" w:eastAsia="仿宋" w:cs="宋体"/>
          <w:color w:val="auto"/>
          <w:sz w:val="24"/>
          <w:szCs w:val="24"/>
        </w:rPr>
        <w:t>提供供应商参加政府采购活动前三年内，在经营活动中没有重大违法记录，重大违法记录，是指供应商因违法经营受到刑事处罚或者责令停产停业、吊销许可证或者执照、较大数额罚款（较大数额罚款是指200万元以上罚款）等行政处罚的书面声明（加盖供应商公章）。</w:t>
      </w:r>
    </w:p>
    <w:p w14:paraId="14DF1C61">
      <w:pPr>
        <w:spacing w:line="360" w:lineRule="auto"/>
        <w:ind w:firstLine="480" w:firstLineChars="200"/>
        <w:rPr>
          <w:rFonts w:ascii="仿宋" w:hAnsi="仿宋" w:eastAsia="仿宋" w:cs="宋体"/>
          <w:color w:val="auto"/>
          <w:sz w:val="24"/>
          <w:szCs w:val="24"/>
        </w:rPr>
      </w:pPr>
    </w:p>
    <w:p w14:paraId="4FB54D0A">
      <w:pPr>
        <w:spacing w:line="360" w:lineRule="auto"/>
        <w:ind w:firstLine="480" w:firstLineChars="200"/>
        <w:rPr>
          <w:rFonts w:ascii="仿宋" w:hAnsi="仿宋" w:eastAsia="仿宋" w:cs="宋体"/>
          <w:color w:val="auto"/>
          <w:sz w:val="24"/>
          <w:szCs w:val="24"/>
        </w:rPr>
      </w:pPr>
    </w:p>
    <w:p w14:paraId="659EDF14">
      <w:pPr>
        <w:spacing w:line="360" w:lineRule="auto"/>
        <w:ind w:firstLine="482" w:firstLineChars="200"/>
        <w:rPr>
          <w:rFonts w:ascii="仿宋" w:hAnsi="仿宋" w:eastAsia="仿宋" w:cs="宋体"/>
          <w:b/>
          <w:bCs/>
          <w:color w:val="auto"/>
          <w:sz w:val="24"/>
          <w:szCs w:val="24"/>
        </w:rPr>
      </w:pPr>
      <w:r>
        <w:rPr>
          <w:rFonts w:hint="eastAsia" w:ascii="仿宋" w:hAnsi="仿宋" w:eastAsia="仿宋" w:cs="宋体"/>
          <w:b/>
          <w:bCs/>
          <w:color w:val="auto"/>
          <w:sz w:val="24"/>
          <w:szCs w:val="24"/>
        </w:rPr>
        <w:t xml:space="preserve">（6）法律、行政法规规定的其他条件。 </w:t>
      </w:r>
    </w:p>
    <w:p w14:paraId="1FF9A397">
      <w:pPr>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①</w:t>
      </w:r>
      <w:r>
        <w:rPr>
          <w:rFonts w:hint="eastAsia" w:ascii="仿宋" w:hAnsi="仿宋" w:eastAsia="仿宋"/>
          <w:color w:val="auto"/>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供应商提供承诺函，加盖供应商公章）。</w:t>
      </w:r>
    </w:p>
    <w:p w14:paraId="6ABA8217">
      <w:pPr>
        <w:spacing w:line="360" w:lineRule="auto"/>
        <w:ind w:firstLine="480"/>
        <w:rPr>
          <w:rFonts w:ascii="仿宋" w:hAnsi="仿宋" w:eastAsia="仿宋" w:cs="宋体"/>
          <w:color w:val="auto"/>
          <w:sz w:val="24"/>
          <w:szCs w:val="24"/>
        </w:rPr>
      </w:pPr>
      <w:r>
        <w:rPr>
          <w:rFonts w:hint="eastAsia" w:ascii="仿宋" w:hAnsi="仿宋" w:eastAsia="仿宋" w:cs="宋体"/>
          <w:color w:val="auto"/>
          <w:sz w:val="24"/>
          <w:szCs w:val="24"/>
        </w:rPr>
        <w:t>②供应商未被“信用中国”（https://www.creditchina.gov.cn/）列为“重大税收违法失信主体名单”；未被中国执行信息公开网（https://zxgk.court.gov.cn/shixin/）列为“失信被执行人”；未被中国政府采购网（https://www.ccgp.gov.cn/）列为“政府采购严重违法失信行为记录名单”。（查询结果以采购人、采购代理机构查询结果为准，采购人或采购代理机构将在响应文件提交截止时间后查询上述网站信用信息，查询结果作为证据留存）。</w:t>
      </w:r>
    </w:p>
    <w:p w14:paraId="7B756834">
      <w:pPr>
        <w:pStyle w:val="31"/>
        <w:snapToGrid w:val="0"/>
        <w:spacing w:line="360" w:lineRule="auto"/>
        <w:ind w:firstLine="720" w:firstLineChars="300"/>
        <w:rPr>
          <w:rFonts w:ascii="仿宋" w:hAnsi="仿宋" w:eastAsia="仿宋" w:cs="宋体"/>
          <w:color w:val="auto"/>
          <w:sz w:val="24"/>
          <w:szCs w:val="24"/>
        </w:rPr>
      </w:pPr>
    </w:p>
    <w:p w14:paraId="1620397C">
      <w:pPr>
        <w:spacing w:line="360" w:lineRule="auto"/>
        <w:jc w:val="center"/>
        <w:outlineLvl w:val="1"/>
        <w:rPr>
          <w:rFonts w:ascii="仿宋" w:hAnsi="仿宋" w:eastAsia="仿宋"/>
          <w:b/>
          <w:color w:val="auto"/>
          <w:sz w:val="30"/>
          <w:szCs w:val="30"/>
        </w:rPr>
      </w:pPr>
      <w:bookmarkStart w:id="238" w:name="_Toc232004925"/>
      <w:r>
        <w:rPr>
          <w:rFonts w:hint="eastAsia" w:ascii="仿宋" w:hAnsi="仿宋" w:eastAsia="仿宋"/>
          <w:b/>
          <w:color w:val="auto"/>
          <w:sz w:val="30"/>
          <w:szCs w:val="30"/>
        </w:rPr>
        <w:t>二、资格证明材料</w:t>
      </w:r>
      <w:bookmarkEnd w:id="238"/>
    </w:p>
    <w:p w14:paraId="215CF5A8">
      <w:pPr>
        <w:pStyle w:val="31"/>
        <w:snapToGrid w:val="0"/>
        <w:spacing w:line="360" w:lineRule="auto"/>
        <w:ind w:firstLine="720" w:firstLineChars="300"/>
        <w:rPr>
          <w:rFonts w:ascii="仿宋" w:hAnsi="仿宋" w:eastAsia="仿宋" w:cs="宋体"/>
          <w:color w:val="auto"/>
          <w:sz w:val="24"/>
          <w:szCs w:val="24"/>
        </w:rPr>
      </w:pPr>
      <w:r>
        <w:rPr>
          <w:rFonts w:hint="eastAsia" w:ascii="仿宋" w:hAnsi="仿宋" w:eastAsia="仿宋" w:cs="宋体"/>
          <w:color w:val="auto"/>
          <w:sz w:val="24"/>
          <w:szCs w:val="24"/>
        </w:rPr>
        <w:t>提供有效的《司法鉴定许可证》复印件。</w:t>
      </w:r>
    </w:p>
    <w:p w14:paraId="3EDBBDA8">
      <w:pPr>
        <w:pStyle w:val="31"/>
        <w:snapToGrid w:val="0"/>
        <w:spacing w:line="360" w:lineRule="auto"/>
        <w:ind w:firstLine="720" w:firstLineChars="300"/>
        <w:rPr>
          <w:rFonts w:ascii="仿宋" w:hAnsi="仿宋" w:eastAsia="仿宋" w:cs="宋体"/>
          <w:color w:val="auto"/>
          <w:sz w:val="24"/>
          <w:szCs w:val="24"/>
        </w:rPr>
      </w:pPr>
    </w:p>
    <w:p w14:paraId="0F434521">
      <w:pPr>
        <w:pStyle w:val="31"/>
        <w:snapToGrid w:val="0"/>
        <w:spacing w:line="360" w:lineRule="auto"/>
        <w:ind w:firstLine="720" w:firstLineChars="300"/>
        <w:rPr>
          <w:rFonts w:ascii="仿宋" w:hAnsi="仿宋" w:eastAsia="仿宋" w:cs="宋体"/>
          <w:color w:val="auto"/>
          <w:sz w:val="24"/>
          <w:szCs w:val="24"/>
        </w:rPr>
      </w:pPr>
    </w:p>
    <w:p w14:paraId="0B9E456C">
      <w:pPr>
        <w:pStyle w:val="31"/>
        <w:snapToGrid w:val="0"/>
        <w:spacing w:line="360" w:lineRule="auto"/>
        <w:ind w:firstLine="720" w:firstLineChars="300"/>
        <w:rPr>
          <w:rFonts w:ascii="仿宋" w:hAnsi="仿宋" w:eastAsia="仿宋" w:cs="宋体"/>
          <w:color w:val="auto"/>
          <w:sz w:val="24"/>
          <w:szCs w:val="24"/>
        </w:rPr>
      </w:pPr>
    </w:p>
    <w:p w14:paraId="12381CAE">
      <w:pPr>
        <w:pStyle w:val="31"/>
        <w:snapToGrid w:val="0"/>
        <w:spacing w:line="360" w:lineRule="auto"/>
        <w:ind w:firstLine="720" w:firstLineChars="300"/>
        <w:rPr>
          <w:rFonts w:ascii="仿宋" w:hAnsi="仿宋" w:eastAsia="仿宋" w:cs="宋体"/>
          <w:color w:val="auto"/>
          <w:sz w:val="24"/>
          <w:szCs w:val="24"/>
        </w:rPr>
      </w:pPr>
    </w:p>
    <w:p w14:paraId="64B2D912">
      <w:pPr>
        <w:pStyle w:val="31"/>
        <w:snapToGrid w:val="0"/>
        <w:spacing w:line="360" w:lineRule="auto"/>
        <w:ind w:firstLine="720" w:firstLineChars="300"/>
        <w:rPr>
          <w:rFonts w:ascii="仿宋" w:hAnsi="仿宋" w:eastAsia="仿宋" w:cs="宋体"/>
          <w:color w:val="auto"/>
          <w:sz w:val="24"/>
          <w:szCs w:val="24"/>
        </w:rPr>
      </w:pPr>
    </w:p>
    <w:p w14:paraId="41EA53A7">
      <w:pPr>
        <w:pStyle w:val="31"/>
        <w:snapToGrid w:val="0"/>
        <w:spacing w:line="360" w:lineRule="auto"/>
        <w:ind w:firstLine="720" w:firstLineChars="300"/>
        <w:rPr>
          <w:rFonts w:ascii="仿宋" w:hAnsi="仿宋" w:eastAsia="仿宋" w:cs="宋体"/>
          <w:color w:val="auto"/>
          <w:sz w:val="24"/>
          <w:szCs w:val="24"/>
        </w:rPr>
      </w:pPr>
    </w:p>
    <w:p w14:paraId="77DDCC87">
      <w:pPr>
        <w:pStyle w:val="31"/>
        <w:snapToGrid w:val="0"/>
        <w:spacing w:line="360" w:lineRule="auto"/>
        <w:ind w:firstLine="720" w:firstLineChars="300"/>
        <w:rPr>
          <w:rFonts w:ascii="仿宋" w:hAnsi="仿宋" w:eastAsia="仿宋" w:cs="宋体"/>
          <w:color w:val="auto"/>
          <w:sz w:val="24"/>
          <w:szCs w:val="24"/>
        </w:rPr>
      </w:pPr>
    </w:p>
    <w:p w14:paraId="6E46E3FE">
      <w:pPr>
        <w:pageBreakBefore/>
        <w:spacing w:line="360" w:lineRule="auto"/>
        <w:jc w:val="center"/>
        <w:outlineLvl w:val="1"/>
        <w:rPr>
          <w:rFonts w:ascii="仿宋" w:hAnsi="仿宋" w:eastAsia="仿宋" w:cs="宋体"/>
          <w:b/>
          <w:color w:val="auto"/>
          <w:sz w:val="30"/>
          <w:szCs w:val="30"/>
        </w:rPr>
      </w:pPr>
      <w:bookmarkStart w:id="239" w:name="_Toc232004926"/>
      <w:r>
        <w:rPr>
          <w:rFonts w:hint="eastAsia" w:ascii="仿宋" w:hAnsi="仿宋" w:eastAsia="仿宋" w:cs="宋体"/>
          <w:b/>
          <w:color w:val="auto"/>
          <w:sz w:val="30"/>
          <w:szCs w:val="30"/>
        </w:rPr>
        <w:t>三、中小企业声明函（服务）</w:t>
      </w:r>
      <w:bookmarkEnd w:id="239"/>
    </w:p>
    <w:p w14:paraId="5F7C7958">
      <w:pPr>
        <w:spacing w:line="360" w:lineRule="auto"/>
        <w:ind w:firstLine="504" w:firstLineChars="200"/>
        <w:rPr>
          <w:rFonts w:ascii="仿宋" w:hAnsi="仿宋" w:eastAsia="仿宋"/>
          <w:color w:val="auto"/>
          <w:spacing w:val="6"/>
          <w:sz w:val="24"/>
          <w:szCs w:val="24"/>
        </w:rPr>
      </w:pPr>
      <w:r>
        <w:rPr>
          <w:rFonts w:hint="eastAsia" w:ascii="仿宋" w:hAnsi="仿宋" w:eastAsia="仿宋"/>
          <w:color w:val="auto"/>
          <w:spacing w:val="6"/>
          <w:sz w:val="24"/>
          <w:szCs w:val="24"/>
        </w:rPr>
        <w:t>本公司郑重声明，根据《政府采购促进中小企业发展管理办法》（财库[2020]46号）的规定，本公司参加</w:t>
      </w:r>
      <w:r>
        <w:rPr>
          <w:rFonts w:hint="eastAsia" w:ascii="仿宋" w:hAnsi="仿宋" w:eastAsia="仿宋"/>
          <w:color w:val="auto"/>
          <w:spacing w:val="6"/>
          <w:sz w:val="24"/>
          <w:szCs w:val="24"/>
          <w:u w:val="single"/>
        </w:rPr>
        <w:t>石林彝族自治县自然资源局购买破坏耕地司法鉴定服务（项目名称）</w:t>
      </w:r>
      <w:r>
        <w:rPr>
          <w:rFonts w:hint="eastAsia" w:ascii="仿宋" w:hAnsi="仿宋" w:eastAsia="仿宋"/>
          <w:color w:val="auto"/>
          <w:spacing w:val="6"/>
          <w:sz w:val="24"/>
          <w:szCs w:val="24"/>
        </w:rPr>
        <w:t>采购活动，服务全部由符合政策要求的中小企业承接。相关企业(含联合体中的中小企业、签订分包意向协议的中小企业)的具体情况如下：</w:t>
      </w:r>
    </w:p>
    <w:p w14:paraId="52E0EC57">
      <w:pPr>
        <w:spacing w:line="360" w:lineRule="auto"/>
        <w:ind w:firstLine="480" w:firstLineChars="200"/>
        <w:rPr>
          <w:rFonts w:ascii="仿宋" w:hAnsi="仿宋" w:eastAsia="仿宋"/>
          <w:color w:val="auto"/>
          <w:spacing w:val="6"/>
          <w:sz w:val="24"/>
          <w:szCs w:val="24"/>
          <w:u w:val="single"/>
        </w:rPr>
      </w:pPr>
      <w:r>
        <w:rPr>
          <w:rFonts w:hint="eastAsia" w:ascii="仿宋" w:hAnsi="仿宋" w:eastAsia="仿宋"/>
          <w:color w:val="auto"/>
          <w:sz w:val="24"/>
          <w:szCs w:val="24"/>
        </w:rPr>
        <w:t>1、</w:t>
      </w:r>
      <w:r>
        <w:rPr>
          <w:rFonts w:hint="eastAsia" w:ascii="仿宋" w:hAnsi="仿宋" w:eastAsia="仿宋"/>
          <w:color w:val="auto"/>
          <w:sz w:val="24"/>
          <w:szCs w:val="24"/>
          <w:u w:val="single"/>
        </w:rPr>
        <w:t>司法鉴定服务</w:t>
      </w:r>
      <w:r>
        <w:rPr>
          <w:rFonts w:hint="eastAsia" w:ascii="仿宋" w:hAnsi="仿宋" w:eastAsia="仿宋"/>
          <w:color w:val="auto"/>
          <w:spacing w:val="6"/>
          <w:sz w:val="24"/>
          <w:szCs w:val="24"/>
          <w:u w:val="single"/>
        </w:rPr>
        <w:t>（标的名称）</w:t>
      </w:r>
      <w:r>
        <w:rPr>
          <w:rFonts w:hint="eastAsia" w:ascii="仿宋" w:hAnsi="仿宋" w:eastAsia="仿宋"/>
          <w:color w:val="auto"/>
          <w:spacing w:val="6"/>
          <w:sz w:val="24"/>
          <w:szCs w:val="24"/>
        </w:rPr>
        <w:t>，属于</w:t>
      </w:r>
      <w:r>
        <w:rPr>
          <w:rFonts w:hint="eastAsia" w:ascii="仿宋" w:hAnsi="仿宋" w:eastAsia="仿宋"/>
          <w:color w:val="auto"/>
          <w:spacing w:val="6"/>
          <w:sz w:val="24"/>
          <w:szCs w:val="24"/>
          <w:u w:val="single"/>
        </w:rPr>
        <w:t>其他未列明行业 *（采购文件中明确的所属行业）</w:t>
      </w:r>
      <w:r>
        <w:rPr>
          <w:rFonts w:hint="eastAsia" w:ascii="仿宋" w:hAnsi="仿宋" w:eastAsia="仿宋"/>
          <w:color w:val="auto"/>
          <w:spacing w:val="6"/>
          <w:sz w:val="24"/>
          <w:szCs w:val="24"/>
        </w:rPr>
        <w:t>；承建（承接）企业为</w:t>
      </w:r>
      <w:r>
        <w:rPr>
          <w:rFonts w:hint="eastAsia" w:ascii="仿宋" w:hAnsi="仿宋" w:eastAsia="仿宋"/>
          <w:color w:val="auto"/>
          <w:spacing w:val="6"/>
          <w:sz w:val="24"/>
          <w:szCs w:val="24"/>
          <w:u w:val="single"/>
        </w:rPr>
        <w:t xml:space="preserve">             （企业名称）</w:t>
      </w:r>
      <w:r>
        <w:rPr>
          <w:rFonts w:hint="eastAsia" w:ascii="仿宋" w:hAnsi="仿宋" w:eastAsia="仿宋"/>
          <w:color w:val="auto"/>
          <w:spacing w:val="6"/>
          <w:sz w:val="24"/>
          <w:szCs w:val="24"/>
        </w:rPr>
        <w:t>， 从业人员</w:t>
      </w:r>
      <w:r>
        <w:rPr>
          <w:rFonts w:hint="eastAsia" w:ascii="仿宋" w:hAnsi="仿宋" w:eastAsia="仿宋"/>
          <w:color w:val="auto"/>
          <w:spacing w:val="6"/>
          <w:sz w:val="24"/>
          <w:szCs w:val="24"/>
          <w:u w:val="single"/>
        </w:rPr>
        <w:t xml:space="preserve">   </w:t>
      </w:r>
      <w:r>
        <w:rPr>
          <w:rFonts w:hint="eastAsia" w:ascii="仿宋" w:hAnsi="仿宋" w:eastAsia="仿宋"/>
          <w:color w:val="auto"/>
          <w:spacing w:val="6"/>
          <w:sz w:val="24"/>
          <w:szCs w:val="24"/>
        </w:rPr>
        <w:t>人，营业收入为</w:t>
      </w:r>
      <w:r>
        <w:rPr>
          <w:rFonts w:hint="eastAsia" w:ascii="仿宋" w:hAnsi="仿宋" w:eastAsia="仿宋"/>
          <w:color w:val="auto"/>
          <w:spacing w:val="6"/>
          <w:sz w:val="24"/>
          <w:szCs w:val="24"/>
          <w:u w:val="single"/>
        </w:rPr>
        <w:t xml:space="preserve">   </w:t>
      </w:r>
      <w:r>
        <w:rPr>
          <w:rFonts w:hint="eastAsia" w:ascii="仿宋" w:hAnsi="仿宋" w:eastAsia="仿宋"/>
          <w:color w:val="auto"/>
          <w:spacing w:val="6"/>
          <w:sz w:val="24"/>
          <w:szCs w:val="24"/>
        </w:rPr>
        <w:t>万元，资产总额为</w:t>
      </w:r>
      <w:r>
        <w:rPr>
          <w:rFonts w:hint="eastAsia" w:ascii="仿宋" w:hAnsi="仿宋" w:eastAsia="仿宋"/>
          <w:color w:val="auto"/>
          <w:spacing w:val="6"/>
          <w:sz w:val="24"/>
          <w:szCs w:val="24"/>
          <w:u w:val="single"/>
        </w:rPr>
        <w:t xml:space="preserve">    </w:t>
      </w:r>
      <w:r>
        <w:rPr>
          <w:rFonts w:hint="eastAsia" w:ascii="仿宋" w:hAnsi="仿宋" w:eastAsia="仿宋"/>
          <w:color w:val="auto"/>
          <w:spacing w:val="6"/>
          <w:sz w:val="24"/>
          <w:szCs w:val="24"/>
        </w:rPr>
        <w:t>万元，属于</w:t>
      </w:r>
      <w:r>
        <w:rPr>
          <w:rFonts w:hint="eastAsia" w:ascii="仿宋" w:hAnsi="仿宋" w:eastAsia="仿宋"/>
          <w:color w:val="auto"/>
          <w:spacing w:val="6"/>
          <w:sz w:val="24"/>
          <w:szCs w:val="24"/>
          <w:u w:val="single"/>
        </w:rPr>
        <w:t>（中型企业、小型企业、微型企业）</w:t>
      </w:r>
      <w:r>
        <w:rPr>
          <w:rFonts w:hint="eastAsia" w:ascii="仿宋" w:hAnsi="仿宋" w:eastAsia="仿宋"/>
          <w:color w:val="auto"/>
          <w:spacing w:val="6"/>
          <w:sz w:val="24"/>
          <w:szCs w:val="24"/>
        </w:rPr>
        <w:t>；</w:t>
      </w:r>
      <w:r>
        <w:rPr>
          <w:rFonts w:hint="eastAsia" w:ascii="仿宋" w:hAnsi="仿宋" w:eastAsia="仿宋"/>
          <w:color w:val="auto"/>
          <w:spacing w:val="6"/>
          <w:sz w:val="24"/>
          <w:szCs w:val="24"/>
          <w:u w:val="single"/>
        </w:rPr>
        <w:t xml:space="preserve">   </w:t>
      </w:r>
    </w:p>
    <w:p w14:paraId="123C9078">
      <w:pPr>
        <w:spacing w:line="360" w:lineRule="auto"/>
        <w:ind w:firstLine="504" w:firstLineChars="200"/>
        <w:rPr>
          <w:rFonts w:ascii="仿宋" w:hAnsi="仿宋" w:eastAsia="仿宋"/>
          <w:color w:val="auto"/>
          <w:spacing w:val="6"/>
          <w:sz w:val="24"/>
          <w:szCs w:val="24"/>
        </w:rPr>
      </w:pPr>
      <w:r>
        <w:rPr>
          <w:rFonts w:hint="eastAsia" w:ascii="仿宋" w:hAnsi="仿宋" w:eastAsia="仿宋"/>
          <w:color w:val="auto"/>
          <w:spacing w:val="6"/>
          <w:sz w:val="24"/>
          <w:szCs w:val="24"/>
        </w:rPr>
        <w:t>以上企业，不属于大企业的分支机构，不存在控股股东为大企业的情形，也不存在与大企业的负责人为同一人的情形。</w:t>
      </w:r>
    </w:p>
    <w:p w14:paraId="134A5E47">
      <w:pPr>
        <w:spacing w:line="360" w:lineRule="auto"/>
        <w:ind w:firstLine="504" w:firstLineChars="200"/>
        <w:rPr>
          <w:rFonts w:ascii="仿宋" w:hAnsi="仿宋" w:eastAsia="仿宋"/>
          <w:color w:val="auto"/>
          <w:spacing w:val="6"/>
          <w:sz w:val="24"/>
          <w:szCs w:val="24"/>
          <w:u w:val="single"/>
        </w:rPr>
      </w:pPr>
      <w:r>
        <w:rPr>
          <w:rFonts w:hint="eastAsia" w:ascii="仿宋" w:hAnsi="仿宋" w:eastAsia="仿宋"/>
          <w:color w:val="auto"/>
          <w:spacing w:val="6"/>
          <w:sz w:val="24"/>
          <w:szCs w:val="24"/>
        </w:rPr>
        <w:t>本企业对上述声明内容的真实性负责。如有虚假，将依法承担相应责任。</w:t>
      </w:r>
    </w:p>
    <w:p w14:paraId="53C1D9C1">
      <w:pPr>
        <w:spacing w:line="360" w:lineRule="auto"/>
        <w:ind w:firstLine="504" w:firstLineChars="200"/>
        <w:rPr>
          <w:rFonts w:ascii="仿宋" w:hAnsi="仿宋" w:eastAsia="仿宋"/>
          <w:color w:val="auto"/>
          <w:spacing w:val="6"/>
          <w:sz w:val="24"/>
          <w:szCs w:val="28"/>
        </w:rPr>
      </w:pPr>
    </w:p>
    <w:p w14:paraId="2E22CBCA">
      <w:pPr>
        <w:spacing w:line="360" w:lineRule="auto"/>
        <w:ind w:firstLine="506" w:firstLineChars="200"/>
        <w:rPr>
          <w:rFonts w:ascii="仿宋" w:hAnsi="仿宋" w:eastAsia="仿宋"/>
          <w:b/>
          <w:color w:val="auto"/>
          <w:spacing w:val="6"/>
          <w:sz w:val="24"/>
          <w:szCs w:val="28"/>
        </w:rPr>
      </w:pPr>
      <w:r>
        <w:rPr>
          <w:rFonts w:hint="eastAsia" w:ascii="仿宋" w:hAnsi="仿宋" w:eastAsia="仿宋"/>
          <w:b/>
          <w:color w:val="auto"/>
          <w:spacing w:val="6"/>
          <w:sz w:val="24"/>
          <w:szCs w:val="24"/>
        </w:rPr>
        <w:t>注：从业人员、营业收入、资产总额填报上一年度数据，无上一年度数据的新成立企业可不填报。</w:t>
      </w:r>
    </w:p>
    <w:p w14:paraId="2E4FF5D8">
      <w:pPr>
        <w:spacing w:line="360" w:lineRule="auto"/>
        <w:ind w:firstLine="504" w:firstLineChars="200"/>
        <w:rPr>
          <w:rFonts w:ascii="仿宋" w:hAnsi="仿宋" w:eastAsia="仿宋"/>
          <w:color w:val="auto"/>
          <w:spacing w:val="6"/>
          <w:sz w:val="24"/>
          <w:szCs w:val="28"/>
        </w:rPr>
      </w:pPr>
    </w:p>
    <w:p w14:paraId="14F768DC">
      <w:pPr>
        <w:spacing w:line="400" w:lineRule="exact"/>
        <w:ind w:firstLine="504" w:firstLineChars="200"/>
        <w:rPr>
          <w:rFonts w:ascii="仿宋" w:hAnsi="仿宋" w:eastAsia="仿宋"/>
          <w:color w:val="auto"/>
          <w:spacing w:val="6"/>
          <w:sz w:val="24"/>
          <w:szCs w:val="24"/>
        </w:rPr>
      </w:pPr>
    </w:p>
    <w:p w14:paraId="645C1BAD">
      <w:pPr>
        <w:spacing w:line="360" w:lineRule="auto"/>
        <w:ind w:firstLine="242" w:firstLineChars="101"/>
        <w:rPr>
          <w:rFonts w:ascii="仿宋" w:hAnsi="仿宋" w:eastAsia="仿宋" w:cs="宋体"/>
          <w:color w:val="auto"/>
          <w:sz w:val="24"/>
          <w:szCs w:val="24"/>
        </w:rPr>
      </w:pPr>
      <w:r>
        <w:rPr>
          <w:rFonts w:hint="eastAsia" w:ascii="仿宋" w:hAnsi="仿宋" w:eastAsia="仿宋" w:cs="宋体"/>
          <w:color w:val="auto"/>
          <w:sz w:val="24"/>
          <w:szCs w:val="24"/>
        </w:rPr>
        <w:t>供应商：</w:t>
      </w:r>
      <w:r>
        <w:rPr>
          <w:rFonts w:hint="eastAsia" w:ascii="仿宋" w:hAnsi="仿宋" w:eastAsia="仿宋" w:cs="宋体"/>
          <w:color w:val="auto"/>
          <w:sz w:val="24"/>
          <w:szCs w:val="24"/>
          <w:u w:val="single"/>
        </w:rPr>
        <w:t xml:space="preserve">                            </w:t>
      </w:r>
      <w:r>
        <w:rPr>
          <w:rFonts w:hint="eastAsia" w:ascii="仿宋" w:hAnsi="仿宋" w:eastAsia="仿宋" w:cs="宋体"/>
          <w:color w:val="auto"/>
          <w:sz w:val="24"/>
          <w:szCs w:val="24"/>
        </w:rPr>
        <w:t>（盖章）</w:t>
      </w:r>
    </w:p>
    <w:p w14:paraId="7D0E1BA8">
      <w:pPr>
        <w:spacing w:line="360" w:lineRule="auto"/>
        <w:ind w:firstLine="242" w:firstLineChars="101"/>
        <w:rPr>
          <w:rFonts w:ascii="仿宋" w:hAnsi="仿宋" w:eastAsia="仿宋" w:cs="宋体"/>
          <w:color w:val="auto"/>
          <w:sz w:val="24"/>
          <w:szCs w:val="24"/>
        </w:rPr>
      </w:pPr>
      <w:r>
        <w:rPr>
          <w:rFonts w:hint="eastAsia" w:ascii="仿宋" w:hAnsi="仿宋" w:eastAsia="仿宋"/>
          <w:color w:val="auto"/>
          <w:sz w:val="24"/>
          <w:szCs w:val="24"/>
        </w:rPr>
        <w:t>法定代表人或授权代理人：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14:paraId="03BCC95A">
      <w:pPr>
        <w:spacing w:line="360" w:lineRule="auto"/>
        <w:ind w:firstLine="242" w:firstLineChars="101"/>
        <w:rPr>
          <w:rFonts w:ascii="仿宋" w:hAnsi="仿宋" w:eastAsia="仿宋" w:cs="宋体"/>
          <w:color w:val="auto"/>
          <w:sz w:val="24"/>
          <w:szCs w:val="24"/>
          <w:u w:val="single"/>
        </w:rPr>
      </w:pPr>
      <w:r>
        <w:rPr>
          <w:rFonts w:hint="eastAsia" w:ascii="仿宋" w:hAnsi="仿宋" w:eastAsia="仿宋" w:cs="宋体"/>
          <w:color w:val="auto"/>
          <w:sz w:val="24"/>
        </w:rPr>
        <w:t>日期：</w:t>
      </w:r>
      <w:r>
        <w:rPr>
          <w:rFonts w:hint="eastAsia" w:ascii="仿宋" w:hAnsi="仿宋" w:eastAsia="仿宋" w:cs="宋体"/>
          <w:color w:val="auto"/>
          <w:sz w:val="24"/>
          <w:u w:val="single"/>
        </w:rPr>
        <w:t xml:space="preserve">        </w:t>
      </w:r>
      <w:r>
        <w:rPr>
          <w:rFonts w:hint="eastAsia" w:ascii="仿宋" w:hAnsi="仿宋" w:eastAsia="仿宋" w:cs="宋体"/>
          <w:color w:val="auto"/>
          <w:sz w:val="24"/>
        </w:rPr>
        <w:t>年</w:t>
      </w:r>
      <w:r>
        <w:rPr>
          <w:rFonts w:hint="eastAsia" w:ascii="仿宋" w:hAnsi="仿宋" w:eastAsia="仿宋" w:cs="宋体"/>
          <w:color w:val="auto"/>
          <w:sz w:val="24"/>
          <w:u w:val="single"/>
        </w:rPr>
        <w:t xml:space="preserve">       </w:t>
      </w:r>
      <w:r>
        <w:rPr>
          <w:rFonts w:hint="eastAsia" w:ascii="仿宋" w:hAnsi="仿宋" w:eastAsia="仿宋" w:cs="宋体"/>
          <w:color w:val="auto"/>
          <w:sz w:val="24"/>
        </w:rPr>
        <w:t>月</w:t>
      </w:r>
      <w:r>
        <w:rPr>
          <w:rFonts w:hint="eastAsia" w:ascii="仿宋" w:hAnsi="仿宋" w:eastAsia="仿宋" w:cs="宋体"/>
          <w:color w:val="auto"/>
          <w:sz w:val="24"/>
          <w:u w:val="single"/>
        </w:rPr>
        <w:t xml:space="preserve">       </w:t>
      </w:r>
      <w:r>
        <w:rPr>
          <w:rFonts w:hint="eastAsia" w:ascii="仿宋" w:hAnsi="仿宋" w:eastAsia="仿宋" w:cs="宋体"/>
          <w:color w:val="auto"/>
          <w:sz w:val="24"/>
        </w:rPr>
        <w:t>日</w:t>
      </w:r>
    </w:p>
    <w:p w14:paraId="5A9E7B18">
      <w:pPr>
        <w:ind w:firstLine="2" w:firstLineChars="1"/>
        <w:rPr>
          <w:rFonts w:ascii="仿宋" w:hAnsi="仿宋" w:eastAsia="仿宋"/>
          <w:color w:val="auto"/>
          <w:spacing w:val="6"/>
          <w:sz w:val="24"/>
          <w:szCs w:val="24"/>
        </w:rPr>
      </w:pPr>
    </w:p>
    <w:p w14:paraId="6BCAB15E">
      <w:pPr>
        <w:spacing w:line="360" w:lineRule="auto"/>
        <w:ind w:firstLine="482" w:firstLineChars="200"/>
        <w:rPr>
          <w:rFonts w:ascii="仿宋" w:hAnsi="仿宋" w:eastAsia="仿宋"/>
          <w:b/>
          <w:color w:val="auto"/>
          <w:sz w:val="24"/>
          <w:szCs w:val="24"/>
        </w:rPr>
      </w:pPr>
      <w:r>
        <w:rPr>
          <w:rFonts w:hint="eastAsia" w:ascii="仿宋" w:hAnsi="仿宋" w:eastAsia="仿宋"/>
          <w:b/>
          <w:color w:val="auto"/>
          <w:sz w:val="24"/>
          <w:szCs w:val="24"/>
        </w:rPr>
        <w:t>注：1.成交供应商为中小企业的，其《中小企业声明函》将随成交结果同时公告，接受社会监督。供应商提供的《中小企业声明函》与事实不符的， 依照《政府采购法》第 十 条第一款的规定追究法律责任。</w:t>
      </w:r>
    </w:p>
    <w:p w14:paraId="56F2BE11">
      <w:pPr>
        <w:spacing w:before="240" w:line="360" w:lineRule="auto"/>
        <w:ind w:firstLine="964" w:firstLineChars="400"/>
        <w:rPr>
          <w:rFonts w:ascii="仿宋" w:hAnsi="仿宋" w:eastAsia="仿宋"/>
          <w:b/>
          <w:color w:val="auto"/>
          <w:sz w:val="24"/>
          <w:szCs w:val="24"/>
        </w:rPr>
      </w:pPr>
      <w:r>
        <w:rPr>
          <w:rFonts w:hint="eastAsia" w:ascii="仿宋" w:hAnsi="仿宋" w:eastAsia="仿宋"/>
          <w:b/>
          <w:color w:val="auto"/>
          <w:sz w:val="24"/>
          <w:szCs w:val="24"/>
        </w:rPr>
        <w:t>2、如不是中小企业请自行说明或划/填写本表。</w:t>
      </w:r>
    </w:p>
    <w:p w14:paraId="0910E38F">
      <w:pPr>
        <w:spacing w:line="600" w:lineRule="exact"/>
        <w:rPr>
          <w:rFonts w:ascii="仿宋" w:hAnsi="仿宋" w:eastAsia="仿宋" w:cs="宋体"/>
          <w:color w:val="auto"/>
          <w:sz w:val="32"/>
          <w:szCs w:val="32"/>
        </w:rPr>
      </w:pPr>
      <w:r>
        <w:rPr>
          <w:rFonts w:hint="eastAsia" w:ascii="仿宋" w:hAnsi="仿宋" w:eastAsia="仿宋" w:cs="宋体"/>
          <w:color w:val="auto"/>
          <w:sz w:val="32"/>
          <w:szCs w:val="32"/>
        </w:rPr>
        <w:br w:type="page"/>
      </w:r>
      <w:r>
        <w:rPr>
          <w:rFonts w:hint="eastAsia" w:ascii="仿宋" w:hAnsi="仿宋" w:eastAsia="仿宋" w:cs="宋体"/>
          <w:color w:val="auto"/>
          <w:sz w:val="32"/>
          <w:szCs w:val="32"/>
        </w:rPr>
        <w:t>附表</w:t>
      </w:r>
    </w:p>
    <w:p w14:paraId="36331AFB">
      <w:pPr>
        <w:spacing w:line="330" w:lineRule="atLeast"/>
        <w:jc w:val="center"/>
        <w:rPr>
          <w:rFonts w:ascii="仿宋" w:hAnsi="仿宋" w:eastAsia="仿宋" w:cs="宋体"/>
          <w:color w:val="auto"/>
          <w:sz w:val="36"/>
          <w:szCs w:val="32"/>
        </w:rPr>
      </w:pPr>
      <w:r>
        <w:rPr>
          <w:rFonts w:hint="eastAsia" w:ascii="仿宋" w:hAnsi="仿宋" w:eastAsia="仿宋" w:cs="宋体"/>
          <w:color w:val="auto"/>
          <w:sz w:val="36"/>
          <w:szCs w:val="32"/>
        </w:rPr>
        <w:t>统计上大中小微型企业划分标准</w:t>
      </w:r>
    </w:p>
    <w:tbl>
      <w:tblPr>
        <w:tblStyle w:val="62"/>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1E41E637">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4E91053E">
            <w:pPr>
              <w:spacing w:line="240" w:lineRule="exact"/>
              <w:jc w:val="center"/>
              <w:rPr>
                <w:rFonts w:ascii="仿宋" w:hAnsi="仿宋" w:eastAsia="仿宋" w:cs="宋体"/>
                <w:b/>
                <w:bCs/>
                <w:color w:val="auto"/>
                <w:sz w:val="18"/>
                <w:szCs w:val="21"/>
              </w:rPr>
            </w:pPr>
            <w:r>
              <w:rPr>
                <w:rFonts w:hint="eastAsia" w:ascii="仿宋" w:hAnsi="仿宋" w:eastAsia="仿宋" w:cs="宋体"/>
                <w:b/>
                <w:bCs/>
                <w:color w:val="auto"/>
                <w:sz w:val="18"/>
                <w:szCs w:val="21"/>
              </w:rPr>
              <w:t>行业名称</w:t>
            </w:r>
          </w:p>
        </w:tc>
        <w:tc>
          <w:tcPr>
            <w:tcW w:w="1369" w:type="dxa"/>
            <w:tcBorders>
              <w:top w:val="single" w:color="auto" w:sz="4" w:space="0"/>
              <w:left w:val="nil"/>
              <w:bottom w:val="single" w:color="auto" w:sz="4" w:space="0"/>
              <w:right w:val="single" w:color="auto" w:sz="4" w:space="0"/>
            </w:tcBorders>
            <w:vAlign w:val="center"/>
          </w:tcPr>
          <w:p w14:paraId="7C298630">
            <w:pPr>
              <w:jc w:val="center"/>
              <w:rPr>
                <w:rFonts w:ascii="仿宋" w:hAnsi="仿宋" w:eastAsia="仿宋" w:cs="宋体"/>
                <w:b/>
                <w:bCs/>
                <w:color w:val="auto"/>
                <w:sz w:val="18"/>
                <w:szCs w:val="18"/>
              </w:rPr>
            </w:pPr>
            <w:r>
              <w:rPr>
                <w:rFonts w:hint="eastAsia" w:ascii="仿宋" w:hAnsi="仿宋" w:eastAsia="仿宋" w:cs="宋体"/>
                <w:b/>
                <w:bCs/>
                <w:color w:val="auto"/>
                <w:sz w:val="18"/>
                <w:szCs w:val="18"/>
              </w:rPr>
              <w:t>指标名称</w:t>
            </w:r>
          </w:p>
        </w:tc>
        <w:tc>
          <w:tcPr>
            <w:tcW w:w="709" w:type="dxa"/>
            <w:tcBorders>
              <w:top w:val="single" w:color="auto" w:sz="4" w:space="0"/>
              <w:left w:val="nil"/>
              <w:bottom w:val="single" w:color="auto" w:sz="4" w:space="0"/>
              <w:right w:val="single" w:color="auto" w:sz="4" w:space="0"/>
            </w:tcBorders>
            <w:vAlign w:val="center"/>
          </w:tcPr>
          <w:p w14:paraId="745BD87D">
            <w:pPr>
              <w:jc w:val="center"/>
              <w:rPr>
                <w:rFonts w:ascii="仿宋" w:hAnsi="仿宋" w:eastAsia="仿宋" w:cs="宋体"/>
                <w:b/>
                <w:bCs/>
                <w:color w:val="auto"/>
                <w:sz w:val="18"/>
                <w:szCs w:val="18"/>
              </w:rPr>
            </w:pPr>
            <w:r>
              <w:rPr>
                <w:rFonts w:hint="eastAsia" w:ascii="仿宋" w:hAnsi="仿宋" w:eastAsia="仿宋" w:cs="宋体"/>
                <w:b/>
                <w:bCs/>
                <w:color w:val="auto"/>
                <w:sz w:val="18"/>
                <w:szCs w:val="18"/>
              </w:rPr>
              <w:t>计量</w:t>
            </w:r>
          </w:p>
          <w:p w14:paraId="1B16A77E">
            <w:pPr>
              <w:jc w:val="center"/>
              <w:rPr>
                <w:rFonts w:ascii="仿宋" w:hAnsi="仿宋" w:eastAsia="仿宋" w:cs="宋体"/>
                <w:b/>
                <w:bCs/>
                <w:color w:val="auto"/>
                <w:sz w:val="18"/>
                <w:szCs w:val="18"/>
              </w:rPr>
            </w:pPr>
            <w:r>
              <w:rPr>
                <w:rFonts w:hint="eastAsia" w:ascii="仿宋" w:hAnsi="仿宋" w:eastAsia="仿宋" w:cs="宋体"/>
                <w:b/>
                <w:bCs/>
                <w:color w:val="auto"/>
                <w:sz w:val="18"/>
                <w:szCs w:val="18"/>
              </w:rPr>
              <w:t>单位</w:t>
            </w:r>
          </w:p>
        </w:tc>
        <w:tc>
          <w:tcPr>
            <w:tcW w:w="1125" w:type="dxa"/>
            <w:tcBorders>
              <w:top w:val="single" w:color="auto" w:sz="4" w:space="0"/>
              <w:left w:val="nil"/>
              <w:bottom w:val="single" w:color="auto" w:sz="4" w:space="0"/>
              <w:right w:val="single" w:color="auto" w:sz="4" w:space="0"/>
            </w:tcBorders>
            <w:vAlign w:val="center"/>
          </w:tcPr>
          <w:p w14:paraId="6CFBB8C4">
            <w:pPr>
              <w:jc w:val="center"/>
              <w:rPr>
                <w:rFonts w:ascii="仿宋" w:hAnsi="仿宋" w:eastAsia="仿宋" w:cs="宋体"/>
                <w:b/>
                <w:bCs/>
                <w:color w:val="auto"/>
                <w:sz w:val="18"/>
                <w:szCs w:val="18"/>
              </w:rPr>
            </w:pPr>
            <w:r>
              <w:rPr>
                <w:rFonts w:hint="eastAsia" w:ascii="仿宋" w:hAnsi="仿宋" w:eastAsia="仿宋" w:cs="宋体"/>
                <w:b/>
                <w:bCs/>
                <w:color w:val="auto"/>
                <w:sz w:val="18"/>
                <w:szCs w:val="18"/>
              </w:rPr>
              <w:t>大型</w:t>
            </w:r>
          </w:p>
        </w:tc>
        <w:tc>
          <w:tcPr>
            <w:tcW w:w="1701" w:type="dxa"/>
            <w:tcBorders>
              <w:top w:val="single" w:color="auto" w:sz="4" w:space="0"/>
              <w:left w:val="nil"/>
              <w:bottom w:val="single" w:color="auto" w:sz="4" w:space="0"/>
              <w:right w:val="single" w:color="auto" w:sz="4" w:space="0"/>
            </w:tcBorders>
            <w:vAlign w:val="center"/>
          </w:tcPr>
          <w:p w14:paraId="021AEB2F">
            <w:pPr>
              <w:jc w:val="center"/>
              <w:rPr>
                <w:rFonts w:ascii="仿宋" w:hAnsi="仿宋" w:eastAsia="仿宋" w:cs="宋体"/>
                <w:b/>
                <w:bCs/>
                <w:color w:val="auto"/>
                <w:sz w:val="18"/>
                <w:szCs w:val="18"/>
              </w:rPr>
            </w:pPr>
            <w:r>
              <w:rPr>
                <w:rFonts w:hint="eastAsia" w:ascii="仿宋" w:hAnsi="仿宋" w:eastAsia="仿宋" w:cs="宋体"/>
                <w:b/>
                <w:bCs/>
                <w:color w:val="auto"/>
                <w:sz w:val="18"/>
                <w:szCs w:val="18"/>
              </w:rPr>
              <w:t>中型</w:t>
            </w:r>
          </w:p>
        </w:tc>
        <w:tc>
          <w:tcPr>
            <w:tcW w:w="1426" w:type="dxa"/>
            <w:tcBorders>
              <w:top w:val="single" w:color="auto" w:sz="4" w:space="0"/>
              <w:left w:val="nil"/>
              <w:bottom w:val="single" w:color="auto" w:sz="4" w:space="0"/>
              <w:right w:val="single" w:color="auto" w:sz="4" w:space="0"/>
            </w:tcBorders>
            <w:vAlign w:val="center"/>
          </w:tcPr>
          <w:p w14:paraId="22701793">
            <w:pPr>
              <w:jc w:val="center"/>
              <w:rPr>
                <w:rFonts w:ascii="仿宋" w:hAnsi="仿宋" w:eastAsia="仿宋" w:cs="宋体"/>
                <w:b/>
                <w:bCs/>
                <w:color w:val="auto"/>
                <w:sz w:val="18"/>
                <w:szCs w:val="18"/>
              </w:rPr>
            </w:pPr>
            <w:r>
              <w:rPr>
                <w:rFonts w:hint="eastAsia" w:ascii="仿宋" w:hAnsi="仿宋" w:eastAsia="仿宋" w:cs="宋体"/>
                <w:b/>
                <w:bCs/>
                <w:color w:val="auto"/>
                <w:sz w:val="18"/>
                <w:szCs w:val="18"/>
              </w:rPr>
              <w:t>小型</w:t>
            </w:r>
          </w:p>
        </w:tc>
        <w:tc>
          <w:tcPr>
            <w:tcW w:w="992" w:type="dxa"/>
            <w:tcBorders>
              <w:top w:val="single" w:color="auto" w:sz="4" w:space="0"/>
              <w:left w:val="nil"/>
              <w:bottom w:val="single" w:color="auto" w:sz="4" w:space="0"/>
              <w:right w:val="nil"/>
            </w:tcBorders>
            <w:vAlign w:val="center"/>
          </w:tcPr>
          <w:p w14:paraId="0F665EA8">
            <w:pPr>
              <w:jc w:val="center"/>
              <w:rPr>
                <w:rFonts w:ascii="仿宋" w:hAnsi="仿宋" w:eastAsia="仿宋" w:cs="宋体"/>
                <w:b/>
                <w:bCs/>
                <w:color w:val="auto"/>
                <w:sz w:val="18"/>
                <w:szCs w:val="18"/>
              </w:rPr>
            </w:pPr>
            <w:r>
              <w:rPr>
                <w:rFonts w:hint="eastAsia" w:ascii="仿宋" w:hAnsi="仿宋" w:eastAsia="仿宋" w:cs="宋体"/>
                <w:b/>
                <w:bCs/>
                <w:color w:val="auto"/>
                <w:sz w:val="18"/>
                <w:szCs w:val="18"/>
              </w:rPr>
              <w:t>微型</w:t>
            </w:r>
          </w:p>
        </w:tc>
      </w:tr>
      <w:tr w14:paraId="406B27F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09CBBCF9">
            <w:pPr>
              <w:spacing w:line="240" w:lineRule="exact"/>
              <w:rPr>
                <w:rFonts w:ascii="仿宋" w:hAnsi="仿宋" w:eastAsia="仿宋" w:cs="宋体"/>
                <w:color w:val="auto"/>
                <w:sz w:val="18"/>
                <w:szCs w:val="18"/>
              </w:rPr>
            </w:pPr>
            <w:r>
              <w:rPr>
                <w:rFonts w:hint="eastAsia" w:ascii="仿宋" w:hAnsi="仿宋" w:eastAsia="仿宋" w:cs="宋体"/>
                <w:color w:val="auto"/>
                <w:sz w:val="18"/>
                <w:szCs w:val="18"/>
              </w:rPr>
              <w:t>农、林、牧、渔业</w:t>
            </w:r>
          </w:p>
        </w:tc>
        <w:tc>
          <w:tcPr>
            <w:tcW w:w="1369" w:type="dxa"/>
            <w:tcBorders>
              <w:top w:val="nil"/>
              <w:left w:val="nil"/>
              <w:bottom w:val="single" w:color="auto" w:sz="4" w:space="0"/>
              <w:right w:val="single" w:color="auto" w:sz="4" w:space="0"/>
            </w:tcBorders>
            <w:vAlign w:val="center"/>
          </w:tcPr>
          <w:p w14:paraId="0541F7E0">
            <w:pPr>
              <w:jc w:val="center"/>
              <w:rPr>
                <w:rFonts w:ascii="仿宋" w:hAnsi="仿宋" w:eastAsia="仿宋" w:cs="宋体"/>
                <w:color w:val="auto"/>
                <w:sz w:val="18"/>
                <w:szCs w:val="18"/>
              </w:rPr>
            </w:pPr>
            <w:r>
              <w:rPr>
                <w:rFonts w:hint="eastAsia" w:ascii="仿宋" w:hAnsi="仿宋" w:eastAsia="仿宋" w:cs="宋体"/>
                <w:color w:val="auto"/>
                <w:sz w:val="18"/>
                <w:szCs w:val="18"/>
              </w:rPr>
              <w:t>营业收入(Y)</w:t>
            </w:r>
          </w:p>
        </w:tc>
        <w:tc>
          <w:tcPr>
            <w:tcW w:w="709" w:type="dxa"/>
            <w:tcBorders>
              <w:top w:val="nil"/>
              <w:left w:val="nil"/>
              <w:bottom w:val="single" w:color="auto" w:sz="4" w:space="0"/>
              <w:right w:val="single" w:color="auto" w:sz="4" w:space="0"/>
            </w:tcBorders>
            <w:vAlign w:val="center"/>
          </w:tcPr>
          <w:p w14:paraId="7BB23050">
            <w:pPr>
              <w:jc w:val="center"/>
              <w:rPr>
                <w:rFonts w:ascii="仿宋" w:hAnsi="仿宋" w:eastAsia="仿宋" w:cs="宋体"/>
                <w:color w:val="auto"/>
                <w:sz w:val="18"/>
                <w:szCs w:val="18"/>
              </w:rPr>
            </w:pPr>
            <w:r>
              <w:rPr>
                <w:rFonts w:hint="eastAsia" w:ascii="仿宋" w:hAnsi="仿宋" w:eastAsia="仿宋" w:cs="宋体"/>
                <w:color w:val="auto"/>
                <w:sz w:val="18"/>
                <w:szCs w:val="18"/>
              </w:rPr>
              <w:t>万元</w:t>
            </w:r>
          </w:p>
        </w:tc>
        <w:tc>
          <w:tcPr>
            <w:tcW w:w="1125" w:type="dxa"/>
            <w:tcBorders>
              <w:top w:val="nil"/>
              <w:left w:val="nil"/>
              <w:bottom w:val="single" w:color="auto" w:sz="4" w:space="0"/>
              <w:right w:val="single" w:color="auto" w:sz="4" w:space="0"/>
            </w:tcBorders>
            <w:vAlign w:val="center"/>
          </w:tcPr>
          <w:p w14:paraId="01503C46">
            <w:pPr>
              <w:jc w:val="center"/>
              <w:rPr>
                <w:rFonts w:ascii="仿宋" w:hAnsi="仿宋" w:eastAsia="仿宋" w:cs="宋体"/>
                <w:color w:val="auto"/>
                <w:sz w:val="18"/>
                <w:szCs w:val="18"/>
              </w:rPr>
            </w:pPr>
            <w:r>
              <w:rPr>
                <w:rFonts w:hint="eastAsia" w:ascii="仿宋" w:hAnsi="仿宋" w:eastAsia="仿宋" w:cs="宋体"/>
                <w:color w:val="auto"/>
                <w:sz w:val="18"/>
                <w:szCs w:val="18"/>
              </w:rPr>
              <w:t>Y≥20000</w:t>
            </w:r>
          </w:p>
        </w:tc>
        <w:tc>
          <w:tcPr>
            <w:tcW w:w="1701" w:type="dxa"/>
            <w:tcBorders>
              <w:top w:val="nil"/>
              <w:left w:val="nil"/>
              <w:bottom w:val="single" w:color="auto" w:sz="4" w:space="0"/>
              <w:right w:val="single" w:color="auto" w:sz="4" w:space="0"/>
            </w:tcBorders>
            <w:vAlign w:val="center"/>
          </w:tcPr>
          <w:p w14:paraId="14D7155A">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500≤Y＜20000</w:t>
            </w:r>
          </w:p>
        </w:tc>
        <w:tc>
          <w:tcPr>
            <w:tcW w:w="1426" w:type="dxa"/>
            <w:tcBorders>
              <w:top w:val="nil"/>
              <w:left w:val="nil"/>
              <w:bottom w:val="single" w:color="auto" w:sz="4" w:space="0"/>
              <w:right w:val="single" w:color="auto" w:sz="4" w:space="0"/>
            </w:tcBorders>
            <w:vAlign w:val="center"/>
          </w:tcPr>
          <w:p w14:paraId="215E8B21">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50≤Y＜500</w:t>
            </w:r>
          </w:p>
        </w:tc>
        <w:tc>
          <w:tcPr>
            <w:tcW w:w="992" w:type="dxa"/>
            <w:tcBorders>
              <w:top w:val="nil"/>
              <w:left w:val="nil"/>
              <w:bottom w:val="single" w:color="auto" w:sz="4" w:space="0"/>
              <w:right w:val="nil"/>
            </w:tcBorders>
            <w:vAlign w:val="center"/>
          </w:tcPr>
          <w:p w14:paraId="75A64F7D">
            <w:pPr>
              <w:jc w:val="center"/>
              <w:rPr>
                <w:rFonts w:ascii="仿宋" w:hAnsi="仿宋" w:eastAsia="仿宋" w:cs="宋体"/>
                <w:color w:val="auto"/>
                <w:sz w:val="18"/>
                <w:szCs w:val="18"/>
              </w:rPr>
            </w:pPr>
            <w:r>
              <w:rPr>
                <w:rFonts w:hint="eastAsia" w:ascii="仿宋" w:hAnsi="仿宋" w:eastAsia="仿宋" w:cs="宋体"/>
                <w:color w:val="auto"/>
                <w:sz w:val="18"/>
                <w:szCs w:val="18"/>
              </w:rPr>
              <w:t>Y＜50</w:t>
            </w:r>
          </w:p>
        </w:tc>
      </w:tr>
      <w:tr w14:paraId="75F37F5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0226805">
            <w:pPr>
              <w:spacing w:line="240" w:lineRule="exact"/>
              <w:rPr>
                <w:rFonts w:ascii="仿宋" w:hAnsi="仿宋" w:eastAsia="仿宋" w:cs="宋体"/>
                <w:color w:val="auto"/>
                <w:sz w:val="18"/>
                <w:szCs w:val="18"/>
              </w:rPr>
            </w:pPr>
            <w:r>
              <w:rPr>
                <w:rFonts w:hint="eastAsia" w:ascii="仿宋" w:hAnsi="仿宋" w:eastAsia="仿宋" w:cs="宋体"/>
                <w:color w:val="auto"/>
                <w:sz w:val="18"/>
                <w:szCs w:val="18"/>
              </w:rPr>
              <w:t>工业 *</w:t>
            </w:r>
          </w:p>
        </w:tc>
        <w:tc>
          <w:tcPr>
            <w:tcW w:w="1369" w:type="dxa"/>
            <w:tcBorders>
              <w:top w:val="nil"/>
              <w:left w:val="nil"/>
              <w:bottom w:val="nil"/>
              <w:right w:val="single" w:color="auto" w:sz="4" w:space="0"/>
            </w:tcBorders>
            <w:vAlign w:val="center"/>
          </w:tcPr>
          <w:p w14:paraId="622F892E">
            <w:pPr>
              <w:jc w:val="center"/>
              <w:rPr>
                <w:rFonts w:ascii="仿宋" w:hAnsi="仿宋" w:eastAsia="仿宋" w:cs="宋体"/>
                <w:color w:val="auto"/>
                <w:sz w:val="18"/>
                <w:szCs w:val="18"/>
              </w:rPr>
            </w:pPr>
            <w:r>
              <w:rPr>
                <w:rFonts w:hint="eastAsia" w:ascii="仿宋" w:hAnsi="仿宋" w:eastAsia="仿宋" w:cs="宋体"/>
                <w:color w:val="auto"/>
                <w:sz w:val="18"/>
                <w:szCs w:val="18"/>
              </w:rPr>
              <w:t>从业人员(X)</w:t>
            </w:r>
          </w:p>
        </w:tc>
        <w:tc>
          <w:tcPr>
            <w:tcW w:w="709" w:type="dxa"/>
            <w:tcBorders>
              <w:top w:val="nil"/>
              <w:left w:val="nil"/>
              <w:bottom w:val="nil"/>
              <w:right w:val="single" w:color="auto" w:sz="4" w:space="0"/>
            </w:tcBorders>
            <w:vAlign w:val="center"/>
          </w:tcPr>
          <w:p w14:paraId="610B0046">
            <w:pPr>
              <w:jc w:val="center"/>
              <w:rPr>
                <w:rFonts w:ascii="仿宋" w:hAnsi="仿宋" w:eastAsia="仿宋" w:cs="宋体"/>
                <w:color w:val="auto"/>
                <w:sz w:val="18"/>
                <w:szCs w:val="18"/>
              </w:rPr>
            </w:pPr>
            <w:r>
              <w:rPr>
                <w:rFonts w:hint="eastAsia" w:ascii="仿宋" w:hAnsi="仿宋" w:eastAsia="仿宋" w:cs="宋体"/>
                <w:color w:val="auto"/>
                <w:sz w:val="18"/>
                <w:szCs w:val="18"/>
              </w:rPr>
              <w:t>人</w:t>
            </w:r>
          </w:p>
        </w:tc>
        <w:tc>
          <w:tcPr>
            <w:tcW w:w="1125" w:type="dxa"/>
            <w:tcBorders>
              <w:top w:val="nil"/>
              <w:left w:val="nil"/>
              <w:bottom w:val="nil"/>
              <w:right w:val="single" w:color="auto" w:sz="4" w:space="0"/>
            </w:tcBorders>
            <w:vAlign w:val="center"/>
          </w:tcPr>
          <w:p w14:paraId="7E0DA8FB">
            <w:pPr>
              <w:jc w:val="center"/>
              <w:rPr>
                <w:rFonts w:ascii="仿宋" w:hAnsi="仿宋" w:eastAsia="仿宋" w:cs="宋体"/>
                <w:color w:val="auto"/>
                <w:sz w:val="18"/>
                <w:szCs w:val="18"/>
              </w:rPr>
            </w:pPr>
            <w:r>
              <w:rPr>
                <w:rFonts w:hint="eastAsia" w:ascii="仿宋" w:hAnsi="仿宋" w:eastAsia="仿宋" w:cs="宋体"/>
                <w:color w:val="auto"/>
                <w:sz w:val="18"/>
                <w:szCs w:val="18"/>
              </w:rPr>
              <w:t>X≥1000</w:t>
            </w:r>
          </w:p>
        </w:tc>
        <w:tc>
          <w:tcPr>
            <w:tcW w:w="1701" w:type="dxa"/>
            <w:tcBorders>
              <w:top w:val="nil"/>
              <w:left w:val="nil"/>
              <w:bottom w:val="nil"/>
              <w:right w:val="single" w:color="auto" w:sz="4" w:space="0"/>
            </w:tcBorders>
            <w:vAlign w:val="center"/>
          </w:tcPr>
          <w:p w14:paraId="6426D9CC">
            <w:pPr>
              <w:jc w:val="center"/>
              <w:rPr>
                <w:rFonts w:ascii="仿宋" w:hAnsi="仿宋" w:eastAsia="仿宋" w:cs="宋体"/>
                <w:color w:val="auto"/>
                <w:sz w:val="18"/>
                <w:szCs w:val="18"/>
              </w:rPr>
            </w:pPr>
            <w:r>
              <w:rPr>
                <w:rFonts w:hint="eastAsia" w:ascii="仿宋" w:hAnsi="仿宋" w:eastAsia="仿宋" w:cs="宋体"/>
                <w:color w:val="auto"/>
                <w:sz w:val="18"/>
                <w:szCs w:val="18"/>
              </w:rPr>
              <w:t>300≤X＜1000</w:t>
            </w:r>
          </w:p>
        </w:tc>
        <w:tc>
          <w:tcPr>
            <w:tcW w:w="1426" w:type="dxa"/>
            <w:tcBorders>
              <w:top w:val="nil"/>
              <w:left w:val="nil"/>
              <w:bottom w:val="nil"/>
              <w:right w:val="single" w:color="auto" w:sz="4" w:space="0"/>
            </w:tcBorders>
            <w:vAlign w:val="center"/>
          </w:tcPr>
          <w:p w14:paraId="660AF228">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20≤X＜300</w:t>
            </w:r>
          </w:p>
        </w:tc>
        <w:tc>
          <w:tcPr>
            <w:tcW w:w="992" w:type="dxa"/>
            <w:vAlign w:val="center"/>
          </w:tcPr>
          <w:p w14:paraId="728DF75A">
            <w:pPr>
              <w:jc w:val="center"/>
              <w:rPr>
                <w:rFonts w:ascii="仿宋" w:hAnsi="仿宋" w:eastAsia="仿宋" w:cs="宋体"/>
                <w:color w:val="auto"/>
                <w:sz w:val="18"/>
                <w:szCs w:val="18"/>
              </w:rPr>
            </w:pPr>
            <w:r>
              <w:rPr>
                <w:rFonts w:hint="eastAsia" w:ascii="仿宋" w:hAnsi="仿宋" w:eastAsia="仿宋" w:cs="宋体"/>
                <w:color w:val="auto"/>
                <w:sz w:val="18"/>
                <w:szCs w:val="18"/>
              </w:rPr>
              <w:t>X＜20</w:t>
            </w:r>
          </w:p>
        </w:tc>
      </w:tr>
      <w:tr w14:paraId="7C85957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70A5556">
            <w:pPr>
              <w:widowControl/>
              <w:jc w:val="left"/>
              <w:rPr>
                <w:rFonts w:ascii="仿宋" w:hAnsi="仿宋" w:eastAsia="仿宋" w:cs="宋体"/>
                <w:color w:val="auto"/>
                <w:sz w:val="18"/>
                <w:szCs w:val="18"/>
              </w:rPr>
            </w:pPr>
          </w:p>
        </w:tc>
        <w:tc>
          <w:tcPr>
            <w:tcW w:w="1369" w:type="dxa"/>
            <w:tcBorders>
              <w:top w:val="nil"/>
              <w:left w:val="nil"/>
              <w:bottom w:val="single" w:color="auto" w:sz="4" w:space="0"/>
              <w:right w:val="single" w:color="auto" w:sz="4" w:space="0"/>
            </w:tcBorders>
            <w:vAlign w:val="center"/>
          </w:tcPr>
          <w:p w14:paraId="062BDFF4">
            <w:pPr>
              <w:spacing w:line="240" w:lineRule="exact"/>
              <w:jc w:val="center"/>
              <w:rPr>
                <w:rFonts w:ascii="仿宋" w:hAnsi="仿宋" w:eastAsia="仿宋" w:cs="宋体"/>
                <w:color w:val="auto"/>
                <w:sz w:val="18"/>
                <w:szCs w:val="18"/>
              </w:rPr>
            </w:pPr>
            <w:r>
              <w:rPr>
                <w:rFonts w:hint="eastAsia" w:ascii="仿宋" w:hAnsi="仿宋" w:eastAsia="仿宋" w:cs="宋体"/>
                <w:color w:val="auto"/>
                <w:sz w:val="18"/>
                <w:szCs w:val="18"/>
              </w:rPr>
              <w:t>营业收入(Y)</w:t>
            </w:r>
          </w:p>
        </w:tc>
        <w:tc>
          <w:tcPr>
            <w:tcW w:w="709" w:type="dxa"/>
            <w:tcBorders>
              <w:top w:val="nil"/>
              <w:left w:val="nil"/>
              <w:bottom w:val="single" w:color="auto" w:sz="4" w:space="0"/>
              <w:right w:val="single" w:color="auto" w:sz="4" w:space="0"/>
            </w:tcBorders>
            <w:vAlign w:val="center"/>
          </w:tcPr>
          <w:p w14:paraId="3EE402CD">
            <w:pPr>
              <w:jc w:val="center"/>
              <w:rPr>
                <w:rFonts w:ascii="仿宋" w:hAnsi="仿宋" w:eastAsia="仿宋" w:cs="宋体"/>
                <w:color w:val="auto"/>
                <w:sz w:val="18"/>
                <w:szCs w:val="18"/>
              </w:rPr>
            </w:pPr>
            <w:r>
              <w:rPr>
                <w:rFonts w:hint="eastAsia" w:ascii="仿宋" w:hAnsi="仿宋" w:eastAsia="仿宋" w:cs="宋体"/>
                <w:color w:val="auto"/>
                <w:sz w:val="18"/>
                <w:szCs w:val="18"/>
              </w:rPr>
              <w:t>万元</w:t>
            </w:r>
          </w:p>
        </w:tc>
        <w:tc>
          <w:tcPr>
            <w:tcW w:w="1125" w:type="dxa"/>
            <w:tcBorders>
              <w:top w:val="nil"/>
              <w:left w:val="nil"/>
              <w:bottom w:val="single" w:color="auto" w:sz="4" w:space="0"/>
              <w:right w:val="single" w:color="auto" w:sz="4" w:space="0"/>
            </w:tcBorders>
            <w:vAlign w:val="center"/>
          </w:tcPr>
          <w:p w14:paraId="35EB2EA3">
            <w:pPr>
              <w:jc w:val="center"/>
              <w:rPr>
                <w:rFonts w:ascii="仿宋" w:hAnsi="仿宋" w:eastAsia="仿宋" w:cs="宋体"/>
                <w:color w:val="auto"/>
                <w:sz w:val="18"/>
                <w:szCs w:val="18"/>
              </w:rPr>
            </w:pPr>
            <w:r>
              <w:rPr>
                <w:rFonts w:hint="eastAsia" w:ascii="仿宋" w:hAnsi="仿宋" w:eastAsia="仿宋" w:cs="宋体"/>
                <w:color w:val="auto"/>
                <w:sz w:val="18"/>
                <w:szCs w:val="18"/>
              </w:rPr>
              <w:t>Y≥40000</w:t>
            </w:r>
          </w:p>
        </w:tc>
        <w:tc>
          <w:tcPr>
            <w:tcW w:w="1701" w:type="dxa"/>
            <w:tcBorders>
              <w:top w:val="nil"/>
              <w:left w:val="nil"/>
              <w:bottom w:val="single" w:color="auto" w:sz="4" w:space="0"/>
              <w:right w:val="single" w:color="auto" w:sz="4" w:space="0"/>
            </w:tcBorders>
            <w:vAlign w:val="center"/>
          </w:tcPr>
          <w:p w14:paraId="3BFE014C">
            <w:pPr>
              <w:jc w:val="center"/>
              <w:rPr>
                <w:rFonts w:ascii="仿宋" w:hAnsi="仿宋" w:eastAsia="仿宋" w:cs="宋体"/>
                <w:color w:val="auto"/>
                <w:sz w:val="18"/>
                <w:szCs w:val="18"/>
              </w:rPr>
            </w:pPr>
            <w:r>
              <w:rPr>
                <w:rFonts w:hint="eastAsia" w:ascii="仿宋" w:hAnsi="仿宋" w:eastAsia="仿宋" w:cs="宋体"/>
                <w:color w:val="auto"/>
                <w:sz w:val="18"/>
                <w:szCs w:val="18"/>
              </w:rPr>
              <w:t>2000≤Y＜40000</w:t>
            </w:r>
          </w:p>
        </w:tc>
        <w:tc>
          <w:tcPr>
            <w:tcW w:w="1426" w:type="dxa"/>
            <w:tcBorders>
              <w:top w:val="nil"/>
              <w:left w:val="nil"/>
              <w:bottom w:val="single" w:color="auto" w:sz="4" w:space="0"/>
              <w:right w:val="single" w:color="auto" w:sz="4" w:space="0"/>
            </w:tcBorders>
            <w:vAlign w:val="center"/>
          </w:tcPr>
          <w:p w14:paraId="62ACA163">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300≤Y＜2000</w:t>
            </w:r>
          </w:p>
        </w:tc>
        <w:tc>
          <w:tcPr>
            <w:tcW w:w="992" w:type="dxa"/>
            <w:tcBorders>
              <w:top w:val="nil"/>
              <w:left w:val="nil"/>
              <w:bottom w:val="single" w:color="auto" w:sz="4" w:space="0"/>
              <w:right w:val="nil"/>
            </w:tcBorders>
            <w:vAlign w:val="center"/>
          </w:tcPr>
          <w:p w14:paraId="045EF440">
            <w:pPr>
              <w:jc w:val="center"/>
              <w:rPr>
                <w:rFonts w:ascii="仿宋" w:hAnsi="仿宋" w:eastAsia="仿宋" w:cs="宋体"/>
                <w:color w:val="auto"/>
                <w:sz w:val="18"/>
                <w:szCs w:val="18"/>
              </w:rPr>
            </w:pPr>
            <w:r>
              <w:rPr>
                <w:rFonts w:hint="eastAsia" w:ascii="仿宋" w:hAnsi="仿宋" w:eastAsia="仿宋" w:cs="宋体"/>
                <w:color w:val="auto"/>
                <w:sz w:val="18"/>
                <w:szCs w:val="18"/>
              </w:rPr>
              <w:t>Y＜300</w:t>
            </w:r>
          </w:p>
        </w:tc>
      </w:tr>
      <w:tr w14:paraId="4072165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FB7B024">
            <w:pPr>
              <w:spacing w:line="240" w:lineRule="exact"/>
              <w:rPr>
                <w:rFonts w:ascii="仿宋" w:hAnsi="仿宋" w:eastAsia="仿宋" w:cs="宋体"/>
                <w:color w:val="auto"/>
                <w:sz w:val="18"/>
                <w:szCs w:val="18"/>
              </w:rPr>
            </w:pPr>
            <w:r>
              <w:rPr>
                <w:rFonts w:hint="eastAsia" w:ascii="仿宋" w:hAnsi="仿宋" w:eastAsia="仿宋" w:cs="宋体"/>
                <w:color w:val="auto"/>
                <w:sz w:val="18"/>
                <w:szCs w:val="18"/>
              </w:rPr>
              <w:t>建筑业</w:t>
            </w:r>
          </w:p>
        </w:tc>
        <w:tc>
          <w:tcPr>
            <w:tcW w:w="1369" w:type="dxa"/>
            <w:tcBorders>
              <w:top w:val="nil"/>
              <w:left w:val="nil"/>
              <w:bottom w:val="nil"/>
              <w:right w:val="single" w:color="auto" w:sz="4" w:space="0"/>
            </w:tcBorders>
            <w:vAlign w:val="center"/>
          </w:tcPr>
          <w:p w14:paraId="2E5EBCE0">
            <w:pPr>
              <w:jc w:val="center"/>
              <w:rPr>
                <w:rFonts w:ascii="仿宋" w:hAnsi="仿宋" w:eastAsia="仿宋" w:cs="宋体"/>
                <w:color w:val="auto"/>
                <w:sz w:val="18"/>
                <w:szCs w:val="18"/>
              </w:rPr>
            </w:pPr>
            <w:r>
              <w:rPr>
                <w:rFonts w:hint="eastAsia" w:ascii="仿宋" w:hAnsi="仿宋" w:eastAsia="仿宋" w:cs="宋体"/>
                <w:color w:val="auto"/>
                <w:sz w:val="18"/>
                <w:szCs w:val="18"/>
              </w:rPr>
              <w:t>营业收入(Y)</w:t>
            </w:r>
          </w:p>
        </w:tc>
        <w:tc>
          <w:tcPr>
            <w:tcW w:w="709" w:type="dxa"/>
            <w:tcBorders>
              <w:top w:val="nil"/>
              <w:left w:val="nil"/>
              <w:bottom w:val="nil"/>
              <w:right w:val="single" w:color="auto" w:sz="4" w:space="0"/>
            </w:tcBorders>
            <w:vAlign w:val="center"/>
          </w:tcPr>
          <w:p w14:paraId="73852F1A">
            <w:pPr>
              <w:jc w:val="center"/>
              <w:rPr>
                <w:rFonts w:ascii="仿宋" w:hAnsi="仿宋" w:eastAsia="仿宋" w:cs="宋体"/>
                <w:color w:val="auto"/>
                <w:sz w:val="18"/>
                <w:szCs w:val="18"/>
              </w:rPr>
            </w:pPr>
            <w:r>
              <w:rPr>
                <w:rFonts w:hint="eastAsia" w:ascii="仿宋" w:hAnsi="仿宋" w:eastAsia="仿宋" w:cs="宋体"/>
                <w:color w:val="auto"/>
                <w:sz w:val="18"/>
                <w:szCs w:val="18"/>
              </w:rPr>
              <w:t>万元</w:t>
            </w:r>
          </w:p>
        </w:tc>
        <w:tc>
          <w:tcPr>
            <w:tcW w:w="1125" w:type="dxa"/>
            <w:tcBorders>
              <w:top w:val="nil"/>
              <w:left w:val="nil"/>
              <w:bottom w:val="nil"/>
              <w:right w:val="single" w:color="auto" w:sz="4" w:space="0"/>
            </w:tcBorders>
            <w:vAlign w:val="center"/>
          </w:tcPr>
          <w:p w14:paraId="6036D431">
            <w:pPr>
              <w:jc w:val="center"/>
              <w:rPr>
                <w:rFonts w:ascii="仿宋" w:hAnsi="仿宋" w:eastAsia="仿宋" w:cs="宋体"/>
                <w:color w:val="auto"/>
                <w:sz w:val="18"/>
                <w:szCs w:val="18"/>
              </w:rPr>
            </w:pPr>
            <w:r>
              <w:rPr>
                <w:rFonts w:hint="eastAsia" w:ascii="仿宋" w:hAnsi="仿宋" w:eastAsia="仿宋" w:cs="宋体"/>
                <w:color w:val="auto"/>
                <w:sz w:val="18"/>
                <w:szCs w:val="18"/>
              </w:rPr>
              <w:t>Y≥80000</w:t>
            </w:r>
          </w:p>
        </w:tc>
        <w:tc>
          <w:tcPr>
            <w:tcW w:w="1701" w:type="dxa"/>
            <w:tcBorders>
              <w:top w:val="nil"/>
              <w:left w:val="nil"/>
              <w:bottom w:val="nil"/>
              <w:right w:val="single" w:color="auto" w:sz="4" w:space="0"/>
            </w:tcBorders>
            <w:vAlign w:val="center"/>
          </w:tcPr>
          <w:p w14:paraId="1A3E2D05">
            <w:pPr>
              <w:jc w:val="center"/>
              <w:rPr>
                <w:rFonts w:ascii="仿宋" w:hAnsi="仿宋" w:eastAsia="仿宋" w:cs="宋体"/>
                <w:color w:val="auto"/>
                <w:sz w:val="18"/>
                <w:szCs w:val="18"/>
              </w:rPr>
            </w:pPr>
            <w:r>
              <w:rPr>
                <w:rFonts w:hint="eastAsia" w:ascii="仿宋" w:hAnsi="仿宋" w:eastAsia="仿宋" w:cs="宋体"/>
                <w:color w:val="auto"/>
                <w:sz w:val="18"/>
                <w:szCs w:val="18"/>
              </w:rPr>
              <w:t>6000≤Y＜80000</w:t>
            </w:r>
          </w:p>
        </w:tc>
        <w:tc>
          <w:tcPr>
            <w:tcW w:w="1426" w:type="dxa"/>
            <w:tcBorders>
              <w:top w:val="nil"/>
              <w:left w:val="nil"/>
              <w:bottom w:val="nil"/>
              <w:right w:val="single" w:color="auto" w:sz="4" w:space="0"/>
            </w:tcBorders>
            <w:vAlign w:val="center"/>
          </w:tcPr>
          <w:p w14:paraId="718CD8FE">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300≤Y＜6000</w:t>
            </w:r>
          </w:p>
        </w:tc>
        <w:tc>
          <w:tcPr>
            <w:tcW w:w="992" w:type="dxa"/>
            <w:vAlign w:val="center"/>
          </w:tcPr>
          <w:p w14:paraId="70FEDDDB">
            <w:pPr>
              <w:jc w:val="center"/>
              <w:rPr>
                <w:rFonts w:ascii="仿宋" w:hAnsi="仿宋" w:eastAsia="仿宋" w:cs="宋体"/>
                <w:color w:val="auto"/>
                <w:sz w:val="18"/>
                <w:szCs w:val="18"/>
              </w:rPr>
            </w:pPr>
            <w:r>
              <w:rPr>
                <w:rFonts w:hint="eastAsia" w:ascii="仿宋" w:hAnsi="仿宋" w:eastAsia="仿宋" w:cs="宋体"/>
                <w:color w:val="auto"/>
                <w:sz w:val="18"/>
                <w:szCs w:val="18"/>
              </w:rPr>
              <w:t>Y＜300</w:t>
            </w:r>
          </w:p>
        </w:tc>
      </w:tr>
      <w:tr w14:paraId="4B3024A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57E8C73">
            <w:pPr>
              <w:widowControl/>
              <w:jc w:val="left"/>
              <w:rPr>
                <w:rFonts w:ascii="仿宋" w:hAnsi="仿宋" w:eastAsia="仿宋" w:cs="宋体"/>
                <w:color w:val="auto"/>
                <w:sz w:val="18"/>
                <w:szCs w:val="18"/>
              </w:rPr>
            </w:pPr>
          </w:p>
        </w:tc>
        <w:tc>
          <w:tcPr>
            <w:tcW w:w="1369" w:type="dxa"/>
            <w:tcBorders>
              <w:top w:val="nil"/>
              <w:left w:val="nil"/>
              <w:bottom w:val="single" w:color="auto" w:sz="4" w:space="0"/>
              <w:right w:val="single" w:color="auto" w:sz="4" w:space="0"/>
            </w:tcBorders>
            <w:vAlign w:val="center"/>
          </w:tcPr>
          <w:p w14:paraId="0EC05AED">
            <w:pPr>
              <w:spacing w:line="240" w:lineRule="exact"/>
              <w:jc w:val="center"/>
              <w:rPr>
                <w:rFonts w:ascii="仿宋" w:hAnsi="仿宋" w:eastAsia="仿宋" w:cs="宋体"/>
                <w:color w:val="auto"/>
                <w:sz w:val="18"/>
                <w:szCs w:val="18"/>
              </w:rPr>
            </w:pPr>
            <w:r>
              <w:rPr>
                <w:rFonts w:hint="eastAsia" w:ascii="仿宋" w:hAnsi="仿宋" w:eastAsia="仿宋" w:cs="宋体"/>
                <w:color w:val="auto"/>
                <w:sz w:val="18"/>
                <w:szCs w:val="18"/>
              </w:rPr>
              <w:t>资产总额(Z)</w:t>
            </w:r>
          </w:p>
        </w:tc>
        <w:tc>
          <w:tcPr>
            <w:tcW w:w="709" w:type="dxa"/>
            <w:tcBorders>
              <w:top w:val="nil"/>
              <w:left w:val="nil"/>
              <w:bottom w:val="single" w:color="auto" w:sz="4" w:space="0"/>
              <w:right w:val="single" w:color="auto" w:sz="4" w:space="0"/>
            </w:tcBorders>
            <w:vAlign w:val="center"/>
          </w:tcPr>
          <w:p w14:paraId="6C27E16E">
            <w:pPr>
              <w:jc w:val="center"/>
              <w:rPr>
                <w:rFonts w:ascii="仿宋" w:hAnsi="仿宋" w:eastAsia="仿宋" w:cs="宋体"/>
                <w:color w:val="auto"/>
                <w:sz w:val="18"/>
                <w:szCs w:val="18"/>
              </w:rPr>
            </w:pPr>
            <w:r>
              <w:rPr>
                <w:rFonts w:hint="eastAsia" w:ascii="仿宋" w:hAnsi="仿宋" w:eastAsia="仿宋" w:cs="宋体"/>
                <w:color w:val="auto"/>
                <w:sz w:val="18"/>
                <w:szCs w:val="18"/>
              </w:rPr>
              <w:t>万元</w:t>
            </w:r>
          </w:p>
        </w:tc>
        <w:tc>
          <w:tcPr>
            <w:tcW w:w="1125" w:type="dxa"/>
            <w:tcBorders>
              <w:top w:val="nil"/>
              <w:left w:val="nil"/>
              <w:bottom w:val="single" w:color="auto" w:sz="4" w:space="0"/>
              <w:right w:val="single" w:color="auto" w:sz="4" w:space="0"/>
            </w:tcBorders>
            <w:vAlign w:val="center"/>
          </w:tcPr>
          <w:p w14:paraId="7B6EF505">
            <w:pPr>
              <w:jc w:val="center"/>
              <w:rPr>
                <w:rFonts w:ascii="仿宋" w:hAnsi="仿宋" w:eastAsia="仿宋" w:cs="宋体"/>
                <w:color w:val="auto"/>
                <w:sz w:val="18"/>
                <w:szCs w:val="18"/>
              </w:rPr>
            </w:pPr>
            <w:r>
              <w:rPr>
                <w:rFonts w:hint="eastAsia" w:ascii="仿宋" w:hAnsi="仿宋" w:eastAsia="仿宋" w:cs="宋体"/>
                <w:color w:val="auto"/>
                <w:sz w:val="18"/>
                <w:szCs w:val="18"/>
              </w:rPr>
              <w:t>Z≥80000</w:t>
            </w:r>
          </w:p>
        </w:tc>
        <w:tc>
          <w:tcPr>
            <w:tcW w:w="1701" w:type="dxa"/>
            <w:tcBorders>
              <w:top w:val="nil"/>
              <w:left w:val="nil"/>
              <w:bottom w:val="single" w:color="auto" w:sz="4" w:space="0"/>
              <w:right w:val="single" w:color="auto" w:sz="4" w:space="0"/>
            </w:tcBorders>
            <w:vAlign w:val="center"/>
          </w:tcPr>
          <w:p w14:paraId="2645A2B7">
            <w:pPr>
              <w:jc w:val="center"/>
              <w:rPr>
                <w:rFonts w:ascii="仿宋" w:hAnsi="仿宋" w:eastAsia="仿宋" w:cs="宋体"/>
                <w:color w:val="auto"/>
                <w:sz w:val="18"/>
                <w:szCs w:val="18"/>
              </w:rPr>
            </w:pPr>
            <w:r>
              <w:rPr>
                <w:rFonts w:hint="eastAsia" w:ascii="仿宋" w:hAnsi="仿宋" w:eastAsia="仿宋" w:cs="宋体"/>
                <w:color w:val="auto"/>
                <w:sz w:val="18"/>
                <w:szCs w:val="18"/>
              </w:rPr>
              <w:t>5000≤Z＜80000</w:t>
            </w:r>
          </w:p>
        </w:tc>
        <w:tc>
          <w:tcPr>
            <w:tcW w:w="1426" w:type="dxa"/>
            <w:tcBorders>
              <w:top w:val="nil"/>
              <w:left w:val="nil"/>
              <w:bottom w:val="single" w:color="auto" w:sz="4" w:space="0"/>
              <w:right w:val="single" w:color="auto" w:sz="4" w:space="0"/>
            </w:tcBorders>
            <w:vAlign w:val="center"/>
          </w:tcPr>
          <w:p w14:paraId="61082AB5">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300≤Z＜5000</w:t>
            </w:r>
          </w:p>
        </w:tc>
        <w:tc>
          <w:tcPr>
            <w:tcW w:w="992" w:type="dxa"/>
            <w:tcBorders>
              <w:top w:val="nil"/>
              <w:left w:val="nil"/>
              <w:bottom w:val="single" w:color="auto" w:sz="4" w:space="0"/>
              <w:right w:val="nil"/>
            </w:tcBorders>
            <w:vAlign w:val="center"/>
          </w:tcPr>
          <w:p w14:paraId="5EF9BD8A">
            <w:pPr>
              <w:jc w:val="center"/>
              <w:rPr>
                <w:rFonts w:ascii="仿宋" w:hAnsi="仿宋" w:eastAsia="仿宋" w:cs="宋体"/>
                <w:color w:val="auto"/>
                <w:sz w:val="18"/>
                <w:szCs w:val="18"/>
              </w:rPr>
            </w:pPr>
            <w:r>
              <w:rPr>
                <w:rFonts w:hint="eastAsia" w:ascii="仿宋" w:hAnsi="仿宋" w:eastAsia="仿宋" w:cs="宋体"/>
                <w:color w:val="auto"/>
                <w:sz w:val="18"/>
                <w:szCs w:val="18"/>
              </w:rPr>
              <w:t>Z＜300</w:t>
            </w:r>
          </w:p>
        </w:tc>
      </w:tr>
      <w:tr w14:paraId="2E40109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10DFBFA">
            <w:pPr>
              <w:spacing w:line="240" w:lineRule="exact"/>
              <w:rPr>
                <w:rFonts w:ascii="仿宋" w:hAnsi="仿宋" w:eastAsia="仿宋" w:cs="宋体"/>
                <w:color w:val="auto"/>
                <w:sz w:val="18"/>
                <w:szCs w:val="18"/>
              </w:rPr>
            </w:pPr>
            <w:r>
              <w:rPr>
                <w:rFonts w:hint="eastAsia" w:ascii="仿宋" w:hAnsi="仿宋" w:eastAsia="仿宋" w:cs="宋体"/>
                <w:color w:val="auto"/>
                <w:sz w:val="18"/>
                <w:szCs w:val="18"/>
              </w:rPr>
              <w:t>批发业</w:t>
            </w:r>
          </w:p>
        </w:tc>
        <w:tc>
          <w:tcPr>
            <w:tcW w:w="1369" w:type="dxa"/>
            <w:tcBorders>
              <w:top w:val="nil"/>
              <w:left w:val="nil"/>
              <w:bottom w:val="nil"/>
              <w:right w:val="single" w:color="auto" w:sz="4" w:space="0"/>
            </w:tcBorders>
            <w:vAlign w:val="center"/>
          </w:tcPr>
          <w:p w14:paraId="4146F008">
            <w:pPr>
              <w:jc w:val="center"/>
              <w:rPr>
                <w:rFonts w:ascii="仿宋" w:hAnsi="仿宋" w:eastAsia="仿宋" w:cs="宋体"/>
                <w:color w:val="auto"/>
                <w:sz w:val="18"/>
                <w:szCs w:val="18"/>
              </w:rPr>
            </w:pPr>
            <w:r>
              <w:rPr>
                <w:rFonts w:hint="eastAsia" w:ascii="仿宋" w:hAnsi="仿宋" w:eastAsia="仿宋" w:cs="宋体"/>
                <w:color w:val="auto"/>
                <w:sz w:val="18"/>
                <w:szCs w:val="18"/>
              </w:rPr>
              <w:t>从业人员(X)</w:t>
            </w:r>
          </w:p>
        </w:tc>
        <w:tc>
          <w:tcPr>
            <w:tcW w:w="709" w:type="dxa"/>
            <w:tcBorders>
              <w:top w:val="nil"/>
              <w:left w:val="nil"/>
              <w:bottom w:val="nil"/>
              <w:right w:val="single" w:color="auto" w:sz="4" w:space="0"/>
            </w:tcBorders>
            <w:vAlign w:val="center"/>
          </w:tcPr>
          <w:p w14:paraId="13E54672">
            <w:pPr>
              <w:jc w:val="center"/>
              <w:rPr>
                <w:rFonts w:ascii="仿宋" w:hAnsi="仿宋" w:eastAsia="仿宋" w:cs="宋体"/>
                <w:color w:val="auto"/>
                <w:sz w:val="18"/>
                <w:szCs w:val="18"/>
              </w:rPr>
            </w:pPr>
            <w:r>
              <w:rPr>
                <w:rFonts w:hint="eastAsia" w:ascii="仿宋" w:hAnsi="仿宋" w:eastAsia="仿宋" w:cs="宋体"/>
                <w:color w:val="auto"/>
                <w:sz w:val="18"/>
                <w:szCs w:val="18"/>
              </w:rPr>
              <w:t>人</w:t>
            </w:r>
          </w:p>
        </w:tc>
        <w:tc>
          <w:tcPr>
            <w:tcW w:w="1125" w:type="dxa"/>
            <w:tcBorders>
              <w:top w:val="nil"/>
              <w:left w:val="nil"/>
              <w:bottom w:val="nil"/>
              <w:right w:val="single" w:color="auto" w:sz="4" w:space="0"/>
            </w:tcBorders>
            <w:vAlign w:val="center"/>
          </w:tcPr>
          <w:p w14:paraId="0EDD02FE">
            <w:pPr>
              <w:jc w:val="center"/>
              <w:rPr>
                <w:rFonts w:ascii="仿宋" w:hAnsi="仿宋" w:eastAsia="仿宋" w:cs="宋体"/>
                <w:color w:val="auto"/>
                <w:sz w:val="18"/>
                <w:szCs w:val="18"/>
              </w:rPr>
            </w:pPr>
            <w:r>
              <w:rPr>
                <w:rFonts w:hint="eastAsia" w:ascii="仿宋" w:hAnsi="仿宋" w:eastAsia="仿宋" w:cs="宋体"/>
                <w:color w:val="auto"/>
                <w:sz w:val="18"/>
                <w:szCs w:val="18"/>
              </w:rPr>
              <w:t>X≥200</w:t>
            </w:r>
          </w:p>
        </w:tc>
        <w:tc>
          <w:tcPr>
            <w:tcW w:w="1701" w:type="dxa"/>
            <w:tcBorders>
              <w:top w:val="nil"/>
              <w:left w:val="nil"/>
              <w:bottom w:val="nil"/>
              <w:right w:val="single" w:color="auto" w:sz="4" w:space="0"/>
            </w:tcBorders>
            <w:vAlign w:val="center"/>
          </w:tcPr>
          <w:p w14:paraId="09EDFB90">
            <w:pPr>
              <w:jc w:val="center"/>
              <w:rPr>
                <w:rFonts w:ascii="仿宋" w:hAnsi="仿宋" w:eastAsia="仿宋" w:cs="宋体"/>
                <w:color w:val="auto"/>
                <w:sz w:val="18"/>
                <w:szCs w:val="18"/>
              </w:rPr>
            </w:pPr>
            <w:r>
              <w:rPr>
                <w:rFonts w:hint="eastAsia" w:ascii="仿宋" w:hAnsi="仿宋" w:eastAsia="仿宋" w:cs="宋体"/>
                <w:color w:val="auto"/>
                <w:sz w:val="18"/>
                <w:szCs w:val="18"/>
              </w:rPr>
              <w:t>20≤X＜200</w:t>
            </w:r>
          </w:p>
        </w:tc>
        <w:tc>
          <w:tcPr>
            <w:tcW w:w="1426" w:type="dxa"/>
            <w:tcBorders>
              <w:top w:val="nil"/>
              <w:left w:val="nil"/>
              <w:bottom w:val="nil"/>
              <w:right w:val="single" w:color="auto" w:sz="4" w:space="0"/>
            </w:tcBorders>
            <w:vAlign w:val="center"/>
          </w:tcPr>
          <w:p w14:paraId="28608D13">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5≤X＜20</w:t>
            </w:r>
          </w:p>
        </w:tc>
        <w:tc>
          <w:tcPr>
            <w:tcW w:w="992" w:type="dxa"/>
            <w:vAlign w:val="center"/>
          </w:tcPr>
          <w:p w14:paraId="27349864">
            <w:pPr>
              <w:jc w:val="center"/>
              <w:rPr>
                <w:rFonts w:ascii="仿宋" w:hAnsi="仿宋" w:eastAsia="仿宋" w:cs="宋体"/>
                <w:color w:val="auto"/>
                <w:sz w:val="18"/>
                <w:szCs w:val="18"/>
              </w:rPr>
            </w:pPr>
            <w:r>
              <w:rPr>
                <w:rFonts w:hint="eastAsia" w:ascii="仿宋" w:hAnsi="仿宋" w:eastAsia="仿宋" w:cs="宋体"/>
                <w:color w:val="auto"/>
                <w:sz w:val="18"/>
                <w:szCs w:val="18"/>
              </w:rPr>
              <w:t>X＜5</w:t>
            </w:r>
          </w:p>
        </w:tc>
      </w:tr>
      <w:tr w14:paraId="04C94C3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F7F655F">
            <w:pPr>
              <w:widowControl/>
              <w:jc w:val="left"/>
              <w:rPr>
                <w:rFonts w:ascii="仿宋" w:hAnsi="仿宋" w:eastAsia="仿宋" w:cs="宋体"/>
                <w:color w:val="auto"/>
                <w:sz w:val="18"/>
                <w:szCs w:val="18"/>
              </w:rPr>
            </w:pPr>
          </w:p>
        </w:tc>
        <w:tc>
          <w:tcPr>
            <w:tcW w:w="1369" w:type="dxa"/>
            <w:tcBorders>
              <w:top w:val="nil"/>
              <w:left w:val="nil"/>
              <w:bottom w:val="single" w:color="auto" w:sz="4" w:space="0"/>
              <w:right w:val="single" w:color="auto" w:sz="4" w:space="0"/>
            </w:tcBorders>
            <w:vAlign w:val="center"/>
          </w:tcPr>
          <w:p w14:paraId="72F43556">
            <w:pPr>
              <w:spacing w:line="240" w:lineRule="exact"/>
              <w:jc w:val="center"/>
              <w:rPr>
                <w:rFonts w:ascii="仿宋" w:hAnsi="仿宋" w:eastAsia="仿宋" w:cs="宋体"/>
                <w:color w:val="auto"/>
                <w:sz w:val="18"/>
                <w:szCs w:val="18"/>
              </w:rPr>
            </w:pPr>
            <w:r>
              <w:rPr>
                <w:rFonts w:hint="eastAsia" w:ascii="仿宋" w:hAnsi="仿宋" w:eastAsia="仿宋" w:cs="宋体"/>
                <w:color w:val="auto"/>
                <w:sz w:val="18"/>
                <w:szCs w:val="18"/>
              </w:rPr>
              <w:t>营业收入(Y)</w:t>
            </w:r>
          </w:p>
        </w:tc>
        <w:tc>
          <w:tcPr>
            <w:tcW w:w="709" w:type="dxa"/>
            <w:tcBorders>
              <w:top w:val="nil"/>
              <w:left w:val="nil"/>
              <w:bottom w:val="single" w:color="auto" w:sz="4" w:space="0"/>
              <w:right w:val="single" w:color="auto" w:sz="4" w:space="0"/>
            </w:tcBorders>
            <w:vAlign w:val="center"/>
          </w:tcPr>
          <w:p w14:paraId="4B652F30">
            <w:pPr>
              <w:jc w:val="center"/>
              <w:rPr>
                <w:rFonts w:ascii="仿宋" w:hAnsi="仿宋" w:eastAsia="仿宋" w:cs="宋体"/>
                <w:color w:val="auto"/>
                <w:sz w:val="18"/>
                <w:szCs w:val="18"/>
              </w:rPr>
            </w:pPr>
            <w:r>
              <w:rPr>
                <w:rFonts w:hint="eastAsia" w:ascii="仿宋" w:hAnsi="仿宋" w:eastAsia="仿宋" w:cs="宋体"/>
                <w:color w:val="auto"/>
                <w:sz w:val="18"/>
                <w:szCs w:val="18"/>
              </w:rPr>
              <w:t>万元</w:t>
            </w:r>
          </w:p>
        </w:tc>
        <w:tc>
          <w:tcPr>
            <w:tcW w:w="1125" w:type="dxa"/>
            <w:tcBorders>
              <w:top w:val="nil"/>
              <w:left w:val="nil"/>
              <w:bottom w:val="single" w:color="auto" w:sz="4" w:space="0"/>
              <w:right w:val="single" w:color="auto" w:sz="4" w:space="0"/>
            </w:tcBorders>
            <w:vAlign w:val="center"/>
          </w:tcPr>
          <w:p w14:paraId="75205B65">
            <w:pPr>
              <w:jc w:val="center"/>
              <w:rPr>
                <w:rFonts w:ascii="仿宋" w:hAnsi="仿宋" w:eastAsia="仿宋" w:cs="宋体"/>
                <w:color w:val="auto"/>
                <w:sz w:val="18"/>
                <w:szCs w:val="18"/>
              </w:rPr>
            </w:pPr>
            <w:r>
              <w:rPr>
                <w:rFonts w:hint="eastAsia" w:ascii="仿宋" w:hAnsi="仿宋" w:eastAsia="仿宋" w:cs="宋体"/>
                <w:color w:val="auto"/>
                <w:sz w:val="18"/>
                <w:szCs w:val="18"/>
              </w:rPr>
              <w:t>Y≥40000</w:t>
            </w:r>
          </w:p>
        </w:tc>
        <w:tc>
          <w:tcPr>
            <w:tcW w:w="1701" w:type="dxa"/>
            <w:tcBorders>
              <w:top w:val="nil"/>
              <w:left w:val="nil"/>
              <w:bottom w:val="single" w:color="auto" w:sz="4" w:space="0"/>
              <w:right w:val="single" w:color="auto" w:sz="4" w:space="0"/>
            </w:tcBorders>
            <w:vAlign w:val="center"/>
          </w:tcPr>
          <w:p w14:paraId="6728847E">
            <w:pPr>
              <w:jc w:val="center"/>
              <w:rPr>
                <w:rFonts w:ascii="仿宋" w:hAnsi="仿宋" w:eastAsia="仿宋" w:cs="宋体"/>
                <w:color w:val="auto"/>
                <w:sz w:val="18"/>
                <w:szCs w:val="18"/>
              </w:rPr>
            </w:pPr>
            <w:r>
              <w:rPr>
                <w:rFonts w:hint="eastAsia" w:ascii="仿宋" w:hAnsi="仿宋" w:eastAsia="仿宋" w:cs="宋体"/>
                <w:color w:val="auto"/>
                <w:sz w:val="18"/>
                <w:szCs w:val="18"/>
              </w:rPr>
              <w:t>5000≤Y＜40000</w:t>
            </w:r>
          </w:p>
        </w:tc>
        <w:tc>
          <w:tcPr>
            <w:tcW w:w="1426" w:type="dxa"/>
            <w:tcBorders>
              <w:top w:val="nil"/>
              <w:left w:val="nil"/>
              <w:bottom w:val="single" w:color="auto" w:sz="4" w:space="0"/>
              <w:right w:val="single" w:color="auto" w:sz="4" w:space="0"/>
            </w:tcBorders>
            <w:vAlign w:val="center"/>
          </w:tcPr>
          <w:p w14:paraId="016BDA38">
            <w:pPr>
              <w:ind w:left="-1" w:leftChars="-1" w:hanging="1"/>
              <w:jc w:val="center"/>
              <w:rPr>
                <w:rFonts w:ascii="仿宋" w:hAnsi="仿宋" w:eastAsia="仿宋" w:cs="宋体"/>
                <w:color w:val="auto"/>
                <w:sz w:val="18"/>
                <w:szCs w:val="18"/>
              </w:rPr>
            </w:pPr>
            <w:r>
              <w:rPr>
                <w:rFonts w:hint="eastAsia" w:ascii="仿宋" w:hAnsi="仿宋" w:eastAsia="仿宋" w:cs="宋体"/>
                <w:color w:val="auto"/>
                <w:sz w:val="18"/>
                <w:szCs w:val="18"/>
              </w:rPr>
              <w:t>1000≤Y＜5000</w:t>
            </w:r>
          </w:p>
        </w:tc>
        <w:tc>
          <w:tcPr>
            <w:tcW w:w="992" w:type="dxa"/>
            <w:tcBorders>
              <w:top w:val="nil"/>
              <w:left w:val="nil"/>
              <w:bottom w:val="single" w:color="auto" w:sz="4" w:space="0"/>
              <w:right w:val="nil"/>
            </w:tcBorders>
            <w:vAlign w:val="center"/>
          </w:tcPr>
          <w:p w14:paraId="205242B2">
            <w:pPr>
              <w:jc w:val="center"/>
              <w:rPr>
                <w:rFonts w:ascii="仿宋" w:hAnsi="仿宋" w:eastAsia="仿宋" w:cs="宋体"/>
                <w:color w:val="auto"/>
                <w:sz w:val="18"/>
                <w:szCs w:val="18"/>
              </w:rPr>
            </w:pPr>
            <w:r>
              <w:rPr>
                <w:rFonts w:hint="eastAsia" w:ascii="仿宋" w:hAnsi="仿宋" w:eastAsia="仿宋" w:cs="宋体"/>
                <w:color w:val="auto"/>
                <w:sz w:val="18"/>
                <w:szCs w:val="18"/>
              </w:rPr>
              <w:t>Y＜1000</w:t>
            </w:r>
          </w:p>
        </w:tc>
      </w:tr>
      <w:tr w14:paraId="17FF385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6392B4D">
            <w:pPr>
              <w:spacing w:line="240" w:lineRule="exact"/>
              <w:rPr>
                <w:rFonts w:ascii="仿宋" w:hAnsi="仿宋" w:eastAsia="仿宋" w:cs="宋体"/>
                <w:color w:val="auto"/>
                <w:sz w:val="18"/>
                <w:szCs w:val="18"/>
              </w:rPr>
            </w:pPr>
            <w:r>
              <w:rPr>
                <w:rFonts w:hint="eastAsia" w:ascii="仿宋" w:hAnsi="仿宋" w:eastAsia="仿宋" w:cs="宋体"/>
                <w:color w:val="auto"/>
                <w:sz w:val="18"/>
                <w:szCs w:val="18"/>
              </w:rPr>
              <w:t>零售业</w:t>
            </w:r>
          </w:p>
        </w:tc>
        <w:tc>
          <w:tcPr>
            <w:tcW w:w="1369" w:type="dxa"/>
            <w:tcBorders>
              <w:top w:val="nil"/>
              <w:left w:val="nil"/>
              <w:bottom w:val="nil"/>
              <w:right w:val="single" w:color="auto" w:sz="4" w:space="0"/>
            </w:tcBorders>
            <w:vAlign w:val="center"/>
          </w:tcPr>
          <w:p w14:paraId="6FD2550A">
            <w:pPr>
              <w:jc w:val="center"/>
              <w:rPr>
                <w:rFonts w:ascii="仿宋" w:hAnsi="仿宋" w:eastAsia="仿宋" w:cs="宋体"/>
                <w:color w:val="auto"/>
                <w:sz w:val="18"/>
                <w:szCs w:val="18"/>
              </w:rPr>
            </w:pPr>
            <w:r>
              <w:rPr>
                <w:rFonts w:hint="eastAsia" w:ascii="仿宋" w:hAnsi="仿宋" w:eastAsia="仿宋" w:cs="宋体"/>
                <w:color w:val="auto"/>
                <w:sz w:val="18"/>
                <w:szCs w:val="18"/>
              </w:rPr>
              <w:t>从业人员(X)</w:t>
            </w:r>
          </w:p>
        </w:tc>
        <w:tc>
          <w:tcPr>
            <w:tcW w:w="709" w:type="dxa"/>
            <w:tcBorders>
              <w:top w:val="nil"/>
              <w:left w:val="nil"/>
              <w:bottom w:val="nil"/>
              <w:right w:val="single" w:color="auto" w:sz="4" w:space="0"/>
            </w:tcBorders>
            <w:vAlign w:val="center"/>
          </w:tcPr>
          <w:p w14:paraId="745EC529">
            <w:pPr>
              <w:jc w:val="center"/>
              <w:rPr>
                <w:rFonts w:ascii="仿宋" w:hAnsi="仿宋" w:eastAsia="仿宋" w:cs="宋体"/>
                <w:color w:val="auto"/>
                <w:sz w:val="18"/>
                <w:szCs w:val="18"/>
              </w:rPr>
            </w:pPr>
            <w:r>
              <w:rPr>
                <w:rFonts w:hint="eastAsia" w:ascii="仿宋" w:hAnsi="仿宋" w:eastAsia="仿宋" w:cs="宋体"/>
                <w:color w:val="auto"/>
                <w:sz w:val="18"/>
                <w:szCs w:val="18"/>
              </w:rPr>
              <w:t>人</w:t>
            </w:r>
          </w:p>
        </w:tc>
        <w:tc>
          <w:tcPr>
            <w:tcW w:w="1125" w:type="dxa"/>
            <w:tcBorders>
              <w:top w:val="nil"/>
              <w:left w:val="nil"/>
              <w:bottom w:val="nil"/>
              <w:right w:val="single" w:color="auto" w:sz="4" w:space="0"/>
            </w:tcBorders>
            <w:vAlign w:val="center"/>
          </w:tcPr>
          <w:p w14:paraId="539F3D07">
            <w:pPr>
              <w:jc w:val="center"/>
              <w:rPr>
                <w:rFonts w:ascii="仿宋" w:hAnsi="仿宋" w:eastAsia="仿宋" w:cs="宋体"/>
                <w:color w:val="auto"/>
                <w:sz w:val="18"/>
                <w:szCs w:val="18"/>
              </w:rPr>
            </w:pPr>
            <w:r>
              <w:rPr>
                <w:rFonts w:hint="eastAsia" w:ascii="仿宋" w:hAnsi="仿宋" w:eastAsia="仿宋" w:cs="宋体"/>
                <w:color w:val="auto"/>
                <w:sz w:val="18"/>
                <w:szCs w:val="18"/>
              </w:rPr>
              <w:t>X≥300</w:t>
            </w:r>
          </w:p>
        </w:tc>
        <w:tc>
          <w:tcPr>
            <w:tcW w:w="1701" w:type="dxa"/>
            <w:tcBorders>
              <w:top w:val="nil"/>
              <w:left w:val="nil"/>
              <w:bottom w:val="nil"/>
              <w:right w:val="single" w:color="auto" w:sz="4" w:space="0"/>
            </w:tcBorders>
            <w:vAlign w:val="center"/>
          </w:tcPr>
          <w:p w14:paraId="5EA58F7F">
            <w:pPr>
              <w:jc w:val="center"/>
              <w:rPr>
                <w:rFonts w:ascii="仿宋" w:hAnsi="仿宋" w:eastAsia="仿宋" w:cs="宋体"/>
                <w:color w:val="auto"/>
                <w:sz w:val="18"/>
                <w:szCs w:val="18"/>
              </w:rPr>
            </w:pPr>
            <w:r>
              <w:rPr>
                <w:rFonts w:hint="eastAsia" w:ascii="仿宋" w:hAnsi="仿宋" w:eastAsia="仿宋" w:cs="宋体"/>
                <w:color w:val="auto"/>
                <w:sz w:val="18"/>
                <w:szCs w:val="18"/>
              </w:rPr>
              <w:t>50≤X＜300</w:t>
            </w:r>
          </w:p>
        </w:tc>
        <w:tc>
          <w:tcPr>
            <w:tcW w:w="1426" w:type="dxa"/>
            <w:tcBorders>
              <w:top w:val="nil"/>
              <w:left w:val="nil"/>
              <w:bottom w:val="nil"/>
              <w:right w:val="single" w:color="auto" w:sz="4" w:space="0"/>
            </w:tcBorders>
            <w:vAlign w:val="center"/>
          </w:tcPr>
          <w:p w14:paraId="53AB0BA0">
            <w:pPr>
              <w:ind w:left="-1" w:leftChars="-1" w:hanging="1"/>
              <w:jc w:val="center"/>
              <w:rPr>
                <w:rFonts w:ascii="仿宋" w:hAnsi="仿宋" w:eastAsia="仿宋" w:cs="宋体"/>
                <w:color w:val="auto"/>
                <w:sz w:val="18"/>
                <w:szCs w:val="18"/>
              </w:rPr>
            </w:pPr>
            <w:r>
              <w:rPr>
                <w:rFonts w:hint="eastAsia" w:ascii="仿宋" w:hAnsi="仿宋" w:eastAsia="仿宋" w:cs="宋体"/>
                <w:color w:val="auto"/>
                <w:sz w:val="18"/>
                <w:szCs w:val="18"/>
              </w:rPr>
              <w:t xml:space="preserve">10≤X＜50 </w:t>
            </w:r>
          </w:p>
        </w:tc>
        <w:tc>
          <w:tcPr>
            <w:tcW w:w="992" w:type="dxa"/>
            <w:vAlign w:val="center"/>
          </w:tcPr>
          <w:p w14:paraId="148CAC1D">
            <w:pPr>
              <w:jc w:val="center"/>
              <w:rPr>
                <w:rFonts w:ascii="仿宋" w:hAnsi="仿宋" w:eastAsia="仿宋" w:cs="宋体"/>
                <w:color w:val="auto"/>
                <w:sz w:val="18"/>
                <w:szCs w:val="18"/>
              </w:rPr>
            </w:pPr>
            <w:r>
              <w:rPr>
                <w:rFonts w:hint="eastAsia" w:ascii="仿宋" w:hAnsi="仿宋" w:eastAsia="仿宋" w:cs="宋体"/>
                <w:color w:val="auto"/>
                <w:sz w:val="18"/>
                <w:szCs w:val="18"/>
              </w:rPr>
              <w:t>X＜10</w:t>
            </w:r>
          </w:p>
        </w:tc>
      </w:tr>
      <w:tr w14:paraId="7DB9152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53555D3">
            <w:pPr>
              <w:widowControl/>
              <w:jc w:val="left"/>
              <w:rPr>
                <w:rFonts w:ascii="仿宋" w:hAnsi="仿宋" w:eastAsia="仿宋" w:cs="宋体"/>
                <w:color w:val="auto"/>
                <w:sz w:val="18"/>
                <w:szCs w:val="18"/>
              </w:rPr>
            </w:pPr>
          </w:p>
        </w:tc>
        <w:tc>
          <w:tcPr>
            <w:tcW w:w="1369" w:type="dxa"/>
            <w:tcBorders>
              <w:top w:val="nil"/>
              <w:left w:val="nil"/>
              <w:bottom w:val="single" w:color="auto" w:sz="4" w:space="0"/>
              <w:right w:val="single" w:color="auto" w:sz="4" w:space="0"/>
            </w:tcBorders>
            <w:vAlign w:val="center"/>
          </w:tcPr>
          <w:p w14:paraId="638FD104">
            <w:pPr>
              <w:spacing w:line="240" w:lineRule="exact"/>
              <w:jc w:val="center"/>
              <w:rPr>
                <w:rFonts w:ascii="仿宋" w:hAnsi="仿宋" w:eastAsia="仿宋" w:cs="宋体"/>
                <w:color w:val="auto"/>
                <w:sz w:val="18"/>
                <w:szCs w:val="18"/>
              </w:rPr>
            </w:pPr>
            <w:r>
              <w:rPr>
                <w:rFonts w:hint="eastAsia" w:ascii="仿宋" w:hAnsi="仿宋" w:eastAsia="仿宋" w:cs="宋体"/>
                <w:color w:val="auto"/>
                <w:sz w:val="18"/>
                <w:szCs w:val="18"/>
              </w:rPr>
              <w:t>营业收入(Y)</w:t>
            </w:r>
          </w:p>
        </w:tc>
        <w:tc>
          <w:tcPr>
            <w:tcW w:w="709" w:type="dxa"/>
            <w:tcBorders>
              <w:top w:val="nil"/>
              <w:left w:val="nil"/>
              <w:bottom w:val="single" w:color="auto" w:sz="4" w:space="0"/>
              <w:right w:val="single" w:color="auto" w:sz="4" w:space="0"/>
            </w:tcBorders>
            <w:vAlign w:val="center"/>
          </w:tcPr>
          <w:p w14:paraId="43D5BB84">
            <w:pPr>
              <w:jc w:val="center"/>
              <w:rPr>
                <w:rFonts w:ascii="仿宋" w:hAnsi="仿宋" w:eastAsia="仿宋" w:cs="宋体"/>
                <w:color w:val="auto"/>
                <w:sz w:val="18"/>
                <w:szCs w:val="18"/>
              </w:rPr>
            </w:pPr>
            <w:r>
              <w:rPr>
                <w:rFonts w:hint="eastAsia" w:ascii="仿宋" w:hAnsi="仿宋" w:eastAsia="仿宋" w:cs="宋体"/>
                <w:color w:val="auto"/>
                <w:sz w:val="18"/>
                <w:szCs w:val="18"/>
              </w:rPr>
              <w:t>万元</w:t>
            </w:r>
          </w:p>
        </w:tc>
        <w:tc>
          <w:tcPr>
            <w:tcW w:w="1125" w:type="dxa"/>
            <w:tcBorders>
              <w:top w:val="nil"/>
              <w:left w:val="nil"/>
              <w:bottom w:val="single" w:color="auto" w:sz="4" w:space="0"/>
              <w:right w:val="single" w:color="auto" w:sz="4" w:space="0"/>
            </w:tcBorders>
            <w:vAlign w:val="center"/>
          </w:tcPr>
          <w:p w14:paraId="3B9CA655">
            <w:pPr>
              <w:jc w:val="center"/>
              <w:rPr>
                <w:rFonts w:ascii="仿宋" w:hAnsi="仿宋" w:eastAsia="仿宋" w:cs="宋体"/>
                <w:color w:val="auto"/>
                <w:sz w:val="18"/>
                <w:szCs w:val="18"/>
              </w:rPr>
            </w:pPr>
            <w:r>
              <w:rPr>
                <w:rFonts w:hint="eastAsia" w:ascii="仿宋" w:hAnsi="仿宋" w:eastAsia="仿宋" w:cs="宋体"/>
                <w:color w:val="auto"/>
                <w:sz w:val="18"/>
                <w:szCs w:val="18"/>
              </w:rPr>
              <w:t>Y≥20000</w:t>
            </w:r>
          </w:p>
        </w:tc>
        <w:tc>
          <w:tcPr>
            <w:tcW w:w="1701" w:type="dxa"/>
            <w:tcBorders>
              <w:top w:val="nil"/>
              <w:left w:val="nil"/>
              <w:bottom w:val="single" w:color="auto" w:sz="4" w:space="0"/>
              <w:right w:val="single" w:color="auto" w:sz="4" w:space="0"/>
            </w:tcBorders>
            <w:vAlign w:val="center"/>
          </w:tcPr>
          <w:p w14:paraId="7ED9D930">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500≤Y＜20000</w:t>
            </w:r>
          </w:p>
        </w:tc>
        <w:tc>
          <w:tcPr>
            <w:tcW w:w="1426" w:type="dxa"/>
            <w:tcBorders>
              <w:top w:val="nil"/>
              <w:left w:val="nil"/>
              <w:bottom w:val="single" w:color="auto" w:sz="4" w:space="0"/>
              <w:right w:val="single" w:color="auto" w:sz="4" w:space="0"/>
            </w:tcBorders>
            <w:vAlign w:val="center"/>
          </w:tcPr>
          <w:p w14:paraId="7F0DBFE6">
            <w:pPr>
              <w:ind w:left="-1" w:leftChars="-1" w:hanging="1"/>
              <w:jc w:val="center"/>
              <w:rPr>
                <w:rFonts w:ascii="仿宋" w:hAnsi="仿宋" w:eastAsia="仿宋" w:cs="宋体"/>
                <w:color w:val="auto"/>
                <w:sz w:val="18"/>
                <w:szCs w:val="18"/>
              </w:rPr>
            </w:pPr>
            <w:r>
              <w:rPr>
                <w:rFonts w:hint="eastAsia" w:ascii="仿宋" w:hAnsi="仿宋" w:eastAsia="仿宋" w:cs="宋体"/>
                <w:color w:val="auto"/>
                <w:sz w:val="18"/>
                <w:szCs w:val="18"/>
              </w:rPr>
              <w:t xml:space="preserve">100≤Y＜500 </w:t>
            </w:r>
          </w:p>
        </w:tc>
        <w:tc>
          <w:tcPr>
            <w:tcW w:w="992" w:type="dxa"/>
            <w:tcBorders>
              <w:top w:val="nil"/>
              <w:left w:val="nil"/>
              <w:bottom w:val="single" w:color="auto" w:sz="4" w:space="0"/>
              <w:right w:val="nil"/>
            </w:tcBorders>
            <w:vAlign w:val="center"/>
          </w:tcPr>
          <w:p w14:paraId="1D42DF9D">
            <w:pPr>
              <w:jc w:val="center"/>
              <w:rPr>
                <w:rFonts w:ascii="仿宋" w:hAnsi="仿宋" w:eastAsia="仿宋" w:cs="宋体"/>
                <w:color w:val="auto"/>
                <w:sz w:val="18"/>
                <w:szCs w:val="18"/>
              </w:rPr>
            </w:pPr>
            <w:r>
              <w:rPr>
                <w:rFonts w:hint="eastAsia" w:ascii="仿宋" w:hAnsi="仿宋" w:eastAsia="仿宋" w:cs="宋体"/>
                <w:color w:val="auto"/>
                <w:sz w:val="18"/>
                <w:szCs w:val="18"/>
              </w:rPr>
              <w:t>Y＜100</w:t>
            </w:r>
          </w:p>
        </w:tc>
      </w:tr>
      <w:tr w14:paraId="5204154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45BC693">
            <w:pPr>
              <w:spacing w:line="240" w:lineRule="exact"/>
              <w:rPr>
                <w:rFonts w:ascii="仿宋" w:hAnsi="仿宋" w:eastAsia="仿宋" w:cs="宋体"/>
                <w:color w:val="auto"/>
                <w:sz w:val="18"/>
                <w:szCs w:val="18"/>
              </w:rPr>
            </w:pPr>
            <w:r>
              <w:rPr>
                <w:rFonts w:hint="eastAsia" w:ascii="仿宋" w:hAnsi="仿宋" w:eastAsia="仿宋" w:cs="宋体"/>
                <w:color w:val="auto"/>
                <w:sz w:val="18"/>
                <w:szCs w:val="18"/>
              </w:rPr>
              <w:t>交通运输业 *</w:t>
            </w:r>
          </w:p>
        </w:tc>
        <w:tc>
          <w:tcPr>
            <w:tcW w:w="1369" w:type="dxa"/>
            <w:tcBorders>
              <w:top w:val="nil"/>
              <w:left w:val="nil"/>
              <w:bottom w:val="nil"/>
              <w:right w:val="single" w:color="auto" w:sz="4" w:space="0"/>
            </w:tcBorders>
            <w:vAlign w:val="center"/>
          </w:tcPr>
          <w:p w14:paraId="7DF4883D">
            <w:pPr>
              <w:jc w:val="center"/>
              <w:rPr>
                <w:rFonts w:ascii="仿宋" w:hAnsi="仿宋" w:eastAsia="仿宋" w:cs="宋体"/>
                <w:color w:val="auto"/>
                <w:sz w:val="18"/>
                <w:szCs w:val="18"/>
              </w:rPr>
            </w:pPr>
            <w:r>
              <w:rPr>
                <w:rFonts w:hint="eastAsia" w:ascii="仿宋" w:hAnsi="仿宋" w:eastAsia="仿宋" w:cs="宋体"/>
                <w:color w:val="auto"/>
                <w:sz w:val="18"/>
                <w:szCs w:val="18"/>
              </w:rPr>
              <w:t>从业人员(X)</w:t>
            </w:r>
          </w:p>
        </w:tc>
        <w:tc>
          <w:tcPr>
            <w:tcW w:w="709" w:type="dxa"/>
            <w:tcBorders>
              <w:top w:val="nil"/>
              <w:left w:val="nil"/>
              <w:bottom w:val="nil"/>
              <w:right w:val="single" w:color="auto" w:sz="4" w:space="0"/>
            </w:tcBorders>
            <w:vAlign w:val="center"/>
          </w:tcPr>
          <w:p w14:paraId="4DD22D2B">
            <w:pPr>
              <w:jc w:val="center"/>
              <w:rPr>
                <w:rFonts w:ascii="仿宋" w:hAnsi="仿宋" w:eastAsia="仿宋" w:cs="宋体"/>
                <w:color w:val="auto"/>
                <w:sz w:val="18"/>
                <w:szCs w:val="18"/>
              </w:rPr>
            </w:pPr>
            <w:r>
              <w:rPr>
                <w:rFonts w:hint="eastAsia" w:ascii="仿宋" w:hAnsi="仿宋" w:eastAsia="仿宋" w:cs="宋体"/>
                <w:color w:val="auto"/>
                <w:sz w:val="18"/>
                <w:szCs w:val="18"/>
              </w:rPr>
              <w:t>人</w:t>
            </w:r>
          </w:p>
        </w:tc>
        <w:tc>
          <w:tcPr>
            <w:tcW w:w="1125" w:type="dxa"/>
            <w:tcBorders>
              <w:top w:val="nil"/>
              <w:left w:val="nil"/>
              <w:bottom w:val="nil"/>
              <w:right w:val="single" w:color="auto" w:sz="4" w:space="0"/>
            </w:tcBorders>
            <w:vAlign w:val="center"/>
          </w:tcPr>
          <w:p w14:paraId="3C75F9C8">
            <w:pPr>
              <w:jc w:val="center"/>
              <w:rPr>
                <w:rFonts w:ascii="仿宋" w:hAnsi="仿宋" w:eastAsia="仿宋" w:cs="宋体"/>
                <w:color w:val="auto"/>
                <w:sz w:val="18"/>
                <w:szCs w:val="18"/>
              </w:rPr>
            </w:pPr>
            <w:r>
              <w:rPr>
                <w:rFonts w:hint="eastAsia" w:ascii="仿宋" w:hAnsi="仿宋" w:eastAsia="仿宋" w:cs="宋体"/>
                <w:color w:val="auto"/>
                <w:sz w:val="18"/>
                <w:szCs w:val="18"/>
              </w:rPr>
              <w:t>X≥1000</w:t>
            </w:r>
          </w:p>
        </w:tc>
        <w:tc>
          <w:tcPr>
            <w:tcW w:w="1701" w:type="dxa"/>
            <w:tcBorders>
              <w:top w:val="nil"/>
              <w:left w:val="nil"/>
              <w:bottom w:val="nil"/>
              <w:right w:val="single" w:color="auto" w:sz="4" w:space="0"/>
            </w:tcBorders>
            <w:vAlign w:val="center"/>
          </w:tcPr>
          <w:p w14:paraId="51959548">
            <w:pPr>
              <w:jc w:val="center"/>
              <w:rPr>
                <w:rFonts w:ascii="仿宋" w:hAnsi="仿宋" w:eastAsia="仿宋" w:cs="宋体"/>
                <w:color w:val="auto"/>
                <w:sz w:val="18"/>
                <w:szCs w:val="18"/>
              </w:rPr>
            </w:pPr>
            <w:r>
              <w:rPr>
                <w:rFonts w:hint="eastAsia" w:ascii="仿宋" w:hAnsi="仿宋" w:eastAsia="仿宋" w:cs="宋体"/>
                <w:color w:val="auto"/>
                <w:sz w:val="18"/>
                <w:szCs w:val="18"/>
              </w:rPr>
              <w:t>300≤X＜1000</w:t>
            </w:r>
          </w:p>
        </w:tc>
        <w:tc>
          <w:tcPr>
            <w:tcW w:w="1426" w:type="dxa"/>
            <w:tcBorders>
              <w:top w:val="nil"/>
              <w:left w:val="nil"/>
              <w:bottom w:val="nil"/>
              <w:right w:val="single" w:color="auto" w:sz="4" w:space="0"/>
            </w:tcBorders>
            <w:vAlign w:val="center"/>
          </w:tcPr>
          <w:p w14:paraId="28DC9E0C">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20≤X＜300</w:t>
            </w:r>
          </w:p>
        </w:tc>
        <w:tc>
          <w:tcPr>
            <w:tcW w:w="992" w:type="dxa"/>
            <w:vAlign w:val="center"/>
          </w:tcPr>
          <w:p w14:paraId="0EBAF688">
            <w:pPr>
              <w:jc w:val="center"/>
              <w:rPr>
                <w:rFonts w:ascii="仿宋" w:hAnsi="仿宋" w:eastAsia="仿宋" w:cs="宋体"/>
                <w:color w:val="auto"/>
                <w:sz w:val="18"/>
                <w:szCs w:val="18"/>
              </w:rPr>
            </w:pPr>
            <w:r>
              <w:rPr>
                <w:rFonts w:hint="eastAsia" w:ascii="仿宋" w:hAnsi="仿宋" w:eastAsia="仿宋" w:cs="宋体"/>
                <w:color w:val="auto"/>
                <w:sz w:val="18"/>
                <w:szCs w:val="18"/>
              </w:rPr>
              <w:t>X＜20</w:t>
            </w:r>
          </w:p>
        </w:tc>
      </w:tr>
      <w:tr w14:paraId="419897C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30872A7">
            <w:pPr>
              <w:widowControl/>
              <w:jc w:val="left"/>
              <w:rPr>
                <w:rFonts w:ascii="仿宋" w:hAnsi="仿宋" w:eastAsia="仿宋" w:cs="宋体"/>
                <w:color w:val="auto"/>
                <w:sz w:val="18"/>
                <w:szCs w:val="18"/>
              </w:rPr>
            </w:pPr>
          </w:p>
        </w:tc>
        <w:tc>
          <w:tcPr>
            <w:tcW w:w="1369" w:type="dxa"/>
            <w:tcBorders>
              <w:top w:val="nil"/>
              <w:left w:val="nil"/>
              <w:bottom w:val="single" w:color="auto" w:sz="4" w:space="0"/>
              <w:right w:val="single" w:color="auto" w:sz="4" w:space="0"/>
            </w:tcBorders>
            <w:vAlign w:val="center"/>
          </w:tcPr>
          <w:p w14:paraId="7BE88CD0">
            <w:pPr>
              <w:spacing w:line="240" w:lineRule="exact"/>
              <w:jc w:val="center"/>
              <w:rPr>
                <w:rFonts w:ascii="仿宋" w:hAnsi="仿宋" w:eastAsia="仿宋" w:cs="宋体"/>
                <w:color w:val="auto"/>
                <w:sz w:val="18"/>
                <w:szCs w:val="18"/>
              </w:rPr>
            </w:pPr>
            <w:r>
              <w:rPr>
                <w:rFonts w:hint="eastAsia" w:ascii="仿宋" w:hAnsi="仿宋" w:eastAsia="仿宋" w:cs="宋体"/>
                <w:color w:val="auto"/>
                <w:sz w:val="18"/>
                <w:szCs w:val="18"/>
              </w:rPr>
              <w:t>营业收入(Y)</w:t>
            </w:r>
          </w:p>
        </w:tc>
        <w:tc>
          <w:tcPr>
            <w:tcW w:w="709" w:type="dxa"/>
            <w:tcBorders>
              <w:top w:val="nil"/>
              <w:left w:val="nil"/>
              <w:bottom w:val="single" w:color="auto" w:sz="4" w:space="0"/>
              <w:right w:val="single" w:color="auto" w:sz="4" w:space="0"/>
            </w:tcBorders>
            <w:vAlign w:val="center"/>
          </w:tcPr>
          <w:p w14:paraId="26FB7B2B">
            <w:pPr>
              <w:jc w:val="center"/>
              <w:rPr>
                <w:rFonts w:ascii="仿宋" w:hAnsi="仿宋" w:eastAsia="仿宋" w:cs="宋体"/>
                <w:color w:val="auto"/>
                <w:sz w:val="18"/>
                <w:szCs w:val="18"/>
              </w:rPr>
            </w:pPr>
            <w:r>
              <w:rPr>
                <w:rFonts w:hint="eastAsia" w:ascii="仿宋" w:hAnsi="仿宋" w:eastAsia="仿宋" w:cs="宋体"/>
                <w:color w:val="auto"/>
                <w:sz w:val="18"/>
                <w:szCs w:val="18"/>
              </w:rPr>
              <w:t>万元</w:t>
            </w:r>
          </w:p>
        </w:tc>
        <w:tc>
          <w:tcPr>
            <w:tcW w:w="1125" w:type="dxa"/>
            <w:tcBorders>
              <w:top w:val="nil"/>
              <w:left w:val="nil"/>
              <w:bottom w:val="single" w:color="auto" w:sz="4" w:space="0"/>
              <w:right w:val="single" w:color="auto" w:sz="4" w:space="0"/>
            </w:tcBorders>
            <w:vAlign w:val="center"/>
          </w:tcPr>
          <w:p w14:paraId="32E089B0">
            <w:pPr>
              <w:jc w:val="center"/>
              <w:rPr>
                <w:rFonts w:ascii="仿宋" w:hAnsi="仿宋" w:eastAsia="仿宋" w:cs="宋体"/>
                <w:color w:val="auto"/>
                <w:sz w:val="18"/>
                <w:szCs w:val="18"/>
              </w:rPr>
            </w:pPr>
            <w:r>
              <w:rPr>
                <w:rFonts w:hint="eastAsia" w:ascii="仿宋" w:hAnsi="仿宋" w:eastAsia="仿宋" w:cs="宋体"/>
                <w:color w:val="auto"/>
                <w:sz w:val="18"/>
                <w:szCs w:val="18"/>
              </w:rPr>
              <w:t>Y≥30000</w:t>
            </w:r>
          </w:p>
        </w:tc>
        <w:tc>
          <w:tcPr>
            <w:tcW w:w="1701" w:type="dxa"/>
            <w:tcBorders>
              <w:top w:val="nil"/>
              <w:left w:val="nil"/>
              <w:bottom w:val="single" w:color="auto" w:sz="4" w:space="0"/>
              <w:right w:val="single" w:color="auto" w:sz="4" w:space="0"/>
            </w:tcBorders>
            <w:vAlign w:val="center"/>
          </w:tcPr>
          <w:p w14:paraId="203E08D4">
            <w:pPr>
              <w:jc w:val="center"/>
              <w:rPr>
                <w:rFonts w:ascii="仿宋" w:hAnsi="仿宋" w:eastAsia="仿宋" w:cs="宋体"/>
                <w:color w:val="auto"/>
                <w:sz w:val="18"/>
                <w:szCs w:val="18"/>
              </w:rPr>
            </w:pPr>
            <w:r>
              <w:rPr>
                <w:rFonts w:hint="eastAsia" w:ascii="仿宋" w:hAnsi="仿宋" w:eastAsia="仿宋" w:cs="宋体"/>
                <w:color w:val="auto"/>
                <w:sz w:val="18"/>
                <w:szCs w:val="18"/>
              </w:rPr>
              <w:t>3000≤Y＜30000</w:t>
            </w:r>
          </w:p>
        </w:tc>
        <w:tc>
          <w:tcPr>
            <w:tcW w:w="1426" w:type="dxa"/>
            <w:tcBorders>
              <w:top w:val="nil"/>
              <w:left w:val="nil"/>
              <w:bottom w:val="single" w:color="auto" w:sz="4" w:space="0"/>
              <w:right w:val="single" w:color="auto" w:sz="4" w:space="0"/>
            </w:tcBorders>
            <w:vAlign w:val="center"/>
          </w:tcPr>
          <w:p w14:paraId="3C6D73E7">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200≤Y＜3000</w:t>
            </w:r>
          </w:p>
        </w:tc>
        <w:tc>
          <w:tcPr>
            <w:tcW w:w="992" w:type="dxa"/>
            <w:tcBorders>
              <w:top w:val="nil"/>
              <w:left w:val="nil"/>
              <w:bottom w:val="single" w:color="auto" w:sz="4" w:space="0"/>
              <w:right w:val="nil"/>
            </w:tcBorders>
            <w:vAlign w:val="center"/>
          </w:tcPr>
          <w:p w14:paraId="7E47E3C7">
            <w:pPr>
              <w:jc w:val="center"/>
              <w:rPr>
                <w:rFonts w:ascii="仿宋" w:hAnsi="仿宋" w:eastAsia="仿宋" w:cs="宋体"/>
                <w:color w:val="auto"/>
                <w:sz w:val="18"/>
                <w:szCs w:val="18"/>
              </w:rPr>
            </w:pPr>
            <w:r>
              <w:rPr>
                <w:rFonts w:hint="eastAsia" w:ascii="仿宋" w:hAnsi="仿宋" w:eastAsia="仿宋" w:cs="宋体"/>
                <w:color w:val="auto"/>
                <w:sz w:val="18"/>
                <w:szCs w:val="18"/>
              </w:rPr>
              <w:t>Y＜200</w:t>
            </w:r>
          </w:p>
        </w:tc>
      </w:tr>
      <w:tr w14:paraId="600B5B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918B52C">
            <w:pPr>
              <w:spacing w:line="240" w:lineRule="exact"/>
              <w:rPr>
                <w:rFonts w:ascii="仿宋" w:hAnsi="仿宋" w:eastAsia="仿宋" w:cs="宋体"/>
                <w:color w:val="auto"/>
                <w:sz w:val="18"/>
                <w:szCs w:val="18"/>
              </w:rPr>
            </w:pPr>
            <w:r>
              <w:rPr>
                <w:rFonts w:hint="eastAsia" w:ascii="仿宋" w:hAnsi="仿宋" w:eastAsia="仿宋" w:cs="宋体"/>
                <w:color w:val="auto"/>
                <w:sz w:val="18"/>
                <w:szCs w:val="18"/>
              </w:rPr>
              <w:t>仓储业*</w:t>
            </w:r>
          </w:p>
        </w:tc>
        <w:tc>
          <w:tcPr>
            <w:tcW w:w="1369" w:type="dxa"/>
            <w:tcBorders>
              <w:top w:val="nil"/>
              <w:left w:val="nil"/>
              <w:bottom w:val="nil"/>
              <w:right w:val="single" w:color="auto" w:sz="4" w:space="0"/>
            </w:tcBorders>
            <w:vAlign w:val="center"/>
          </w:tcPr>
          <w:p w14:paraId="4DEA7999">
            <w:pPr>
              <w:jc w:val="center"/>
              <w:rPr>
                <w:rFonts w:ascii="仿宋" w:hAnsi="仿宋" w:eastAsia="仿宋" w:cs="宋体"/>
                <w:color w:val="auto"/>
                <w:sz w:val="18"/>
                <w:szCs w:val="18"/>
              </w:rPr>
            </w:pPr>
            <w:r>
              <w:rPr>
                <w:rFonts w:hint="eastAsia" w:ascii="仿宋" w:hAnsi="仿宋" w:eastAsia="仿宋" w:cs="宋体"/>
                <w:color w:val="auto"/>
                <w:sz w:val="18"/>
                <w:szCs w:val="18"/>
              </w:rPr>
              <w:t>从业人员(X)</w:t>
            </w:r>
          </w:p>
        </w:tc>
        <w:tc>
          <w:tcPr>
            <w:tcW w:w="709" w:type="dxa"/>
            <w:tcBorders>
              <w:top w:val="nil"/>
              <w:left w:val="nil"/>
              <w:bottom w:val="nil"/>
              <w:right w:val="single" w:color="auto" w:sz="4" w:space="0"/>
            </w:tcBorders>
            <w:vAlign w:val="center"/>
          </w:tcPr>
          <w:p w14:paraId="07A37FC0">
            <w:pPr>
              <w:jc w:val="center"/>
              <w:rPr>
                <w:rFonts w:ascii="仿宋" w:hAnsi="仿宋" w:eastAsia="仿宋" w:cs="宋体"/>
                <w:color w:val="auto"/>
                <w:sz w:val="18"/>
                <w:szCs w:val="18"/>
              </w:rPr>
            </w:pPr>
            <w:r>
              <w:rPr>
                <w:rFonts w:hint="eastAsia" w:ascii="仿宋" w:hAnsi="仿宋" w:eastAsia="仿宋" w:cs="宋体"/>
                <w:color w:val="auto"/>
                <w:sz w:val="18"/>
                <w:szCs w:val="18"/>
              </w:rPr>
              <w:t>人</w:t>
            </w:r>
          </w:p>
        </w:tc>
        <w:tc>
          <w:tcPr>
            <w:tcW w:w="1125" w:type="dxa"/>
            <w:tcBorders>
              <w:top w:val="nil"/>
              <w:left w:val="nil"/>
              <w:bottom w:val="nil"/>
              <w:right w:val="single" w:color="auto" w:sz="4" w:space="0"/>
            </w:tcBorders>
            <w:vAlign w:val="center"/>
          </w:tcPr>
          <w:p w14:paraId="66156648">
            <w:pPr>
              <w:jc w:val="center"/>
              <w:rPr>
                <w:rFonts w:ascii="仿宋" w:hAnsi="仿宋" w:eastAsia="仿宋" w:cs="宋体"/>
                <w:color w:val="auto"/>
                <w:sz w:val="18"/>
                <w:szCs w:val="18"/>
              </w:rPr>
            </w:pPr>
            <w:r>
              <w:rPr>
                <w:rFonts w:hint="eastAsia" w:ascii="仿宋" w:hAnsi="仿宋" w:eastAsia="仿宋" w:cs="宋体"/>
                <w:color w:val="auto"/>
                <w:sz w:val="18"/>
                <w:szCs w:val="18"/>
              </w:rPr>
              <w:t>X≥200</w:t>
            </w:r>
          </w:p>
        </w:tc>
        <w:tc>
          <w:tcPr>
            <w:tcW w:w="1701" w:type="dxa"/>
            <w:tcBorders>
              <w:top w:val="nil"/>
              <w:left w:val="nil"/>
              <w:bottom w:val="nil"/>
              <w:right w:val="single" w:color="auto" w:sz="4" w:space="0"/>
            </w:tcBorders>
            <w:vAlign w:val="center"/>
          </w:tcPr>
          <w:p w14:paraId="6F6E6857">
            <w:pPr>
              <w:ind w:left="1" w:leftChars="-51" w:hanging="108" w:hangingChars="60"/>
              <w:jc w:val="center"/>
              <w:rPr>
                <w:rFonts w:ascii="仿宋" w:hAnsi="仿宋" w:eastAsia="仿宋" w:cs="宋体"/>
                <w:color w:val="auto"/>
                <w:sz w:val="18"/>
                <w:szCs w:val="18"/>
              </w:rPr>
            </w:pPr>
            <w:r>
              <w:rPr>
                <w:rFonts w:hint="eastAsia" w:ascii="仿宋" w:hAnsi="仿宋" w:eastAsia="仿宋" w:cs="宋体"/>
                <w:color w:val="auto"/>
                <w:sz w:val="18"/>
                <w:szCs w:val="18"/>
              </w:rPr>
              <w:t>100≤X＜200</w:t>
            </w:r>
          </w:p>
        </w:tc>
        <w:tc>
          <w:tcPr>
            <w:tcW w:w="1426" w:type="dxa"/>
            <w:tcBorders>
              <w:top w:val="nil"/>
              <w:left w:val="nil"/>
              <w:bottom w:val="nil"/>
              <w:right w:val="single" w:color="auto" w:sz="4" w:space="0"/>
            </w:tcBorders>
            <w:vAlign w:val="center"/>
          </w:tcPr>
          <w:p w14:paraId="1709AD99">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20≤X＜100</w:t>
            </w:r>
          </w:p>
        </w:tc>
        <w:tc>
          <w:tcPr>
            <w:tcW w:w="992" w:type="dxa"/>
            <w:vAlign w:val="center"/>
          </w:tcPr>
          <w:p w14:paraId="11570DAB">
            <w:pPr>
              <w:jc w:val="center"/>
              <w:rPr>
                <w:rFonts w:ascii="仿宋" w:hAnsi="仿宋" w:eastAsia="仿宋" w:cs="宋体"/>
                <w:color w:val="auto"/>
                <w:sz w:val="18"/>
                <w:szCs w:val="18"/>
              </w:rPr>
            </w:pPr>
            <w:r>
              <w:rPr>
                <w:rFonts w:hint="eastAsia" w:ascii="仿宋" w:hAnsi="仿宋" w:eastAsia="仿宋" w:cs="宋体"/>
                <w:color w:val="auto"/>
                <w:sz w:val="18"/>
                <w:szCs w:val="18"/>
              </w:rPr>
              <w:t>X＜20</w:t>
            </w:r>
          </w:p>
        </w:tc>
      </w:tr>
      <w:tr w14:paraId="1C320DF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9EC821E">
            <w:pPr>
              <w:widowControl/>
              <w:jc w:val="left"/>
              <w:rPr>
                <w:rFonts w:ascii="仿宋" w:hAnsi="仿宋" w:eastAsia="仿宋" w:cs="宋体"/>
                <w:color w:val="auto"/>
                <w:sz w:val="18"/>
                <w:szCs w:val="18"/>
              </w:rPr>
            </w:pPr>
          </w:p>
        </w:tc>
        <w:tc>
          <w:tcPr>
            <w:tcW w:w="1369" w:type="dxa"/>
            <w:tcBorders>
              <w:top w:val="nil"/>
              <w:left w:val="nil"/>
              <w:bottom w:val="single" w:color="auto" w:sz="4" w:space="0"/>
              <w:right w:val="single" w:color="auto" w:sz="4" w:space="0"/>
            </w:tcBorders>
            <w:vAlign w:val="center"/>
          </w:tcPr>
          <w:p w14:paraId="4D1E25F1">
            <w:pPr>
              <w:spacing w:line="240" w:lineRule="exact"/>
              <w:jc w:val="center"/>
              <w:rPr>
                <w:rFonts w:ascii="仿宋" w:hAnsi="仿宋" w:eastAsia="仿宋" w:cs="宋体"/>
                <w:color w:val="auto"/>
                <w:sz w:val="18"/>
                <w:szCs w:val="18"/>
              </w:rPr>
            </w:pPr>
            <w:r>
              <w:rPr>
                <w:rFonts w:hint="eastAsia" w:ascii="仿宋" w:hAnsi="仿宋" w:eastAsia="仿宋" w:cs="宋体"/>
                <w:color w:val="auto"/>
                <w:sz w:val="18"/>
                <w:szCs w:val="18"/>
              </w:rPr>
              <w:t>营业收入(Y)</w:t>
            </w:r>
          </w:p>
        </w:tc>
        <w:tc>
          <w:tcPr>
            <w:tcW w:w="709" w:type="dxa"/>
            <w:tcBorders>
              <w:top w:val="nil"/>
              <w:left w:val="nil"/>
              <w:bottom w:val="single" w:color="auto" w:sz="4" w:space="0"/>
              <w:right w:val="single" w:color="auto" w:sz="4" w:space="0"/>
            </w:tcBorders>
            <w:vAlign w:val="center"/>
          </w:tcPr>
          <w:p w14:paraId="260DE295">
            <w:pPr>
              <w:jc w:val="center"/>
              <w:rPr>
                <w:rFonts w:ascii="仿宋" w:hAnsi="仿宋" w:eastAsia="仿宋" w:cs="宋体"/>
                <w:color w:val="auto"/>
                <w:sz w:val="18"/>
                <w:szCs w:val="18"/>
              </w:rPr>
            </w:pPr>
            <w:r>
              <w:rPr>
                <w:rFonts w:hint="eastAsia" w:ascii="仿宋" w:hAnsi="仿宋" w:eastAsia="仿宋" w:cs="宋体"/>
                <w:color w:val="auto"/>
                <w:sz w:val="18"/>
                <w:szCs w:val="18"/>
              </w:rPr>
              <w:t>万元</w:t>
            </w:r>
          </w:p>
        </w:tc>
        <w:tc>
          <w:tcPr>
            <w:tcW w:w="1125" w:type="dxa"/>
            <w:tcBorders>
              <w:top w:val="nil"/>
              <w:left w:val="nil"/>
              <w:bottom w:val="single" w:color="auto" w:sz="4" w:space="0"/>
              <w:right w:val="single" w:color="auto" w:sz="4" w:space="0"/>
            </w:tcBorders>
            <w:vAlign w:val="center"/>
          </w:tcPr>
          <w:p w14:paraId="1BE2EA5C">
            <w:pPr>
              <w:jc w:val="center"/>
              <w:rPr>
                <w:rFonts w:ascii="仿宋" w:hAnsi="仿宋" w:eastAsia="仿宋" w:cs="宋体"/>
                <w:color w:val="auto"/>
                <w:sz w:val="18"/>
                <w:szCs w:val="18"/>
              </w:rPr>
            </w:pPr>
            <w:r>
              <w:rPr>
                <w:rFonts w:hint="eastAsia" w:ascii="仿宋" w:hAnsi="仿宋" w:eastAsia="仿宋" w:cs="宋体"/>
                <w:color w:val="auto"/>
                <w:sz w:val="18"/>
                <w:szCs w:val="18"/>
              </w:rPr>
              <w:t>Y≥30000</w:t>
            </w:r>
          </w:p>
        </w:tc>
        <w:tc>
          <w:tcPr>
            <w:tcW w:w="1701" w:type="dxa"/>
            <w:tcBorders>
              <w:top w:val="nil"/>
              <w:left w:val="nil"/>
              <w:bottom w:val="single" w:color="auto" w:sz="4" w:space="0"/>
              <w:right w:val="single" w:color="auto" w:sz="4" w:space="0"/>
            </w:tcBorders>
            <w:vAlign w:val="center"/>
          </w:tcPr>
          <w:p w14:paraId="4B0BEF13">
            <w:pPr>
              <w:jc w:val="center"/>
              <w:rPr>
                <w:rFonts w:ascii="仿宋" w:hAnsi="仿宋" w:eastAsia="仿宋" w:cs="宋体"/>
                <w:color w:val="auto"/>
                <w:sz w:val="18"/>
                <w:szCs w:val="18"/>
              </w:rPr>
            </w:pPr>
            <w:r>
              <w:rPr>
                <w:rFonts w:hint="eastAsia" w:ascii="仿宋" w:hAnsi="仿宋" w:eastAsia="仿宋" w:cs="宋体"/>
                <w:color w:val="auto"/>
                <w:sz w:val="18"/>
                <w:szCs w:val="18"/>
              </w:rPr>
              <w:t>1000≤Y＜30000</w:t>
            </w:r>
          </w:p>
        </w:tc>
        <w:tc>
          <w:tcPr>
            <w:tcW w:w="1426" w:type="dxa"/>
            <w:tcBorders>
              <w:top w:val="nil"/>
              <w:left w:val="nil"/>
              <w:bottom w:val="single" w:color="auto" w:sz="4" w:space="0"/>
              <w:right w:val="single" w:color="auto" w:sz="4" w:space="0"/>
            </w:tcBorders>
            <w:vAlign w:val="center"/>
          </w:tcPr>
          <w:p w14:paraId="01F4AF94">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100≤Y＜1000</w:t>
            </w:r>
          </w:p>
        </w:tc>
        <w:tc>
          <w:tcPr>
            <w:tcW w:w="992" w:type="dxa"/>
            <w:tcBorders>
              <w:top w:val="nil"/>
              <w:left w:val="nil"/>
              <w:bottom w:val="single" w:color="auto" w:sz="4" w:space="0"/>
              <w:right w:val="nil"/>
            </w:tcBorders>
            <w:vAlign w:val="center"/>
          </w:tcPr>
          <w:p w14:paraId="76F5CDB1">
            <w:pPr>
              <w:jc w:val="center"/>
              <w:rPr>
                <w:rFonts w:ascii="仿宋" w:hAnsi="仿宋" w:eastAsia="仿宋" w:cs="宋体"/>
                <w:color w:val="auto"/>
                <w:sz w:val="18"/>
                <w:szCs w:val="18"/>
              </w:rPr>
            </w:pPr>
            <w:r>
              <w:rPr>
                <w:rFonts w:hint="eastAsia" w:ascii="仿宋" w:hAnsi="仿宋" w:eastAsia="仿宋" w:cs="宋体"/>
                <w:color w:val="auto"/>
                <w:sz w:val="18"/>
                <w:szCs w:val="18"/>
              </w:rPr>
              <w:t>Y＜100</w:t>
            </w:r>
          </w:p>
        </w:tc>
      </w:tr>
      <w:tr w14:paraId="30E7574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624E0D5">
            <w:pPr>
              <w:spacing w:line="240" w:lineRule="exact"/>
              <w:rPr>
                <w:rFonts w:ascii="仿宋" w:hAnsi="仿宋" w:eastAsia="仿宋" w:cs="宋体"/>
                <w:color w:val="auto"/>
                <w:sz w:val="18"/>
                <w:szCs w:val="18"/>
              </w:rPr>
            </w:pPr>
            <w:r>
              <w:rPr>
                <w:rFonts w:hint="eastAsia" w:ascii="仿宋" w:hAnsi="仿宋" w:eastAsia="仿宋" w:cs="宋体"/>
                <w:color w:val="auto"/>
                <w:sz w:val="18"/>
                <w:szCs w:val="18"/>
              </w:rPr>
              <w:t>邮政业</w:t>
            </w:r>
          </w:p>
        </w:tc>
        <w:tc>
          <w:tcPr>
            <w:tcW w:w="1369" w:type="dxa"/>
            <w:tcBorders>
              <w:top w:val="nil"/>
              <w:left w:val="nil"/>
              <w:bottom w:val="nil"/>
              <w:right w:val="single" w:color="auto" w:sz="4" w:space="0"/>
            </w:tcBorders>
            <w:vAlign w:val="center"/>
          </w:tcPr>
          <w:p w14:paraId="39410D79">
            <w:pPr>
              <w:jc w:val="center"/>
              <w:rPr>
                <w:rFonts w:ascii="仿宋" w:hAnsi="仿宋" w:eastAsia="仿宋" w:cs="宋体"/>
                <w:color w:val="auto"/>
                <w:sz w:val="18"/>
                <w:szCs w:val="18"/>
              </w:rPr>
            </w:pPr>
            <w:r>
              <w:rPr>
                <w:rFonts w:hint="eastAsia" w:ascii="仿宋" w:hAnsi="仿宋" w:eastAsia="仿宋" w:cs="宋体"/>
                <w:color w:val="auto"/>
                <w:sz w:val="18"/>
                <w:szCs w:val="18"/>
              </w:rPr>
              <w:t>从业人员(X)</w:t>
            </w:r>
          </w:p>
        </w:tc>
        <w:tc>
          <w:tcPr>
            <w:tcW w:w="709" w:type="dxa"/>
            <w:tcBorders>
              <w:top w:val="nil"/>
              <w:left w:val="nil"/>
              <w:bottom w:val="nil"/>
              <w:right w:val="single" w:color="auto" w:sz="4" w:space="0"/>
            </w:tcBorders>
            <w:vAlign w:val="center"/>
          </w:tcPr>
          <w:p w14:paraId="60E942D3">
            <w:pPr>
              <w:jc w:val="center"/>
              <w:rPr>
                <w:rFonts w:ascii="仿宋" w:hAnsi="仿宋" w:eastAsia="仿宋" w:cs="宋体"/>
                <w:color w:val="auto"/>
                <w:sz w:val="18"/>
                <w:szCs w:val="18"/>
              </w:rPr>
            </w:pPr>
            <w:r>
              <w:rPr>
                <w:rFonts w:hint="eastAsia" w:ascii="仿宋" w:hAnsi="仿宋" w:eastAsia="仿宋" w:cs="宋体"/>
                <w:color w:val="auto"/>
                <w:sz w:val="18"/>
                <w:szCs w:val="18"/>
              </w:rPr>
              <w:t>人</w:t>
            </w:r>
          </w:p>
        </w:tc>
        <w:tc>
          <w:tcPr>
            <w:tcW w:w="1125" w:type="dxa"/>
            <w:tcBorders>
              <w:top w:val="nil"/>
              <w:left w:val="nil"/>
              <w:bottom w:val="nil"/>
              <w:right w:val="single" w:color="auto" w:sz="4" w:space="0"/>
            </w:tcBorders>
            <w:vAlign w:val="center"/>
          </w:tcPr>
          <w:p w14:paraId="19C0A44A">
            <w:pPr>
              <w:jc w:val="center"/>
              <w:rPr>
                <w:rFonts w:ascii="仿宋" w:hAnsi="仿宋" w:eastAsia="仿宋" w:cs="宋体"/>
                <w:color w:val="auto"/>
                <w:sz w:val="18"/>
                <w:szCs w:val="18"/>
              </w:rPr>
            </w:pPr>
            <w:r>
              <w:rPr>
                <w:rFonts w:hint="eastAsia" w:ascii="仿宋" w:hAnsi="仿宋" w:eastAsia="仿宋" w:cs="宋体"/>
                <w:color w:val="auto"/>
                <w:sz w:val="18"/>
                <w:szCs w:val="18"/>
              </w:rPr>
              <w:t>X≥1000</w:t>
            </w:r>
          </w:p>
        </w:tc>
        <w:tc>
          <w:tcPr>
            <w:tcW w:w="1701" w:type="dxa"/>
            <w:tcBorders>
              <w:top w:val="nil"/>
              <w:left w:val="nil"/>
              <w:bottom w:val="nil"/>
              <w:right w:val="single" w:color="auto" w:sz="4" w:space="0"/>
            </w:tcBorders>
            <w:vAlign w:val="center"/>
          </w:tcPr>
          <w:p w14:paraId="02F67A9F">
            <w:pPr>
              <w:jc w:val="center"/>
              <w:rPr>
                <w:rFonts w:ascii="仿宋" w:hAnsi="仿宋" w:eastAsia="仿宋" w:cs="宋体"/>
                <w:color w:val="auto"/>
                <w:sz w:val="18"/>
                <w:szCs w:val="18"/>
              </w:rPr>
            </w:pPr>
            <w:r>
              <w:rPr>
                <w:rFonts w:hint="eastAsia" w:ascii="仿宋" w:hAnsi="仿宋" w:eastAsia="仿宋" w:cs="宋体"/>
                <w:color w:val="auto"/>
                <w:sz w:val="18"/>
                <w:szCs w:val="18"/>
              </w:rPr>
              <w:t>300≤X＜1000</w:t>
            </w:r>
          </w:p>
        </w:tc>
        <w:tc>
          <w:tcPr>
            <w:tcW w:w="1426" w:type="dxa"/>
            <w:tcBorders>
              <w:top w:val="nil"/>
              <w:left w:val="nil"/>
              <w:bottom w:val="nil"/>
              <w:right w:val="single" w:color="auto" w:sz="4" w:space="0"/>
            </w:tcBorders>
            <w:vAlign w:val="center"/>
          </w:tcPr>
          <w:p w14:paraId="4C85C1C9">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20≤X＜300</w:t>
            </w:r>
          </w:p>
        </w:tc>
        <w:tc>
          <w:tcPr>
            <w:tcW w:w="992" w:type="dxa"/>
            <w:vAlign w:val="center"/>
          </w:tcPr>
          <w:p w14:paraId="54608371">
            <w:pPr>
              <w:jc w:val="center"/>
              <w:rPr>
                <w:rFonts w:ascii="仿宋" w:hAnsi="仿宋" w:eastAsia="仿宋" w:cs="宋体"/>
                <w:color w:val="auto"/>
                <w:sz w:val="18"/>
                <w:szCs w:val="18"/>
              </w:rPr>
            </w:pPr>
            <w:r>
              <w:rPr>
                <w:rFonts w:hint="eastAsia" w:ascii="仿宋" w:hAnsi="仿宋" w:eastAsia="仿宋" w:cs="宋体"/>
                <w:color w:val="auto"/>
                <w:sz w:val="18"/>
                <w:szCs w:val="18"/>
              </w:rPr>
              <w:t>X＜20</w:t>
            </w:r>
          </w:p>
        </w:tc>
      </w:tr>
      <w:tr w14:paraId="7657DF7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11515A7">
            <w:pPr>
              <w:widowControl/>
              <w:jc w:val="left"/>
              <w:rPr>
                <w:rFonts w:ascii="仿宋" w:hAnsi="仿宋" w:eastAsia="仿宋" w:cs="宋体"/>
                <w:color w:val="auto"/>
                <w:sz w:val="18"/>
                <w:szCs w:val="18"/>
              </w:rPr>
            </w:pPr>
          </w:p>
        </w:tc>
        <w:tc>
          <w:tcPr>
            <w:tcW w:w="1369" w:type="dxa"/>
            <w:tcBorders>
              <w:top w:val="nil"/>
              <w:left w:val="nil"/>
              <w:bottom w:val="single" w:color="auto" w:sz="4" w:space="0"/>
              <w:right w:val="single" w:color="auto" w:sz="4" w:space="0"/>
            </w:tcBorders>
            <w:vAlign w:val="center"/>
          </w:tcPr>
          <w:p w14:paraId="525C65E7">
            <w:pPr>
              <w:spacing w:line="240" w:lineRule="exact"/>
              <w:jc w:val="center"/>
              <w:rPr>
                <w:rFonts w:ascii="仿宋" w:hAnsi="仿宋" w:eastAsia="仿宋" w:cs="宋体"/>
                <w:color w:val="auto"/>
                <w:sz w:val="18"/>
                <w:szCs w:val="18"/>
              </w:rPr>
            </w:pPr>
            <w:r>
              <w:rPr>
                <w:rFonts w:hint="eastAsia" w:ascii="仿宋" w:hAnsi="仿宋" w:eastAsia="仿宋" w:cs="宋体"/>
                <w:color w:val="auto"/>
                <w:sz w:val="18"/>
                <w:szCs w:val="18"/>
              </w:rPr>
              <w:t>营业收入(Y)</w:t>
            </w:r>
          </w:p>
        </w:tc>
        <w:tc>
          <w:tcPr>
            <w:tcW w:w="709" w:type="dxa"/>
            <w:tcBorders>
              <w:top w:val="nil"/>
              <w:left w:val="nil"/>
              <w:bottom w:val="single" w:color="auto" w:sz="4" w:space="0"/>
              <w:right w:val="single" w:color="auto" w:sz="4" w:space="0"/>
            </w:tcBorders>
            <w:vAlign w:val="center"/>
          </w:tcPr>
          <w:p w14:paraId="1A01B3A6">
            <w:pPr>
              <w:jc w:val="center"/>
              <w:rPr>
                <w:rFonts w:ascii="仿宋" w:hAnsi="仿宋" w:eastAsia="仿宋" w:cs="宋体"/>
                <w:color w:val="auto"/>
                <w:sz w:val="18"/>
                <w:szCs w:val="18"/>
              </w:rPr>
            </w:pPr>
            <w:r>
              <w:rPr>
                <w:rFonts w:hint="eastAsia" w:ascii="仿宋" w:hAnsi="仿宋" w:eastAsia="仿宋" w:cs="宋体"/>
                <w:color w:val="auto"/>
                <w:sz w:val="18"/>
                <w:szCs w:val="18"/>
              </w:rPr>
              <w:t>万元</w:t>
            </w:r>
          </w:p>
        </w:tc>
        <w:tc>
          <w:tcPr>
            <w:tcW w:w="1125" w:type="dxa"/>
            <w:tcBorders>
              <w:top w:val="nil"/>
              <w:left w:val="nil"/>
              <w:bottom w:val="single" w:color="auto" w:sz="4" w:space="0"/>
              <w:right w:val="single" w:color="auto" w:sz="4" w:space="0"/>
            </w:tcBorders>
            <w:vAlign w:val="center"/>
          </w:tcPr>
          <w:p w14:paraId="265CDA6D">
            <w:pPr>
              <w:jc w:val="center"/>
              <w:rPr>
                <w:rFonts w:ascii="仿宋" w:hAnsi="仿宋" w:eastAsia="仿宋" w:cs="宋体"/>
                <w:color w:val="auto"/>
                <w:sz w:val="18"/>
                <w:szCs w:val="18"/>
              </w:rPr>
            </w:pPr>
            <w:r>
              <w:rPr>
                <w:rFonts w:hint="eastAsia" w:ascii="仿宋" w:hAnsi="仿宋" w:eastAsia="仿宋" w:cs="宋体"/>
                <w:color w:val="auto"/>
                <w:sz w:val="18"/>
                <w:szCs w:val="18"/>
              </w:rPr>
              <w:t>Y≥30000</w:t>
            </w:r>
          </w:p>
        </w:tc>
        <w:tc>
          <w:tcPr>
            <w:tcW w:w="1701" w:type="dxa"/>
            <w:tcBorders>
              <w:top w:val="nil"/>
              <w:left w:val="nil"/>
              <w:bottom w:val="single" w:color="auto" w:sz="4" w:space="0"/>
              <w:right w:val="single" w:color="auto" w:sz="4" w:space="0"/>
            </w:tcBorders>
            <w:vAlign w:val="center"/>
          </w:tcPr>
          <w:p w14:paraId="16478666">
            <w:pPr>
              <w:jc w:val="center"/>
              <w:rPr>
                <w:rFonts w:ascii="仿宋" w:hAnsi="仿宋" w:eastAsia="仿宋" w:cs="宋体"/>
                <w:color w:val="auto"/>
                <w:sz w:val="18"/>
                <w:szCs w:val="18"/>
              </w:rPr>
            </w:pPr>
            <w:r>
              <w:rPr>
                <w:rFonts w:hint="eastAsia" w:ascii="仿宋" w:hAnsi="仿宋" w:eastAsia="仿宋" w:cs="宋体"/>
                <w:color w:val="auto"/>
                <w:sz w:val="18"/>
                <w:szCs w:val="18"/>
              </w:rPr>
              <w:t>2000≤Y＜30000</w:t>
            </w:r>
          </w:p>
        </w:tc>
        <w:tc>
          <w:tcPr>
            <w:tcW w:w="1426" w:type="dxa"/>
            <w:tcBorders>
              <w:top w:val="nil"/>
              <w:left w:val="nil"/>
              <w:bottom w:val="single" w:color="auto" w:sz="4" w:space="0"/>
              <w:right w:val="single" w:color="auto" w:sz="4" w:space="0"/>
            </w:tcBorders>
            <w:vAlign w:val="center"/>
          </w:tcPr>
          <w:p w14:paraId="3A566B4C">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100≤Y＜2000</w:t>
            </w:r>
          </w:p>
        </w:tc>
        <w:tc>
          <w:tcPr>
            <w:tcW w:w="992" w:type="dxa"/>
            <w:tcBorders>
              <w:top w:val="nil"/>
              <w:left w:val="nil"/>
              <w:bottom w:val="single" w:color="auto" w:sz="4" w:space="0"/>
              <w:right w:val="nil"/>
            </w:tcBorders>
            <w:vAlign w:val="center"/>
          </w:tcPr>
          <w:p w14:paraId="7CD00870">
            <w:pPr>
              <w:jc w:val="center"/>
              <w:rPr>
                <w:rFonts w:ascii="仿宋" w:hAnsi="仿宋" w:eastAsia="仿宋" w:cs="宋体"/>
                <w:color w:val="auto"/>
                <w:sz w:val="18"/>
                <w:szCs w:val="18"/>
              </w:rPr>
            </w:pPr>
            <w:r>
              <w:rPr>
                <w:rFonts w:hint="eastAsia" w:ascii="仿宋" w:hAnsi="仿宋" w:eastAsia="仿宋" w:cs="宋体"/>
                <w:color w:val="auto"/>
                <w:sz w:val="18"/>
                <w:szCs w:val="18"/>
              </w:rPr>
              <w:t>Y＜100</w:t>
            </w:r>
          </w:p>
        </w:tc>
      </w:tr>
      <w:tr w14:paraId="05C6516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92874A2">
            <w:pPr>
              <w:spacing w:line="240" w:lineRule="exact"/>
              <w:rPr>
                <w:rFonts w:ascii="仿宋" w:hAnsi="仿宋" w:eastAsia="仿宋" w:cs="宋体"/>
                <w:color w:val="auto"/>
                <w:sz w:val="18"/>
                <w:szCs w:val="18"/>
              </w:rPr>
            </w:pPr>
            <w:r>
              <w:rPr>
                <w:rFonts w:hint="eastAsia" w:ascii="仿宋" w:hAnsi="仿宋" w:eastAsia="仿宋" w:cs="宋体"/>
                <w:color w:val="auto"/>
                <w:sz w:val="18"/>
                <w:szCs w:val="18"/>
              </w:rPr>
              <w:t>住宿业</w:t>
            </w:r>
          </w:p>
        </w:tc>
        <w:tc>
          <w:tcPr>
            <w:tcW w:w="1369" w:type="dxa"/>
            <w:tcBorders>
              <w:top w:val="nil"/>
              <w:left w:val="nil"/>
              <w:bottom w:val="nil"/>
              <w:right w:val="single" w:color="auto" w:sz="4" w:space="0"/>
            </w:tcBorders>
            <w:vAlign w:val="center"/>
          </w:tcPr>
          <w:p w14:paraId="20B85308">
            <w:pPr>
              <w:jc w:val="center"/>
              <w:rPr>
                <w:rFonts w:ascii="仿宋" w:hAnsi="仿宋" w:eastAsia="仿宋" w:cs="宋体"/>
                <w:color w:val="auto"/>
                <w:sz w:val="18"/>
                <w:szCs w:val="18"/>
              </w:rPr>
            </w:pPr>
            <w:r>
              <w:rPr>
                <w:rFonts w:hint="eastAsia" w:ascii="仿宋" w:hAnsi="仿宋" w:eastAsia="仿宋" w:cs="宋体"/>
                <w:color w:val="auto"/>
                <w:sz w:val="18"/>
                <w:szCs w:val="18"/>
              </w:rPr>
              <w:t>从业人员(X)</w:t>
            </w:r>
          </w:p>
        </w:tc>
        <w:tc>
          <w:tcPr>
            <w:tcW w:w="709" w:type="dxa"/>
            <w:tcBorders>
              <w:top w:val="nil"/>
              <w:left w:val="nil"/>
              <w:bottom w:val="nil"/>
              <w:right w:val="single" w:color="auto" w:sz="4" w:space="0"/>
            </w:tcBorders>
            <w:vAlign w:val="center"/>
          </w:tcPr>
          <w:p w14:paraId="5FE3DAC7">
            <w:pPr>
              <w:jc w:val="center"/>
              <w:rPr>
                <w:rFonts w:ascii="仿宋" w:hAnsi="仿宋" w:eastAsia="仿宋" w:cs="宋体"/>
                <w:color w:val="auto"/>
                <w:sz w:val="18"/>
                <w:szCs w:val="18"/>
              </w:rPr>
            </w:pPr>
            <w:r>
              <w:rPr>
                <w:rFonts w:hint="eastAsia" w:ascii="仿宋" w:hAnsi="仿宋" w:eastAsia="仿宋" w:cs="宋体"/>
                <w:color w:val="auto"/>
                <w:sz w:val="18"/>
                <w:szCs w:val="18"/>
              </w:rPr>
              <w:t>人</w:t>
            </w:r>
          </w:p>
        </w:tc>
        <w:tc>
          <w:tcPr>
            <w:tcW w:w="1125" w:type="dxa"/>
            <w:tcBorders>
              <w:top w:val="nil"/>
              <w:left w:val="nil"/>
              <w:bottom w:val="nil"/>
              <w:right w:val="single" w:color="auto" w:sz="4" w:space="0"/>
            </w:tcBorders>
            <w:vAlign w:val="center"/>
          </w:tcPr>
          <w:p w14:paraId="7152FD3E">
            <w:pPr>
              <w:jc w:val="center"/>
              <w:rPr>
                <w:rFonts w:ascii="仿宋" w:hAnsi="仿宋" w:eastAsia="仿宋" w:cs="宋体"/>
                <w:color w:val="auto"/>
                <w:sz w:val="18"/>
                <w:szCs w:val="18"/>
              </w:rPr>
            </w:pPr>
            <w:r>
              <w:rPr>
                <w:rFonts w:hint="eastAsia" w:ascii="仿宋" w:hAnsi="仿宋" w:eastAsia="仿宋" w:cs="宋体"/>
                <w:color w:val="auto"/>
                <w:sz w:val="18"/>
                <w:szCs w:val="18"/>
              </w:rPr>
              <w:t>X≥300</w:t>
            </w:r>
          </w:p>
        </w:tc>
        <w:tc>
          <w:tcPr>
            <w:tcW w:w="1701" w:type="dxa"/>
            <w:tcBorders>
              <w:top w:val="nil"/>
              <w:left w:val="nil"/>
              <w:bottom w:val="nil"/>
              <w:right w:val="single" w:color="auto" w:sz="4" w:space="0"/>
            </w:tcBorders>
            <w:vAlign w:val="center"/>
          </w:tcPr>
          <w:p w14:paraId="120CB055">
            <w:pPr>
              <w:ind w:left="1" w:leftChars="-51" w:hanging="108" w:hangingChars="60"/>
              <w:jc w:val="center"/>
              <w:rPr>
                <w:rFonts w:ascii="仿宋" w:hAnsi="仿宋" w:eastAsia="仿宋" w:cs="宋体"/>
                <w:color w:val="auto"/>
                <w:sz w:val="18"/>
                <w:szCs w:val="18"/>
              </w:rPr>
            </w:pPr>
            <w:r>
              <w:rPr>
                <w:rFonts w:hint="eastAsia" w:ascii="仿宋" w:hAnsi="仿宋" w:eastAsia="仿宋" w:cs="宋体"/>
                <w:color w:val="auto"/>
                <w:sz w:val="18"/>
                <w:szCs w:val="18"/>
              </w:rPr>
              <w:t xml:space="preserve">100≤X＜300 </w:t>
            </w:r>
          </w:p>
        </w:tc>
        <w:tc>
          <w:tcPr>
            <w:tcW w:w="1426" w:type="dxa"/>
            <w:tcBorders>
              <w:top w:val="nil"/>
              <w:left w:val="nil"/>
              <w:bottom w:val="nil"/>
              <w:right w:val="single" w:color="auto" w:sz="4" w:space="0"/>
            </w:tcBorders>
            <w:vAlign w:val="center"/>
          </w:tcPr>
          <w:p w14:paraId="7891725A">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10≤X＜100</w:t>
            </w:r>
          </w:p>
        </w:tc>
        <w:tc>
          <w:tcPr>
            <w:tcW w:w="992" w:type="dxa"/>
            <w:vAlign w:val="center"/>
          </w:tcPr>
          <w:p w14:paraId="485E2F2B">
            <w:pPr>
              <w:jc w:val="center"/>
              <w:rPr>
                <w:rFonts w:ascii="仿宋" w:hAnsi="仿宋" w:eastAsia="仿宋" w:cs="宋体"/>
                <w:color w:val="auto"/>
                <w:sz w:val="18"/>
                <w:szCs w:val="18"/>
              </w:rPr>
            </w:pPr>
            <w:r>
              <w:rPr>
                <w:rFonts w:hint="eastAsia" w:ascii="仿宋" w:hAnsi="仿宋" w:eastAsia="仿宋" w:cs="宋体"/>
                <w:color w:val="auto"/>
                <w:sz w:val="18"/>
                <w:szCs w:val="18"/>
              </w:rPr>
              <w:t>X＜10</w:t>
            </w:r>
          </w:p>
        </w:tc>
      </w:tr>
      <w:tr w14:paraId="7496210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7BFA531">
            <w:pPr>
              <w:widowControl/>
              <w:jc w:val="left"/>
              <w:rPr>
                <w:rFonts w:ascii="仿宋" w:hAnsi="仿宋" w:eastAsia="仿宋" w:cs="宋体"/>
                <w:color w:val="auto"/>
                <w:sz w:val="18"/>
                <w:szCs w:val="18"/>
              </w:rPr>
            </w:pPr>
          </w:p>
        </w:tc>
        <w:tc>
          <w:tcPr>
            <w:tcW w:w="1369" w:type="dxa"/>
            <w:tcBorders>
              <w:top w:val="nil"/>
              <w:left w:val="nil"/>
              <w:bottom w:val="single" w:color="auto" w:sz="4" w:space="0"/>
              <w:right w:val="single" w:color="auto" w:sz="4" w:space="0"/>
            </w:tcBorders>
            <w:vAlign w:val="center"/>
          </w:tcPr>
          <w:p w14:paraId="6D575436">
            <w:pPr>
              <w:spacing w:line="240" w:lineRule="exact"/>
              <w:jc w:val="center"/>
              <w:rPr>
                <w:rFonts w:ascii="仿宋" w:hAnsi="仿宋" w:eastAsia="仿宋" w:cs="宋体"/>
                <w:color w:val="auto"/>
                <w:sz w:val="18"/>
                <w:szCs w:val="18"/>
              </w:rPr>
            </w:pPr>
            <w:r>
              <w:rPr>
                <w:rFonts w:hint="eastAsia" w:ascii="仿宋" w:hAnsi="仿宋" w:eastAsia="仿宋" w:cs="宋体"/>
                <w:color w:val="auto"/>
                <w:sz w:val="18"/>
                <w:szCs w:val="18"/>
              </w:rPr>
              <w:t>营业收入(Y)</w:t>
            </w:r>
          </w:p>
        </w:tc>
        <w:tc>
          <w:tcPr>
            <w:tcW w:w="709" w:type="dxa"/>
            <w:tcBorders>
              <w:top w:val="nil"/>
              <w:left w:val="nil"/>
              <w:bottom w:val="single" w:color="auto" w:sz="4" w:space="0"/>
              <w:right w:val="single" w:color="auto" w:sz="4" w:space="0"/>
            </w:tcBorders>
            <w:vAlign w:val="center"/>
          </w:tcPr>
          <w:p w14:paraId="3AFBF82D">
            <w:pPr>
              <w:jc w:val="center"/>
              <w:rPr>
                <w:rFonts w:ascii="仿宋" w:hAnsi="仿宋" w:eastAsia="仿宋" w:cs="宋体"/>
                <w:color w:val="auto"/>
                <w:sz w:val="18"/>
                <w:szCs w:val="18"/>
              </w:rPr>
            </w:pPr>
            <w:r>
              <w:rPr>
                <w:rFonts w:hint="eastAsia" w:ascii="仿宋" w:hAnsi="仿宋" w:eastAsia="仿宋" w:cs="宋体"/>
                <w:color w:val="auto"/>
                <w:sz w:val="18"/>
                <w:szCs w:val="18"/>
              </w:rPr>
              <w:t>万元</w:t>
            </w:r>
          </w:p>
        </w:tc>
        <w:tc>
          <w:tcPr>
            <w:tcW w:w="1125" w:type="dxa"/>
            <w:tcBorders>
              <w:top w:val="nil"/>
              <w:left w:val="nil"/>
              <w:bottom w:val="single" w:color="auto" w:sz="4" w:space="0"/>
              <w:right w:val="single" w:color="auto" w:sz="4" w:space="0"/>
            </w:tcBorders>
            <w:vAlign w:val="center"/>
          </w:tcPr>
          <w:p w14:paraId="208C56C2">
            <w:pPr>
              <w:jc w:val="center"/>
              <w:rPr>
                <w:rFonts w:ascii="仿宋" w:hAnsi="仿宋" w:eastAsia="仿宋" w:cs="宋体"/>
                <w:color w:val="auto"/>
                <w:sz w:val="18"/>
                <w:szCs w:val="18"/>
              </w:rPr>
            </w:pPr>
            <w:r>
              <w:rPr>
                <w:rFonts w:hint="eastAsia" w:ascii="仿宋" w:hAnsi="仿宋" w:eastAsia="仿宋" w:cs="宋体"/>
                <w:color w:val="auto"/>
                <w:sz w:val="18"/>
                <w:szCs w:val="18"/>
              </w:rPr>
              <w:t>Y≥10000</w:t>
            </w:r>
          </w:p>
        </w:tc>
        <w:tc>
          <w:tcPr>
            <w:tcW w:w="1701" w:type="dxa"/>
            <w:tcBorders>
              <w:top w:val="nil"/>
              <w:left w:val="nil"/>
              <w:bottom w:val="single" w:color="auto" w:sz="4" w:space="0"/>
              <w:right w:val="single" w:color="auto" w:sz="4" w:space="0"/>
            </w:tcBorders>
            <w:vAlign w:val="center"/>
          </w:tcPr>
          <w:p w14:paraId="331EA24F">
            <w:pPr>
              <w:jc w:val="center"/>
              <w:rPr>
                <w:rFonts w:ascii="仿宋" w:hAnsi="仿宋" w:eastAsia="仿宋" w:cs="宋体"/>
                <w:color w:val="auto"/>
                <w:sz w:val="18"/>
                <w:szCs w:val="18"/>
              </w:rPr>
            </w:pPr>
            <w:r>
              <w:rPr>
                <w:rFonts w:hint="eastAsia" w:ascii="仿宋" w:hAnsi="仿宋" w:eastAsia="仿宋" w:cs="宋体"/>
                <w:color w:val="auto"/>
                <w:sz w:val="18"/>
                <w:szCs w:val="18"/>
              </w:rPr>
              <w:t>2000≤Y＜10000</w:t>
            </w:r>
          </w:p>
        </w:tc>
        <w:tc>
          <w:tcPr>
            <w:tcW w:w="1426" w:type="dxa"/>
            <w:tcBorders>
              <w:top w:val="nil"/>
              <w:left w:val="nil"/>
              <w:bottom w:val="single" w:color="auto" w:sz="4" w:space="0"/>
              <w:right w:val="single" w:color="auto" w:sz="4" w:space="0"/>
            </w:tcBorders>
            <w:vAlign w:val="center"/>
          </w:tcPr>
          <w:p w14:paraId="0B29265C">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100≤Y＜2000</w:t>
            </w:r>
          </w:p>
        </w:tc>
        <w:tc>
          <w:tcPr>
            <w:tcW w:w="992" w:type="dxa"/>
            <w:tcBorders>
              <w:top w:val="nil"/>
              <w:left w:val="nil"/>
              <w:bottom w:val="single" w:color="auto" w:sz="4" w:space="0"/>
              <w:right w:val="nil"/>
            </w:tcBorders>
            <w:vAlign w:val="center"/>
          </w:tcPr>
          <w:p w14:paraId="310C7338">
            <w:pPr>
              <w:jc w:val="center"/>
              <w:rPr>
                <w:rFonts w:ascii="仿宋" w:hAnsi="仿宋" w:eastAsia="仿宋" w:cs="宋体"/>
                <w:color w:val="auto"/>
                <w:sz w:val="18"/>
                <w:szCs w:val="18"/>
              </w:rPr>
            </w:pPr>
            <w:r>
              <w:rPr>
                <w:rFonts w:hint="eastAsia" w:ascii="仿宋" w:hAnsi="仿宋" w:eastAsia="仿宋" w:cs="宋体"/>
                <w:color w:val="auto"/>
                <w:sz w:val="18"/>
                <w:szCs w:val="18"/>
              </w:rPr>
              <w:t>Y＜100</w:t>
            </w:r>
          </w:p>
        </w:tc>
      </w:tr>
      <w:tr w14:paraId="351E5E9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6B20CE3">
            <w:pPr>
              <w:spacing w:line="240" w:lineRule="exact"/>
              <w:rPr>
                <w:rFonts w:ascii="仿宋" w:hAnsi="仿宋" w:eastAsia="仿宋" w:cs="宋体"/>
                <w:color w:val="auto"/>
                <w:sz w:val="18"/>
                <w:szCs w:val="18"/>
              </w:rPr>
            </w:pPr>
            <w:r>
              <w:rPr>
                <w:rFonts w:hint="eastAsia" w:ascii="仿宋" w:hAnsi="仿宋" w:eastAsia="仿宋" w:cs="宋体"/>
                <w:color w:val="auto"/>
                <w:sz w:val="18"/>
                <w:szCs w:val="18"/>
              </w:rPr>
              <w:t>餐饮业</w:t>
            </w:r>
          </w:p>
        </w:tc>
        <w:tc>
          <w:tcPr>
            <w:tcW w:w="1369" w:type="dxa"/>
            <w:tcBorders>
              <w:top w:val="nil"/>
              <w:left w:val="nil"/>
              <w:bottom w:val="nil"/>
              <w:right w:val="single" w:color="auto" w:sz="4" w:space="0"/>
            </w:tcBorders>
            <w:vAlign w:val="center"/>
          </w:tcPr>
          <w:p w14:paraId="7FF65095">
            <w:pPr>
              <w:jc w:val="center"/>
              <w:rPr>
                <w:rFonts w:ascii="仿宋" w:hAnsi="仿宋" w:eastAsia="仿宋" w:cs="宋体"/>
                <w:color w:val="auto"/>
                <w:sz w:val="18"/>
                <w:szCs w:val="18"/>
              </w:rPr>
            </w:pPr>
            <w:r>
              <w:rPr>
                <w:rFonts w:hint="eastAsia" w:ascii="仿宋" w:hAnsi="仿宋" w:eastAsia="仿宋" w:cs="宋体"/>
                <w:color w:val="auto"/>
                <w:sz w:val="18"/>
                <w:szCs w:val="18"/>
              </w:rPr>
              <w:t>从业人员(X)</w:t>
            </w:r>
          </w:p>
        </w:tc>
        <w:tc>
          <w:tcPr>
            <w:tcW w:w="709" w:type="dxa"/>
            <w:tcBorders>
              <w:top w:val="nil"/>
              <w:left w:val="nil"/>
              <w:bottom w:val="nil"/>
              <w:right w:val="single" w:color="auto" w:sz="4" w:space="0"/>
            </w:tcBorders>
            <w:vAlign w:val="center"/>
          </w:tcPr>
          <w:p w14:paraId="7F24D0C7">
            <w:pPr>
              <w:jc w:val="center"/>
              <w:rPr>
                <w:rFonts w:ascii="仿宋" w:hAnsi="仿宋" w:eastAsia="仿宋" w:cs="宋体"/>
                <w:color w:val="auto"/>
                <w:sz w:val="18"/>
                <w:szCs w:val="18"/>
              </w:rPr>
            </w:pPr>
            <w:r>
              <w:rPr>
                <w:rFonts w:hint="eastAsia" w:ascii="仿宋" w:hAnsi="仿宋" w:eastAsia="仿宋" w:cs="宋体"/>
                <w:color w:val="auto"/>
                <w:sz w:val="18"/>
                <w:szCs w:val="18"/>
              </w:rPr>
              <w:t>人</w:t>
            </w:r>
          </w:p>
        </w:tc>
        <w:tc>
          <w:tcPr>
            <w:tcW w:w="1125" w:type="dxa"/>
            <w:tcBorders>
              <w:top w:val="nil"/>
              <w:left w:val="nil"/>
              <w:bottom w:val="nil"/>
              <w:right w:val="single" w:color="auto" w:sz="4" w:space="0"/>
            </w:tcBorders>
            <w:vAlign w:val="center"/>
          </w:tcPr>
          <w:p w14:paraId="3E6216F9">
            <w:pPr>
              <w:jc w:val="center"/>
              <w:rPr>
                <w:rFonts w:ascii="仿宋" w:hAnsi="仿宋" w:eastAsia="仿宋" w:cs="宋体"/>
                <w:color w:val="auto"/>
                <w:sz w:val="18"/>
                <w:szCs w:val="18"/>
              </w:rPr>
            </w:pPr>
            <w:r>
              <w:rPr>
                <w:rFonts w:hint="eastAsia" w:ascii="仿宋" w:hAnsi="仿宋" w:eastAsia="仿宋" w:cs="宋体"/>
                <w:color w:val="auto"/>
                <w:sz w:val="18"/>
                <w:szCs w:val="18"/>
              </w:rPr>
              <w:t>X≥300</w:t>
            </w:r>
          </w:p>
        </w:tc>
        <w:tc>
          <w:tcPr>
            <w:tcW w:w="1701" w:type="dxa"/>
            <w:tcBorders>
              <w:top w:val="nil"/>
              <w:left w:val="nil"/>
              <w:bottom w:val="nil"/>
              <w:right w:val="single" w:color="auto" w:sz="4" w:space="0"/>
            </w:tcBorders>
            <w:vAlign w:val="center"/>
          </w:tcPr>
          <w:p w14:paraId="255778C1">
            <w:pPr>
              <w:ind w:left="1" w:leftChars="-51" w:hanging="108" w:hangingChars="60"/>
              <w:jc w:val="center"/>
              <w:rPr>
                <w:rFonts w:ascii="仿宋" w:hAnsi="仿宋" w:eastAsia="仿宋" w:cs="宋体"/>
                <w:color w:val="auto"/>
                <w:sz w:val="18"/>
                <w:szCs w:val="18"/>
              </w:rPr>
            </w:pPr>
            <w:r>
              <w:rPr>
                <w:rFonts w:hint="eastAsia" w:ascii="仿宋" w:hAnsi="仿宋" w:eastAsia="仿宋" w:cs="宋体"/>
                <w:color w:val="auto"/>
                <w:sz w:val="18"/>
                <w:szCs w:val="18"/>
              </w:rPr>
              <w:t xml:space="preserve">100≤X＜300 </w:t>
            </w:r>
          </w:p>
        </w:tc>
        <w:tc>
          <w:tcPr>
            <w:tcW w:w="1426" w:type="dxa"/>
            <w:tcBorders>
              <w:top w:val="nil"/>
              <w:left w:val="nil"/>
              <w:bottom w:val="nil"/>
              <w:right w:val="single" w:color="auto" w:sz="4" w:space="0"/>
            </w:tcBorders>
            <w:vAlign w:val="center"/>
          </w:tcPr>
          <w:p w14:paraId="11239A55">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10≤X＜100</w:t>
            </w:r>
          </w:p>
        </w:tc>
        <w:tc>
          <w:tcPr>
            <w:tcW w:w="992" w:type="dxa"/>
            <w:vAlign w:val="center"/>
          </w:tcPr>
          <w:p w14:paraId="646B2E81">
            <w:pPr>
              <w:jc w:val="center"/>
              <w:rPr>
                <w:rFonts w:ascii="仿宋" w:hAnsi="仿宋" w:eastAsia="仿宋" w:cs="宋体"/>
                <w:color w:val="auto"/>
                <w:sz w:val="18"/>
                <w:szCs w:val="18"/>
              </w:rPr>
            </w:pPr>
            <w:r>
              <w:rPr>
                <w:rFonts w:hint="eastAsia" w:ascii="仿宋" w:hAnsi="仿宋" w:eastAsia="仿宋" w:cs="宋体"/>
                <w:color w:val="auto"/>
                <w:sz w:val="18"/>
                <w:szCs w:val="18"/>
              </w:rPr>
              <w:t>X＜10</w:t>
            </w:r>
          </w:p>
        </w:tc>
      </w:tr>
      <w:tr w14:paraId="72A45DA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40DFE30">
            <w:pPr>
              <w:widowControl/>
              <w:jc w:val="left"/>
              <w:rPr>
                <w:rFonts w:ascii="仿宋" w:hAnsi="仿宋" w:eastAsia="仿宋" w:cs="宋体"/>
                <w:color w:val="auto"/>
                <w:sz w:val="18"/>
                <w:szCs w:val="18"/>
              </w:rPr>
            </w:pPr>
          </w:p>
        </w:tc>
        <w:tc>
          <w:tcPr>
            <w:tcW w:w="1369" w:type="dxa"/>
            <w:tcBorders>
              <w:top w:val="nil"/>
              <w:left w:val="nil"/>
              <w:bottom w:val="single" w:color="auto" w:sz="4" w:space="0"/>
              <w:right w:val="single" w:color="auto" w:sz="4" w:space="0"/>
            </w:tcBorders>
            <w:vAlign w:val="center"/>
          </w:tcPr>
          <w:p w14:paraId="6F49ED64">
            <w:pPr>
              <w:spacing w:line="240" w:lineRule="exact"/>
              <w:jc w:val="center"/>
              <w:rPr>
                <w:rFonts w:ascii="仿宋" w:hAnsi="仿宋" w:eastAsia="仿宋" w:cs="宋体"/>
                <w:color w:val="auto"/>
                <w:sz w:val="18"/>
                <w:szCs w:val="18"/>
              </w:rPr>
            </w:pPr>
            <w:r>
              <w:rPr>
                <w:rFonts w:hint="eastAsia" w:ascii="仿宋" w:hAnsi="仿宋" w:eastAsia="仿宋" w:cs="宋体"/>
                <w:color w:val="auto"/>
                <w:sz w:val="18"/>
                <w:szCs w:val="18"/>
              </w:rPr>
              <w:t>营业收入(Y)</w:t>
            </w:r>
          </w:p>
        </w:tc>
        <w:tc>
          <w:tcPr>
            <w:tcW w:w="709" w:type="dxa"/>
            <w:tcBorders>
              <w:top w:val="nil"/>
              <w:left w:val="nil"/>
              <w:bottom w:val="single" w:color="auto" w:sz="4" w:space="0"/>
              <w:right w:val="single" w:color="auto" w:sz="4" w:space="0"/>
            </w:tcBorders>
            <w:vAlign w:val="center"/>
          </w:tcPr>
          <w:p w14:paraId="26A1072C">
            <w:pPr>
              <w:jc w:val="center"/>
              <w:rPr>
                <w:rFonts w:ascii="仿宋" w:hAnsi="仿宋" w:eastAsia="仿宋" w:cs="宋体"/>
                <w:color w:val="auto"/>
                <w:sz w:val="18"/>
                <w:szCs w:val="18"/>
              </w:rPr>
            </w:pPr>
            <w:r>
              <w:rPr>
                <w:rFonts w:hint="eastAsia" w:ascii="仿宋" w:hAnsi="仿宋" w:eastAsia="仿宋" w:cs="宋体"/>
                <w:color w:val="auto"/>
                <w:sz w:val="18"/>
                <w:szCs w:val="18"/>
              </w:rPr>
              <w:t>万元</w:t>
            </w:r>
          </w:p>
        </w:tc>
        <w:tc>
          <w:tcPr>
            <w:tcW w:w="1125" w:type="dxa"/>
            <w:tcBorders>
              <w:top w:val="nil"/>
              <w:left w:val="nil"/>
              <w:bottom w:val="single" w:color="auto" w:sz="4" w:space="0"/>
              <w:right w:val="single" w:color="auto" w:sz="4" w:space="0"/>
            </w:tcBorders>
            <w:vAlign w:val="center"/>
          </w:tcPr>
          <w:p w14:paraId="77D83972">
            <w:pPr>
              <w:jc w:val="center"/>
              <w:rPr>
                <w:rFonts w:ascii="仿宋" w:hAnsi="仿宋" w:eastAsia="仿宋" w:cs="宋体"/>
                <w:color w:val="auto"/>
                <w:sz w:val="18"/>
                <w:szCs w:val="18"/>
              </w:rPr>
            </w:pPr>
            <w:r>
              <w:rPr>
                <w:rFonts w:hint="eastAsia" w:ascii="仿宋" w:hAnsi="仿宋" w:eastAsia="仿宋" w:cs="宋体"/>
                <w:color w:val="auto"/>
                <w:sz w:val="18"/>
                <w:szCs w:val="18"/>
              </w:rPr>
              <w:t>Y≥10000</w:t>
            </w:r>
          </w:p>
        </w:tc>
        <w:tc>
          <w:tcPr>
            <w:tcW w:w="1701" w:type="dxa"/>
            <w:tcBorders>
              <w:top w:val="nil"/>
              <w:left w:val="nil"/>
              <w:bottom w:val="single" w:color="auto" w:sz="4" w:space="0"/>
              <w:right w:val="single" w:color="auto" w:sz="4" w:space="0"/>
            </w:tcBorders>
            <w:vAlign w:val="center"/>
          </w:tcPr>
          <w:p w14:paraId="05ED0960">
            <w:pPr>
              <w:jc w:val="center"/>
              <w:rPr>
                <w:rFonts w:ascii="仿宋" w:hAnsi="仿宋" w:eastAsia="仿宋" w:cs="宋体"/>
                <w:color w:val="auto"/>
                <w:sz w:val="18"/>
                <w:szCs w:val="18"/>
              </w:rPr>
            </w:pPr>
            <w:r>
              <w:rPr>
                <w:rFonts w:hint="eastAsia" w:ascii="仿宋" w:hAnsi="仿宋" w:eastAsia="仿宋" w:cs="宋体"/>
                <w:color w:val="auto"/>
                <w:sz w:val="18"/>
                <w:szCs w:val="18"/>
              </w:rPr>
              <w:t>2000≤Y＜10000</w:t>
            </w:r>
          </w:p>
        </w:tc>
        <w:tc>
          <w:tcPr>
            <w:tcW w:w="1426" w:type="dxa"/>
            <w:tcBorders>
              <w:top w:val="nil"/>
              <w:left w:val="nil"/>
              <w:bottom w:val="single" w:color="auto" w:sz="4" w:space="0"/>
              <w:right w:val="single" w:color="auto" w:sz="4" w:space="0"/>
            </w:tcBorders>
            <w:vAlign w:val="center"/>
          </w:tcPr>
          <w:p w14:paraId="683511F7">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100≤Y＜2000</w:t>
            </w:r>
          </w:p>
        </w:tc>
        <w:tc>
          <w:tcPr>
            <w:tcW w:w="992" w:type="dxa"/>
            <w:tcBorders>
              <w:top w:val="nil"/>
              <w:left w:val="nil"/>
              <w:bottom w:val="single" w:color="auto" w:sz="4" w:space="0"/>
              <w:right w:val="nil"/>
            </w:tcBorders>
            <w:vAlign w:val="center"/>
          </w:tcPr>
          <w:p w14:paraId="14A6681B">
            <w:pPr>
              <w:jc w:val="center"/>
              <w:rPr>
                <w:rFonts w:ascii="仿宋" w:hAnsi="仿宋" w:eastAsia="仿宋" w:cs="宋体"/>
                <w:color w:val="auto"/>
                <w:sz w:val="18"/>
                <w:szCs w:val="18"/>
              </w:rPr>
            </w:pPr>
            <w:r>
              <w:rPr>
                <w:rFonts w:hint="eastAsia" w:ascii="仿宋" w:hAnsi="仿宋" w:eastAsia="仿宋" w:cs="宋体"/>
                <w:color w:val="auto"/>
                <w:sz w:val="18"/>
                <w:szCs w:val="18"/>
              </w:rPr>
              <w:t>Y＜100</w:t>
            </w:r>
          </w:p>
        </w:tc>
      </w:tr>
      <w:tr w14:paraId="66ACE3A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E09BDF3">
            <w:pPr>
              <w:spacing w:line="240" w:lineRule="exact"/>
              <w:rPr>
                <w:rFonts w:ascii="仿宋" w:hAnsi="仿宋" w:eastAsia="仿宋" w:cs="宋体"/>
                <w:color w:val="auto"/>
                <w:sz w:val="18"/>
                <w:szCs w:val="18"/>
              </w:rPr>
            </w:pPr>
            <w:r>
              <w:rPr>
                <w:rFonts w:hint="eastAsia" w:ascii="仿宋" w:hAnsi="仿宋" w:eastAsia="仿宋" w:cs="宋体"/>
                <w:color w:val="auto"/>
                <w:sz w:val="18"/>
                <w:szCs w:val="18"/>
              </w:rPr>
              <w:t>信息传输业 *</w:t>
            </w:r>
          </w:p>
        </w:tc>
        <w:tc>
          <w:tcPr>
            <w:tcW w:w="1369" w:type="dxa"/>
            <w:tcBorders>
              <w:top w:val="nil"/>
              <w:left w:val="nil"/>
              <w:bottom w:val="nil"/>
              <w:right w:val="single" w:color="auto" w:sz="4" w:space="0"/>
            </w:tcBorders>
            <w:vAlign w:val="center"/>
          </w:tcPr>
          <w:p w14:paraId="132B14C1">
            <w:pPr>
              <w:jc w:val="center"/>
              <w:rPr>
                <w:rFonts w:ascii="仿宋" w:hAnsi="仿宋" w:eastAsia="仿宋" w:cs="宋体"/>
                <w:color w:val="auto"/>
                <w:sz w:val="18"/>
                <w:szCs w:val="18"/>
              </w:rPr>
            </w:pPr>
            <w:r>
              <w:rPr>
                <w:rFonts w:hint="eastAsia" w:ascii="仿宋" w:hAnsi="仿宋" w:eastAsia="仿宋" w:cs="宋体"/>
                <w:color w:val="auto"/>
                <w:sz w:val="18"/>
                <w:szCs w:val="18"/>
              </w:rPr>
              <w:t>从业人员(X)</w:t>
            </w:r>
          </w:p>
        </w:tc>
        <w:tc>
          <w:tcPr>
            <w:tcW w:w="709" w:type="dxa"/>
            <w:tcBorders>
              <w:top w:val="nil"/>
              <w:left w:val="nil"/>
              <w:bottom w:val="nil"/>
              <w:right w:val="single" w:color="auto" w:sz="4" w:space="0"/>
            </w:tcBorders>
            <w:vAlign w:val="center"/>
          </w:tcPr>
          <w:p w14:paraId="1F1417F3">
            <w:pPr>
              <w:jc w:val="center"/>
              <w:rPr>
                <w:rFonts w:ascii="仿宋" w:hAnsi="仿宋" w:eastAsia="仿宋" w:cs="宋体"/>
                <w:color w:val="auto"/>
                <w:sz w:val="18"/>
                <w:szCs w:val="18"/>
              </w:rPr>
            </w:pPr>
            <w:r>
              <w:rPr>
                <w:rFonts w:hint="eastAsia" w:ascii="仿宋" w:hAnsi="仿宋" w:eastAsia="仿宋" w:cs="宋体"/>
                <w:color w:val="auto"/>
                <w:sz w:val="18"/>
                <w:szCs w:val="18"/>
              </w:rPr>
              <w:t>人</w:t>
            </w:r>
          </w:p>
        </w:tc>
        <w:tc>
          <w:tcPr>
            <w:tcW w:w="1125" w:type="dxa"/>
            <w:tcBorders>
              <w:top w:val="nil"/>
              <w:left w:val="nil"/>
              <w:bottom w:val="nil"/>
              <w:right w:val="single" w:color="auto" w:sz="4" w:space="0"/>
            </w:tcBorders>
            <w:vAlign w:val="center"/>
          </w:tcPr>
          <w:p w14:paraId="3FCFE89D">
            <w:pPr>
              <w:jc w:val="center"/>
              <w:rPr>
                <w:rFonts w:ascii="仿宋" w:hAnsi="仿宋" w:eastAsia="仿宋" w:cs="宋体"/>
                <w:color w:val="auto"/>
                <w:sz w:val="18"/>
                <w:szCs w:val="18"/>
              </w:rPr>
            </w:pPr>
            <w:r>
              <w:rPr>
                <w:rFonts w:hint="eastAsia" w:ascii="仿宋" w:hAnsi="仿宋" w:eastAsia="仿宋" w:cs="宋体"/>
                <w:color w:val="auto"/>
                <w:sz w:val="18"/>
                <w:szCs w:val="18"/>
              </w:rPr>
              <w:t>X≥2000</w:t>
            </w:r>
          </w:p>
        </w:tc>
        <w:tc>
          <w:tcPr>
            <w:tcW w:w="1701" w:type="dxa"/>
            <w:tcBorders>
              <w:top w:val="nil"/>
              <w:left w:val="nil"/>
              <w:bottom w:val="nil"/>
              <w:right w:val="single" w:color="auto" w:sz="4" w:space="0"/>
            </w:tcBorders>
            <w:vAlign w:val="center"/>
          </w:tcPr>
          <w:p w14:paraId="3F70EBB0">
            <w:pPr>
              <w:jc w:val="center"/>
              <w:rPr>
                <w:rFonts w:ascii="仿宋" w:hAnsi="仿宋" w:eastAsia="仿宋" w:cs="宋体"/>
                <w:color w:val="auto"/>
                <w:sz w:val="18"/>
                <w:szCs w:val="18"/>
              </w:rPr>
            </w:pPr>
            <w:r>
              <w:rPr>
                <w:rFonts w:hint="eastAsia" w:ascii="仿宋" w:hAnsi="仿宋" w:eastAsia="仿宋" w:cs="宋体"/>
                <w:color w:val="auto"/>
                <w:sz w:val="18"/>
                <w:szCs w:val="18"/>
              </w:rPr>
              <w:t>100≤X＜2000</w:t>
            </w:r>
          </w:p>
        </w:tc>
        <w:tc>
          <w:tcPr>
            <w:tcW w:w="1426" w:type="dxa"/>
            <w:tcBorders>
              <w:top w:val="nil"/>
              <w:left w:val="nil"/>
              <w:bottom w:val="nil"/>
              <w:right w:val="single" w:color="auto" w:sz="4" w:space="0"/>
            </w:tcBorders>
            <w:vAlign w:val="center"/>
          </w:tcPr>
          <w:p w14:paraId="3D68DDA2">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10≤X＜100</w:t>
            </w:r>
          </w:p>
        </w:tc>
        <w:tc>
          <w:tcPr>
            <w:tcW w:w="992" w:type="dxa"/>
            <w:vAlign w:val="center"/>
          </w:tcPr>
          <w:p w14:paraId="4B2FF6A7">
            <w:pPr>
              <w:jc w:val="center"/>
              <w:rPr>
                <w:rFonts w:ascii="仿宋" w:hAnsi="仿宋" w:eastAsia="仿宋" w:cs="宋体"/>
                <w:color w:val="auto"/>
                <w:sz w:val="18"/>
                <w:szCs w:val="18"/>
              </w:rPr>
            </w:pPr>
            <w:r>
              <w:rPr>
                <w:rFonts w:hint="eastAsia" w:ascii="仿宋" w:hAnsi="仿宋" w:eastAsia="仿宋" w:cs="宋体"/>
                <w:color w:val="auto"/>
                <w:sz w:val="18"/>
                <w:szCs w:val="18"/>
              </w:rPr>
              <w:t>X＜10</w:t>
            </w:r>
          </w:p>
        </w:tc>
      </w:tr>
      <w:tr w14:paraId="3521DB8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C26330">
            <w:pPr>
              <w:widowControl/>
              <w:jc w:val="left"/>
              <w:rPr>
                <w:rFonts w:ascii="仿宋" w:hAnsi="仿宋" w:eastAsia="仿宋" w:cs="宋体"/>
                <w:color w:val="auto"/>
                <w:sz w:val="18"/>
                <w:szCs w:val="18"/>
              </w:rPr>
            </w:pPr>
          </w:p>
        </w:tc>
        <w:tc>
          <w:tcPr>
            <w:tcW w:w="1369" w:type="dxa"/>
            <w:tcBorders>
              <w:top w:val="nil"/>
              <w:left w:val="nil"/>
              <w:bottom w:val="single" w:color="auto" w:sz="4" w:space="0"/>
              <w:right w:val="single" w:color="auto" w:sz="4" w:space="0"/>
            </w:tcBorders>
            <w:vAlign w:val="center"/>
          </w:tcPr>
          <w:p w14:paraId="3658C491">
            <w:pPr>
              <w:spacing w:line="240" w:lineRule="exact"/>
              <w:jc w:val="center"/>
              <w:rPr>
                <w:rFonts w:ascii="仿宋" w:hAnsi="仿宋" w:eastAsia="仿宋" w:cs="宋体"/>
                <w:color w:val="auto"/>
                <w:sz w:val="18"/>
                <w:szCs w:val="18"/>
              </w:rPr>
            </w:pPr>
            <w:r>
              <w:rPr>
                <w:rFonts w:hint="eastAsia" w:ascii="仿宋" w:hAnsi="仿宋" w:eastAsia="仿宋" w:cs="宋体"/>
                <w:color w:val="auto"/>
                <w:sz w:val="18"/>
                <w:szCs w:val="18"/>
              </w:rPr>
              <w:t>营业收入(Y)</w:t>
            </w:r>
          </w:p>
        </w:tc>
        <w:tc>
          <w:tcPr>
            <w:tcW w:w="709" w:type="dxa"/>
            <w:tcBorders>
              <w:top w:val="nil"/>
              <w:left w:val="nil"/>
              <w:bottom w:val="single" w:color="auto" w:sz="4" w:space="0"/>
              <w:right w:val="single" w:color="auto" w:sz="4" w:space="0"/>
            </w:tcBorders>
            <w:vAlign w:val="center"/>
          </w:tcPr>
          <w:p w14:paraId="08838EC5">
            <w:pPr>
              <w:jc w:val="center"/>
              <w:rPr>
                <w:rFonts w:ascii="仿宋" w:hAnsi="仿宋" w:eastAsia="仿宋" w:cs="宋体"/>
                <w:color w:val="auto"/>
                <w:sz w:val="18"/>
                <w:szCs w:val="18"/>
              </w:rPr>
            </w:pPr>
            <w:r>
              <w:rPr>
                <w:rFonts w:hint="eastAsia" w:ascii="仿宋" w:hAnsi="仿宋" w:eastAsia="仿宋" w:cs="宋体"/>
                <w:color w:val="auto"/>
                <w:sz w:val="18"/>
                <w:szCs w:val="18"/>
              </w:rPr>
              <w:t>万元</w:t>
            </w:r>
          </w:p>
        </w:tc>
        <w:tc>
          <w:tcPr>
            <w:tcW w:w="1125" w:type="dxa"/>
            <w:tcBorders>
              <w:top w:val="nil"/>
              <w:left w:val="nil"/>
              <w:bottom w:val="single" w:color="auto" w:sz="4" w:space="0"/>
              <w:right w:val="single" w:color="auto" w:sz="4" w:space="0"/>
            </w:tcBorders>
            <w:vAlign w:val="center"/>
          </w:tcPr>
          <w:p w14:paraId="0AE62AE5">
            <w:pPr>
              <w:jc w:val="center"/>
              <w:rPr>
                <w:rFonts w:ascii="仿宋" w:hAnsi="仿宋" w:eastAsia="仿宋" w:cs="宋体"/>
                <w:color w:val="auto"/>
                <w:sz w:val="18"/>
                <w:szCs w:val="18"/>
              </w:rPr>
            </w:pPr>
            <w:r>
              <w:rPr>
                <w:rFonts w:hint="eastAsia" w:ascii="仿宋" w:hAnsi="仿宋" w:eastAsia="仿宋" w:cs="宋体"/>
                <w:color w:val="auto"/>
                <w:sz w:val="18"/>
                <w:szCs w:val="18"/>
              </w:rPr>
              <w:t>Y≥100000</w:t>
            </w:r>
          </w:p>
        </w:tc>
        <w:tc>
          <w:tcPr>
            <w:tcW w:w="1701" w:type="dxa"/>
            <w:tcBorders>
              <w:top w:val="nil"/>
              <w:left w:val="nil"/>
              <w:bottom w:val="single" w:color="auto" w:sz="4" w:space="0"/>
              <w:right w:val="single" w:color="auto" w:sz="4" w:space="0"/>
            </w:tcBorders>
            <w:vAlign w:val="center"/>
          </w:tcPr>
          <w:p w14:paraId="064D2581">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1000≤Y＜100000</w:t>
            </w:r>
          </w:p>
        </w:tc>
        <w:tc>
          <w:tcPr>
            <w:tcW w:w="1426" w:type="dxa"/>
            <w:tcBorders>
              <w:top w:val="nil"/>
              <w:left w:val="nil"/>
              <w:bottom w:val="single" w:color="auto" w:sz="4" w:space="0"/>
              <w:right w:val="single" w:color="auto" w:sz="4" w:space="0"/>
            </w:tcBorders>
            <w:vAlign w:val="center"/>
          </w:tcPr>
          <w:p w14:paraId="7C8DC1CF">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100≤Y＜1000</w:t>
            </w:r>
          </w:p>
        </w:tc>
        <w:tc>
          <w:tcPr>
            <w:tcW w:w="992" w:type="dxa"/>
            <w:tcBorders>
              <w:top w:val="nil"/>
              <w:left w:val="nil"/>
              <w:bottom w:val="single" w:color="auto" w:sz="4" w:space="0"/>
              <w:right w:val="nil"/>
            </w:tcBorders>
            <w:vAlign w:val="center"/>
          </w:tcPr>
          <w:p w14:paraId="3F338A96">
            <w:pPr>
              <w:jc w:val="center"/>
              <w:rPr>
                <w:rFonts w:ascii="仿宋" w:hAnsi="仿宋" w:eastAsia="仿宋" w:cs="宋体"/>
                <w:color w:val="auto"/>
                <w:sz w:val="18"/>
                <w:szCs w:val="18"/>
              </w:rPr>
            </w:pPr>
            <w:r>
              <w:rPr>
                <w:rFonts w:hint="eastAsia" w:ascii="仿宋" w:hAnsi="仿宋" w:eastAsia="仿宋" w:cs="宋体"/>
                <w:color w:val="auto"/>
                <w:sz w:val="18"/>
                <w:szCs w:val="18"/>
              </w:rPr>
              <w:t>Y＜100</w:t>
            </w:r>
          </w:p>
        </w:tc>
      </w:tr>
      <w:tr w14:paraId="27C2E0DF">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4808C7CE">
            <w:pPr>
              <w:spacing w:line="240" w:lineRule="exact"/>
              <w:rPr>
                <w:rFonts w:ascii="仿宋" w:hAnsi="仿宋" w:eastAsia="仿宋" w:cs="宋体"/>
                <w:color w:val="auto"/>
                <w:spacing w:val="-12"/>
                <w:sz w:val="18"/>
                <w:szCs w:val="18"/>
              </w:rPr>
            </w:pPr>
            <w:r>
              <w:rPr>
                <w:rFonts w:hint="eastAsia" w:ascii="仿宋" w:hAnsi="仿宋" w:eastAsia="仿宋" w:cs="宋体"/>
                <w:color w:val="auto"/>
                <w:spacing w:val="-12"/>
                <w:sz w:val="18"/>
                <w:szCs w:val="18"/>
              </w:rPr>
              <w:t>软件和信息技术服</w:t>
            </w:r>
            <w:r>
              <w:rPr>
                <w:rFonts w:hint="eastAsia" w:ascii="仿宋" w:hAnsi="仿宋" w:eastAsia="仿宋" w:cs="宋体"/>
                <w:color w:val="auto"/>
                <w:sz w:val="18"/>
                <w:szCs w:val="18"/>
              </w:rPr>
              <w:t>务业</w:t>
            </w:r>
          </w:p>
        </w:tc>
        <w:tc>
          <w:tcPr>
            <w:tcW w:w="1369" w:type="dxa"/>
            <w:tcBorders>
              <w:top w:val="nil"/>
              <w:left w:val="nil"/>
              <w:bottom w:val="nil"/>
              <w:right w:val="single" w:color="auto" w:sz="4" w:space="0"/>
            </w:tcBorders>
            <w:vAlign w:val="center"/>
          </w:tcPr>
          <w:p w14:paraId="30F87546">
            <w:pPr>
              <w:jc w:val="center"/>
              <w:rPr>
                <w:rFonts w:ascii="仿宋" w:hAnsi="仿宋" w:eastAsia="仿宋" w:cs="宋体"/>
                <w:color w:val="auto"/>
                <w:sz w:val="18"/>
                <w:szCs w:val="18"/>
              </w:rPr>
            </w:pPr>
            <w:r>
              <w:rPr>
                <w:rFonts w:hint="eastAsia" w:ascii="仿宋" w:hAnsi="仿宋" w:eastAsia="仿宋" w:cs="宋体"/>
                <w:color w:val="auto"/>
                <w:sz w:val="18"/>
                <w:szCs w:val="18"/>
              </w:rPr>
              <w:t>从业人员(X)</w:t>
            </w:r>
          </w:p>
        </w:tc>
        <w:tc>
          <w:tcPr>
            <w:tcW w:w="709" w:type="dxa"/>
            <w:tcBorders>
              <w:top w:val="nil"/>
              <w:left w:val="nil"/>
              <w:bottom w:val="nil"/>
              <w:right w:val="single" w:color="auto" w:sz="4" w:space="0"/>
            </w:tcBorders>
            <w:vAlign w:val="center"/>
          </w:tcPr>
          <w:p w14:paraId="09CE1721">
            <w:pPr>
              <w:jc w:val="center"/>
              <w:rPr>
                <w:rFonts w:ascii="仿宋" w:hAnsi="仿宋" w:eastAsia="仿宋" w:cs="宋体"/>
                <w:color w:val="auto"/>
                <w:sz w:val="18"/>
                <w:szCs w:val="18"/>
              </w:rPr>
            </w:pPr>
            <w:r>
              <w:rPr>
                <w:rFonts w:hint="eastAsia" w:ascii="仿宋" w:hAnsi="仿宋" w:eastAsia="仿宋" w:cs="宋体"/>
                <w:color w:val="auto"/>
                <w:sz w:val="18"/>
                <w:szCs w:val="18"/>
              </w:rPr>
              <w:t>人</w:t>
            </w:r>
          </w:p>
        </w:tc>
        <w:tc>
          <w:tcPr>
            <w:tcW w:w="1125" w:type="dxa"/>
            <w:tcBorders>
              <w:top w:val="nil"/>
              <w:left w:val="nil"/>
              <w:bottom w:val="nil"/>
              <w:right w:val="single" w:color="auto" w:sz="4" w:space="0"/>
            </w:tcBorders>
            <w:vAlign w:val="center"/>
          </w:tcPr>
          <w:p w14:paraId="773C033E">
            <w:pPr>
              <w:jc w:val="center"/>
              <w:rPr>
                <w:rFonts w:ascii="仿宋" w:hAnsi="仿宋" w:eastAsia="仿宋" w:cs="宋体"/>
                <w:color w:val="auto"/>
                <w:sz w:val="18"/>
                <w:szCs w:val="18"/>
              </w:rPr>
            </w:pPr>
            <w:r>
              <w:rPr>
                <w:rFonts w:hint="eastAsia" w:ascii="仿宋" w:hAnsi="仿宋" w:eastAsia="仿宋" w:cs="宋体"/>
                <w:color w:val="auto"/>
                <w:sz w:val="18"/>
                <w:szCs w:val="18"/>
              </w:rPr>
              <w:t>X≥300</w:t>
            </w:r>
          </w:p>
        </w:tc>
        <w:tc>
          <w:tcPr>
            <w:tcW w:w="1701" w:type="dxa"/>
            <w:tcBorders>
              <w:top w:val="nil"/>
              <w:left w:val="nil"/>
              <w:bottom w:val="nil"/>
              <w:right w:val="single" w:color="auto" w:sz="4" w:space="0"/>
            </w:tcBorders>
            <w:vAlign w:val="center"/>
          </w:tcPr>
          <w:p w14:paraId="434F282E">
            <w:pPr>
              <w:ind w:left="1" w:leftChars="-51" w:hanging="108" w:hangingChars="60"/>
              <w:jc w:val="center"/>
              <w:rPr>
                <w:rFonts w:ascii="仿宋" w:hAnsi="仿宋" w:eastAsia="仿宋" w:cs="宋体"/>
                <w:color w:val="auto"/>
                <w:sz w:val="18"/>
                <w:szCs w:val="18"/>
              </w:rPr>
            </w:pPr>
            <w:r>
              <w:rPr>
                <w:rFonts w:hint="eastAsia" w:ascii="仿宋" w:hAnsi="仿宋" w:eastAsia="仿宋" w:cs="宋体"/>
                <w:color w:val="auto"/>
                <w:sz w:val="18"/>
                <w:szCs w:val="18"/>
              </w:rPr>
              <w:t xml:space="preserve">100≤X＜300 </w:t>
            </w:r>
          </w:p>
        </w:tc>
        <w:tc>
          <w:tcPr>
            <w:tcW w:w="1426" w:type="dxa"/>
            <w:tcBorders>
              <w:top w:val="nil"/>
              <w:left w:val="nil"/>
              <w:bottom w:val="nil"/>
              <w:right w:val="single" w:color="auto" w:sz="4" w:space="0"/>
            </w:tcBorders>
            <w:vAlign w:val="center"/>
          </w:tcPr>
          <w:p w14:paraId="567FDEBA">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10≤X＜100</w:t>
            </w:r>
          </w:p>
        </w:tc>
        <w:tc>
          <w:tcPr>
            <w:tcW w:w="992" w:type="dxa"/>
            <w:vAlign w:val="center"/>
          </w:tcPr>
          <w:p w14:paraId="5BF882EF">
            <w:pPr>
              <w:jc w:val="center"/>
              <w:rPr>
                <w:rFonts w:ascii="仿宋" w:hAnsi="仿宋" w:eastAsia="仿宋" w:cs="宋体"/>
                <w:color w:val="auto"/>
                <w:sz w:val="18"/>
                <w:szCs w:val="18"/>
              </w:rPr>
            </w:pPr>
            <w:r>
              <w:rPr>
                <w:rFonts w:hint="eastAsia" w:ascii="仿宋" w:hAnsi="仿宋" w:eastAsia="仿宋" w:cs="宋体"/>
                <w:color w:val="auto"/>
                <w:sz w:val="18"/>
                <w:szCs w:val="18"/>
              </w:rPr>
              <w:t>X＜10</w:t>
            </w:r>
          </w:p>
        </w:tc>
      </w:tr>
      <w:tr w14:paraId="4E9DB9E7">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890B1BF">
            <w:pPr>
              <w:widowControl/>
              <w:jc w:val="left"/>
              <w:rPr>
                <w:rFonts w:ascii="仿宋" w:hAnsi="仿宋" w:eastAsia="仿宋" w:cs="宋体"/>
                <w:color w:val="auto"/>
                <w:spacing w:val="-12"/>
                <w:sz w:val="18"/>
                <w:szCs w:val="18"/>
              </w:rPr>
            </w:pPr>
          </w:p>
        </w:tc>
        <w:tc>
          <w:tcPr>
            <w:tcW w:w="1369" w:type="dxa"/>
            <w:tcBorders>
              <w:top w:val="nil"/>
              <w:left w:val="nil"/>
              <w:bottom w:val="single" w:color="auto" w:sz="4" w:space="0"/>
              <w:right w:val="single" w:color="auto" w:sz="4" w:space="0"/>
            </w:tcBorders>
            <w:vAlign w:val="center"/>
          </w:tcPr>
          <w:p w14:paraId="4EE276A7">
            <w:pPr>
              <w:jc w:val="center"/>
              <w:rPr>
                <w:rFonts w:ascii="仿宋" w:hAnsi="仿宋" w:eastAsia="仿宋" w:cs="宋体"/>
                <w:color w:val="auto"/>
                <w:sz w:val="18"/>
                <w:szCs w:val="18"/>
              </w:rPr>
            </w:pPr>
            <w:r>
              <w:rPr>
                <w:rFonts w:hint="eastAsia" w:ascii="仿宋" w:hAnsi="仿宋" w:eastAsia="仿宋" w:cs="宋体"/>
                <w:color w:val="auto"/>
                <w:sz w:val="18"/>
                <w:szCs w:val="18"/>
              </w:rPr>
              <w:t>营业收入(Y)</w:t>
            </w:r>
          </w:p>
        </w:tc>
        <w:tc>
          <w:tcPr>
            <w:tcW w:w="709" w:type="dxa"/>
            <w:tcBorders>
              <w:top w:val="nil"/>
              <w:left w:val="nil"/>
              <w:bottom w:val="single" w:color="auto" w:sz="4" w:space="0"/>
              <w:right w:val="single" w:color="auto" w:sz="4" w:space="0"/>
            </w:tcBorders>
            <w:vAlign w:val="center"/>
          </w:tcPr>
          <w:p w14:paraId="232D2CC4">
            <w:pPr>
              <w:jc w:val="center"/>
              <w:rPr>
                <w:rFonts w:ascii="仿宋" w:hAnsi="仿宋" w:eastAsia="仿宋" w:cs="宋体"/>
                <w:color w:val="auto"/>
                <w:sz w:val="18"/>
                <w:szCs w:val="18"/>
              </w:rPr>
            </w:pPr>
            <w:r>
              <w:rPr>
                <w:rFonts w:hint="eastAsia" w:ascii="仿宋" w:hAnsi="仿宋" w:eastAsia="仿宋" w:cs="宋体"/>
                <w:color w:val="auto"/>
                <w:sz w:val="18"/>
                <w:szCs w:val="18"/>
              </w:rPr>
              <w:t>万元</w:t>
            </w:r>
          </w:p>
        </w:tc>
        <w:tc>
          <w:tcPr>
            <w:tcW w:w="1125" w:type="dxa"/>
            <w:tcBorders>
              <w:top w:val="nil"/>
              <w:left w:val="nil"/>
              <w:bottom w:val="single" w:color="auto" w:sz="4" w:space="0"/>
              <w:right w:val="single" w:color="auto" w:sz="4" w:space="0"/>
            </w:tcBorders>
            <w:vAlign w:val="center"/>
          </w:tcPr>
          <w:p w14:paraId="3E5FA7D2">
            <w:pPr>
              <w:jc w:val="center"/>
              <w:rPr>
                <w:rFonts w:ascii="仿宋" w:hAnsi="仿宋" w:eastAsia="仿宋" w:cs="宋体"/>
                <w:color w:val="auto"/>
                <w:sz w:val="18"/>
                <w:szCs w:val="18"/>
              </w:rPr>
            </w:pPr>
            <w:r>
              <w:rPr>
                <w:rFonts w:hint="eastAsia" w:ascii="仿宋" w:hAnsi="仿宋" w:eastAsia="仿宋" w:cs="宋体"/>
                <w:color w:val="auto"/>
                <w:sz w:val="18"/>
                <w:szCs w:val="18"/>
              </w:rPr>
              <w:t>Y≥10000</w:t>
            </w:r>
          </w:p>
        </w:tc>
        <w:tc>
          <w:tcPr>
            <w:tcW w:w="1701" w:type="dxa"/>
            <w:tcBorders>
              <w:top w:val="nil"/>
              <w:left w:val="nil"/>
              <w:bottom w:val="single" w:color="auto" w:sz="4" w:space="0"/>
              <w:right w:val="single" w:color="auto" w:sz="4" w:space="0"/>
            </w:tcBorders>
            <w:vAlign w:val="center"/>
          </w:tcPr>
          <w:p w14:paraId="678523B5">
            <w:pPr>
              <w:jc w:val="center"/>
              <w:rPr>
                <w:rFonts w:ascii="仿宋" w:hAnsi="仿宋" w:eastAsia="仿宋" w:cs="宋体"/>
                <w:color w:val="auto"/>
                <w:sz w:val="18"/>
                <w:szCs w:val="18"/>
              </w:rPr>
            </w:pPr>
            <w:r>
              <w:rPr>
                <w:rFonts w:hint="eastAsia" w:ascii="仿宋" w:hAnsi="仿宋" w:eastAsia="仿宋" w:cs="宋体"/>
                <w:color w:val="auto"/>
                <w:sz w:val="18"/>
                <w:szCs w:val="18"/>
              </w:rPr>
              <w:t>1000≤Y＜10000</w:t>
            </w:r>
          </w:p>
        </w:tc>
        <w:tc>
          <w:tcPr>
            <w:tcW w:w="1426" w:type="dxa"/>
            <w:tcBorders>
              <w:top w:val="nil"/>
              <w:left w:val="nil"/>
              <w:bottom w:val="single" w:color="auto" w:sz="4" w:space="0"/>
              <w:right w:val="single" w:color="auto" w:sz="4" w:space="0"/>
            </w:tcBorders>
            <w:vAlign w:val="center"/>
          </w:tcPr>
          <w:p w14:paraId="5589B3C9">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50≤Y＜1000</w:t>
            </w:r>
          </w:p>
        </w:tc>
        <w:tc>
          <w:tcPr>
            <w:tcW w:w="992" w:type="dxa"/>
            <w:tcBorders>
              <w:top w:val="nil"/>
              <w:left w:val="nil"/>
              <w:bottom w:val="single" w:color="auto" w:sz="4" w:space="0"/>
              <w:right w:val="nil"/>
            </w:tcBorders>
            <w:vAlign w:val="center"/>
          </w:tcPr>
          <w:p w14:paraId="2772FD3C">
            <w:pPr>
              <w:jc w:val="center"/>
              <w:rPr>
                <w:rFonts w:ascii="仿宋" w:hAnsi="仿宋" w:eastAsia="仿宋" w:cs="宋体"/>
                <w:color w:val="auto"/>
                <w:sz w:val="18"/>
                <w:szCs w:val="18"/>
              </w:rPr>
            </w:pPr>
            <w:r>
              <w:rPr>
                <w:rFonts w:hint="eastAsia" w:ascii="仿宋" w:hAnsi="仿宋" w:eastAsia="仿宋" w:cs="宋体"/>
                <w:color w:val="auto"/>
                <w:sz w:val="18"/>
                <w:szCs w:val="18"/>
              </w:rPr>
              <w:t>Y＜50</w:t>
            </w:r>
          </w:p>
        </w:tc>
      </w:tr>
      <w:tr w14:paraId="0C8DE11F">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52BBD3CC">
            <w:pPr>
              <w:spacing w:line="240" w:lineRule="exact"/>
              <w:rPr>
                <w:rFonts w:ascii="仿宋" w:hAnsi="仿宋" w:eastAsia="仿宋" w:cs="宋体"/>
                <w:color w:val="auto"/>
                <w:sz w:val="18"/>
                <w:szCs w:val="18"/>
              </w:rPr>
            </w:pPr>
            <w:r>
              <w:rPr>
                <w:rFonts w:hint="eastAsia" w:ascii="仿宋" w:hAnsi="仿宋" w:eastAsia="仿宋" w:cs="宋体"/>
                <w:color w:val="auto"/>
                <w:sz w:val="18"/>
                <w:szCs w:val="18"/>
              </w:rPr>
              <w:t>房地产开发经营</w:t>
            </w:r>
          </w:p>
        </w:tc>
        <w:tc>
          <w:tcPr>
            <w:tcW w:w="1369" w:type="dxa"/>
            <w:tcBorders>
              <w:top w:val="nil"/>
              <w:left w:val="nil"/>
              <w:bottom w:val="nil"/>
              <w:right w:val="single" w:color="auto" w:sz="4" w:space="0"/>
            </w:tcBorders>
            <w:vAlign w:val="center"/>
          </w:tcPr>
          <w:p w14:paraId="51833D6D">
            <w:pPr>
              <w:jc w:val="center"/>
              <w:rPr>
                <w:rFonts w:ascii="仿宋" w:hAnsi="仿宋" w:eastAsia="仿宋" w:cs="宋体"/>
                <w:color w:val="auto"/>
                <w:sz w:val="18"/>
                <w:szCs w:val="18"/>
              </w:rPr>
            </w:pPr>
            <w:r>
              <w:rPr>
                <w:rFonts w:hint="eastAsia" w:ascii="仿宋" w:hAnsi="仿宋" w:eastAsia="仿宋" w:cs="宋体"/>
                <w:color w:val="auto"/>
                <w:sz w:val="18"/>
                <w:szCs w:val="18"/>
              </w:rPr>
              <w:t>营业收入(Y)</w:t>
            </w:r>
          </w:p>
        </w:tc>
        <w:tc>
          <w:tcPr>
            <w:tcW w:w="709" w:type="dxa"/>
            <w:tcBorders>
              <w:top w:val="nil"/>
              <w:left w:val="nil"/>
              <w:bottom w:val="nil"/>
              <w:right w:val="single" w:color="auto" w:sz="4" w:space="0"/>
            </w:tcBorders>
            <w:vAlign w:val="center"/>
          </w:tcPr>
          <w:p w14:paraId="069D068D">
            <w:pPr>
              <w:jc w:val="center"/>
              <w:rPr>
                <w:rFonts w:ascii="仿宋" w:hAnsi="仿宋" w:eastAsia="仿宋" w:cs="宋体"/>
                <w:color w:val="auto"/>
                <w:sz w:val="18"/>
                <w:szCs w:val="18"/>
              </w:rPr>
            </w:pPr>
            <w:r>
              <w:rPr>
                <w:rFonts w:hint="eastAsia" w:ascii="仿宋" w:hAnsi="仿宋" w:eastAsia="仿宋" w:cs="宋体"/>
                <w:color w:val="auto"/>
                <w:sz w:val="18"/>
                <w:szCs w:val="18"/>
              </w:rPr>
              <w:t>万元</w:t>
            </w:r>
          </w:p>
        </w:tc>
        <w:tc>
          <w:tcPr>
            <w:tcW w:w="1125" w:type="dxa"/>
            <w:tcBorders>
              <w:top w:val="nil"/>
              <w:left w:val="nil"/>
              <w:bottom w:val="nil"/>
              <w:right w:val="single" w:color="auto" w:sz="4" w:space="0"/>
            </w:tcBorders>
            <w:vAlign w:val="center"/>
          </w:tcPr>
          <w:p w14:paraId="7A1A4DA5">
            <w:pPr>
              <w:jc w:val="center"/>
              <w:rPr>
                <w:rFonts w:ascii="仿宋" w:hAnsi="仿宋" w:eastAsia="仿宋" w:cs="宋体"/>
                <w:color w:val="auto"/>
                <w:sz w:val="18"/>
                <w:szCs w:val="18"/>
              </w:rPr>
            </w:pPr>
            <w:r>
              <w:rPr>
                <w:rFonts w:hint="eastAsia" w:ascii="仿宋" w:hAnsi="仿宋" w:eastAsia="仿宋" w:cs="宋体"/>
                <w:color w:val="auto"/>
                <w:sz w:val="18"/>
                <w:szCs w:val="18"/>
              </w:rPr>
              <w:t>Y≥200000</w:t>
            </w:r>
          </w:p>
        </w:tc>
        <w:tc>
          <w:tcPr>
            <w:tcW w:w="1701" w:type="dxa"/>
            <w:tcBorders>
              <w:top w:val="nil"/>
              <w:left w:val="nil"/>
              <w:bottom w:val="nil"/>
              <w:right w:val="single" w:color="auto" w:sz="4" w:space="0"/>
            </w:tcBorders>
            <w:vAlign w:val="center"/>
          </w:tcPr>
          <w:p w14:paraId="21D19B01">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1000≤Y＜200000</w:t>
            </w:r>
          </w:p>
        </w:tc>
        <w:tc>
          <w:tcPr>
            <w:tcW w:w="1426" w:type="dxa"/>
            <w:tcBorders>
              <w:top w:val="nil"/>
              <w:left w:val="nil"/>
              <w:bottom w:val="nil"/>
              <w:right w:val="single" w:color="auto" w:sz="4" w:space="0"/>
            </w:tcBorders>
            <w:vAlign w:val="center"/>
          </w:tcPr>
          <w:p w14:paraId="2D4768ED">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100≤Y＜1000</w:t>
            </w:r>
          </w:p>
        </w:tc>
        <w:tc>
          <w:tcPr>
            <w:tcW w:w="992" w:type="dxa"/>
            <w:vAlign w:val="center"/>
          </w:tcPr>
          <w:p w14:paraId="041040DA">
            <w:pPr>
              <w:jc w:val="center"/>
              <w:rPr>
                <w:rFonts w:ascii="仿宋" w:hAnsi="仿宋" w:eastAsia="仿宋" w:cs="宋体"/>
                <w:color w:val="auto"/>
                <w:sz w:val="18"/>
                <w:szCs w:val="18"/>
              </w:rPr>
            </w:pPr>
            <w:r>
              <w:rPr>
                <w:rFonts w:hint="eastAsia" w:ascii="仿宋" w:hAnsi="仿宋" w:eastAsia="仿宋" w:cs="宋体"/>
                <w:color w:val="auto"/>
                <w:sz w:val="18"/>
                <w:szCs w:val="18"/>
              </w:rPr>
              <w:t>Y＜100</w:t>
            </w:r>
          </w:p>
        </w:tc>
      </w:tr>
      <w:tr w14:paraId="0ABD35F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818CA17">
            <w:pPr>
              <w:widowControl/>
              <w:jc w:val="left"/>
              <w:rPr>
                <w:rFonts w:ascii="仿宋" w:hAnsi="仿宋" w:eastAsia="仿宋" w:cs="宋体"/>
                <w:color w:val="auto"/>
                <w:sz w:val="18"/>
                <w:szCs w:val="18"/>
              </w:rPr>
            </w:pPr>
          </w:p>
        </w:tc>
        <w:tc>
          <w:tcPr>
            <w:tcW w:w="1369" w:type="dxa"/>
            <w:tcBorders>
              <w:top w:val="nil"/>
              <w:left w:val="nil"/>
              <w:bottom w:val="single" w:color="auto" w:sz="4" w:space="0"/>
              <w:right w:val="single" w:color="auto" w:sz="4" w:space="0"/>
            </w:tcBorders>
            <w:vAlign w:val="center"/>
          </w:tcPr>
          <w:p w14:paraId="26DE1701">
            <w:pPr>
              <w:spacing w:line="240" w:lineRule="exact"/>
              <w:jc w:val="center"/>
              <w:rPr>
                <w:rFonts w:ascii="仿宋" w:hAnsi="仿宋" w:eastAsia="仿宋" w:cs="宋体"/>
                <w:color w:val="auto"/>
                <w:sz w:val="18"/>
                <w:szCs w:val="18"/>
              </w:rPr>
            </w:pPr>
            <w:r>
              <w:rPr>
                <w:rFonts w:hint="eastAsia" w:ascii="仿宋" w:hAnsi="仿宋" w:eastAsia="仿宋" w:cs="宋体"/>
                <w:color w:val="auto"/>
                <w:sz w:val="18"/>
                <w:szCs w:val="18"/>
              </w:rPr>
              <w:t>资产总额(Z)</w:t>
            </w:r>
          </w:p>
        </w:tc>
        <w:tc>
          <w:tcPr>
            <w:tcW w:w="709" w:type="dxa"/>
            <w:tcBorders>
              <w:top w:val="nil"/>
              <w:left w:val="nil"/>
              <w:bottom w:val="single" w:color="auto" w:sz="4" w:space="0"/>
              <w:right w:val="single" w:color="auto" w:sz="4" w:space="0"/>
            </w:tcBorders>
            <w:vAlign w:val="center"/>
          </w:tcPr>
          <w:p w14:paraId="22302778">
            <w:pPr>
              <w:jc w:val="center"/>
              <w:rPr>
                <w:rFonts w:ascii="仿宋" w:hAnsi="仿宋" w:eastAsia="仿宋" w:cs="宋体"/>
                <w:color w:val="auto"/>
                <w:sz w:val="18"/>
                <w:szCs w:val="18"/>
              </w:rPr>
            </w:pPr>
            <w:r>
              <w:rPr>
                <w:rFonts w:hint="eastAsia" w:ascii="仿宋" w:hAnsi="仿宋" w:eastAsia="仿宋" w:cs="宋体"/>
                <w:color w:val="auto"/>
                <w:sz w:val="18"/>
                <w:szCs w:val="18"/>
              </w:rPr>
              <w:t>万元</w:t>
            </w:r>
          </w:p>
        </w:tc>
        <w:tc>
          <w:tcPr>
            <w:tcW w:w="1125" w:type="dxa"/>
            <w:tcBorders>
              <w:top w:val="nil"/>
              <w:left w:val="nil"/>
              <w:bottom w:val="single" w:color="auto" w:sz="4" w:space="0"/>
              <w:right w:val="single" w:color="auto" w:sz="4" w:space="0"/>
            </w:tcBorders>
            <w:vAlign w:val="center"/>
          </w:tcPr>
          <w:p w14:paraId="28CE9A73">
            <w:pPr>
              <w:jc w:val="center"/>
              <w:rPr>
                <w:rFonts w:ascii="仿宋" w:hAnsi="仿宋" w:eastAsia="仿宋" w:cs="宋体"/>
                <w:color w:val="auto"/>
                <w:sz w:val="18"/>
                <w:szCs w:val="18"/>
              </w:rPr>
            </w:pPr>
            <w:r>
              <w:rPr>
                <w:rFonts w:hint="eastAsia" w:ascii="仿宋" w:hAnsi="仿宋" w:eastAsia="仿宋" w:cs="宋体"/>
                <w:color w:val="auto"/>
                <w:sz w:val="18"/>
                <w:szCs w:val="18"/>
              </w:rPr>
              <w:t>Z≥10000</w:t>
            </w:r>
          </w:p>
        </w:tc>
        <w:tc>
          <w:tcPr>
            <w:tcW w:w="1701" w:type="dxa"/>
            <w:tcBorders>
              <w:top w:val="nil"/>
              <w:left w:val="nil"/>
              <w:bottom w:val="single" w:color="auto" w:sz="4" w:space="0"/>
              <w:right w:val="single" w:color="auto" w:sz="4" w:space="0"/>
            </w:tcBorders>
            <w:vAlign w:val="center"/>
          </w:tcPr>
          <w:p w14:paraId="2597AEB9">
            <w:pPr>
              <w:jc w:val="center"/>
              <w:rPr>
                <w:rFonts w:ascii="仿宋" w:hAnsi="仿宋" w:eastAsia="仿宋" w:cs="宋体"/>
                <w:color w:val="auto"/>
                <w:sz w:val="18"/>
                <w:szCs w:val="18"/>
              </w:rPr>
            </w:pPr>
            <w:r>
              <w:rPr>
                <w:rFonts w:hint="eastAsia" w:ascii="仿宋" w:hAnsi="仿宋" w:eastAsia="仿宋" w:cs="宋体"/>
                <w:color w:val="auto"/>
                <w:sz w:val="18"/>
                <w:szCs w:val="18"/>
              </w:rPr>
              <w:t>5000≤Z＜10000</w:t>
            </w:r>
          </w:p>
        </w:tc>
        <w:tc>
          <w:tcPr>
            <w:tcW w:w="1426" w:type="dxa"/>
            <w:tcBorders>
              <w:top w:val="nil"/>
              <w:left w:val="nil"/>
              <w:bottom w:val="single" w:color="auto" w:sz="4" w:space="0"/>
              <w:right w:val="single" w:color="auto" w:sz="4" w:space="0"/>
            </w:tcBorders>
            <w:vAlign w:val="center"/>
          </w:tcPr>
          <w:p w14:paraId="67EF008B">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2000≤Z＜5000   </w:t>
            </w:r>
          </w:p>
        </w:tc>
        <w:tc>
          <w:tcPr>
            <w:tcW w:w="992" w:type="dxa"/>
            <w:tcBorders>
              <w:top w:val="nil"/>
              <w:left w:val="nil"/>
              <w:bottom w:val="single" w:color="auto" w:sz="4" w:space="0"/>
              <w:right w:val="nil"/>
            </w:tcBorders>
            <w:vAlign w:val="center"/>
          </w:tcPr>
          <w:p w14:paraId="4A060750">
            <w:pPr>
              <w:jc w:val="center"/>
              <w:rPr>
                <w:rFonts w:ascii="仿宋" w:hAnsi="仿宋" w:eastAsia="仿宋" w:cs="宋体"/>
                <w:color w:val="auto"/>
                <w:sz w:val="18"/>
                <w:szCs w:val="18"/>
              </w:rPr>
            </w:pPr>
            <w:r>
              <w:rPr>
                <w:rFonts w:hint="eastAsia" w:ascii="仿宋" w:hAnsi="仿宋" w:eastAsia="仿宋" w:cs="宋体"/>
                <w:color w:val="auto"/>
                <w:sz w:val="18"/>
                <w:szCs w:val="18"/>
              </w:rPr>
              <w:t>Z＜2000</w:t>
            </w:r>
          </w:p>
        </w:tc>
      </w:tr>
      <w:tr w14:paraId="0BC9CB70">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45A05F06">
            <w:pPr>
              <w:spacing w:line="240" w:lineRule="exact"/>
              <w:rPr>
                <w:rFonts w:ascii="仿宋" w:hAnsi="仿宋" w:eastAsia="仿宋" w:cs="宋体"/>
                <w:color w:val="auto"/>
                <w:sz w:val="18"/>
                <w:szCs w:val="18"/>
              </w:rPr>
            </w:pPr>
            <w:r>
              <w:rPr>
                <w:rFonts w:hint="eastAsia" w:ascii="仿宋" w:hAnsi="仿宋" w:eastAsia="仿宋" w:cs="宋体"/>
                <w:color w:val="auto"/>
                <w:sz w:val="18"/>
                <w:szCs w:val="18"/>
              </w:rPr>
              <w:t>物业管理</w:t>
            </w:r>
          </w:p>
        </w:tc>
        <w:tc>
          <w:tcPr>
            <w:tcW w:w="1369" w:type="dxa"/>
            <w:tcBorders>
              <w:top w:val="nil"/>
              <w:left w:val="nil"/>
              <w:bottom w:val="nil"/>
              <w:right w:val="single" w:color="auto" w:sz="4" w:space="0"/>
            </w:tcBorders>
            <w:vAlign w:val="center"/>
          </w:tcPr>
          <w:p w14:paraId="0003FBF3">
            <w:pPr>
              <w:jc w:val="center"/>
              <w:rPr>
                <w:rFonts w:ascii="仿宋" w:hAnsi="仿宋" w:eastAsia="仿宋" w:cs="宋体"/>
                <w:color w:val="auto"/>
                <w:sz w:val="18"/>
                <w:szCs w:val="18"/>
              </w:rPr>
            </w:pPr>
            <w:r>
              <w:rPr>
                <w:rFonts w:hint="eastAsia" w:ascii="仿宋" w:hAnsi="仿宋" w:eastAsia="仿宋" w:cs="宋体"/>
                <w:color w:val="auto"/>
                <w:sz w:val="18"/>
                <w:szCs w:val="18"/>
              </w:rPr>
              <w:t>从业人员(X)</w:t>
            </w:r>
          </w:p>
        </w:tc>
        <w:tc>
          <w:tcPr>
            <w:tcW w:w="709" w:type="dxa"/>
            <w:tcBorders>
              <w:top w:val="nil"/>
              <w:left w:val="nil"/>
              <w:bottom w:val="nil"/>
              <w:right w:val="single" w:color="auto" w:sz="4" w:space="0"/>
            </w:tcBorders>
            <w:vAlign w:val="center"/>
          </w:tcPr>
          <w:p w14:paraId="119BA58F">
            <w:pPr>
              <w:jc w:val="center"/>
              <w:rPr>
                <w:rFonts w:ascii="仿宋" w:hAnsi="仿宋" w:eastAsia="仿宋" w:cs="宋体"/>
                <w:color w:val="auto"/>
                <w:sz w:val="18"/>
                <w:szCs w:val="18"/>
              </w:rPr>
            </w:pPr>
            <w:r>
              <w:rPr>
                <w:rFonts w:hint="eastAsia" w:ascii="仿宋" w:hAnsi="仿宋" w:eastAsia="仿宋" w:cs="宋体"/>
                <w:color w:val="auto"/>
                <w:sz w:val="18"/>
                <w:szCs w:val="18"/>
              </w:rPr>
              <w:t>人</w:t>
            </w:r>
          </w:p>
        </w:tc>
        <w:tc>
          <w:tcPr>
            <w:tcW w:w="1125" w:type="dxa"/>
            <w:tcBorders>
              <w:top w:val="nil"/>
              <w:left w:val="nil"/>
              <w:bottom w:val="nil"/>
              <w:right w:val="single" w:color="auto" w:sz="4" w:space="0"/>
            </w:tcBorders>
            <w:vAlign w:val="center"/>
          </w:tcPr>
          <w:p w14:paraId="7ADF976C">
            <w:pPr>
              <w:jc w:val="center"/>
              <w:rPr>
                <w:rFonts w:ascii="仿宋" w:hAnsi="仿宋" w:eastAsia="仿宋" w:cs="宋体"/>
                <w:color w:val="auto"/>
                <w:sz w:val="18"/>
                <w:szCs w:val="18"/>
              </w:rPr>
            </w:pPr>
            <w:r>
              <w:rPr>
                <w:rFonts w:hint="eastAsia" w:ascii="仿宋" w:hAnsi="仿宋" w:eastAsia="仿宋" w:cs="宋体"/>
                <w:color w:val="auto"/>
                <w:sz w:val="18"/>
                <w:szCs w:val="18"/>
              </w:rPr>
              <w:t>X≥1000</w:t>
            </w:r>
          </w:p>
        </w:tc>
        <w:tc>
          <w:tcPr>
            <w:tcW w:w="1701" w:type="dxa"/>
            <w:tcBorders>
              <w:top w:val="nil"/>
              <w:left w:val="nil"/>
              <w:bottom w:val="nil"/>
              <w:right w:val="single" w:color="auto" w:sz="4" w:space="0"/>
            </w:tcBorders>
            <w:vAlign w:val="center"/>
          </w:tcPr>
          <w:p w14:paraId="5ED992E1">
            <w:pPr>
              <w:jc w:val="center"/>
              <w:rPr>
                <w:rFonts w:ascii="仿宋" w:hAnsi="仿宋" w:eastAsia="仿宋" w:cs="宋体"/>
                <w:color w:val="auto"/>
                <w:sz w:val="18"/>
                <w:szCs w:val="18"/>
              </w:rPr>
            </w:pPr>
            <w:r>
              <w:rPr>
                <w:rFonts w:hint="eastAsia" w:ascii="仿宋" w:hAnsi="仿宋" w:eastAsia="仿宋" w:cs="宋体"/>
                <w:color w:val="auto"/>
                <w:sz w:val="18"/>
                <w:szCs w:val="18"/>
              </w:rPr>
              <w:t>300≤X＜1000</w:t>
            </w:r>
          </w:p>
        </w:tc>
        <w:tc>
          <w:tcPr>
            <w:tcW w:w="1426" w:type="dxa"/>
            <w:tcBorders>
              <w:top w:val="nil"/>
              <w:left w:val="nil"/>
              <w:bottom w:val="nil"/>
              <w:right w:val="single" w:color="auto" w:sz="4" w:space="0"/>
            </w:tcBorders>
            <w:vAlign w:val="center"/>
          </w:tcPr>
          <w:p w14:paraId="5F372838">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100≤X＜300 </w:t>
            </w:r>
          </w:p>
        </w:tc>
        <w:tc>
          <w:tcPr>
            <w:tcW w:w="992" w:type="dxa"/>
            <w:vAlign w:val="center"/>
          </w:tcPr>
          <w:p w14:paraId="4A808241">
            <w:pPr>
              <w:jc w:val="center"/>
              <w:rPr>
                <w:rFonts w:ascii="仿宋" w:hAnsi="仿宋" w:eastAsia="仿宋" w:cs="宋体"/>
                <w:color w:val="auto"/>
                <w:sz w:val="18"/>
                <w:szCs w:val="18"/>
              </w:rPr>
            </w:pPr>
            <w:r>
              <w:rPr>
                <w:rFonts w:hint="eastAsia" w:ascii="仿宋" w:hAnsi="仿宋" w:eastAsia="仿宋" w:cs="宋体"/>
                <w:color w:val="auto"/>
                <w:sz w:val="18"/>
                <w:szCs w:val="18"/>
              </w:rPr>
              <w:t>X＜100</w:t>
            </w:r>
          </w:p>
        </w:tc>
      </w:tr>
      <w:tr w14:paraId="48B9A4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6BEC1126">
            <w:pPr>
              <w:widowControl/>
              <w:jc w:val="left"/>
              <w:rPr>
                <w:rFonts w:ascii="仿宋" w:hAnsi="仿宋" w:eastAsia="仿宋" w:cs="宋体"/>
                <w:color w:val="auto"/>
                <w:sz w:val="18"/>
                <w:szCs w:val="18"/>
              </w:rPr>
            </w:pPr>
          </w:p>
        </w:tc>
        <w:tc>
          <w:tcPr>
            <w:tcW w:w="1369" w:type="dxa"/>
            <w:tcBorders>
              <w:top w:val="nil"/>
              <w:left w:val="nil"/>
              <w:bottom w:val="single" w:color="auto" w:sz="4" w:space="0"/>
              <w:right w:val="single" w:color="auto" w:sz="4" w:space="0"/>
            </w:tcBorders>
            <w:vAlign w:val="center"/>
          </w:tcPr>
          <w:p w14:paraId="6540586D">
            <w:pPr>
              <w:spacing w:line="240" w:lineRule="exact"/>
              <w:jc w:val="center"/>
              <w:rPr>
                <w:rFonts w:ascii="仿宋" w:hAnsi="仿宋" w:eastAsia="仿宋" w:cs="宋体"/>
                <w:color w:val="auto"/>
                <w:sz w:val="18"/>
                <w:szCs w:val="18"/>
              </w:rPr>
            </w:pPr>
            <w:r>
              <w:rPr>
                <w:rFonts w:hint="eastAsia" w:ascii="仿宋" w:hAnsi="仿宋" w:eastAsia="仿宋" w:cs="宋体"/>
                <w:color w:val="auto"/>
                <w:sz w:val="18"/>
                <w:szCs w:val="18"/>
              </w:rPr>
              <w:t>营业收入(Y)</w:t>
            </w:r>
          </w:p>
        </w:tc>
        <w:tc>
          <w:tcPr>
            <w:tcW w:w="709" w:type="dxa"/>
            <w:tcBorders>
              <w:top w:val="nil"/>
              <w:left w:val="nil"/>
              <w:bottom w:val="single" w:color="auto" w:sz="4" w:space="0"/>
              <w:right w:val="single" w:color="auto" w:sz="4" w:space="0"/>
            </w:tcBorders>
            <w:vAlign w:val="center"/>
          </w:tcPr>
          <w:p w14:paraId="1D6C2940">
            <w:pPr>
              <w:jc w:val="center"/>
              <w:rPr>
                <w:rFonts w:ascii="仿宋" w:hAnsi="仿宋" w:eastAsia="仿宋" w:cs="宋体"/>
                <w:color w:val="auto"/>
                <w:sz w:val="18"/>
                <w:szCs w:val="18"/>
              </w:rPr>
            </w:pPr>
            <w:r>
              <w:rPr>
                <w:rFonts w:hint="eastAsia" w:ascii="仿宋" w:hAnsi="仿宋" w:eastAsia="仿宋" w:cs="宋体"/>
                <w:color w:val="auto"/>
                <w:sz w:val="18"/>
                <w:szCs w:val="18"/>
              </w:rPr>
              <w:t>万元</w:t>
            </w:r>
          </w:p>
        </w:tc>
        <w:tc>
          <w:tcPr>
            <w:tcW w:w="1125" w:type="dxa"/>
            <w:tcBorders>
              <w:top w:val="nil"/>
              <w:left w:val="nil"/>
              <w:bottom w:val="single" w:color="auto" w:sz="4" w:space="0"/>
              <w:right w:val="single" w:color="auto" w:sz="4" w:space="0"/>
            </w:tcBorders>
            <w:vAlign w:val="center"/>
          </w:tcPr>
          <w:p w14:paraId="59FA7FBD">
            <w:pPr>
              <w:jc w:val="center"/>
              <w:rPr>
                <w:rFonts w:ascii="仿宋" w:hAnsi="仿宋" w:eastAsia="仿宋" w:cs="宋体"/>
                <w:color w:val="auto"/>
                <w:sz w:val="18"/>
                <w:szCs w:val="18"/>
              </w:rPr>
            </w:pPr>
            <w:r>
              <w:rPr>
                <w:rFonts w:hint="eastAsia" w:ascii="仿宋" w:hAnsi="仿宋" w:eastAsia="仿宋" w:cs="宋体"/>
                <w:color w:val="auto"/>
                <w:sz w:val="18"/>
                <w:szCs w:val="18"/>
              </w:rPr>
              <w:t>Y≥5000</w:t>
            </w:r>
          </w:p>
        </w:tc>
        <w:tc>
          <w:tcPr>
            <w:tcW w:w="1701" w:type="dxa"/>
            <w:tcBorders>
              <w:top w:val="nil"/>
              <w:left w:val="nil"/>
              <w:bottom w:val="single" w:color="auto" w:sz="4" w:space="0"/>
              <w:right w:val="single" w:color="auto" w:sz="4" w:space="0"/>
            </w:tcBorders>
            <w:vAlign w:val="center"/>
          </w:tcPr>
          <w:p w14:paraId="100A15E9">
            <w:pPr>
              <w:ind w:left="1" w:leftChars="-51" w:hanging="108" w:hangingChars="60"/>
              <w:jc w:val="center"/>
              <w:rPr>
                <w:rFonts w:ascii="仿宋" w:hAnsi="仿宋" w:eastAsia="仿宋" w:cs="宋体"/>
                <w:color w:val="auto"/>
                <w:sz w:val="18"/>
                <w:szCs w:val="18"/>
              </w:rPr>
            </w:pPr>
            <w:r>
              <w:rPr>
                <w:rFonts w:hint="eastAsia" w:ascii="仿宋" w:hAnsi="仿宋" w:eastAsia="仿宋" w:cs="宋体"/>
                <w:color w:val="auto"/>
                <w:sz w:val="18"/>
                <w:szCs w:val="18"/>
              </w:rPr>
              <w:t xml:space="preserve">1000≤Y＜5000 </w:t>
            </w:r>
          </w:p>
        </w:tc>
        <w:tc>
          <w:tcPr>
            <w:tcW w:w="1426" w:type="dxa"/>
            <w:tcBorders>
              <w:top w:val="nil"/>
              <w:left w:val="nil"/>
              <w:bottom w:val="single" w:color="auto" w:sz="4" w:space="0"/>
              <w:right w:val="single" w:color="auto" w:sz="4" w:space="0"/>
            </w:tcBorders>
            <w:vAlign w:val="center"/>
          </w:tcPr>
          <w:p w14:paraId="7A8F89C3">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500≤Y＜1000</w:t>
            </w:r>
          </w:p>
        </w:tc>
        <w:tc>
          <w:tcPr>
            <w:tcW w:w="992" w:type="dxa"/>
            <w:tcBorders>
              <w:top w:val="nil"/>
              <w:left w:val="nil"/>
              <w:bottom w:val="single" w:color="auto" w:sz="4" w:space="0"/>
              <w:right w:val="nil"/>
            </w:tcBorders>
            <w:vAlign w:val="center"/>
          </w:tcPr>
          <w:p w14:paraId="6864D556">
            <w:pPr>
              <w:jc w:val="center"/>
              <w:rPr>
                <w:rFonts w:ascii="仿宋" w:hAnsi="仿宋" w:eastAsia="仿宋" w:cs="宋体"/>
                <w:color w:val="auto"/>
                <w:sz w:val="18"/>
                <w:szCs w:val="18"/>
              </w:rPr>
            </w:pPr>
            <w:r>
              <w:rPr>
                <w:rFonts w:hint="eastAsia" w:ascii="仿宋" w:hAnsi="仿宋" w:eastAsia="仿宋" w:cs="宋体"/>
                <w:color w:val="auto"/>
                <w:sz w:val="18"/>
                <w:szCs w:val="18"/>
              </w:rPr>
              <w:t>Y＜500</w:t>
            </w:r>
          </w:p>
        </w:tc>
      </w:tr>
      <w:tr w14:paraId="4D8AF20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3A07BD46">
            <w:pPr>
              <w:spacing w:line="240" w:lineRule="exact"/>
              <w:rPr>
                <w:rFonts w:ascii="仿宋" w:hAnsi="仿宋" w:eastAsia="仿宋" w:cs="宋体"/>
                <w:color w:val="auto"/>
                <w:sz w:val="18"/>
                <w:szCs w:val="18"/>
              </w:rPr>
            </w:pPr>
            <w:r>
              <w:rPr>
                <w:rFonts w:hint="eastAsia" w:ascii="仿宋" w:hAnsi="仿宋" w:eastAsia="仿宋" w:cs="宋体"/>
                <w:color w:val="auto"/>
                <w:sz w:val="18"/>
                <w:szCs w:val="18"/>
              </w:rPr>
              <w:t>租赁和商务服务业</w:t>
            </w:r>
          </w:p>
        </w:tc>
        <w:tc>
          <w:tcPr>
            <w:tcW w:w="1369" w:type="dxa"/>
            <w:tcBorders>
              <w:top w:val="nil"/>
              <w:left w:val="nil"/>
              <w:bottom w:val="nil"/>
              <w:right w:val="single" w:color="auto" w:sz="4" w:space="0"/>
            </w:tcBorders>
            <w:vAlign w:val="center"/>
          </w:tcPr>
          <w:p w14:paraId="48733AF1">
            <w:pPr>
              <w:jc w:val="center"/>
              <w:rPr>
                <w:rFonts w:ascii="仿宋" w:hAnsi="仿宋" w:eastAsia="仿宋" w:cs="宋体"/>
                <w:color w:val="auto"/>
                <w:sz w:val="18"/>
                <w:szCs w:val="18"/>
              </w:rPr>
            </w:pPr>
            <w:r>
              <w:rPr>
                <w:rFonts w:hint="eastAsia" w:ascii="仿宋" w:hAnsi="仿宋" w:eastAsia="仿宋" w:cs="宋体"/>
                <w:color w:val="auto"/>
                <w:sz w:val="18"/>
                <w:szCs w:val="18"/>
              </w:rPr>
              <w:t>从业人员(X)</w:t>
            </w:r>
          </w:p>
        </w:tc>
        <w:tc>
          <w:tcPr>
            <w:tcW w:w="709" w:type="dxa"/>
            <w:tcBorders>
              <w:top w:val="nil"/>
              <w:left w:val="nil"/>
              <w:bottom w:val="nil"/>
              <w:right w:val="single" w:color="auto" w:sz="4" w:space="0"/>
            </w:tcBorders>
            <w:vAlign w:val="center"/>
          </w:tcPr>
          <w:p w14:paraId="098F69A3">
            <w:pPr>
              <w:jc w:val="center"/>
              <w:rPr>
                <w:rFonts w:ascii="仿宋" w:hAnsi="仿宋" w:eastAsia="仿宋" w:cs="宋体"/>
                <w:color w:val="auto"/>
                <w:sz w:val="18"/>
                <w:szCs w:val="18"/>
              </w:rPr>
            </w:pPr>
            <w:r>
              <w:rPr>
                <w:rFonts w:hint="eastAsia" w:ascii="仿宋" w:hAnsi="仿宋" w:eastAsia="仿宋" w:cs="宋体"/>
                <w:color w:val="auto"/>
                <w:sz w:val="18"/>
                <w:szCs w:val="18"/>
              </w:rPr>
              <w:t>人</w:t>
            </w:r>
          </w:p>
        </w:tc>
        <w:tc>
          <w:tcPr>
            <w:tcW w:w="1125" w:type="dxa"/>
            <w:tcBorders>
              <w:top w:val="nil"/>
              <w:left w:val="nil"/>
              <w:bottom w:val="nil"/>
              <w:right w:val="single" w:color="auto" w:sz="4" w:space="0"/>
            </w:tcBorders>
            <w:vAlign w:val="center"/>
          </w:tcPr>
          <w:p w14:paraId="58E85432">
            <w:pPr>
              <w:jc w:val="center"/>
              <w:rPr>
                <w:rFonts w:ascii="仿宋" w:hAnsi="仿宋" w:eastAsia="仿宋" w:cs="宋体"/>
                <w:color w:val="auto"/>
                <w:sz w:val="18"/>
                <w:szCs w:val="18"/>
              </w:rPr>
            </w:pPr>
            <w:r>
              <w:rPr>
                <w:rFonts w:hint="eastAsia" w:ascii="仿宋" w:hAnsi="仿宋" w:eastAsia="仿宋" w:cs="宋体"/>
                <w:color w:val="auto"/>
                <w:sz w:val="18"/>
                <w:szCs w:val="18"/>
              </w:rPr>
              <w:t>X≥300</w:t>
            </w:r>
          </w:p>
        </w:tc>
        <w:tc>
          <w:tcPr>
            <w:tcW w:w="1701" w:type="dxa"/>
            <w:tcBorders>
              <w:top w:val="nil"/>
              <w:left w:val="nil"/>
              <w:bottom w:val="nil"/>
              <w:right w:val="single" w:color="auto" w:sz="4" w:space="0"/>
            </w:tcBorders>
            <w:vAlign w:val="center"/>
          </w:tcPr>
          <w:p w14:paraId="0C8A2358">
            <w:pPr>
              <w:ind w:left="1" w:leftChars="-51" w:hanging="108" w:hangingChars="60"/>
              <w:jc w:val="center"/>
              <w:rPr>
                <w:rFonts w:ascii="仿宋" w:hAnsi="仿宋" w:eastAsia="仿宋" w:cs="宋体"/>
                <w:color w:val="auto"/>
                <w:sz w:val="18"/>
                <w:szCs w:val="18"/>
              </w:rPr>
            </w:pPr>
            <w:r>
              <w:rPr>
                <w:rFonts w:hint="eastAsia" w:ascii="仿宋" w:hAnsi="仿宋" w:eastAsia="仿宋" w:cs="宋体"/>
                <w:color w:val="auto"/>
                <w:sz w:val="18"/>
                <w:szCs w:val="18"/>
              </w:rPr>
              <w:t xml:space="preserve">100≤X＜300 </w:t>
            </w:r>
          </w:p>
        </w:tc>
        <w:tc>
          <w:tcPr>
            <w:tcW w:w="1426" w:type="dxa"/>
            <w:tcBorders>
              <w:top w:val="nil"/>
              <w:left w:val="nil"/>
              <w:bottom w:val="nil"/>
              <w:right w:val="single" w:color="auto" w:sz="4" w:space="0"/>
            </w:tcBorders>
            <w:vAlign w:val="center"/>
          </w:tcPr>
          <w:p w14:paraId="250C82B0">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10≤X＜100</w:t>
            </w:r>
          </w:p>
        </w:tc>
        <w:tc>
          <w:tcPr>
            <w:tcW w:w="992" w:type="dxa"/>
            <w:vAlign w:val="center"/>
          </w:tcPr>
          <w:p w14:paraId="0F4224D6">
            <w:pPr>
              <w:jc w:val="center"/>
              <w:rPr>
                <w:rFonts w:ascii="仿宋" w:hAnsi="仿宋" w:eastAsia="仿宋" w:cs="宋体"/>
                <w:color w:val="auto"/>
                <w:sz w:val="18"/>
                <w:szCs w:val="18"/>
              </w:rPr>
            </w:pPr>
            <w:r>
              <w:rPr>
                <w:rFonts w:hint="eastAsia" w:ascii="仿宋" w:hAnsi="仿宋" w:eastAsia="仿宋" w:cs="宋体"/>
                <w:color w:val="auto"/>
                <w:sz w:val="18"/>
                <w:szCs w:val="18"/>
              </w:rPr>
              <w:t>X＜10</w:t>
            </w:r>
          </w:p>
        </w:tc>
      </w:tr>
      <w:tr w14:paraId="54312833">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8ED1750">
            <w:pPr>
              <w:widowControl/>
              <w:jc w:val="left"/>
              <w:rPr>
                <w:rFonts w:ascii="仿宋" w:hAnsi="仿宋" w:eastAsia="仿宋" w:cs="宋体"/>
                <w:color w:val="auto"/>
                <w:sz w:val="18"/>
                <w:szCs w:val="18"/>
              </w:rPr>
            </w:pPr>
          </w:p>
        </w:tc>
        <w:tc>
          <w:tcPr>
            <w:tcW w:w="1369" w:type="dxa"/>
            <w:tcBorders>
              <w:top w:val="nil"/>
              <w:left w:val="nil"/>
              <w:bottom w:val="single" w:color="auto" w:sz="4" w:space="0"/>
              <w:right w:val="single" w:color="auto" w:sz="4" w:space="0"/>
            </w:tcBorders>
            <w:vAlign w:val="center"/>
          </w:tcPr>
          <w:p w14:paraId="02654A73">
            <w:pPr>
              <w:spacing w:line="240" w:lineRule="exact"/>
              <w:jc w:val="center"/>
              <w:rPr>
                <w:rFonts w:ascii="仿宋" w:hAnsi="仿宋" w:eastAsia="仿宋" w:cs="宋体"/>
                <w:color w:val="auto"/>
                <w:sz w:val="18"/>
                <w:szCs w:val="18"/>
              </w:rPr>
            </w:pPr>
            <w:r>
              <w:rPr>
                <w:rFonts w:hint="eastAsia" w:ascii="仿宋" w:hAnsi="仿宋" w:eastAsia="仿宋" w:cs="宋体"/>
                <w:color w:val="auto"/>
                <w:sz w:val="18"/>
                <w:szCs w:val="18"/>
              </w:rPr>
              <w:t>资产总额(Z)</w:t>
            </w:r>
          </w:p>
        </w:tc>
        <w:tc>
          <w:tcPr>
            <w:tcW w:w="709" w:type="dxa"/>
            <w:tcBorders>
              <w:top w:val="nil"/>
              <w:left w:val="nil"/>
              <w:bottom w:val="single" w:color="auto" w:sz="4" w:space="0"/>
              <w:right w:val="single" w:color="auto" w:sz="4" w:space="0"/>
            </w:tcBorders>
            <w:vAlign w:val="center"/>
          </w:tcPr>
          <w:p w14:paraId="470B7559">
            <w:pPr>
              <w:jc w:val="center"/>
              <w:rPr>
                <w:rFonts w:ascii="仿宋" w:hAnsi="仿宋" w:eastAsia="仿宋" w:cs="宋体"/>
                <w:color w:val="auto"/>
                <w:sz w:val="18"/>
                <w:szCs w:val="18"/>
              </w:rPr>
            </w:pPr>
            <w:r>
              <w:rPr>
                <w:rFonts w:hint="eastAsia" w:ascii="仿宋" w:hAnsi="仿宋" w:eastAsia="仿宋" w:cs="宋体"/>
                <w:color w:val="auto"/>
                <w:sz w:val="18"/>
                <w:szCs w:val="18"/>
              </w:rPr>
              <w:t>万元</w:t>
            </w:r>
          </w:p>
        </w:tc>
        <w:tc>
          <w:tcPr>
            <w:tcW w:w="1125" w:type="dxa"/>
            <w:tcBorders>
              <w:top w:val="nil"/>
              <w:left w:val="nil"/>
              <w:bottom w:val="single" w:color="auto" w:sz="4" w:space="0"/>
              <w:right w:val="single" w:color="auto" w:sz="4" w:space="0"/>
            </w:tcBorders>
            <w:vAlign w:val="center"/>
          </w:tcPr>
          <w:p w14:paraId="6BF2CDA2">
            <w:pPr>
              <w:jc w:val="center"/>
              <w:rPr>
                <w:rFonts w:ascii="仿宋" w:hAnsi="仿宋" w:eastAsia="仿宋" w:cs="宋体"/>
                <w:color w:val="auto"/>
                <w:sz w:val="18"/>
                <w:szCs w:val="18"/>
              </w:rPr>
            </w:pPr>
            <w:r>
              <w:rPr>
                <w:rFonts w:hint="eastAsia" w:ascii="仿宋" w:hAnsi="仿宋" w:eastAsia="仿宋" w:cs="宋体"/>
                <w:color w:val="auto"/>
                <w:sz w:val="18"/>
                <w:szCs w:val="18"/>
              </w:rPr>
              <w:t>Z≥120000</w:t>
            </w:r>
          </w:p>
        </w:tc>
        <w:tc>
          <w:tcPr>
            <w:tcW w:w="1701" w:type="dxa"/>
            <w:tcBorders>
              <w:top w:val="nil"/>
              <w:left w:val="nil"/>
              <w:bottom w:val="single" w:color="auto" w:sz="4" w:space="0"/>
              <w:right w:val="single" w:color="auto" w:sz="4" w:space="0"/>
            </w:tcBorders>
            <w:vAlign w:val="center"/>
          </w:tcPr>
          <w:p w14:paraId="33314752">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8000≤Z＜120000</w:t>
            </w:r>
          </w:p>
        </w:tc>
        <w:tc>
          <w:tcPr>
            <w:tcW w:w="1426" w:type="dxa"/>
            <w:tcBorders>
              <w:top w:val="nil"/>
              <w:left w:val="nil"/>
              <w:bottom w:val="single" w:color="auto" w:sz="4" w:space="0"/>
              <w:right w:val="single" w:color="auto" w:sz="4" w:space="0"/>
            </w:tcBorders>
            <w:vAlign w:val="center"/>
          </w:tcPr>
          <w:p w14:paraId="1DBA0BC4">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100≤Z＜8000</w:t>
            </w:r>
          </w:p>
        </w:tc>
        <w:tc>
          <w:tcPr>
            <w:tcW w:w="992" w:type="dxa"/>
            <w:tcBorders>
              <w:top w:val="nil"/>
              <w:left w:val="nil"/>
              <w:bottom w:val="single" w:color="auto" w:sz="4" w:space="0"/>
              <w:right w:val="nil"/>
            </w:tcBorders>
            <w:vAlign w:val="center"/>
          </w:tcPr>
          <w:p w14:paraId="46A5237C">
            <w:pPr>
              <w:jc w:val="center"/>
              <w:rPr>
                <w:rFonts w:ascii="仿宋" w:hAnsi="仿宋" w:eastAsia="仿宋" w:cs="宋体"/>
                <w:color w:val="auto"/>
                <w:sz w:val="18"/>
                <w:szCs w:val="18"/>
              </w:rPr>
            </w:pPr>
            <w:r>
              <w:rPr>
                <w:rFonts w:hint="eastAsia" w:ascii="仿宋" w:hAnsi="仿宋" w:eastAsia="仿宋" w:cs="宋体"/>
                <w:color w:val="auto"/>
                <w:sz w:val="18"/>
                <w:szCs w:val="18"/>
              </w:rPr>
              <w:t>Z＜100</w:t>
            </w:r>
          </w:p>
        </w:tc>
      </w:tr>
      <w:tr w14:paraId="50C464DE">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1740D7AF">
            <w:pPr>
              <w:spacing w:line="240" w:lineRule="exact"/>
              <w:rPr>
                <w:rFonts w:ascii="仿宋" w:hAnsi="仿宋" w:eastAsia="仿宋" w:cs="宋体"/>
                <w:color w:val="auto"/>
                <w:sz w:val="18"/>
                <w:szCs w:val="18"/>
              </w:rPr>
            </w:pPr>
            <w:r>
              <w:rPr>
                <w:rFonts w:hint="eastAsia" w:ascii="仿宋" w:hAnsi="仿宋" w:eastAsia="仿宋" w:cs="宋体"/>
                <w:color w:val="auto"/>
                <w:sz w:val="18"/>
                <w:szCs w:val="18"/>
              </w:rPr>
              <w:t>其他未列明行业 *</w:t>
            </w:r>
          </w:p>
        </w:tc>
        <w:tc>
          <w:tcPr>
            <w:tcW w:w="1369" w:type="dxa"/>
            <w:tcBorders>
              <w:top w:val="nil"/>
              <w:left w:val="nil"/>
              <w:bottom w:val="single" w:color="auto" w:sz="4" w:space="0"/>
              <w:right w:val="single" w:color="auto" w:sz="4" w:space="0"/>
            </w:tcBorders>
            <w:vAlign w:val="center"/>
          </w:tcPr>
          <w:p w14:paraId="7FFD0E87">
            <w:pPr>
              <w:jc w:val="center"/>
              <w:rPr>
                <w:rFonts w:ascii="仿宋" w:hAnsi="仿宋" w:eastAsia="仿宋" w:cs="宋体"/>
                <w:color w:val="auto"/>
                <w:sz w:val="18"/>
                <w:szCs w:val="18"/>
              </w:rPr>
            </w:pPr>
            <w:r>
              <w:rPr>
                <w:rFonts w:hint="eastAsia" w:ascii="仿宋" w:hAnsi="仿宋" w:eastAsia="仿宋" w:cs="宋体"/>
                <w:color w:val="auto"/>
                <w:sz w:val="18"/>
                <w:szCs w:val="18"/>
              </w:rPr>
              <w:t>从业人员(X)</w:t>
            </w:r>
          </w:p>
        </w:tc>
        <w:tc>
          <w:tcPr>
            <w:tcW w:w="709" w:type="dxa"/>
            <w:tcBorders>
              <w:top w:val="nil"/>
              <w:left w:val="nil"/>
              <w:bottom w:val="single" w:color="auto" w:sz="4" w:space="0"/>
              <w:right w:val="single" w:color="auto" w:sz="4" w:space="0"/>
            </w:tcBorders>
            <w:vAlign w:val="center"/>
          </w:tcPr>
          <w:p w14:paraId="45F6065F">
            <w:pPr>
              <w:jc w:val="center"/>
              <w:rPr>
                <w:rFonts w:ascii="仿宋" w:hAnsi="仿宋" w:eastAsia="仿宋" w:cs="宋体"/>
                <w:color w:val="auto"/>
                <w:sz w:val="18"/>
                <w:szCs w:val="18"/>
              </w:rPr>
            </w:pPr>
            <w:r>
              <w:rPr>
                <w:rFonts w:hint="eastAsia" w:ascii="仿宋" w:hAnsi="仿宋" w:eastAsia="仿宋" w:cs="宋体"/>
                <w:color w:val="auto"/>
                <w:sz w:val="18"/>
                <w:szCs w:val="18"/>
              </w:rPr>
              <w:t>人</w:t>
            </w:r>
          </w:p>
        </w:tc>
        <w:tc>
          <w:tcPr>
            <w:tcW w:w="1125" w:type="dxa"/>
            <w:tcBorders>
              <w:top w:val="nil"/>
              <w:left w:val="nil"/>
              <w:bottom w:val="single" w:color="auto" w:sz="4" w:space="0"/>
              <w:right w:val="single" w:color="auto" w:sz="4" w:space="0"/>
            </w:tcBorders>
            <w:vAlign w:val="center"/>
          </w:tcPr>
          <w:p w14:paraId="155DB594">
            <w:pPr>
              <w:jc w:val="center"/>
              <w:rPr>
                <w:rFonts w:ascii="仿宋" w:hAnsi="仿宋" w:eastAsia="仿宋" w:cs="宋体"/>
                <w:color w:val="auto"/>
                <w:sz w:val="18"/>
                <w:szCs w:val="18"/>
              </w:rPr>
            </w:pPr>
            <w:r>
              <w:rPr>
                <w:rFonts w:hint="eastAsia" w:ascii="仿宋" w:hAnsi="仿宋" w:eastAsia="仿宋" w:cs="宋体"/>
                <w:color w:val="auto"/>
                <w:sz w:val="18"/>
                <w:szCs w:val="18"/>
              </w:rPr>
              <w:t>X≥300</w:t>
            </w:r>
          </w:p>
        </w:tc>
        <w:tc>
          <w:tcPr>
            <w:tcW w:w="1701" w:type="dxa"/>
            <w:tcBorders>
              <w:top w:val="nil"/>
              <w:left w:val="nil"/>
              <w:bottom w:val="single" w:color="auto" w:sz="4" w:space="0"/>
              <w:right w:val="single" w:color="auto" w:sz="4" w:space="0"/>
            </w:tcBorders>
            <w:vAlign w:val="center"/>
          </w:tcPr>
          <w:p w14:paraId="6B8F241A">
            <w:pPr>
              <w:ind w:left="1" w:leftChars="-51" w:hanging="108" w:hangingChars="60"/>
              <w:jc w:val="center"/>
              <w:rPr>
                <w:rFonts w:ascii="仿宋" w:hAnsi="仿宋" w:eastAsia="仿宋" w:cs="宋体"/>
                <w:color w:val="auto"/>
                <w:sz w:val="18"/>
                <w:szCs w:val="18"/>
              </w:rPr>
            </w:pPr>
            <w:r>
              <w:rPr>
                <w:rFonts w:hint="eastAsia" w:ascii="仿宋" w:hAnsi="仿宋" w:eastAsia="仿宋" w:cs="宋体"/>
                <w:color w:val="auto"/>
                <w:sz w:val="18"/>
                <w:szCs w:val="18"/>
              </w:rPr>
              <w:t xml:space="preserve">100≤X＜300 </w:t>
            </w:r>
          </w:p>
        </w:tc>
        <w:tc>
          <w:tcPr>
            <w:tcW w:w="1426" w:type="dxa"/>
            <w:tcBorders>
              <w:top w:val="nil"/>
              <w:left w:val="nil"/>
              <w:bottom w:val="single" w:color="auto" w:sz="4" w:space="0"/>
              <w:right w:val="single" w:color="auto" w:sz="4" w:space="0"/>
            </w:tcBorders>
            <w:vAlign w:val="center"/>
          </w:tcPr>
          <w:p w14:paraId="350FC3F5">
            <w:pPr>
              <w:jc w:val="center"/>
              <w:rPr>
                <w:rFonts w:ascii="仿宋" w:hAnsi="仿宋" w:eastAsia="仿宋" w:cs="宋体"/>
                <w:color w:val="auto"/>
                <w:sz w:val="18"/>
                <w:szCs w:val="18"/>
              </w:rPr>
            </w:pPr>
            <w:r>
              <w:rPr>
                <w:rFonts w:hint="eastAsia" w:ascii="仿宋" w:hAnsi="仿宋" w:eastAsia="仿宋" w:cs="宋体"/>
                <w:color w:val="auto"/>
                <w:sz w:val="18"/>
                <w:szCs w:val="18"/>
              </w:rPr>
              <w:t xml:space="preserve"> 10≤X＜100</w:t>
            </w:r>
          </w:p>
        </w:tc>
        <w:tc>
          <w:tcPr>
            <w:tcW w:w="992" w:type="dxa"/>
            <w:tcBorders>
              <w:top w:val="nil"/>
              <w:left w:val="nil"/>
              <w:bottom w:val="single" w:color="auto" w:sz="4" w:space="0"/>
              <w:right w:val="nil"/>
            </w:tcBorders>
            <w:vAlign w:val="center"/>
          </w:tcPr>
          <w:p w14:paraId="62F4440A">
            <w:pPr>
              <w:jc w:val="center"/>
              <w:rPr>
                <w:rFonts w:ascii="仿宋" w:hAnsi="仿宋" w:eastAsia="仿宋" w:cs="宋体"/>
                <w:color w:val="auto"/>
                <w:sz w:val="18"/>
                <w:szCs w:val="18"/>
              </w:rPr>
            </w:pPr>
            <w:r>
              <w:rPr>
                <w:rFonts w:hint="eastAsia" w:ascii="仿宋" w:hAnsi="仿宋" w:eastAsia="仿宋" w:cs="宋体"/>
                <w:color w:val="auto"/>
                <w:sz w:val="18"/>
                <w:szCs w:val="18"/>
              </w:rPr>
              <w:t>X＜10</w:t>
            </w:r>
          </w:p>
        </w:tc>
      </w:tr>
    </w:tbl>
    <w:p w14:paraId="02F368ED">
      <w:pPr>
        <w:spacing w:line="360" w:lineRule="auto"/>
        <w:rPr>
          <w:rFonts w:ascii="仿宋" w:hAnsi="仿宋" w:eastAsia="仿宋"/>
          <w:b/>
          <w:color w:val="auto"/>
          <w:sz w:val="24"/>
          <w:szCs w:val="24"/>
        </w:rPr>
      </w:pPr>
    </w:p>
    <w:p w14:paraId="5E7CAF3C">
      <w:pPr>
        <w:spacing w:line="360" w:lineRule="auto"/>
        <w:rPr>
          <w:rFonts w:ascii="仿宋" w:hAnsi="仿宋" w:eastAsia="仿宋"/>
          <w:b/>
          <w:color w:val="auto"/>
          <w:sz w:val="24"/>
          <w:szCs w:val="24"/>
        </w:rPr>
      </w:pPr>
    </w:p>
    <w:p w14:paraId="464D8FF7">
      <w:pPr>
        <w:spacing w:line="360" w:lineRule="auto"/>
        <w:rPr>
          <w:rFonts w:ascii="仿宋" w:hAnsi="仿宋" w:eastAsia="仿宋"/>
          <w:b/>
          <w:color w:val="auto"/>
          <w:sz w:val="24"/>
          <w:szCs w:val="24"/>
        </w:rPr>
      </w:pPr>
    </w:p>
    <w:p w14:paraId="6B28F53B">
      <w:pPr>
        <w:widowControl/>
        <w:spacing w:line="540" w:lineRule="exact"/>
        <w:rPr>
          <w:rFonts w:ascii="仿宋" w:hAnsi="仿宋" w:eastAsia="仿宋" w:cs="宋体"/>
          <w:color w:val="auto"/>
          <w:spacing w:val="8"/>
          <w:kern w:val="0"/>
          <w:sz w:val="24"/>
          <w:szCs w:val="24"/>
        </w:rPr>
      </w:pPr>
      <w:r>
        <w:rPr>
          <w:rFonts w:hint="eastAsia" w:ascii="仿宋" w:hAnsi="仿宋" w:eastAsia="仿宋" w:cs="宋体"/>
          <w:color w:val="auto"/>
          <w:spacing w:val="8"/>
          <w:kern w:val="0"/>
          <w:sz w:val="24"/>
          <w:szCs w:val="24"/>
        </w:rPr>
        <w:t>说明：</w:t>
      </w:r>
    </w:p>
    <w:p w14:paraId="33C7F277">
      <w:pPr>
        <w:spacing w:line="540" w:lineRule="exact"/>
        <w:rPr>
          <w:rFonts w:ascii="仿宋" w:hAnsi="仿宋" w:eastAsia="仿宋" w:cs="宋体"/>
          <w:color w:val="auto"/>
          <w:spacing w:val="8"/>
          <w:kern w:val="0"/>
          <w:sz w:val="24"/>
          <w:szCs w:val="24"/>
        </w:rPr>
      </w:pPr>
      <w:r>
        <w:rPr>
          <w:rFonts w:hint="eastAsia" w:ascii="仿宋" w:hAnsi="仿宋" w:eastAsia="仿宋" w:cs="宋体"/>
          <w:color w:val="auto"/>
          <w:spacing w:val="8"/>
          <w:kern w:val="0"/>
          <w:sz w:val="24"/>
          <w:szCs w:val="24"/>
        </w:rPr>
        <w:t>　　</w:t>
      </w:r>
      <w:r>
        <w:rPr>
          <w:rFonts w:hint="eastAsia" w:ascii="仿宋" w:hAnsi="仿宋" w:eastAsia="仿宋"/>
          <w:color w:val="auto"/>
          <w:spacing w:val="8"/>
          <w:kern w:val="0"/>
          <w:sz w:val="24"/>
          <w:szCs w:val="24"/>
        </w:rPr>
        <w:t>1.</w:t>
      </w:r>
      <w:r>
        <w:rPr>
          <w:rFonts w:hint="eastAsia" w:ascii="仿宋" w:hAnsi="仿宋" w:eastAsia="仿宋" w:cs="宋体"/>
          <w:color w:val="auto"/>
          <w:spacing w:val="8"/>
          <w:kern w:val="0"/>
          <w:sz w:val="24"/>
          <w:szCs w:val="24"/>
        </w:rPr>
        <w:t>大型、中型和小型企业须同时满足所列指标的下限，否则下划一档；微型企业只须满足所列指标中的一项即可。</w:t>
      </w:r>
    </w:p>
    <w:p w14:paraId="5ADEABAE">
      <w:pPr>
        <w:spacing w:line="540" w:lineRule="exact"/>
        <w:rPr>
          <w:rFonts w:ascii="仿宋" w:hAnsi="仿宋" w:eastAsia="仿宋" w:cs="宋体"/>
          <w:color w:val="auto"/>
          <w:spacing w:val="8"/>
          <w:kern w:val="0"/>
          <w:sz w:val="24"/>
          <w:szCs w:val="24"/>
        </w:rPr>
      </w:pPr>
      <w:r>
        <w:rPr>
          <w:rFonts w:hint="eastAsia" w:ascii="仿宋" w:hAnsi="仿宋" w:eastAsia="仿宋" w:cs="宋体"/>
          <w:color w:val="auto"/>
          <w:spacing w:val="8"/>
          <w:kern w:val="0"/>
          <w:sz w:val="24"/>
          <w:szCs w:val="24"/>
        </w:rPr>
        <w:t>　　</w:t>
      </w:r>
      <w:r>
        <w:rPr>
          <w:rFonts w:hint="eastAsia" w:ascii="仿宋" w:hAnsi="仿宋" w:eastAsia="仿宋"/>
          <w:color w:val="auto"/>
          <w:spacing w:val="8"/>
          <w:kern w:val="0"/>
          <w:sz w:val="24"/>
          <w:szCs w:val="24"/>
        </w:rPr>
        <w:t>2.</w:t>
      </w:r>
      <w:r>
        <w:rPr>
          <w:rFonts w:hint="eastAsia" w:ascii="仿宋" w:hAnsi="仿宋" w:eastAsia="仿宋" w:cs="宋体"/>
          <w:color w:val="auto"/>
          <w:spacing w:val="8"/>
          <w:kern w:val="0"/>
          <w:sz w:val="24"/>
          <w:szCs w:val="24"/>
        </w:rPr>
        <w:t>附表中各行业的范围以《国民经济行业分类》（</w:t>
      </w:r>
      <w:r>
        <w:rPr>
          <w:rFonts w:hint="eastAsia" w:ascii="仿宋" w:hAnsi="仿宋" w:eastAsia="仿宋"/>
          <w:color w:val="auto"/>
          <w:spacing w:val="8"/>
          <w:kern w:val="0"/>
          <w:sz w:val="24"/>
          <w:szCs w:val="24"/>
        </w:rPr>
        <w:t>GB/T4754-2017</w:t>
      </w:r>
      <w:r>
        <w:rPr>
          <w:rFonts w:hint="eastAsia" w:ascii="仿宋" w:hAnsi="仿宋" w:eastAsia="仿宋" w:cs="宋体"/>
          <w:color w:val="auto"/>
          <w:spacing w:val="8"/>
          <w:kern w:val="0"/>
          <w:sz w:val="24"/>
          <w:szCs w:val="24"/>
        </w:rPr>
        <w:t>）为准。带</w:t>
      </w:r>
      <w:r>
        <w:rPr>
          <w:rFonts w:hint="eastAsia" w:ascii="仿宋" w:hAnsi="仿宋" w:eastAsia="仿宋"/>
          <w:color w:val="auto"/>
          <w:spacing w:val="8"/>
          <w:kern w:val="0"/>
          <w:sz w:val="24"/>
          <w:szCs w:val="24"/>
        </w:rPr>
        <w:t>*</w:t>
      </w:r>
      <w:r>
        <w:rPr>
          <w:rFonts w:hint="eastAsia" w:ascii="仿宋" w:hAnsi="仿宋" w:eastAsia="仿宋" w:cs="宋体"/>
          <w:color w:val="auto"/>
          <w:spacing w:val="8"/>
          <w:kern w:val="0"/>
          <w:sz w:val="24"/>
          <w:szCs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DDC9442">
      <w:pPr>
        <w:spacing w:line="540" w:lineRule="exact"/>
        <w:rPr>
          <w:rFonts w:ascii="仿宋" w:hAnsi="仿宋" w:eastAsia="仿宋"/>
          <w:color w:val="auto"/>
          <w:sz w:val="24"/>
          <w:szCs w:val="24"/>
        </w:rPr>
      </w:pPr>
      <w:r>
        <w:rPr>
          <w:rFonts w:hint="eastAsia" w:ascii="仿宋" w:hAnsi="仿宋" w:eastAsia="仿宋" w:cs="宋体"/>
          <w:color w:val="auto"/>
          <w:spacing w:val="8"/>
          <w:kern w:val="0"/>
          <w:sz w:val="24"/>
          <w:szCs w:val="24"/>
        </w:rPr>
        <w:t>　　</w:t>
      </w:r>
      <w:r>
        <w:rPr>
          <w:rFonts w:hint="eastAsia" w:ascii="仿宋" w:hAnsi="仿宋" w:eastAsia="仿宋"/>
          <w:color w:val="auto"/>
          <w:spacing w:val="8"/>
          <w:kern w:val="0"/>
          <w:sz w:val="24"/>
          <w:szCs w:val="24"/>
        </w:rPr>
        <w:t>3.</w:t>
      </w:r>
      <w:r>
        <w:rPr>
          <w:rFonts w:hint="eastAsia" w:ascii="仿宋" w:hAnsi="仿宋" w:eastAsia="仿宋" w:cs="宋体"/>
          <w:color w:val="auto"/>
          <w:spacing w:val="8"/>
          <w:kern w:val="0"/>
          <w:sz w:val="24"/>
          <w:szCs w:val="24"/>
        </w:rPr>
        <w:t>企业划分指标以现行统计制度为准。（</w:t>
      </w:r>
      <w:r>
        <w:rPr>
          <w:rFonts w:hint="eastAsia" w:ascii="仿宋" w:hAnsi="仿宋" w:eastAsia="仿宋"/>
          <w:color w:val="auto"/>
          <w:spacing w:val="8"/>
          <w:kern w:val="0"/>
          <w:sz w:val="24"/>
          <w:szCs w:val="24"/>
        </w:rPr>
        <w:t>1</w:t>
      </w:r>
      <w:r>
        <w:rPr>
          <w:rFonts w:hint="eastAsia" w:ascii="仿宋" w:hAnsi="仿宋" w:eastAsia="仿宋" w:cs="宋体"/>
          <w:color w:val="auto"/>
          <w:spacing w:val="8"/>
          <w:kern w:val="0"/>
          <w:sz w:val="24"/>
          <w:szCs w:val="24"/>
        </w:rPr>
        <w:t>）从业人员，是指期末从业人员数，没有期末从业人员数的，采用全年平均人员数代替。（</w:t>
      </w:r>
      <w:r>
        <w:rPr>
          <w:rFonts w:hint="eastAsia" w:ascii="仿宋" w:hAnsi="仿宋" w:eastAsia="仿宋"/>
          <w:color w:val="auto"/>
          <w:spacing w:val="8"/>
          <w:kern w:val="0"/>
          <w:sz w:val="24"/>
          <w:szCs w:val="24"/>
        </w:rPr>
        <w:t>2</w:t>
      </w:r>
      <w:r>
        <w:rPr>
          <w:rFonts w:hint="eastAsia" w:ascii="仿宋" w:hAnsi="仿宋" w:eastAsia="仿宋" w:cs="宋体"/>
          <w:color w:val="auto"/>
          <w:spacing w:val="8"/>
          <w:kern w:val="0"/>
          <w:sz w:val="24"/>
          <w:szCs w:val="24"/>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仿宋" w:hAnsi="仿宋" w:eastAsia="仿宋"/>
          <w:color w:val="auto"/>
          <w:spacing w:val="8"/>
          <w:kern w:val="0"/>
          <w:sz w:val="24"/>
          <w:szCs w:val="24"/>
        </w:rPr>
        <w:t>3</w:t>
      </w:r>
      <w:r>
        <w:rPr>
          <w:rFonts w:hint="eastAsia" w:ascii="仿宋" w:hAnsi="仿宋" w:eastAsia="仿宋" w:cs="宋体"/>
          <w:color w:val="auto"/>
          <w:spacing w:val="8"/>
          <w:kern w:val="0"/>
          <w:sz w:val="24"/>
          <w:szCs w:val="24"/>
        </w:rPr>
        <w:t>）资产总额，采用资产总计代替。</w:t>
      </w:r>
    </w:p>
    <w:p w14:paraId="414CA499">
      <w:pPr>
        <w:spacing w:line="360" w:lineRule="auto"/>
        <w:ind w:firstLine="2" w:firstLineChars="1"/>
        <w:rPr>
          <w:rFonts w:ascii="仿宋" w:hAnsi="仿宋" w:eastAsia="仿宋"/>
          <w:color w:val="auto"/>
          <w:sz w:val="24"/>
          <w:szCs w:val="24"/>
        </w:rPr>
      </w:pPr>
    </w:p>
    <w:p w14:paraId="79BA27D9">
      <w:pPr>
        <w:spacing w:line="360" w:lineRule="auto"/>
        <w:rPr>
          <w:rFonts w:ascii="仿宋" w:hAnsi="仿宋" w:eastAsia="仿宋"/>
          <w:b/>
          <w:color w:val="auto"/>
          <w:sz w:val="24"/>
          <w:szCs w:val="24"/>
        </w:rPr>
      </w:pPr>
    </w:p>
    <w:p w14:paraId="13561EE6">
      <w:pPr>
        <w:spacing w:line="360" w:lineRule="auto"/>
        <w:rPr>
          <w:rFonts w:ascii="仿宋" w:hAnsi="仿宋" w:eastAsia="仿宋"/>
          <w:b/>
          <w:color w:val="auto"/>
          <w:sz w:val="24"/>
          <w:szCs w:val="24"/>
        </w:rPr>
      </w:pPr>
    </w:p>
    <w:p w14:paraId="4AD171AA">
      <w:pPr>
        <w:spacing w:line="360" w:lineRule="auto"/>
        <w:rPr>
          <w:rFonts w:ascii="仿宋" w:hAnsi="仿宋" w:eastAsia="仿宋"/>
          <w:b/>
          <w:color w:val="auto"/>
          <w:sz w:val="24"/>
          <w:szCs w:val="24"/>
        </w:rPr>
      </w:pPr>
    </w:p>
    <w:p w14:paraId="2D9FBF17">
      <w:pPr>
        <w:spacing w:line="360" w:lineRule="auto"/>
        <w:rPr>
          <w:rFonts w:ascii="仿宋" w:hAnsi="仿宋" w:eastAsia="仿宋"/>
          <w:b/>
          <w:color w:val="auto"/>
          <w:sz w:val="24"/>
          <w:szCs w:val="24"/>
        </w:rPr>
      </w:pPr>
    </w:p>
    <w:p w14:paraId="19E6F5C4">
      <w:pPr>
        <w:spacing w:line="360" w:lineRule="auto"/>
        <w:rPr>
          <w:rFonts w:ascii="仿宋" w:hAnsi="仿宋" w:eastAsia="仿宋"/>
          <w:b/>
          <w:color w:val="auto"/>
          <w:sz w:val="24"/>
          <w:szCs w:val="24"/>
        </w:rPr>
      </w:pPr>
    </w:p>
    <w:p w14:paraId="3538396E">
      <w:pPr>
        <w:spacing w:line="360" w:lineRule="auto"/>
        <w:rPr>
          <w:rFonts w:ascii="仿宋" w:hAnsi="仿宋" w:eastAsia="仿宋"/>
          <w:b/>
          <w:color w:val="auto"/>
          <w:sz w:val="24"/>
          <w:szCs w:val="24"/>
        </w:rPr>
      </w:pPr>
    </w:p>
    <w:p w14:paraId="2DB30A4F">
      <w:pPr>
        <w:spacing w:line="360" w:lineRule="auto"/>
        <w:rPr>
          <w:rFonts w:ascii="仿宋" w:hAnsi="仿宋" w:eastAsia="仿宋"/>
          <w:b/>
          <w:color w:val="auto"/>
          <w:sz w:val="24"/>
          <w:szCs w:val="24"/>
        </w:rPr>
      </w:pPr>
    </w:p>
    <w:p w14:paraId="1D2ACA83">
      <w:pPr>
        <w:spacing w:line="360" w:lineRule="auto"/>
        <w:rPr>
          <w:rFonts w:ascii="仿宋" w:hAnsi="仿宋" w:eastAsia="仿宋"/>
          <w:b/>
          <w:color w:val="auto"/>
          <w:sz w:val="24"/>
          <w:szCs w:val="24"/>
        </w:rPr>
      </w:pPr>
    </w:p>
    <w:p w14:paraId="4859CE98">
      <w:pPr>
        <w:spacing w:line="360" w:lineRule="auto"/>
        <w:rPr>
          <w:rFonts w:ascii="仿宋" w:hAnsi="仿宋" w:eastAsia="仿宋"/>
          <w:b/>
          <w:color w:val="auto"/>
          <w:sz w:val="24"/>
          <w:szCs w:val="24"/>
        </w:rPr>
      </w:pPr>
    </w:p>
    <w:p w14:paraId="48AA0FFD">
      <w:pPr>
        <w:spacing w:line="360" w:lineRule="auto"/>
        <w:rPr>
          <w:rFonts w:ascii="仿宋" w:hAnsi="仿宋" w:eastAsia="仿宋"/>
          <w:b/>
          <w:color w:val="auto"/>
          <w:sz w:val="24"/>
          <w:szCs w:val="24"/>
        </w:rPr>
      </w:pPr>
    </w:p>
    <w:p w14:paraId="08FD9AD3">
      <w:pPr>
        <w:spacing w:line="360" w:lineRule="auto"/>
        <w:jc w:val="center"/>
        <w:outlineLvl w:val="1"/>
        <w:rPr>
          <w:rFonts w:ascii="仿宋" w:hAnsi="仿宋" w:eastAsia="仿宋" w:cs="宋体"/>
          <w:b/>
          <w:color w:val="auto"/>
          <w:sz w:val="30"/>
          <w:szCs w:val="30"/>
        </w:rPr>
      </w:pPr>
      <w:bookmarkStart w:id="240" w:name="_Toc232004927"/>
      <w:r>
        <w:rPr>
          <w:rFonts w:hint="eastAsia" w:ascii="仿宋" w:hAnsi="仿宋" w:eastAsia="仿宋" w:cs="宋体"/>
          <w:b/>
          <w:color w:val="auto"/>
          <w:sz w:val="30"/>
          <w:szCs w:val="30"/>
        </w:rPr>
        <w:t>四、残疾人福利性单位声明函</w:t>
      </w:r>
      <w:bookmarkEnd w:id="240"/>
    </w:p>
    <w:p w14:paraId="373A9017">
      <w:pPr>
        <w:spacing w:line="360" w:lineRule="auto"/>
        <w:ind w:firstLine="600" w:firstLineChars="250"/>
        <w:rPr>
          <w:rFonts w:ascii="仿宋" w:hAnsi="仿宋" w:eastAsia="仿宋"/>
          <w:color w:val="auto"/>
          <w:sz w:val="24"/>
          <w:szCs w:val="24"/>
        </w:rPr>
      </w:pPr>
      <w:r>
        <w:rPr>
          <w:rFonts w:hint="eastAsia" w:ascii="仿宋" w:hAnsi="仿宋" w:eastAsia="仿宋"/>
          <w:color w:val="auto"/>
          <w:sz w:val="24"/>
          <w:szCs w:val="24"/>
        </w:rPr>
        <w:t>本单位郑重声明，根据《财政部 民政部 中国残疾人联合会关于促进残疾人就业政府采购政策的通知》（财库〔2017〕 141号）的规定，本单位为</w:t>
      </w:r>
      <w:r>
        <w:rPr>
          <w:rFonts w:hint="eastAsia" w:ascii="仿宋" w:hAnsi="仿宋" w:eastAsia="仿宋"/>
          <w:color w:val="auto"/>
          <w:sz w:val="24"/>
          <w:szCs w:val="24"/>
          <w:u w:val="single"/>
        </w:rPr>
        <w:t xml:space="preserve">           </w:t>
      </w:r>
      <w:r>
        <w:rPr>
          <w:rFonts w:hint="eastAsia" w:ascii="仿宋" w:hAnsi="仿宋" w:eastAsia="仿宋"/>
          <w:b/>
          <w:color w:val="auto"/>
          <w:sz w:val="24"/>
          <w:szCs w:val="24"/>
        </w:rPr>
        <w:t>（请填写：符合、不符合）</w:t>
      </w:r>
      <w:r>
        <w:rPr>
          <w:rFonts w:hint="eastAsia" w:ascii="仿宋" w:hAnsi="仿宋" w:eastAsia="仿宋"/>
          <w:color w:val="auto"/>
          <w:sz w:val="24"/>
          <w:szCs w:val="24"/>
        </w:rPr>
        <w:t>条件的残疾人福利性单位，且本单位参加</w:t>
      </w:r>
      <w:r>
        <w:rPr>
          <w:rFonts w:hint="eastAsia" w:ascii="仿宋" w:hAnsi="仿宋" w:eastAsia="仿宋"/>
          <w:color w:val="auto"/>
          <w:sz w:val="24"/>
          <w:szCs w:val="24"/>
          <w:u w:val="single"/>
        </w:rPr>
        <w:t>石林彝族自治县自然资源局</w:t>
      </w:r>
      <w:r>
        <w:rPr>
          <w:rFonts w:hint="eastAsia" w:ascii="仿宋" w:hAnsi="仿宋" w:eastAsia="仿宋"/>
          <w:color w:val="auto"/>
          <w:sz w:val="24"/>
          <w:szCs w:val="24"/>
        </w:rPr>
        <w:t>单位的</w:t>
      </w:r>
      <w:r>
        <w:rPr>
          <w:rFonts w:hint="eastAsia" w:ascii="仿宋" w:hAnsi="仿宋" w:eastAsia="仿宋"/>
          <w:color w:val="auto"/>
          <w:spacing w:val="6"/>
          <w:sz w:val="24"/>
          <w:szCs w:val="24"/>
          <w:u w:val="single"/>
        </w:rPr>
        <w:t>石林彝族自治县自然资源局购买破坏耕地司法鉴定服务</w:t>
      </w:r>
      <w:r>
        <w:rPr>
          <w:rFonts w:hint="eastAsia" w:ascii="仿宋" w:hAnsi="仿宋" w:eastAsia="仿宋"/>
          <w:color w:val="auto"/>
          <w:sz w:val="24"/>
          <w:szCs w:val="24"/>
        </w:rPr>
        <w:t>采购活动由本单位提供服务。</w:t>
      </w:r>
    </w:p>
    <w:p w14:paraId="56E4B1CC">
      <w:pPr>
        <w:spacing w:line="360" w:lineRule="auto"/>
        <w:ind w:firstLine="480" w:firstLineChars="200"/>
        <w:rPr>
          <w:rFonts w:ascii="仿宋" w:hAnsi="仿宋" w:eastAsia="仿宋"/>
          <w:color w:val="auto"/>
          <w:szCs w:val="21"/>
        </w:rPr>
      </w:pPr>
      <w:r>
        <w:rPr>
          <w:rFonts w:hint="eastAsia" w:ascii="仿宋" w:hAnsi="仿宋" w:eastAsia="仿宋"/>
          <w:color w:val="auto"/>
          <w:sz w:val="24"/>
          <w:szCs w:val="24"/>
        </w:rPr>
        <w:t>本单位对上述声明的真实性负责。如有虚假，将依法承担相应责任。</w:t>
      </w:r>
    </w:p>
    <w:p w14:paraId="3F2DE592">
      <w:pPr>
        <w:spacing w:line="360" w:lineRule="auto"/>
        <w:ind w:firstLine="420" w:firstLineChars="200"/>
        <w:rPr>
          <w:rFonts w:ascii="仿宋" w:hAnsi="仿宋" w:eastAsia="仿宋"/>
          <w:color w:val="auto"/>
          <w:szCs w:val="21"/>
        </w:rPr>
      </w:pPr>
    </w:p>
    <w:p w14:paraId="39C5087C">
      <w:pPr>
        <w:spacing w:line="360" w:lineRule="auto"/>
        <w:ind w:firstLine="420" w:firstLineChars="200"/>
        <w:rPr>
          <w:rFonts w:ascii="仿宋" w:hAnsi="仿宋" w:eastAsia="仿宋"/>
          <w:color w:val="auto"/>
          <w:szCs w:val="21"/>
        </w:rPr>
      </w:pPr>
    </w:p>
    <w:p w14:paraId="08AF0B84">
      <w:pPr>
        <w:spacing w:line="360" w:lineRule="auto"/>
        <w:ind w:firstLine="420" w:firstLineChars="200"/>
        <w:rPr>
          <w:rFonts w:ascii="仿宋" w:hAnsi="仿宋" w:eastAsia="仿宋"/>
          <w:color w:val="auto"/>
          <w:szCs w:val="21"/>
        </w:rPr>
      </w:pPr>
    </w:p>
    <w:p w14:paraId="3B3C3B0F">
      <w:pPr>
        <w:spacing w:line="360" w:lineRule="auto"/>
        <w:ind w:firstLine="420" w:firstLineChars="200"/>
        <w:rPr>
          <w:rFonts w:ascii="仿宋" w:hAnsi="仿宋" w:eastAsia="仿宋"/>
          <w:color w:val="auto"/>
          <w:szCs w:val="21"/>
        </w:rPr>
      </w:pPr>
    </w:p>
    <w:p w14:paraId="2E0115EA">
      <w:pPr>
        <w:spacing w:line="360" w:lineRule="auto"/>
        <w:ind w:firstLine="2" w:firstLineChars="1"/>
        <w:rPr>
          <w:rFonts w:ascii="仿宋" w:hAnsi="仿宋" w:eastAsia="仿宋" w:cs="宋体"/>
          <w:color w:val="auto"/>
          <w:sz w:val="24"/>
          <w:szCs w:val="24"/>
        </w:rPr>
      </w:pPr>
      <w:r>
        <w:rPr>
          <w:rFonts w:hint="eastAsia" w:ascii="仿宋" w:hAnsi="仿宋" w:eastAsia="仿宋" w:cs="宋体"/>
          <w:color w:val="auto"/>
          <w:sz w:val="24"/>
          <w:szCs w:val="24"/>
        </w:rPr>
        <w:t>供应商：</w:t>
      </w:r>
      <w:r>
        <w:rPr>
          <w:rFonts w:hint="eastAsia" w:ascii="仿宋" w:hAnsi="仿宋" w:eastAsia="仿宋" w:cs="宋体"/>
          <w:color w:val="auto"/>
          <w:sz w:val="24"/>
          <w:szCs w:val="24"/>
          <w:u w:val="single"/>
        </w:rPr>
        <w:t xml:space="preserve">                            </w:t>
      </w:r>
      <w:r>
        <w:rPr>
          <w:rFonts w:hint="eastAsia" w:ascii="仿宋" w:hAnsi="仿宋" w:eastAsia="仿宋" w:cs="宋体"/>
          <w:color w:val="auto"/>
          <w:sz w:val="24"/>
          <w:szCs w:val="24"/>
        </w:rPr>
        <w:t>（盖章）</w:t>
      </w:r>
    </w:p>
    <w:p w14:paraId="722A9757">
      <w:pPr>
        <w:spacing w:line="360" w:lineRule="auto"/>
        <w:ind w:firstLine="2" w:firstLineChars="1"/>
        <w:rPr>
          <w:rFonts w:ascii="仿宋" w:hAnsi="仿宋" w:eastAsia="仿宋" w:cs="宋体"/>
          <w:color w:val="auto"/>
          <w:sz w:val="24"/>
          <w:szCs w:val="24"/>
        </w:rPr>
      </w:pPr>
      <w:r>
        <w:rPr>
          <w:rFonts w:hint="eastAsia" w:ascii="仿宋" w:hAnsi="仿宋" w:eastAsia="仿宋"/>
          <w:color w:val="auto"/>
          <w:sz w:val="24"/>
          <w:szCs w:val="24"/>
        </w:rPr>
        <w:t>法定代表人或授权代理人：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14:paraId="2EEFE266">
      <w:pPr>
        <w:spacing w:line="360" w:lineRule="auto"/>
        <w:ind w:firstLine="2" w:firstLineChars="1"/>
        <w:rPr>
          <w:rFonts w:ascii="仿宋" w:hAnsi="仿宋" w:eastAsia="仿宋" w:cs="宋体"/>
          <w:color w:val="auto"/>
          <w:sz w:val="24"/>
          <w:szCs w:val="24"/>
          <w:u w:val="single"/>
        </w:rPr>
      </w:pPr>
      <w:r>
        <w:rPr>
          <w:rFonts w:hint="eastAsia" w:ascii="仿宋" w:hAnsi="仿宋" w:eastAsia="仿宋" w:cs="宋体"/>
          <w:color w:val="auto"/>
          <w:sz w:val="24"/>
        </w:rPr>
        <w:t>日期：</w:t>
      </w:r>
      <w:r>
        <w:rPr>
          <w:rFonts w:hint="eastAsia" w:ascii="仿宋" w:hAnsi="仿宋" w:eastAsia="仿宋" w:cs="宋体"/>
          <w:color w:val="auto"/>
          <w:sz w:val="24"/>
          <w:u w:val="single"/>
        </w:rPr>
        <w:t xml:space="preserve">        </w:t>
      </w:r>
      <w:r>
        <w:rPr>
          <w:rFonts w:hint="eastAsia" w:ascii="仿宋" w:hAnsi="仿宋" w:eastAsia="仿宋" w:cs="宋体"/>
          <w:color w:val="auto"/>
          <w:sz w:val="24"/>
        </w:rPr>
        <w:t>年</w:t>
      </w:r>
      <w:r>
        <w:rPr>
          <w:rFonts w:hint="eastAsia" w:ascii="仿宋" w:hAnsi="仿宋" w:eastAsia="仿宋" w:cs="宋体"/>
          <w:color w:val="auto"/>
          <w:sz w:val="24"/>
          <w:u w:val="single"/>
        </w:rPr>
        <w:t xml:space="preserve">       </w:t>
      </w:r>
      <w:r>
        <w:rPr>
          <w:rFonts w:hint="eastAsia" w:ascii="仿宋" w:hAnsi="仿宋" w:eastAsia="仿宋" w:cs="宋体"/>
          <w:color w:val="auto"/>
          <w:sz w:val="24"/>
        </w:rPr>
        <w:t>月</w:t>
      </w:r>
      <w:r>
        <w:rPr>
          <w:rFonts w:hint="eastAsia" w:ascii="仿宋" w:hAnsi="仿宋" w:eastAsia="仿宋" w:cs="宋体"/>
          <w:color w:val="auto"/>
          <w:sz w:val="24"/>
          <w:u w:val="single"/>
        </w:rPr>
        <w:t xml:space="preserve">       </w:t>
      </w:r>
      <w:r>
        <w:rPr>
          <w:rFonts w:hint="eastAsia" w:ascii="仿宋" w:hAnsi="仿宋" w:eastAsia="仿宋" w:cs="宋体"/>
          <w:color w:val="auto"/>
          <w:sz w:val="24"/>
        </w:rPr>
        <w:t>日</w:t>
      </w:r>
    </w:p>
    <w:p w14:paraId="04BA07C2">
      <w:pPr>
        <w:spacing w:line="480" w:lineRule="auto"/>
        <w:rPr>
          <w:rFonts w:ascii="仿宋" w:hAnsi="仿宋" w:eastAsia="仿宋"/>
          <w:color w:val="auto"/>
          <w:szCs w:val="21"/>
        </w:rPr>
      </w:pPr>
    </w:p>
    <w:p w14:paraId="0C843C43">
      <w:pPr>
        <w:spacing w:line="480" w:lineRule="auto"/>
        <w:rPr>
          <w:rFonts w:ascii="仿宋" w:hAnsi="仿宋" w:eastAsia="仿宋"/>
          <w:color w:val="auto"/>
          <w:szCs w:val="21"/>
        </w:rPr>
      </w:pPr>
    </w:p>
    <w:p w14:paraId="28861350">
      <w:pPr>
        <w:spacing w:line="360" w:lineRule="auto"/>
        <w:ind w:firstLine="482" w:firstLineChars="200"/>
        <w:rPr>
          <w:rFonts w:ascii="仿宋" w:hAnsi="仿宋" w:eastAsia="仿宋"/>
          <w:b/>
          <w:color w:val="auto"/>
          <w:sz w:val="24"/>
          <w:szCs w:val="24"/>
        </w:rPr>
      </w:pPr>
      <w:r>
        <w:rPr>
          <w:rFonts w:hint="eastAsia" w:ascii="仿宋" w:hAnsi="仿宋" w:eastAsia="仿宋"/>
          <w:b/>
          <w:color w:val="auto"/>
          <w:sz w:val="24"/>
          <w:szCs w:val="24"/>
        </w:rPr>
        <w:t>注：1.成交供应商为残疾人福利性单位的，其《残疾人福利性单位声明函》将随成交结果同时公告，接受社会监督。供应商提供的《残疾人福利性单位声明函》与事实不符的， 依照《政府采购法》第 十 条第一款的规定追究法律责任。</w:t>
      </w:r>
    </w:p>
    <w:p w14:paraId="1E81B5B9">
      <w:pPr>
        <w:spacing w:line="360" w:lineRule="auto"/>
        <w:ind w:firstLine="964" w:firstLineChars="400"/>
        <w:rPr>
          <w:rFonts w:ascii="仿宋" w:hAnsi="仿宋" w:eastAsia="仿宋"/>
          <w:b/>
          <w:color w:val="auto"/>
          <w:sz w:val="24"/>
          <w:szCs w:val="24"/>
        </w:rPr>
      </w:pPr>
      <w:r>
        <w:rPr>
          <w:rFonts w:hint="eastAsia" w:ascii="仿宋" w:hAnsi="仿宋" w:eastAsia="仿宋"/>
          <w:b/>
          <w:color w:val="auto"/>
          <w:sz w:val="24"/>
          <w:szCs w:val="24"/>
        </w:rPr>
        <w:t>2.如不是残疾人福利性单位自行说明，不用填写本表，但不能删除格式。</w:t>
      </w:r>
    </w:p>
    <w:p w14:paraId="48E2B95A">
      <w:pPr>
        <w:widowControl/>
        <w:jc w:val="left"/>
        <w:rPr>
          <w:rFonts w:ascii="仿宋" w:hAnsi="仿宋" w:eastAsia="仿宋"/>
          <w:b/>
          <w:color w:val="auto"/>
          <w:sz w:val="24"/>
          <w:szCs w:val="24"/>
        </w:rPr>
      </w:pPr>
      <w:r>
        <w:rPr>
          <w:rFonts w:hint="eastAsia" w:ascii="仿宋" w:hAnsi="仿宋" w:eastAsia="仿宋"/>
          <w:b/>
          <w:color w:val="auto"/>
          <w:sz w:val="24"/>
          <w:szCs w:val="24"/>
        </w:rPr>
        <w:br w:type="page"/>
      </w:r>
    </w:p>
    <w:p w14:paraId="5354BCB3">
      <w:pPr>
        <w:spacing w:line="360" w:lineRule="auto"/>
        <w:jc w:val="center"/>
        <w:outlineLvl w:val="1"/>
        <w:rPr>
          <w:rFonts w:ascii="仿宋" w:hAnsi="仿宋" w:eastAsia="仿宋" w:cs="宋体"/>
          <w:b/>
          <w:color w:val="auto"/>
          <w:sz w:val="30"/>
          <w:szCs w:val="30"/>
        </w:rPr>
      </w:pPr>
      <w:bookmarkStart w:id="241" w:name="_Toc232004928"/>
      <w:r>
        <w:rPr>
          <w:rFonts w:hint="eastAsia" w:ascii="仿宋" w:hAnsi="仿宋" w:eastAsia="仿宋" w:cs="宋体"/>
          <w:b/>
          <w:color w:val="auto"/>
          <w:sz w:val="30"/>
          <w:szCs w:val="30"/>
        </w:rPr>
        <w:t>五、监狱企业证明文件</w:t>
      </w:r>
      <w:bookmarkEnd w:id="241"/>
    </w:p>
    <w:p w14:paraId="0FE0B7E4">
      <w:pPr>
        <w:spacing w:line="360" w:lineRule="auto"/>
        <w:rPr>
          <w:rFonts w:ascii="仿宋" w:hAnsi="仿宋" w:eastAsia="仿宋"/>
          <w:b/>
          <w:color w:val="auto"/>
          <w:sz w:val="30"/>
          <w:szCs w:val="30"/>
        </w:rPr>
      </w:pPr>
    </w:p>
    <w:p w14:paraId="588E62CB">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根据《财政部 司法部关于政府采购支持监狱企业发展有关问题的通知》（财库（2014) 68 号）的规定：监狱企业是指由司法部认定的为罪犯、戒毒人员提供生产项目和劳动对象， 且全部产权属于司法部监狱管理局、戒毒管理局、直属煤矿管理局，各省、自治区、直辖 市监狱管理局、戒毒管理局，各地（设区的市）监狱、强制隔离戒毒所、戒毒康复所，以及新疆生产建设兵团监狱管理局、戒毒管理局的企业。</w:t>
      </w:r>
    </w:p>
    <w:p w14:paraId="1E081672">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监狱企业参加政府采购活动时，应当提供由省级以上监狱管理局、戒毒管理局（含新疆生产</w:t>
      </w:r>
      <w:bookmarkStart w:id="275" w:name="_GoBack"/>
      <w:r>
        <w:rPr>
          <w:rFonts w:hint="eastAsia" w:ascii="仿宋" w:hAnsi="仿宋" w:eastAsia="仿宋"/>
          <w:color w:val="auto"/>
          <w:sz w:val="24"/>
          <w:szCs w:val="24"/>
        </w:rPr>
        <w:t>建设兵团</w:t>
      </w:r>
      <w:bookmarkEnd w:id="275"/>
      <w:r>
        <w:rPr>
          <w:rFonts w:hint="eastAsia" w:ascii="仿宋" w:hAnsi="仿宋" w:eastAsia="仿宋"/>
          <w:color w:val="auto"/>
          <w:sz w:val="24"/>
          <w:szCs w:val="24"/>
        </w:rPr>
        <w:t>）出具的属于监狱企业的证明文件。</w:t>
      </w:r>
    </w:p>
    <w:p w14:paraId="4B0F9C75">
      <w:pPr>
        <w:spacing w:line="360" w:lineRule="auto"/>
        <w:ind w:firstLine="482" w:firstLineChars="200"/>
        <w:rPr>
          <w:rFonts w:ascii="仿宋" w:hAnsi="仿宋" w:eastAsia="仿宋"/>
          <w:b/>
          <w:color w:val="auto"/>
          <w:sz w:val="24"/>
          <w:szCs w:val="24"/>
        </w:rPr>
      </w:pPr>
      <w:r>
        <w:rPr>
          <w:rFonts w:hint="eastAsia" w:ascii="仿宋" w:hAnsi="仿宋" w:eastAsia="仿宋"/>
          <w:b/>
          <w:color w:val="auto"/>
          <w:sz w:val="24"/>
          <w:szCs w:val="24"/>
        </w:rPr>
        <w:t>注：如不是监狱企业自行说明，不用填写本表，但不能删除格式。</w:t>
      </w:r>
    </w:p>
    <w:p w14:paraId="66A2B9AE">
      <w:pPr>
        <w:spacing w:line="360" w:lineRule="auto"/>
        <w:jc w:val="center"/>
        <w:outlineLvl w:val="1"/>
        <w:rPr>
          <w:rFonts w:ascii="仿宋" w:hAnsi="仿宋" w:eastAsia="仿宋" w:cs="宋体"/>
          <w:b/>
          <w:color w:val="auto"/>
          <w:sz w:val="28"/>
          <w:szCs w:val="24"/>
        </w:rPr>
      </w:pPr>
      <w:r>
        <w:rPr>
          <w:rFonts w:hint="eastAsia" w:ascii="仿宋" w:hAnsi="仿宋" w:eastAsia="仿宋" w:cs="宋体"/>
          <w:color w:val="auto"/>
          <w:kern w:val="0"/>
          <w:sz w:val="24"/>
          <w:szCs w:val="24"/>
        </w:rPr>
        <w:br w:type="page"/>
      </w:r>
      <w:bookmarkStart w:id="242" w:name="_Toc232004929"/>
      <w:r>
        <w:rPr>
          <w:rFonts w:hint="eastAsia" w:ascii="仿宋" w:hAnsi="仿宋" w:eastAsia="仿宋" w:cs="宋体"/>
          <w:b/>
          <w:color w:val="auto"/>
          <w:sz w:val="28"/>
          <w:szCs w:val="24"/>
        </w:rPr>
        <w:t>（二）商务及报价部分格式</w:t>
      </w:r>
      <w:bookmarkEnd w:id="242"/>
    </w:p>
    <w:p w14:paraId="2E67669C">
      <w:pPr>
        <w:spacing w:line="360" w:lineRule="auto"/>
        <w:jc w:val="center"/>
        <w:outlineLvl w:val="1"/>
        <w:rPr>
          <w:rFonts w:ascii="仿宋" w:hAnsi="仿宋" w:eastAsia="仿宋" w:cs="宋体"/>
          <w:b/>
          <w:color w:val="auto"/>
          <w:sz w:val="30"/>
          <w:szCs w:val="30"/>
        </w:rPr>
      </w:pPr>
      <w:bookmarkStart w:id="243" w:name="_Toc101690907"/>
      <w:bookmarkStart w:id="244" w:name="_Toc232004930"/>
      <w:r>
        <w:rPr>
          <w:rFonts w:hint="eastAsia" w:ascii="仿宋" w:hAnsi="仿宋" w:eastAsia="仿宋" w:cs="宋体"/>
          <w:b/>
          <w:color w:val="auto"/>
          <w:sz w:val="30"/>
          <w:szCs w:val="30"/>
        </w:rPr>
        <w:t>一、</w:t>
      </w:r>
      <w:bookmarkStart w:id="245" w:name="_Hlk135039507"/>
      <w:r>
        <w:rPr>
          <w:rFonts w:hint="eastAsia" w:ascii="仿宋" w:hAnsi="仿宋" w:eastAsia="仿宋" w:cs="宋体"/>
          <w:b/>
          <w:color w:val="auto"/>
          <w:sz w:val="30"/>
          <w:szCs w:val="30"/>
        </w:rPr>
        <w:t>磋商一览表</w:t>
      </w:r>
      <w:bookmarkEnd w:id="234"/>
      <w:bookmarkEnd w:id="235"/>
      <w:r>
        <w:rPr>
          <w:rFonts w:hint="eastAsia" w:ascii="仿宋" w:hAnsi="仿宋" w:eastAsia="仿宋" w:cs="宋体"/>
          <w:b/>
          <w:color w:val="auto"/>
          <w:sz w:val="30"/>
          <w:szCs w:val="30"/>
        </w:rPr>
        <w:t>（首次报价）</w:t>
      </w:r>
      <w:bookmarkEnd w:id="243"/>
      <w:bookmarkEnd w:id="244"/>
    </w:p>
    <w:p w14:paraId="5B0C146C">
      <w:pPr>
        <w:jc w:val="center"/>
        <w:rPr>
          <w:rFonts w:ascii="仿宋" w:hAnsi="仿宋" w:eastAsia="仿宋"/>
          <w:color w:val="auto"/>
        </w:rPr>
      </w:pPr>
    </w:p>
    <w:p w14:paraId="7863EFAE">
      <w:pPr>
        <w:spacing w:line="360" w:lineRule="auto"/>
        <w:rPr>
          <w:rFonts w:ascii="仿宋" w:hAnsi="仿宋" w:eastAsia="仿宋" w:cs="宋体"/>
          <w:color w:val="auto"/>
          <w:sz w:val="24"/>
        </w:rPr>
      </w:pPr>
      <w:r>
        <w:rPr>
          <w:rFonts w:hint="eastAsia" w:ascii="仿宋" w:hAnsi="仿宋" w:eastAsia="仿宋" w:cs="宋体"/>
          <w:color w:val="auto"/>
          <w:sz w:val="24"/>
        </w:rPr>
        <w:t>项目名称：石林彝族自治县自然资源局购买破坏耕地司法鉴定服务</w:t>
      </w:r>
      <w:r>
        <w:rPr>
          <w:rFonts w:hint="eastAsia" w:ascii="仿宋" w:hAnsi="仿宋" w:eastAsia="仿宋" w:cs="宋体"/>
          <w:color w:val="auto"/>
          <w:sz w:val="24"/>
          <w:u w:val="single"/>
        </w:rPr>
        <w:t xml:space="preserve">                  </w:t>
      </w:r>
      <w:r>
        <w:rPr>
          <w:rFonts w:hint="eastAsia" w:ascii="仿宋" w:hAnsi="仿宋" w:eastAsia="仿宋" w:cs="宋体"/>
          <w:color w:val="auto"/>
          <w:sz w:val="24"/>
        </w:rPr>
        <w:t xml:space="preserve">                  </w:t>
      </w:r>
    </w:p>
    <w:tbl>
      <w:tblPr>
        <w:tblStyle w:val="62"/>
        <w:tblW w:w="9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843"/>
        <w:gridCol w:w="7233"/>
      </w:tblGrid>
      <w:tr w14:paraId="3FCB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1EEB03B">
            <w:pPr>
              <w:spacing w:line="360" w:lineRule="auto"/>
              <w:jc w:val="center"/>
              <w:rPr>
                <w:rFonts w:ascii="仿宋" w:hAnsi="仿宋" w:eastAsia="仿宋" w:cs="宋体"/>
                <w:color w:val="auto"/>
                <w:sz w:val="24"/>
              </w:rPr>
            </w:pPr>
            <w:r>
              <w:rPr>
                <w:rFonts w:hint="eastAsia" w:ascii="仿宋" w:hAnsi="仿宋" w:eastAsia="仿宋" w:cs="宋体"/>
                <w:color w:val="auto"/>
                <w:sz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CD7B7C5">
            <w:pPr>
              <w:spacing w:line="360" w:lineRule="auto"/>
              <w:ind w:firstLine="2" w:firstLineChars="1"/>
              <w:jc w:val="center"/>
              <w:rPr>
                <w:rFonts w:ascii="仿宋" w:hAnsi="仿宋" w:eastAsia="仿宋" w:cs="宋体"/>
                <w:color w:val="auto"/>
                <w:sz w:val="24"/>
              </w:rPr>
            </w:pPr>
            <w:r>
              <w:rPr>
                <w:rFonts w:hint="eastAsia" w:ascii="仿宋" w:hAnsi="仿宋" w:eastAsia="仿宋" w:cs="宋体"/>
                <w:color w:val="auto"/>
                <w:sz w:val="24"/>
              </w:rPr>
              <w:t>项目</w:t>
            </w:r>
          </w:p>
        </w:tc>
        <w:tc>
          <w:tcPr>
            <w:tcW w:w="7233" w:type="dxa"/>
            <w:tcBorders>
              <w:top w:val="single" w:color="auto" w:sz="4" w:space="0"/>
              <w:left w:val="single" w:color="auto" w:sz="4" w:space="0"/>
              <w:bottom w:val="single" w:color="auto" w:sz="4" w:space="0"/>
              <w:right w:val="single" w:color="auto" w:sz="4" w:space="0"/>
            </w:tcBorders>
            <w:vAlign w:val="center"/>
          </w:tcPr>
          <w:p w14:paraId="276F7A37">
            <w:pPr>
              <w:spacing w:line="360" w:lineRule="auto"/>
              <w:ind w:firstLine="2" w:firstLineChars="1"/>
              <w:jc w:val="center"/>
              <w:rPr>
                <w:rFonts w:ascii="仿宋" w:hAnsi="仿宋" w:eastAsia="仿宋" w:cs="宋体"/>
                <w:color w:val="auto"/>
                <w:sz w:val="24"/>
              </w:rPr>
            </w:pPr>
            <w:r>
              <w:rPr>
                <w:rFonts w:hint="eastAsia" w:ascii="仿宋" w:hAnsi="仿宋" w:eastAsia="仿宋" w:cs="宋体"/>
                <w:color w:val="auto"/>
                <w:sz w:val="24"/>
              </w:rPr>
              <w:t>内容</w:t>
            </w:r>
          </w:p>
        </w:tc>
      </w:tr>
      <w:tr w14:paraId="0DDE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856" w:type="dxa"/>
            <w:tcBorders>
              <w:top w:val="single" w:color="auto" w:sz="4" w:space="0"/>
              <w:left w:val="single" w:color="auto" w:sz="4" w:space="0"/>
              <w:right w:val="single" w:color="auto" w:sz="4" w:space="0"/>
            </w:tcBorders>
            <w:vAlign w:val="center"/>
          </w:tcPr>
          <w:p w14:paraId="2875ED0F">
            <w:pPr>
              <w:spacing w:line="360" w:lineRule="auto"/>
              <w:jc w:val="center"/>
              <w:rPr>
                <w:rFonts w:ascii="仿宋" w:hAnsi="仿宋" w:eastAsia="仿宋" w:cs="宋体"/>
                <w:color w:val="auto"/>
                <w:sz w:val="24"/>
              </w:rPr>
            </w:pPr>
            <w:r>
              <w:rPr>
                <w:rFonts w:ascii="仿宋" w:hAnsi="仿宋" w:eastAsia="仿宋" w:cs="宋体"/>
                <w:color w:val="auto"/>
                <w:sz w:val="24"/>
              </w:rPr>
              <w:t>1.1</w:t>
            </w:r>
          </w:p>
        </w:tc>
        <w:tc>
          <w:tcPr>
            <w:tcW w:w="1843" w:type="dxa"/>
            <w:tcBorders>
              <w:top w:val="single" w:color="auto" w:sz="4" w:space="0"/>
              <w:left w:val="single" w:color="auto" w:sz="4" w:space="0"/>
              <w:right w:val="single" w:color="auto" w:sz="4" w:space="0"/>
            </w:tcBorders>
            <w:vAlign w:val="center"/>
          </w:tcPr>
          <w:p w14:paraId="53696C34">
            <w:pPr>
              <w:spacing w:line="360" w:lineRule="auto"/>
              <w:ind w:firstLine="2" w:firstLineChars="1"/>
              <w:jc w:val="center"/>
              <w:rPr>
                <w:rFonts w:ascii="仿宋" w:hAnsi="仿宋" w:eastAsia="仿宋" w:cs="宋体"/>
                <w:bCs/>
                <w:color w:val="auto"/>
                <w:sz w:val="24"/>
                <w:szCs w:val="24"/>
              </w:rPr>
            </w:pPr>
            <w:r>
              <w:rPr>
                <w:rFonts w:hint="eastAsia" w:ascii="仿宋" w:hAnsi="仿宋" w:eastAsia="仿宋" w:cs="宋体"/>
                <w:bCs/>
                <w:color w:val="auto"/>
                <w:sz w:val="24"/>
                <w:szCs w:val="24"/>
              </w:rPr>
              <w:t>基础单价</w:t>
            </w:r>
          </w:p>
          <w:p w14:paraId="61C53D49">
            <w:pPr>
              <w:spacing w:line="360" w:lineRule="auto"/>
              <w:ind w:firstLine="2" w:firstLineChars="1"/>
              <w:jc w:val="center"/>
              <w:rPr>
                <w:rFonts w:ascii="仿宋" w:hAnsi="仿宋" w:eastAsia="仿宋" w:cs="宋体"/>
                <w:color w:val="auto"/>
                <w:sz w:val="24"/>
              </w:rPr>
            </w:pPr>
            <w:r>
              <w:rPr>
                <w:rFonts w:hint="eastAsia" w:ascii="仿宋" w:hAnsi="仿宋" w:eastAsia="仿宋" w:cs="宋体"/>
                <w:color w:val="auto"/>
                <w:sz w:val="24"/>
              </w:rPr>
              <w:t>磋商报价</w:t>
            </w:r>
          </w:p>
        </w:tc>
        <w:tc>
          <w:tcPr>
            <w:tcW w:w="7233" w:type="dxa"/>
            <w:tcBorders>
              <w:top w:val="single" w:color="auto" w:sz="4" w:space="0"/>
              <w:left w:val="single" w:color="auto" w:sz="4" w:space="0"/>
              <w:right w:val="single" w:color="auto" w:sz="4" w:space="0"/>
            </w:tcBorders>
            <w:vAlign w:val="center"/>
          </w:tcPr>
          <w:p w14:paraId="1D0D84F4">
            <w:pPr>
              <w:spacing w:line="360" w:lineRule="auto"/>
              <w:jc w:val="center"/>
              <w:rPr>
                <w:rFonts w:ascii="仿宋" w:hAnsi="仿宋" w:eastAsia="仿宋" w:cs="宋体"/>
                <w:b/>
                <w:bCs/>
                <w:color w:val="auto"/>
                <w:sz w:val="24"/>
              </w:rPr>
            </w:pPr>
            <w:r>
              <w:rPr>
                <w:rFonts w:ascii="Calibri" w:hAnsi="Calibri" w:eastAsia="仿宋" w:cs="Calibri"/>
                <w:b/>
                <w:bCs/>
                <w:color w:val="auto"/>
                <w:sz w:val="24"/>
                <w:u w:val="single"/>
              </w:rPr>
              <w:t xml:space="preserve">             </w:t>
            </w:r>
            <w:r>
              <w:rPr>
                <w:rFonts w:hint="eastAsia" w:ascii="Calibri" w:hAnsi="Calibri" w:eastAsia="仿宋" w:cs="Calibri"/>
                <w:b/>
                <w:bCs/>
                <w:color w:val="auto"/>
                <w:sz w:val="24"/>
              </w:rPr>
              <w:t>元/件</w:t>
            </w:r>
          </w:p>
        </w:tc>
      </w:tr>
      <w:tr w14:paraId="56BE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856" w:type="dxa"/>
            <w:tcBorders>
              <w:top w:val="single" w:color="auto" w:sz="4" w:space="0"/>
              <w:left w:val="single" w:color="auto" w:sz="4" w:space="0"/>
              <w:right w:val="single" w:color="auto" w:sz="4" w:space="0"/>
            </w:tcBorders>
            <w:vAlign w:val="center"/>
          </w:tcPr>
          <w:p w14:paraId="78BFC591">
            <w:pPr>
              <w:spacing w:line="360" w:lineRule="auto"/>
              <w:jc w:val="center"/>
              <w:rPr>
                <w:rFonts w:ascii="仿宋" w:hAnsi="仿宋" w:eastAsia="仿宋" w:cs="宋体"/>
                <w:color w:val="auto"/>
                <w:sz w:val="24"/>
              </w:rPr>
            </w:pPr>
            <w:r>
              <w:rPr>
                <w:rFonts w:hint="eastAsia" w:ascii="仿宋" w:hAnsi="仿宋" w:eastAsia="仿宋" w:cs="宋体"/>
                <w:color w:val="auto"/>
                <w:sz w:val="24"/>
              </w:rPr>
              <w:t>1</w:t>
            </w:r>
            <w:r>
              <w:rPr>
                <w:rFonts w:ascii="仿宋" w:hAnsi="仿宋" w:eastAsia="仿宋" w:cs="宋体"/>
                <w:color w:val="auto"/>
                <w:sz w:val="24"/>
              </w:rPr>
              <w:t>.2</w:t>
            </w:r>
          </w:p>
        </w:tc>
        <w:tc>
          <w:tcPr>
            <w:tcW w:w="1843" w:type="dxa"/>
            <w:tcBorders>
              <w:top w:val="single" w:color="auto" w:sz="4" w:space="0"/>
              <w:left w:val="single" w:color="auto" w:sz="4" w:space="0"/>
              <w:right w:val="single" w:color="auto" w:sz="4" w:space="0"/>
            </w:tcBorders>
            <w:vAlign w:val="center"/>
          </w:tcPr>
          <w:p w14:paraId="3708DBDE">
            <w:pPr>
              <w:spacing w:line="360" w:lineRule="auto"/>
              <w:ind w:firstLine="2" w:firstLineChars="1"/>
              <w:jc w:val="center"/>
              <w:rPr>
                <w:rFonts w:ascii="仿宋" w:hAnsi="仿宋" w:eastAsia="仿宋" w:cs="宋体"/>
                <w:color w:val="auto"/>
                <w:sz w:val="24"/>
              </w:rPr>
            </w:pPr>
            <w:r>
              <w:rPr>
                <w:rFonts w:hint="eastAsia" w:ascii="仿宋" w:hAnsi="仿宋" w:eastAsia="仿宋" w:cs="宋体"/>
                <w:color w:val="auto"/>
                <w:sz w:val="24"/>
              </w:rPr>
              <w:t>增量单价</w:t>
            </w:r>
          </w:p>
          <w:p w14:paraId="2B281BBC">
            <w:pPr>
              <w:spacing w:line="360" w:lineRule="auto"/>
              <w:ind w:firstLine="2" w:firstLineChars="1"/>
              <w:jc w:val="center"/>
              <w:rPr>
                <w:rFonts w:ascii="仿宋" w:hAnsi="仿宋" w:eastAsia="仿宋" w:cs="宋体"/>
                <w:color w:val="auto"/>
                <w:sz w:val="24"/>
              </w:rPr>
            </w:pPr>
            <w:r>
              <w:rPr>
                <w:rFonts w:hint="eastAsia" w:ascii="仿宋" w:hAnsi="仿宋" w:eastAsia="仿宋" w:cs="宋体"/>
                <w:color w:val="auto"/>
                <w:sz w:val="24"/>
              </w:rPr>
              <w:t>磋商报价</w:t>
            </w:r>
          </w:p>
        </w:tc>
        <w:tc>
          <w:tcPr>
            <w:tcW w:w="7233" w:type="dxa"/>
            <w:tcBorders>
              <w:top w:val="single" w:color="auto" w:sz="4" w:space="0"/>
              <w:left w:val="single" w:color="auto" w:sz="4" w:space="0"/>
              <w:right w:val="single" w:color="auto" w:sz="4" w:space="0"/>
            </w:tcBorders>
            <w:vAlign w:val="center"/>
          </w:tcPr>
          <w:p w14:paraId="1956A500">
            <w:pPr>
              <w:spacing w:line="360" w:lineRule="auto"/>
              <w:jc w:val="center"/>
              <w:rPr>
                <w:rFonts w:ascii="仿宋" w:hAnsi="仿宋" w:eastAsia="仿宋" w:cs="宋体"/>
                <w:b/>
                <w:bCs/>
                <w:color w:val="auto"/>
                <w:sz w:val="24"/>
              </w:rPr>
            </w:pPr>
            <w:r>
              <w:rPr>
                <w:rFonts w:ascii="Calibri" w:hAnsi="Calibri" w:eastAsia="仿宋" w:cs="Calibri"/>
                <w:b/>
                <w:bCs/>
                <w:color w:val="auto"/>
                <w:sz w:val="24"/>
                <w:u w:val="single"/>
              </w:rPr>
              <w:t xml:space="preserve">             </w:t>
            </w:r>
            <w:r>
              <w:rPr>
                <w:rFonts w:hint="eastAsia" w:ascii="Calibri" w:hAnsi="Calibri" w:eastAsia="仿宋" w:cs="Calibri"/>
                <w:b/>
                <w:bCs/>
                <w:color w:val="auto"/>
                <w:sz w:val="24"/>
              </w:rPr>
              <w:t>元/亩</w:t>
            </w:r>
          </w:p>
        </w:tc>
      </w:tr>
      <w:tr w14:paraId="675D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308D69B">
            <w:pPr>
              <w:spacing w:line="360" w:lineRule="auto"/>
              <w:jc w:val="center"/>
              <w:rPr>
                <w:rFonts w:ascii="仿宋" w:hAnsi="仿宋" w:eastAsia="仿宋" w:cs="宋体"/>
                <w:color w:val="auto"/>
                <w:sz w:val="24"/>
              </w:rPr>
            </w:pPr>
            <w:r>
              <w:rPr>
                <w:rFonts w:hint="eastAsia" w:ascii="仿宋" w:hAnsi="仿宋" w:eastAsia="仿宋" w:cs="宋体"/>
                <w:color w:val="auto"/>
                <w:sz w:val="24"/>
              </w:rPr>
              <w:t>2</w:t>
            </w:r>
          </w:p>
        </w:tc>
        <w:tc>
          <w:tcPr>
            <w:tcW w:w="1843" w:type="dxa"/>
            <w:tcBorders>
              <w:top w:val="single" w:color="auto" w:sz="4" w:space="0"/>
              <w:left w:val="single" w:color="auto" w:sz="4" w:space="0"/>
              <w:bottom w:val="single" w:color="auto" w:sz="4" w:space="0"/>
              <w:right w:val="single" w:color="auto" w:sz="4" w:space="0"/>
            </w:tcBorders>
            <w:vAlign w:val="center"/>
          </w:tcPr>
          <w:p w14:paraId="0948CCC7">
            <w:pPr>
              <w:spacing w:line="360" w:lineRule="auto"/>
              <w:ind w:firstLine="2" w:firstLineChars="1"/>
              <w:jc w:val="center"/>
              <w:rPr>
                <w:rFonts w:ascii="仿宋" w:hAnsi="仿宋" w:eastAsia="仿宋" w:cs="宋体"/>
                <w:color w:val="auto"/>
                <w:sz w:val="24"/>
              </w:rPr>
            </w:pPr>
            <w:r>
              <w:rPr>
                <w:rFonts w:hint="eastAsia" w:ascii="仿宋" w:hAnsi="仿宋" w:eastAsia="仿宋" w:cs="宋体"/>
                <w:color w:val="auto"/>
                <w:sz w:val="24"/>
                <w:szCs w:val="24"/>
              </w:rPr>
              <w:t>合同履行期限承诺</w:t>
            </w:r>
          </w:p>
        </w:tc>
        <w:tc>
          <w:tcPr>
            <w:tcW w:w="7233" w:type="dxa"/>
            <w:tcBorders>
              <w:top w:val="single" w:color="auto" w:sz="4" w:space="0"/>
              <w:left w:val="single" w:color="auto" w:sz="4" w:space="0"/>
              <w:bottom w:val="single" w:color="auto" w:sz="4" w:space="0"/>
              <w:right w:val="single" w:color="auto" w:sz="4" w:space="0"/>
            </w:tcBorders>
            <w:vAlign w:val="center"/>
          </w:tcPr>
          <w:p w14:paraId="2610C064">
            <w:pPr>
              <w:spacing w:line="360" w:lineRule="auto"/>
              <w:ind w:firstLine="2" w:firstLineChars="1"/>
              <w:jc w:val="center"/>
              <w:rPr>
                <w:rFonts w:ascii="仿宋" w:hAnsi="仿宋" w:eastAsia="仿宋" w:cs="宋体"/>
                <w:color w:val="auto"/>
                <w:sz w:val="24"/>
              </w:rPr>
            </w:pPr>
            <w:r>
              <w:rPr>
                <w:rFonts w:hint="eastAsia" w:ascii="仿宋" w:hAnsi="仿宋" w:eastAsia="仿宋" w:cs="宋体"/>
                <w:color w:val="auto"/>
                <w:sz w:val="24"/>
                <w:szCs w:val="24"/>
              </w:rPr>
              <w:t>自合同签订之日起1年（或合同执行金额达到本项目预算金额止），单项案件司法鉴定意见出具时限须满足采购人要求。</w:t>
            </w:r>
          </w:p>
        </w:tc>
      </w:tr>
      <w:tr w14:paraId="760B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81AF83E">
            <w:pPr>
              <w:spacing w:line="360" w:lineRule="auto"/>
              <w:jc w:val="center"/>
              <w:rPr>
                <w:rFonts w:ascii="仿宋" w:hAnsi="仿宋" w:eastAsia="仿宋" w:cs="宋体"/>
                <w:color w:val="auto"/>
                <w:sz w:val="24"/>
              </w:rPr>
            </w:pPr>
            <w:r>
              <w:rPr>
                <w:rFonts w:hint="eastAsia" w:ascii="仿宋" w:hAnsi="仿宋" w:eastAsia="仿宋" w:cs="宋体"/>
                <w:color w:val="auto"/>
                <w:sz w:val="24"/>
              </w:rPr>
              <w:t>3</w:t>
            </w:r>
          </w:p>
        </w:tc>
        <w:tc>
          <w:tcPr>
            <w:tcW w:w="1843" w:type="dxa"/>
            <w:tcBorders>
              <w:top w:val="single" w:color="auto" w:sz="4" w:space="0"/>
              <w:left w:val="single" w:color="auto" w:sz="4" w:space="0"/>
              <w:bottom w:val="single" w:color="auto" w:sz="4" w:space="0"/>
              <w:right w:val="single" w:color="auto" w:sz="4" w:space="0"/>
            </w:tcBorders>
            <w:vAlign w:val="center"/>
          </w:tcPr>
          <w:p w14:paraId="670FABB4">
            <w:pPr>
              <w:spacing w:line="360" w:lineRule="auto"/>
              <w:ind w:firstLine="2" w:firstLineChars="1"/>
              <w:jc w:val="center"/>
              <w:rPr>
                <w:rFonts w:ascii="仿宋" w:hAnsi="仿宋" w:eastAsia="仿宋" w:cs="宋体"/>
                <w:color w:val="auto"/>
                <w:sz w:val="24"/>
                <w:szCs w:val="24"/>
              </w:rPr>
            </w:pPr>
            <w:r>
              <w:rPr>
                <w:rFonts w:hint="eastAsia" w:ascii="仿宋" w:hAnsi="仿宋" w:eastAsia="仿宋" w:cs="宋体"/>
                <w:color w:val="auto"/>
                <w:sz w:val="24"/>
              </w:rPr>
              <w:t>质量承诺</w:t>
            </w:r>
          </w:p>
        </w:tc>
        <w:tc>
          <w:tcPr>
            <w:tcW w:w="7233" w:type="dxa"/>
            <w:tcBorders>
              <w:top w:val="single" w:color="auto" w:sz="4" w:space="0"/>
              <w:left w:val="single" w:color="auto" w:sz="4" w:space="0"/>
              <w:bottom w:val="single" w:color="auto" w:sz="4" w:space="0"/>
              <w:right w:val="single" w:color="auto" w:sz="4" w:space="0"/>
            </w:tcBorders>
            <w:vAlign w:val="center"/>
          </w:tcPr>
          <w:p w14:paraId="216B6581">
            <w:pPr>
              <w:spacing w:line="360" w:lineRule="auto"/>
              <w:ind w:firstLine="2" w:firstLineChars="1"/>
              <w:jc w:val="center"/>
              <w:rPr>
                <w:rFonts w:ascii="仿宋" w:hAnsi="仿宋" w:eastAsia="仿宋" w:cs="宋体"/>
                <w:color w:val="auto"/>
                <w:sz w:val="24"/>
              </w:rPr>
            </w:pPr>
            <w:r>
              <w:rPr>
                <w:rFonts w:hint="eastAsia" w:ascii="仿宋" w:hAnsi="仿宋" w:eastAsia="仿宋"/>
                <w:color w:val="auto"/>
                <w:sz w:val="24"/>
                <w:szCs w:val="24"/>
              </w:rPr>
              <w:t>供应商提供的服务及成果均能满足国家、地方、行业标准及采购人需求。</w:t>
            </w:r>
          </w:p>
        </w:tc>
      </w:tr>
      <w:tr w14:paraId="72AA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6F1FDE27">
            <w:pPr>
              <w:spacing w:line="360" w:lineRule="auto"/>
              <w:jc w:val="center"/>
              <w:rPr>
                <w:rFonts w:ascii="仿宋" w:hAnsi="仿宋" w:eastAsia="仿宋" w:cs="宋体"/>
                <w:color w:val="auto"/>
                <w:sz w:val="24"/>
              </w:rPr>
            </w:pPr>
            <w:r>
              <w:rPr>
                <w:rFonts w:hint="eastAsia" w:ascii="仿宋" w:hAnsi="仿宋" w:eastAsia="仿宋" w:cs="宋体"/>
                <w:color w:val="auto"/>
                <w:sz w:val="24"/>
              </w:rPr>
              <w:t>4</w:t>
            </w:r>
          </w:p>
        </w:tc>
        <w:tc>
          <w:tcPr>
            <w:tcW w:w="1843" w:type="dxa"/>
            <w:tcBorders>
              <w:top w:val="single" w:color="auto" w:sz="4" w:space="0"/>
              <w:left w:val="single" w:color="auto" w:sz="4" w:space="0"/>
              <w:bottom w:val="single" w:color="auto" w:sz="4" w:space="0"/>
              <w:right w:val="single" w:color="auto" w:sz="4" w:space="0"/>
            </w:tcBorders>
            <w:vAlign w:val="center"/>
          </w:tcPr>
          <w:p w14:paraId="1F683A02">
            <w:pPr>
              <w:spacing w:line="360" w:lineRule="auto"/>
              <w:ind w:firstLine="2" w:firstLineChars="1"/>
              <w:jc w:val="center"/>
              <w:rPr>
                <w:rFonts w:ascii="仿宋" w:hAnsi="仿宋" w:eastAsia="仿宋" w:cs="宋体"/>
                <w:color w:val="auto"/>
                <w:sz w:val="24"/>
              </w:rPr>
            </w:pPr>
            <w:r>
              <w:rPr>
                <w:rFonts w:hint="eastAsia" w:ascii="仿宋" w:hAnsi="仿宋" w:eastAsia="仿宋" w:cs="宋体"/>
                <w:color w:val="auto"/>
                <w:sz w:val="24"/>
              </w:rPr>
              <w:t>项目负责人</w:t>
            </w:r>
          </w:p>
          <w:p w14:paraId="1336D538">
            <w:pPr>
              <w:spacing w:line="360" w:lineRule="auto"/>
              <w:ind w:firstLine="2" w:firstLineChars="1"/>
              <w:jc w:val="center"/>
              <w:rPr>
                <w:rFonts w:ascii="仿宋" w:hAnsi="仿宋" w:eastAsia="仿宋" w:cs="宋体"/>
                <w:color w:val="auto"/>
                <w:sz w:val="24"/>
              </w:rPr>
            </w:pPr>
            <w:r>
              <w:rPr>
                <w:rFonts w:hint="eastAsia" w:ascii="仿宋" w:hAnsi="仿宋" w:eastAsia="仿宋" w:cs="宋体"/>
                <w:color w:val="auto"/>
                <w:sz w:val="24"/>
              </w:rPr>
              <w:t>（姓名）</w:t>
            </w:r>
          </w:p>
        </w:tc>
        <w:tc>
          <w:tcPr>
            <w:tcW w:w="7233" w:type="dxa"/>
            <w:tcBorders>
              <w:top w:val="single" w:color="auto" w:sz="4" w:space="0"/>
              <w:left w:val="single" w:color="auto" w:sz="4" w:space="0"/>
              <w:bottom w:val="single" w:color="auto" w:sz="4" w:space="0"/>
              <w:right w:val="single" w:color="auto" w:sz="4" w:space="0"/>
            </w:tcBorders>
            <w:vAlign w:val="center"/>
          </w:tcPr>
          <w:p w14:paraId="71B571EA">
            <w:pPr>
              <w:spacing w:line="360" w:lineRule="auto"/>
              <w:ind w:firstLine="2" w:firstLineChars="1"/>
              <w:jc w:val="center"/>
              <w:rPr>
                <w:rFonts w:ascii="仿宋" w:hAnsi="仿宋" w:eastAsia="仿宋"/>
                <w:color w:val="auto"/>
                <w:sz w:val="24"/>
                <w:szCs w:val="24"/>
              </w:rPr>
            </w:pPr>
          </w:p>
        </w:tc>
      </w:tr>
      <w:tr w14:paraId="572D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1E2E9C9">
            <w:pPr>
              <w:spacing w:line="360" w:lineRule="auto"/>
              <w:jc w:val="center"/>
              <w:rPr>
                <w:rFonts w:ascii="仿宋" w:hAnsi="仿宋" w:eastAsia="仿宋" w:cs="宋体"/>
                <w:color w:val="auto"/>
                <w:sz w:val="24"/>
              </w:rPr>
            </w:pPr>
            <w:r>
              <w:rPr>
                <w:rFonts w:ascii="仿宋" w:hAnsi="仿宋" w:eastAsia="仿宋" w:cs="宋体"/>
                <w:color w:val="auto"/>
                <w:sz w:val="24"/>
              </w:rPr>
              <w:t>5</w:t>
            </w:r>
          </w:p>
        </w:tc>
        <w:tc>
          <w:tcPr>
            <w:tcW w:w="1843" w:type="dxa"/>
            <w:tcBorders>
              <w:top w:val="single" w:color="auto" w:sz="4" w:space="0"/>
              <w:left w:val="single" w:color="auto" w:sz="4" w:space="0"/>
              <w:bottom w:val="single" w:color="auto" w:sz="4" w:space="0"/>
              <w:right w:val="single" w:color="auto" w:sz="4" w:space="0"/>
            </w:tcBorders>
            <w:vAlign w:val="center"/>
          </w:tcPr>
          <w:p w14:paraId="2D780C77">
            <w:pPr>
              <w:spacing w:line="360" w:lineRule="auto"/>
              <w:ind w:firstLine="2" w:firstLineChars="1"/>
              <w:jc w:val="center"/>
              <w:rPr>
                <w:rFonts w:ascii="仿宋" w:hAnsi="仿宋" w:eastAsia="仿宋" w:cs="宋体"/>
                <w:color w:val="auto"/>
                <w:sz w:val="24"/>
              </w:rPr>
            </w:pPr>
            <w:r>
              <w:rPr>
                <w:rFonts w:hint="eastAsia" w:ascii="仿宋" w:hAnsi="仿宋" w:eastAsia="仿宋" w:cs="宋体"/>
                <w:color w:val="auto"/>
                <w:sz w:val="24"/>
              </w:rPr>
              <w:t>备注</w:t>
            </w:r>
          </w:p>
        </w:tc>
        <w:tc>
          <w:tcPr>
            <w:tcW w:w="7233" w:type="dxa"/>
            <w:tcBorders>
              <w:top w:val="single" w:color="auto" w:sz="4" w:space="0"/>
              <w:left w:val="single" w:color="auto" w:sz="4" w:space="0"/>
              <w:bottom w:val="single" w:color="auto" w:sz="4" w:space="0"/>
              <w:right w:val="single" w:color="auto" w:sz="4" w:space="0"/>
            </w:tcBorders>
            <w:vAlign w:val="center"/>
          </w:tcPr>
          <w:p w14:paraId="198D1136">
            <w:pPr>
              <w:spacing w:line="360" w:lineRule="auto"/>
              <w:ind w:firstLine="2" w:firstLineChars="1"/>
              <w:jc w:val="center"/>
              <w:rPr>
                <w:rFonts w:ascii="仿宋" w:hAnsi="仿宋" w:eastAsia="仿宋" w:cs="宋体"/>
                <w:color w:val="auto"/>
                <w:sz w:val="24"/>
              </w:rPr>
            </w:pPr>
          </w:p>
        </w:tc>
      </w:tr>
    </w:tbl>
    <w:p w14:paraId="7D7F064F">
      <w:pPr>
        <w:spacing w:line="360" w:lineRule="auto"/>
        <w:ind w:firstLine="422" w:firstLineChars="200"/>
        <w:rPr>
          <w:rFonts w:ascii="仿宋" w:hAnsi="仿宋" w:eastAsia="仿宋" w:cs="宋体"/>
          <w:b/>
          <w:color w:val="auto"/>
          <w:szCs w:val="21"/>
        </w:rPr>
      </w:pPr>
      <w:r>
        <w:rPr>
          <w:rFonts w:hint="eastAsia" w:ascii="仿宋" w:hAnsi="仿宋" w:eastAsia="仿宋" w:cs="宋体"/>
          <w:b/>
          <w:color w:val="auto"/>
          <w:szCs w:val="21"/>
        </w:rPr>
        <w:t>注：</w:t>
      </w:r>
      <w:r>
        <w:rPr>
          <w:rFonts w:ascii="仿宋" w:hAnsi="仿宋" w:eastAsia="仿宋" w:cs="宋体"/>
          <w:b/>
          <w:bCs/>
          <w:color w:val="auto"/>
          <w:szCs w:val="21"/>
        </w:rPr>
        <w:t xml:space="preserve"> 1</w:t>
      </w:r>
      <w:r>
        <w:rPr>
          <w:rFonts w:hint="eastAsia" w:ascii="仿宋" w:hAnsi="仿宋" w:eastAsia="仿宋" w:cs="宋体"/>
          <w:b/>
          <w:bCs/>
          <w:color w:val="auto"/>
          <w:szCs w:val="21"/>
        </w:rPr>
        <w:t>、</w:t>
      </w:r>
      <w:r>
        <w:rPr>
          <w:rFonts w:hint="eastAsia" w:ascii="仿宋" w:hAnsi="仿宋" w:eastAsia="仿宋" w:cs="宋体"/>
          <w:b/>
          <w:color w:val="auto"/>
          <w:szCs w:val="21"/>
        </w:rPr>
        <w:t>磋商报价最多保留至小数点后两位。</w:t>
      </w:r>
    </w:p>
    <w:p w14:paraId="3AFA2C38">
      <w:pPr>
        <w:spacing w:line="360" w:lineRule="auto"/>
        <w:ind w:firstLine="949" w:firstLineChars="450"/>
        <w:rPr>
          <w:rFonts w:hint="eastAsia" w:ascii="仿宋" w:hAnsi="仿宋" w:eastAsia="仿宋" w:cs="宋体"/>
          <w:b/>
          <w:bCs/>
          <w:color w:val="auto"/>
          <w:szCs w:val="21"/>
        </w:rPr>
      </w:pPr>
      <w:r>
        <w:rPr>
          <w:rFonts w:ascii="仿宋" w:hAnsi="仿宋" w:eastAsia="仿宋" w:cs="宋体"/>
          <w:b/>
          <w:color w:val="auto"/>
          <w:szCs w:val="21"/>
        </w:rPr>
        <w:t>2</w:t>
      </w:r>
      <w:r>
        <w:rPr>
          <w:rFonts w:hint="eastAsia" w:ascii="仿宋" w:hAnsi="仿宋" w:eastAsia="仿宋" w:cs="宋体"/>
          <w:b/>
          <w:color w:val="auto"/>
          <w:szCs w:val="21"/>
        </w:rPr>
        <w:t>、此表应放于响应文件封面后第一页。</w:t>
      </w:r>
    </w:p>
    <w:p w14:paraId="21FA7A92">
      <w:pPr>
        <w:spacing w:line="360" w:lineRule="auto"/>
        <w:ind w:firstLine="482" w:firstLineChars="200"/>
        <w:rPr>
          <w:rFonts w:ascii="仿宋" w:hAnsi="仿宋" w:eastAsia="仿宋" w:cs="宋体"/>
          <w:b/>
          <w:color w:val="auto"/>
          <w:sz w:val="24"/>
        </w:rPr>
      </w:pPr>
    </w:p>
    <w:p w14:paraId="54D3A6AE">
      <w:pPr>
        <w:spacing w:line="360" w:lineRule="auto"/>
        <w:ind w:firstLine="482" w:firstLineChars="200"/>
        <w:rPr>
          <w:rFonts w:ascii="仿宋" w:hAnsi="仿宋" w:eastAsia="仿宋" w:cs="宋体"/>
          <w:b/>
          <w:color w:val="auto"/>
          <w:sz w:val="24"/>
        </w:rPr>
      </w:pPr>
    </w:p>
    <w:p w14:paraId="2FED1A9F">
      <w:pPr>
        <w:spacing w:line="360" w:lineRule="auto"/>
        <w:ind w:firstLine="2" w:firstLineChars="1"/>
        <w:rPr>
          <w:rFonts w:ascii="仿宋" w:hAnsi="仿宋" w:eastAsia="仿宋" w:cs="宋体"/>
          <w:color w:val="auto"/>
          <w:sz w:val="24"/>
          <w:szCs w:val="24"/>
        </w:rPr>
      </w:pPr>
      <w:r>
        <w:rPr>
          <w:rFonts w:hint="eastAsia" w:ascii="仿宋" w:hAnsi="仿宋" w:eastAsia="仿宋" w:cs="宋体"/>
          <w:color w:val="auto"/>
          <w:sz w:val="24"/>
          <w:szCs w:val="24"/>
        </w:rPr>
        <w:t>供应商：</w:t>
      </w:r>
      <w:r>
        <w:rPr>
          <w:rFonts w:hint="eastAsia" w:ascii="仿宋" w:hAnsi="仿宋" w:eastAsia="仿宋" w:cs="宋体"/>
          <w:color w:val="auto"/>
          <w:sz w:val="24"/>
          <w:szCs w:val="24"/>
          <w:u w:val="single"/>
        </w:rPr>
        <w:t xml:space="preserve">                            </w:t>
      </w:r>
      <w:r>
        <w:rPr>
          <w:rFonts w:hint="eastAsia" w:ascii="仿宋" w:hAnsi="仿宋" w:eastAsia="仿宋" w:cs="宋体"/>
          <w:color w:val="auto"/>
          <w:sz w:val="24"/>
          <w:szCs w:val="24"/>
        </w:rPr>
        <w:t>（盖章）</w:t>
      </w:r>
    </w:p>
    <w:p w14:paraId="0965146D">
      <w:pPr>
        <w:spacing w:line="360" w:lineRule="auto"/>
        <w:ind w:firstLine="2" w:firstLineChars="1"/>
        <w:rPr>
          <w:rFonts w:ascii="仿宋" w:hAnsi="仿宋" w:eastAsia="仿宋" w:cs="宋体"/>
          <w:color w:val="auto"/>
          <w:sz w:val="24"/>
          <w:szCs w:val="24"/>
        </w:rPr>
      </w:pPr>
      <w:r>
        <w:rPr>
          <w:rFonts w:hint="eastAsia" w:ascii="仿宋" w:hAnsi="仿宋" w:eastAsia="仿宋"/>
          <w:color w:val="auto"/>
          <w:sz w:val="24"/>
          <w:szCs w:val="24"/>
        </w:rPr>
        <w:t>法定代表人或授权代理人：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14:paraId="50A7A678">
      <w:pPr>
        <w:spacing w:line="360" w:lineRule="auto"/>
        <w:ind w:firstLine="2" w:firstLineChars="1"/>
        <w:rPr>
          <w:rFonts w:ascii="仿宋" w:hAnsi="仿宋" w:eastAsia="仿宋" w:cs="宋体"/>
          <w:color w:val="auto"/>
          <w:sz w:val="24"/>
          <w:szCs w:val="24"/>
          <w:u w:val="single"/>
        </w:rPr>
      </w:pPr>
      <w:r>
        <w:rPr>
          <w:rFonts w:hint="eastAsia" w:ascii="仿宋" w:hAnsi="仿宋" w:eastAsia="仿宋" w:cs="宋体"/>
          <w:color w:val="auto"/>
          <w:sz w:val="24"/>
        </w:rPr>
        <w:t>日期：</w:t>
      </w:r>
      <w:r>
        <w:rPr>
          <w:rFonts w:hint="eastAsia" w:ascii="仿宋" w:hAnsi="仿宋" w:eastAsia="仿宋" w:cs="宋体"/>
          <w:color w:val="auto"/>
          <w:sz w:val="24"/>
          <w:u w:val="single"/>
        </w:rPr>
        <w:t xml:space="preserve">        </w:t>
      </w:r>
      <w:r>
        <w:rPr>
          <w:rFonts w:hint="eastAsia" w:ascii="仿宋" w:hAnsi="仿宋" w:eastAsia="仿宋" w:cs="宋体"/>
          <w:color w:val="auto"/>
          <w:sz w:val="24"/>
        </w:rPr>
        <w:t>年</w:t>
      </w:r>
      <w:r>
        <w:rPr>
          <w:rFonts w:hint="eastAsia" w:ascii="仿宋" w:hAnsi="仿宋" w:eastAsia="仿宋" w:cs="宋体"/>
          <w:color w:val="auto"/>
          <w:sz w:val="24"/>
          <w:u w:val="single"/>
        </w:rPr>
        <w:t xml:space="preserve">       </w:t>
      </w:r>
      <w:r>
        <w:rPr>
          <w:rFonts w:hint="eastAsia" w:ascii="仿宋" w:hAnsi="仿宋" w:eastAsia="仿宋" w:cs="宋体"/>
          <w:color w:val="auto"/>
          <w:sz w:val="24"/>
        </w:rPr>
        <w:t>月</w:t>
      </w:r>
      <w:r>
        <w:rPr>
          <w:rFonts w:hint="eastAsia" w:ascii="仿宋" w:hAnsi="仿宋" w:eastAsia="仿宋" w:cs="宋体"/>
          <w:color w:val="auto"/>
          <w:sz w:val="24"/>
          <w:u w:val="single"/>
        </w:rPr>
        <w:t xml:space="preserve">       </w:t>
      </w:r>
      <w:r>
        <w:rPr>
          <w:rFonts w:hint="eastAsia" w:ascii="仿宋" w:hAnsi="仿宋" w:eastAsia="仿宋" w:cs="宋体"/>
          <w:color w:val="auto"/>
          <w:sz w:val="24"/>
        </w:rPr>
        <w:t>日</w:t>
      </w:r>
    </w:p>
    <w:bookmarkEnd w:id="245"/>
    <w:p w14:paraId="01953E9B">
      <w:pPr>
        <w:spacing w:line="360" w:lineRule="auto"/>
        <w:ind w:firstLine="482" w:firstLineChars="200"/>
        <w:rPr>
          <w:rFonts w:ascii="仿宋" w:hAnsi="仿宋" w:eastAsia="仿宋" w:cs="宋体"/>
          <w:b/>
          <w:color w:val="auto"/>
          <w:sz w:val="24"/>
        </w:rPr>
      </w:pPr>
    </w:p>
    <w:p w14:paraId="6E205E50">
      <w:pPr>
        <w:spacing w:line="360" w:lineRule="auto"/>
        <w:ind w:firstLine="482" w:firstLineChars="200"/>
        <w:rPr>
          <w:rFonts w:ascii="仿宋" w:hAnsi="仿宋" w:eastAsia="仿宋" w:cs="宋体"/>
          <w:b/>
          <w:color w:val="auto"/>
          <w:sz w:val="24"/>
        </w:rPr>
      </w:pPr>
    </w:p>
    <w:p w14:paraId="79A4FD86">
      <w:pPr>
        <w:spacing w:line="360" w:lineRule="auto"/>
        <w:ind w:firstLine="482" w:firstLineChars="200"/>
        <w:rPr>
          <w:rFonts w:ascii="仿宋" w:hAnsi="仿宋" w:eastAsia="仿宋" w:cs="宋体"/>
          <w:b/>
          <w:color w:val="auto"/>
          <w:sz w:val="24"/>
        </w:rPr>
      </w:pPr>
    </w:p>
    <w:p w14:paraId="46D35877">
      <w:pPr>
        <w:spacing w:line="360" w:lineRule="auto"/>
        <w:ind w:firstLine="482" w:firstLineChars="200"/>
        <w:rPr>
          <w:rFonts w:ascii="仿宋" w:hAnsi="仿宋" w:eastAsia="仿宋" w:cs="宋体"/>
          <w:b/>
          <w:color w:val="auto"/>
          <w:sz w:val="24"/>
        </w:rPr>
      </w:pPr>
    </w:p>
    <w:p w14:paraId="4B27C6AC">
      <w:pPr>
        <w:spacing w:line="360" w:lineRule="auto"/>
        <w:ind w:firstLine="482" w:firstLineChars="200"/>
        <w:rPr>
          <w:rFonts w:ascii="仿宋" w:hAnsi="仿宋" w:eastAsia="仿宋" w:cs="宋体"/>
          <w:b/>
          <w:color w:val="auto"/>
          <w:sz w:val="24"/>
        </w:rPr>
      </w:pPr>
    </w:p>
    <w:p w14:paraId="68B1C645">
      <w:pPr>
        <w:spacing w:line="360" w:lineRule="auto"/>
        <w:jc w:val="center"/>
        <w:outlineLvl w:val="1"/>
        <w:rPr>
          <w:rFonts w:ascii="仿宋" w:hAnsi="仿宋" w:eastAsia="仿宋" w:cs="宋体"/>
          <w:b/>
          <w:color w:val="auto"/>
          <w:sz w:val="30"/>
          <w:szCs w:val="30"/>
        </w:rPr>
      </w:pPr>
      <w:bookmarkStart w:id="246" w:name="_Toc232004931"/>
      <w:r>
        <w:rPr>
          <w:rFonts w:hint="eastAsia" w:ascii="仿宋" w:hAnsi="仿宋" w:eastAsia="仿宋"/>
          <w:b/>
          <w:color w:val="auto"/>
          <w:sz w:val="30"/>
          <w:szCs w:val="30"/>
        </w:rPr>
        <w:t>二、</w:t>
      </w:r>
      <w:r>
        <w:rPr>
          <w:rFonts w:hint="eastAsia" w:ascii="仿宋" w:hAnsi="仿宋" w:eastAsia="仿宋" w:cs="宋体"/>
          <w:b/>
          <w:color w:val="auto"/>
          <w:sz w:val="30"/>
          <w:szCs w:val="30"/>
        </w:rPr>
        <w:t>法定代表人身份证明书</w:t>
      </w:r>
      <w:bookmarkEnd w:id="246"/>
    </w:p>
    <w:p w14:paraId="39E7278D">
      <w:pPr>
        <w:spacing w:line="360" w:lineRule="auto"/>
        <w:rPr>
          <w:rFonts w:ascii="仿宋" w:hAnsi="仿宋" w:eastAsia="仿宋" w:cs="宋体"/>
          <w:color w:val="auto"/>
          <w:sz w:val="24"/>
        </w:rPr>
      </w:pPr>
    </w:p>
    <w:p w14:paraId="52C93422">
      <w:pPr>
        <w:spacing w:line="360" w:lineRule="auto"/>
        <w:ind w:firstLine="612"/>
        <w:rPr>
          <w:rFonts w:ascii="仿宋" w:hAnsi="仿宋" w:eastAsia="仿宋" w:cs="宋体"/>
          <w:color w:val="auto"/>
          <w:sz w:val="24"/>
        </w:rPr>
      </w:pPr>
      <w:r>
        <w:rPr>
          <w:rFonts w:hint="eastAsia" w:ascii="仿宋" w:hAnsi="仿宋" w:eastAsia="仿宋" w:cs="宋体"/>
          <w:color w:val="auto"/>
          <w:sz w:val="24"/>
        </w:rPr>
        <w:t>单位名称：</w:t>
      </w:r>
      <w:r>
        <w:rPr>
          <w:rFonts w:hint="eastAsia" w:ascii="仿宋" w:hAnsi="仿宋" w:eastAsia="仿宋" w:cs="宋体"/>
          <w:color w:val="auto"/>
          <w:sz w:val="24"/>
          <w:u w:val="single"/>
        </w:rPr>
        <w:tab/>
      </w:r>
      <w:r>
        <w:rPr>
          <w:rFonts w:hint="eastAsia" w:ascii="仿宋" w:hAnsi="仿宋" w:eastAsia="仿宋" w:cs="宋体"/>
          <w:color w:val="auto"/>
          <w:sz w:val="24"/>
          <w:u w:val="single"/>
        </w:rPr>
        <w:tab/>
      </w:r>
      <w:r>
        <w:rPr>
          <w:rFonts w:hint="eastAsia" w:ascii="仿宋" w:hAnsi="仿宋" w:eastAsia="仿宋" w:cs="宋体"/>
          <w:color w:val="auto"/>
          <w:sz w:val="24"/>
          <w:u w:val="single"/>
        </w:rPr>
        <w:tab/>
      </w:r>
      <w:r>
        <w:rPr>
          <w:rFonts w:hint="eastAsia" w:ascii="仿宋" w:hAnsi="仿宋" w:eastAsia="仿宋" w:cs="宋体"/>
          <w:color w:val="auto"/>
          <w:sz w:val="24"/>
          <w:u w:val="single"/>
        </w:rPr>
        <w:tab/>
      </w:r>
      <w:r>
        <w:rPr>
          <w:rFonts w:hint="eastAsia" w:ascii="仿宋" w:hAnsi="仿宋" w:eastAsia="仿宋" w:cs="宋体"/>
          <w:color w:val="auto"/>
          <w:sz w:val="24"/>
          <w:u w:val="single"/>
        </w:rPr>
        <w:tab/>
      </w:r>
      <w:r>
        <w:rPr>
          <w:rFonts w:hint="eastAsia" w:ascii="仿宋" w:hAnsi="仿宋" w:eastAsia="仿宋" w:cs="宋体"/>
          <w:color w:val="auto"/>
          <w:sz w:val="24"/>
          <w:u w:val="single"/>
        </w:rPr>
        <w:t xml:space="preserve">          </w:t>
      </w:r>
      <w:r>
        <w:rPr>
          <w:rFonts w:hint="eastAsia" w:ascii="仿宋" w:hAnsi="仿宋" w:eastAsia="仿宋" w:cs="宋体"/>
          <w:color w:val="auto"/>
          <w:sz w:val="24"/>
          <w:u w:val="single"/>
        </w:rPr>
        <w:tab/>
      </w:r>
      <w:r>
        <w:rPr>
          <w:rFonts w:hint="eastAsia" w:ascii="仿宋" w:hAnsi="仿宋" w:eastAsia="仿宋" w:cs="宋体"/>
          <w:color w:val="auto"/>
          <w:sz w:val="24"/>
          <w:u w:val="single"/>
        </w:rPr>
        <w:tab/>
      </w:r>
      <w:r>
        <w:rPr>
          <w:rFonts w:hint="eastAsia" w:ascii="仿宋" w:hAnsi="仿宋" w:eastAsia="仿宋" w:cs="宋体"/>
          <w:color w:val="auto"/>
          <w:sz w:val="24"/>
          <w:u w:val="single"/>
        </w:rPr>
        <w:tab/>
      </w:r>
      <w:r>
        <w:rPr>
          <w:rFonts w:hint="eastAsia" w:ascii="仿宋" w:hAnsi="仿宋" w:eastAsia="仿宋" w:cs="宋体"/>
          <w:color w:val="auto"/>
          <w:sz w:val="24"/>
          <w:u w:val="single"/>
        </w:rPr>
        <w:tab/>
      </w:r>
      <w:r>
        <w:rPr>
          <w:rFonts w:hint="eastAsia" w:ascii="仿宋" w:hAnsi="仿宋" w:eastAsia="仿宋" w:cs="宋体"/>
          <w:color w:val="auto"/>
          <w:sz w:val="24"/>
          <w:u w:val="single"/>
        </w:rPr>
        <w:tab/>
      </w:r>
    </w:p>
    <w:p w14:paraId="558B01F0">
      <w:pPr>
        <w:spacing w:line="360" w:lineRule="auto"/>
        <w:ind w:firstLine="610"/>
        <w:rPr>
          <w:rFonts w:ascii="仿宋" w:hAnsi="仿宋" w:eastAsia="仿宋" w:cs="宋体"/>
          <w:color w:val="auto"/>
          <w:sz w:val="24"/>
          <w:u w:val="single"/>
        </w:rPr>
      </w:pPr>
      <w:r>
        <w:rPr>
          <w:rFonts w:hint="eastAsia" w:ascii="仿宋" w:hAnsi="仿宋" w:eastAsia="仿宋" w:cs="宋体"/>
          <w:color w:val="auto"/>
          <w:sz w:val="24"/>
        </w:rPr>
        <w:t>单位性质：</w:t>
      </w:r>
      <w:r>
        <w:rPr>
          <w:rFonts w:hint="eastAsia" w:ascii="仿宋" w:hAnsi="仿宋" w:eastAsia="仿宋" w:cs="宋体"/>
          <w:color w:val="auto"/>
          <w:sz w:val="24"/>
          <w:u w:val="single"/>
        </w:rPr>
        <w:tab/>
      </w:r>
      <w:r>
        <w:rPr>
          <w:rFonts w:hint="eastAsia" w:ascii="仿宋" w:hAnsi="仿宋" w:eastAsia="仿宋" w:cs="宋体"/>
          <w:color w:val="auto"/>
          <w:sz w:val="24"/>
          <w:u w:val="single"/>
        </w:rPr>
        <w:tab/>
      </w:r>
      <w:r>
        <w:rPr>
          <w:rFonts w:hint="eastAsia" w:ascii="仿宋" w:hAnsi="仿宋" w:eastAsia="仿宋" w:cs="宋体"/>
          <w:color w:val="auto"/>
          <w:sz w:val="24"/>
          <w:u w:val="single"/>
        </w:rPr>
        <w:tab/>
      </w:r>
      <w:r>
        <w:rPr>
          <w:rFonts w:hint="eastAsia" w:ascii="仿宋" w:hAnsi="仿宋" w:eastAsia="仿宋" w:cs="宋体"/>
          <w:color w:val="auto"/>
          <w:sz w:val="24"/>
          <w:u w:val="single"/>
        </w:rPr>
        <w:tab/>
      </w:r>
      <w:r>
        <w:rPr>
          <w:rFonts w:hint="eastAsia" w:ascii="仿宋" w:hAnsi="仿宋" w:eastAsia="仿宋" w:cs="宋体"/>
          <w:color w:val="auto"/>
          <w:sz w:val="24"/>
          <w:u w:val="single"/>
        </w:rPr>
        <w:tab/>
      </w:r>
      <w:r>
        <w:rPr>
          <w:rFonts w:hint="eastAsia" w:ascii="仿宋" w:hAnsi="仿宋" w:eastAsia="仿宋" w:cs="宋体"/>
          <w:color w:val="auto"/>
          <w:sz w:val="24"/>
          <w:u w:val="single"/>
        </w:rPr>
        <w:tab/>
      </w:r>
      <w:r>
        <w:rPr>
          <w:rFonts w:hint="eastAsia" w:ascii="仿宋" w:hAnsi="仿宋" w:eastAsia="仿宋" w:cs="宋体"/>
          <w:color w:val="auto"/>
          <w:sz w:val="24"/>
          <w:u w:val="single"/>
        </w:rPr>
        <w:t xml:space="preserve">         </w:t>
      </w:r>
      <w:r>
        <w:rPr>
          <w:rFonts w:hint="eastAsia" w:ascii="仿宋" w:hAnsi="仿宋" w:eastAsia="仿宋" w:cs="宋体"/>
          <w:color w:val="auto"/>
          <w:sz w:val="24"/>
          <w:u w:val="single"/>
        </w:rPr>
        <w:tab/>
      </w:r>
      <w:r>
        <w:rPr>
          <w:rFonts w:hint="eastAsia" w:ascii="仿宋" w:hAnsi="仿宋" w:eastAsia="仿宋" w:cs="宋体"/>
          <w:color w:val="auto"/>
          <w:sz w:val="24"/>
          <w:u w:val="single"/>
        </w:rPr>
        <w:tab/>
      </w:r>
      <w:r>
        <w:rPr>
          <w:rFonts w:hint="eastAsia" w:ascii="仿宋" w:hAnsi="仿宋" w:eastAsia="仿宋" w:cs="宋体"/>
          <w:color w:val="auto"/>
          <w:sz w:val="24"/>
          <w:u w:val="single"/>
        </w:rPr>
        <w:tab/>
      </w:r>
      <w:r>
        <w:rPr>
          <w:rFonts w:hint="eastAsia" w:ascii="仿宋" w:hAnsi="仿宋" w:eastAsia="仿宋" w:cs="宋体"/>
          <w:color w:val="auto"/>
          <w:sz w:val="24"/>
          <w:u w:val="single"/>
        </w:rPr>
        <w:tab/>
      </w:r>
    </w:p>
    <w:p w14:paraId="1661A273">
      <w:pPr>
        <w:spacing w:line="360" w:lineRule="auto"/>
        <w:ind w:firstLine="610"/>
        <w:rPr>
          <w:rFonts w:ascii="仿宋" w:hAnsi="仿宋" w:eastAsia="仿宋" w:cs="宋体"/>
          <w:color w:val="auto"/>
          <w:sz w:val="24"/>
          <w:u w:val="single"/>
        </w:rPr>
      </w:pPr>
      <w:r>
        <w:rPr>
          <w:rFonts w:hint="eastAsia" w:ascii="仿宋" w:hAnsi="仿宋" w:eastAsia="仿宋" w:cs="宋体"/>
          <w:color w:val="auto"/>
          <w:sz w:val="24"/>
        </w:rPr>
        <w:t>地    址：</w:t>
      </w:r>
      <w:r>
        <w:rPr>
          <w:rFonts w:hint="eastAsia" w:ascii="仿宋" w:hAnsi="仿宋" w:eastAsia="仿宋" w:cs="宋体"/>
          <w:color w:val="auto"/>
          <w:sz w:val="24"/>
          <w:u w:val="single"/>
        </w:rPr>
        <w:tab/>
      </w:r>
      <w:r>
        <w:rPr>
          <w:rFonts w:hint="eastAsia" w:ascii="仿宋" w:hAnsi="仿宋" w:eastAsia="仿宋" w:cs="宋体"/>
          <w:color w:val="auto"/>
          <w:sz w:val="24"/>
          <w:u w:val="single"/>
        </w:rPr>
        <w:tab/>
      </w:r>
      <w:r>
        <w:rPr>
          <w:rFonts w:hint="eastAsia" w:ascii="仿宋" w:hAnsi="仿宋" w:eastAsia="仿宋" w:cs="宋体"/>
          <w:color w:val="auto"/>
          <w:sz w:val="24"/>
          <w:u w:val="single"/>
        </w:rPr>
        <w:t xml:space="preserve">  </w:t>
      </w:r>
      <w:r>
        <w:rPr>
          <w:rFonts w:hint="eastAsia" w:ascii="仿宋" w:hAnsi="仿宋" w:eastAsia="仿宋" w:cs="宋体"/>
          <w:color w:val="auto"/>
          <w:sz w:val="24"/>
          <w:u w:val="single"/>
        </w:rPr>
        <w:tab/>
      </w:r>
      <w:r>
        <w:rPr>
          <w:rFonts w:hint="eastAsia" w:ascii="仿宋" w:hAnsi="仿宋" w:eastAsia="仿宋" w:cs="宋体"/>
          <w:color w:val="auto"/>
          <w:sz w:val="24"/>
          <w:u w:val="single"/>
        </w:rPr>
        <w:tab/>
      </w:r>
      <w:r>
        <w:rPr>
          <w:rFonts w:hint="eastAsia" w:ascii="仿宋" w:hAnsi="仿宋" w:eastAsia="仿宋" w:cs="宋体"/>
          <w:color w:val="auto"/>
          <w:sz w:val="24"/>
          <w:u w:val="single"/>
        </w:rPr>
        <w:tab/>
      </w:r>
      <w:r>
        <w:rPr>
          <w:rFonts w:hint="eastAsia" w:ascii="仿宋" w:hAnsi="仿宋" w:eastAsia="仿宋" w:cs="宋体"/>
          <w:color w:val="auto"/>
          <w:sz w:val="24"/>
          <w:u w:val="single"/>
        </w:rPr>
        <w:t xml:space="preserve">           </w:t>
      </w:r>
      <w:r>
        <w:rPr>
          <w:rFonts w:hint="eastAsia" w:ascii="仿宋" w:hAnsi="仿宋" w:eastAsia="仿宋" w:cs="宋体"/>
          <w:color w:val="auto"/>
          <w:sz w:val="24"/>
          <w:u w:val="single"/>
        </w:rPr>
        <w:tab/>
      </w:r>
      <w:r>
        <w:rPr>
          <w:rFonts w:hint="eastAsia" w:ascii="仿宋" w:hAnsi="仿宋" w:eastAsia="仿宋" w:cs="宋体"/>
          <w:color w:val="auto"/>
          <w:sz w:val="24"/>
          <w:u w:val="single"/>
        </w:rPr>
        <w:tab/>
      </w:r>
      <w:r>
        <w:rPr>
          <w:rFonts w:hint="eastAsia" w:ascii="仿宋" w:hAnsi="仿宋" w:eastAsia="仿宋" w:cs="宋体"/>
          <w:color w:val="auto"/>
          <w:sz w:val="24"/>
          <w:u w:val="single"/>
        </w:rPr>
        <w:tab/>
      </w:r>
      <w:r>
        <w:rPr>
          <w:rFonts w:hint="eastAsia" w:ascii="仿宋" w:hAnsi="仿宋" w:eastAsia="仿宋" w:cs="宋体"/>
          <w:color w:val="auto"/>
          <w:sz w:val="24"/>
          <w:u w:val="single"/>
        </w:rPr>
        <w:tab/>
      </w:r>
    </w:p>
    <w:p w14:paraId="2F7CD88A">
      <w:pPr>
        <w:spacing w:line="360" w:lineRule="auto"/>
        <w:ind w:firstLine="610"/>
        <w:rPr>
          <w:rFonts w:ascii="仿宋" w:hAnsi="仿宋" w:eastAsia="仿宋" w:cs="宋体"/>
          <w:color w:val="auto"/>
          <w:sz w:val="24"/>
        </w:rPr>
      </w:pPr>
      <w:r>
        <w:rPr>
          <w:rFonts w:hint="eastAsia" w:ascii="仿宋" w:hAnsi="仿宋" w:eastAsia="仿宋" w:cs="宋体"/>
          <w:color w:val="auto"/>
          <w:sz w:val="24"/>
        </w:rPr>
        <w:t>成立时间：</w:t>
      </w:r>
      <w:r>
        <w:rPr>
          <w:rFonts w:hint="eastAsia" w:ascii="仿宋" w:hAnsi="仿宋" w:eastAsia="仿宋" w:cs="宋体"/>
          <w:color w:val="auto"/>
          <w:sz w:val="24"/>
          <w:u w:val="single"/>
        </w:rPr>
        <w:t xml:space="preserve">              </w:t>
      </w:r>
      <w:r>
        <w:rPr>
          <w:rFonts w:hint="eastAsia" w:ascii="仿宋" w:hAnsi="仿宋" w:eastAsia="仿宋" w:cs="宋体"/>
          <w:color w:val="auto"/>
          <w:sz w:val="24"/>
        </w:rPr>
        <w:t>年</w:t>
      </w:r>
      <w:r>
        <w:rPr>
          <w:rFonts w:hint="eastAsia" w:ascii="仿宋" w:hAnsi="仿宋" w:eastAsia="仿宋" w:cs="宋体"/>
          <w:color w:val="auto"/>
          <w:sz w:val="24"/>
          <w:u w:val="single"/>
        </w:rPr>
        <w:t xml:space="preserve">           </w:t>
      </w:r>
      <w:r>
        <w:rPr>
          <w:rFonts w:hint="eastAsia" w:ascii="仿宋" w:hAnsi="仿宋" w:eastAsia="仿宋" w:cs="宋体"/>
          <w:color w:val="auto"/>
          <w:sz w:val="24"/>
        </w:rPr>
        <w:t>月</w:t>
      </w:r>
      <w:r>
        <w:rPr>
          <w:rFonts w:hint="eastAsia" w:ascii="仿宋" w:hAnsi="仿宋" w:eastAsia="仿宋" w:cs="宋体"/>
          <w:color w:val="auto"/>
          <w:sz w:val="24"/>
          <w:u w:val="single"/>
        </w:rPr>
        <w:t xml:space="preserve">           </w:t>
      </w:r>
      <w:r>
        <w:rPr>
          <w:rFonts w:hint="eastAsia" w:ascii="仿宋" w:hAnsi="仿宋" w:eastAsia="仿宋" w:cs="宋体"/>
          <w:color w:val="auto"/>
          <w:sz w:val="24"/>
        </w:rPr>
        <w:t>日</w:t>
      </w:r>
    </w:p>
    <w:p w14:paraId="194084C6">
      <w:pPr>
        <w:spacing w:line="360" w:lineRule="auto"/>
        <w:ind w:firstLine="610"/>
        <w:rPr>
          <w:rFonts w:ascii="仿宋" w:hAnsi="仿宋" w:eastAsia="仿宋" w:cs="宋体"/>
          <w:color w:val="auto"/>
          <w:sz w:val="24"/>
          <w:u w:val="single"/>
        </w:rPr>
      </w:pPr>
      <w:r>
        <w:rPr>
          <w:rFonts w:hint="eastAsia" w:ascii="仿宋" w:hAnsi="仿宋" w:eastAsia="仿宋" w:cs="宋体"/>
          <w:color w:val="auto"/>
          <w:sz w:val="24"/>
        </w:rPr>
        <w:t>经营期限：</w:t>
      </w:r>
      <w:r>
        <w:rPr>
          <w:rFonts w:hint="eastAsia" w:ascii="仿宋" w:hAnsi="仿宋" w:eastAsia="仿宋" w:cs="宋体"/>
          <w:color w:val="auto"/>
          <w:sz w:val="24"/>
          <w:u w:val="single"/>
        </w:rPr>
        <w:tab/>
      </w:r>
      <w:r>
        <w:rPr>
          <w:rFonts w:ascii="仿宋" w:hAnsi="仿宋" w:eastAsia="仿宋" w:cs="宋体"/>
          <w:color w:val="auto"/>
          <w:sz w:val="24"/>
          <w:u w:val="single"/>
        </w:rPr>
        <w:t xml:space="preserve">   </w:t>
      </w:r>
      <w:r>
        <w:rPr>
          <w:rFonts w:hint="eastAsia" w:ascii="仿宋" w:hAnsi="仿宋" w:eastAsia="仿宋" w:cs="宋体"/>
          <w:color w:val="auto"/>
          <w:sz w:val="24"/>
          <w:u w:val="single"/>
        </w:rPr>
        <w:t xml:space="preserve">                                        </w:t>
      </w:r>
    </w:p>
    <w:p w14:paraId="0DDEF0C8">
      <w:pPr>
        <w:spacing w:line="360" w:lineRule="auto"/>
        <w:ind w:firstLine="610"/>
        <w:rPr>
          <w:rFonts w:ascii="仿宋" w:hAnsi="仿宋" w:eastAsia="仿宋" w:cs="宋体"/>
          <w:color w:val="auto"/>
          <w:sz w:val="24"/>
          <w:u w:val="single"/>
        </w:rPr>
      </w:pPr>
      <w:r>
        <w:rPr>
          <w:rFonts w:hint="eastAsia" w:ascii="仿宋" w:hAnsi="仿宋" w:eastAsia="仿宋" w:cs="宋体"/>
          <w:color w:val="auto"/>
          <w:sz w:val="24"/>
        </w:rPr>
        <w:t>姓    名：</w:t>
      </w:r>
      <w:r>
        <w:rPr>
          <w:rFonts w:hint="eastAsia" w:ascii="仿宋" w:hAnsi="仿宋" w:eastAsia="仿宋" w:cs="宋体"/>
          <w:color w:val="auto"/>
          <w:sz w:val="24"/>
          <w:u w:val="single"/>
        </w:rPr>
        <w:t xml:space="preserve">          </w:t>
      </w:r>
      <w:r>
        <w:rPr>
          <w:rFonts w:hint="eastAsia" w:ascii="仿宋" w:hAnsi="仿宋" w:eastAsia="仿宋" w:cs="宋体"/>
          <w:color w:val="auto"/>
          <w:sz w:val="24"/>
        </w:rPr>
        <w:t xml:space="preserve"> 性别：</w:t>
      </w:r>
      <w:r>
        <w:rPr>
          <w:rFonts w:hint="eastAsia" w:ascii="仿宋" w:hAnsi="仿宋" w:eastAsia="仿宋" w:cs="宋体"/>
          <w:color w:val="auto"/>
          <w:sz w:val="24"/>
          <w:u w:val="single"/>
        </w:rPr>
        <w:t xml:space="preserve">   </w:t>
      </w:r>
      <w:r>
        <w:rPr>
          <w:rFonts w:hint="eastAsia" w:ascii="仿宋" w:hAnsi="仿宋" w:eastAsia="仿宋" w:cs="宋体"/>
          <w:color w:val="auto"/>
          <w:sz w:val="24"/>
        </w:rPr>
        <w:t>年龄：</w:t>
      </w:r>
      <w:r>
        <w:rPr>
          <w:rFonts w:hint="eastAsia" w:ascii="仿宋" w:hAnsi="仿宋" w:eastAsia="仿宋" w:cs="宋体"/>
          <w:color w:val="auto"/>
          <w:sz w:val="24"/>
          <w:u w:val="single"/>
        </w:rPr>
        <w:t xml:space="preserve">   </w:t>
      </w:r>
      <w:r>
        <w:rPr>
          <w:rFonts w:hint="eastAsia" w:ascii="仿宋" w:hAnsi="仿宋" w:eastAsia="仿宋" w:cs="宋体"/>
          <w:color w:val="auto"/>
          <w:sz w:val="24"/>
        </w:rPr>
        <w:t>职务：</w:t>
      </w:r>
      <w:r>
        <w:rPr>
          <w:rFonts w:hint="eastAsia" w:ascii="仿宋" w:hAnsi="仿宋" w:eastAsia="仿宋" w:cs="宋体"/>
          <w:color w:val="auto"/>
          <w:sz w:val="24"/>
          <w:u w:val="single"/>
        </w:rPr>
        <w:tab/>
      </w:r>
      <w:r>
        <w:rPr>
          <w:rFonts w:hint="eastAsia" w:ascii="仿宋" w:hAnsi="仿宋" w:eastAsia="仿宋" w:cs="宋体"/>
          <w:color w:val="auto"/>
          <w:sz w:val="24"/>
          <w:u w:val="single"/>
        </w:rPr>
        <w:tab/>
      </w:r>
      <w:r>
        <w:rPr>
          <w:rFonts w:hint="eastAsia" w:ascii="仿宋" w:hAnsi="仿宋" w:eastAsia="仿宋" w:cs="宋体"/>
          <w:color w:val="auto"/>
          <w:sz w:val="24"/>
          <w:u w:val="single"/>
        </w:rPr>
        <w:t xml:space="preserve"> </w:t>
      </w:r>
    </w:p>
    <w:p w14:paraId="02856AFE">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 xml:space="preserve"> 系</w:t>
      </w:r>
      <w:r>
        <w:rPr>
          <w:rFonts w:hint="eastAsia" w:ascii="仿宋" w:hAnsi="仿宋" w:eastAsia="仿宋" w:cs="宋体"/>
          <w:color w:val="auto"/>
          <w:sz w:val="24"/>
          <w:u w:val="single"/>
        </w:rPr>
        <w:t xml:space="preserve">          （供应商单位名称）         </w:t>
      </w:r>
      <w:r>
        <w:rPr>
          <w:rFonts w:hint="eastAsia" w:ascii="仿宋" w:hAnsi="仿宋" w:eastAsia="仿宋" w:cs="宋体"/>
          <w:color w:val="auto"/>
          <w:sz w:val="24"/>
        </w:rPr>
        <w:t>的法定代表人。</w:t>
      </w:r>
    </w:p>
    <w:p w14:paraId="629B823E">
      <w:pPr>
        <w:spacing w:line="360" w:lineRule="auto"/>
        <w:ind w:firstLine="610"/>
        <w:rPr>
          <w:rFonts w:ascii="仿宋" w:hAnsi="仿宋" w:eastAsia="仿宋" w:cs="宋体"/>
          <w:color w:val="auto"/>
          <w:sz w:val="24"/>
        </w:rPr>
      </w:pPr>
    </w:p>
    <w:p w14:paraId="6BA1501A">
      <w:pPr>
        <w:spacing w:line="360" w:lineRule="auto"/>
        <w:ind w:firstLine="849" w:firstLineChars="354"/>
        <w:rPr>
          <w:rFonts w:ascii="仿宋" w:hAnsi="仿宋" w:eastAsia="仿宋" w:cs="宋体"/>
          <w:color w:val="auto"/>
          <w:sz w:val="24"/>
        </w:rPr>
      </w:pPr>
      <w:r>
        <w:rPr>
          <w:rFonts w:hint="eastAsia" w:ascii="仿宋" w:hAnsi="仿宋" w:eastAsia="仿宋" w:cs="宋体"/>
          <w:color w:val="auto"/>
          <w:sz w:val="24"/>
        </w:rPr>
        <w:t>特此证明。</w:t>
      </w:r>
    </w:p>
    <w:p w14:paraId="2BA680BF">
      <w:pPr>
        <w:spacing w:line="360" w:lineRule="auto"/>
        <w:rPr>
          <w:rFonts w:ascii="仿宋" w:hAnsi="仿宋" w:eastAsia="仿宋" w:cs="宋体"/>
          <w:b/>
          <w:color w:val="auto"/>
          <w:sz w:val="24"/>
        </w:rPr>
      </w:pPr>
    </w:p>
    <w:p w14:paraId="0D4A1BBD">
      <w:pPr>
        <w:spacing w:line="360" w:lineRule="auto"/>
        <w:ind w:firstLine="236" w:firstLineChars="98"/>
        <w:rPr>
          <w:rFonts w:ascii="仿宋" w:hAnsi="仿宋" w:eastAsia="仿宋" w:cs="宋体"/>
          <w:b/>
          <w:color w:val="auto"/>
          <w:sz w:val="24"/>
        </w:rPr>
      </w:pPr>
      <w:r>
        <w:rPr>
          <w:rFonts w:hint="eastAsia" w:ascii="仿宋" w:hAnsi="仿宋" w:eastAsia="仿宋" w:cs="宋体"/>
          <w:b/>
          <w:color w:val="auto"/>
          <w:sz w:val="24"/>
        </w:rPr>
        <w:t>注：附法定代表人身份证（正、反面）复印件</w:t>
      </w:r>
    </w:p>
    <w:p w14:paraId="24FBE608">
      <w:pPr>
        <w:spacing w:line="360" w:lineRule="auto"/>
        <w:rPr>
          <w:rFonts w:ascii="仿宋" w:hAnsi="仿宋" w:eastAsia="仿宋" w:cs="宋体"/>
          <w:color w:val="auto"/>
          <w:sz w:val="24"/>
        </w:rPr>
      </w:pPr>
    </w:p>
    <w:p w14:paraId="1D09D639">
      <w:pPr>
        <w:spacing w:line="360" w:lineRule="auto"/>
        <w:ind w:left="5508" w:leftChars="2280" w:hanging="720" w:hangingChars="300"/>
        <w:rPr>
          <w:rFonts w:ascii="仿宋" w:hAnsi="仿宋" w:eastAsia="仿宋" w:cs="宋体"/>
          <w:color w:val="auto"/>
          <w:sz w:val="24"/>
        </w:rPr>
      </w:pPr>
    </w:p>
    <w:p w14:paraId="6A78A48B">
      <w:pPr>
        <w:spacing w:line="360" w:lineRule="auto"/>
        <w:ind w:left="5508" w:leftChars="2280" w:hanging="720" w:hangingChars="300"/>
        <w:rPr>
          <w:rFonts w:ascii="仿宋" w:hAnsi="仿宋" w:eastAsia="仿宋" w:cs="宋体"/>
          <w:color w:val="auto"/>
          <w:sz w:val="24"/>
        </w:rPr>
      </w:pPr>
    </w:p>
    <w:p w14:paraId="5857C8F7">
      <w:pPr>
        <w:spacing w:line="360" w:lineRule="auto"/>
        <w:ind w:firstLine="2" w:firstLineChars="1"/>
        <w:rPr>
          <w:rFonts w:ascii="仿宋" w:hAnsi="仿宋" w:eastAsia="仿宋" w:cs="宋体"/>
          <w:color w:val="auto"/>
          <w:sz w:val="24"/>
          <w:szCs w:val="24"/>
        </w:rPr>
      </w:pPr>
      <w:bookmarkStart w:id="247" w:name="_Toc101690905"/>
      <w:bookmarkStart w:id="248" w:name="_Toc14997"/>
      <w:r>
        <w:rPr>
          <w:rFonts w:hint="eastAsia" w:ascii="仿宋" w:hAnsi="仿宋" w:eastAsia="仿宋" w:cs="宋体"/>
          <w:color w:val="auto"/>
          <w:sz w:val="24"/>
          <w:szCs w:val="24"/>
        </w:rPr>
        <w:t>供应商：</w:t>
      </w:r>
      <w:r>
        <w:rPr>
          <w:rFonts w:hint="eastAsia" w:ascii="仿宋" w:hAnsi="仿宋" w:eastAsia="仿宋" w:cs="宋体"/>
          <w:color w:val="auto"/>
          <w:sz w:val="24"/>
          <w:szCs w:val="24"/>
          <w:u w:val="single"/>
        </w:rPr>
        <w:t xml:space="preserve">                            </w:t>
      </w:r>
      <w:r>
        <w:rPr>
          <w:rFonts w:hint="eastAsia" w:ascii="仿宋" w:hAnsi="仿宋" w:eastAsia="仿宋" w:cs="宋体"/>
          <w:color w:val="auto"/>
          <w:sz w:val="24"/>
          <w:szCs w:val="24"/>
        </w:rPr>
        <w:t>（盖章）</w:t>
      </w:r>
    </w:p>
    <w:p w14:paraId="3915AADD">
      <w:pPr>
        <w:spacing w:line="360" w:lineRule="auto"/>
        <w:ind w:firstLine="2" w:firstLineChars="1"/>
        <w:rPr>
          <w:rFonts w:ascii="仿宋" w:hAnsi="仿宋" w:eastAsia="仿宋" w:cs="宋体"/>
          <w:color w:val="auto"/>
          <w:sz w:val="24"/>
          <w:szCs w:val="24"/>
          <w:u w:val="single"/>
        </w:rPr>
      </w:pPr>
      <w:r>
        <w:rPr>
          <w:rFonts w:hint="eastAsia" w:ascii="仿宋" w:hAnsi="仿宋" w:eastAsia="仿宋" w:cs="宋体"/>
          <w:color w:val="auto"/>
          <w:sz w:val="24"/>
        </w:rPr>
        <w:t>日期：</w:t>
      </w:r>
      <w:r>
        <w:rPr>
          <w:rFonts w:hint="eastAsia" w:ascii="仿宋" w:hAnsi="仿宋" w:eastAsia="仿宋" w:cs="宋体"/>
          <w:color w:val="auto"/>
          <w:sz w:val="24"/>
          <w:u w:val="single"/>
        </w:rPr>
        <w:t xml:space="preserve">        </w:t>
      </w:r>
      <w:r>
        <w:rPr>
          <w:rFonts w:hint="eastAsia" w:ascii="仿宋" w:hAnsi="仿宋" w:eastAsia="仿宋" w:cs="宋体"/>
          <w:color w:val="auto"/>
          <w:sz w:val="24"/>
        </w:rPr>
        <w:t>年</w:t>
      </w:r>
      <w:r>
        <w:rPr>
          <w:rFonts w:hint="eastAsia" w:ascii="仿宋" w:hAnsi="仿宋" w:eastAsia="仿宋" w:cs="宋体"/>
          <w:color w:val="auto"/>
          <w:sz w:val="24"/>
          <w:u w:val="single"/>
        </w:rPr>
        <w:t xml:space="preserve">       </w:t>
      </w:r>
      <w:r>
        <w:rPr>
          <w:rFonts w:hint="eastAsia" w:ascii="仿宋" w:hAnsi="仿宋" w:eastAsia="仿宋" w:cs="宋体"/>
          <w:color w:val="auto"/>
          <w:sz w:val="24"/>
        </w:rPr>
        <w:t>月</w:t>
      </w:r>
      <w:r>
        <w:rPr>
          <w:rFonts w:hint="eastAsia" w:ascii="仿宋" w:hAnsi="仿宋" w:eastAsia="仿宋" w:cs="宋体"/>
          <w:color w:val="auto"/>
          <w:sz w:val="24"/>
          <w:u w:val="single"/>
        </w:rPr>
        <w:t xml:space="preserve">       </w:t>
      </w:r>
      <w:r>
        <w:rPr>
          <w:rFonts w:hint="eastAsia" w:ascii="仿宋" w:hAnsi="仿宋" w:eastAsia="仿宋" w:cs="宋体"/>
          <w:color w:val="auto"/>
          <w:sz w:val="24"/>
        </w:rPr>
        <w:t>日</w:t>
      </w:r>
    </w:p>
    <w:p w14:paraId="2B0FB739">
      <w:pPr>
        <w:spacing w:line="360" w:lineRule="auto"/>
        <w:jc w:val="center"/>
        <w:outlineLvl w:val="1"/>
        <w:rPr>
          <w:rFonts w:ascii="仿宋" w:hAnsi="仿宋" w:eastAsia="仿宋" w:cs="宋体"/>
          <w:b/>
          <w:color w:val="auto"/>
          <w:sz w:val="30"/>
          <w:szCs w:val="30"/>
        </w:rPr>
      </w:pPr>
      <w:r>
        <w:rPr>
          <w:rFonts w:ascii="仿宋" w:hAnsi="仿宋" w:eastAsia="仿宋" w:cs="宋体"/>
          <w:b/>
          <w:color w:val="auto"/>
          <w:sz w:val="30"/>
          <w:szCs w:val="30"/>
        </w:rPr>
        <w:br w:type="page"/>
      </w:r>
      <w:bookmarkStart w:id="249" w:name="_Toc232004932"/>
      <w:r>
        <w:rPr>
          <w:rFonts w:hint="eastAsia" w:ascii="仿宋" w:hAnsi="仿宋" w:eastAsia="仿宋" w:cs="宋体"/>
          <w:b/>
          <w:color w:val="auto"/>
          <w:sz w:val="30"/>
          <w:szCs w:val="30"/>
        </w:rPr>
        <w:t>三、法定代表人授权委托书</w:t>
      </w:r>
      <w:bookmarkEnd w:id="247"/>
      <w:bookmarkEnd w:id="248"/>
      <w:bookmarkEnd w:id="249"/>
    </w:p>
    <w:p w14:paraId="3E4C6C57">
      <w:pPr>
        <w:rPr>
          <w:rFonts w:ascii="仿宋" w:hAnsi="仿宋" w:eastAsia="仿宋"/>
          <w:color w:val="auto"/>
        </w:rPr>
      </w:pPr>
    </w:p>
    <w:p w14:paraId="2206A3E6">
      <w:pPr>
        <w:spacing w:line="360" w:lineRule="auto"/>
        <w:ind w:firstLine="720" w:firstLineChars="300"/>
        <w:rPr>
          <w:rFonts w:ascii="仿宋" w:hAnsi="仿宋" w:eastAsia="仿宋" w:cs="宋体"/>
          <w:color w:val="auto"/>
          <w:sz w:val="24"/>
        </w:rPr>
      </w:pPr>
      <w:r>
        <w:rPr>
          <w:rFonts w:hint="eastAsia" w:ascii="仿宋" w:hAnsi="仿宋" w:eastAsia="仿宋" w:cs="宋体"/>
          <w:color w:val="auto"/>
          <w:sz w:val="24"/>
        </w:rPr>
        <w:t>本人</w:t>
      </w:r>
      <w:r>
        <w:rPr>
          <w:rFonts w:hint="eastAsia" w:ascii="仿宋" w:hAnsi="仿宋" w:eastAsia="仿宋" w:cs="宋体"/>
          <w:color w:val="auto"/>
          <w:sz w:val="24"/>
          <w:u w:val="single"/>
        </w:rPr>
        <w:t xml:space="preserve">      </w:t>
      </w:r>
      <w:r>
        <w:rPr>
          <w:rFonts w:hint="eastAsia" w:ascii="仿宋" w:hAnsi="仿宋" w:eastAsia="仿宋" w:cs="宋体"/>
          <w:color w:val="auto"/>
          <w:sz w:val="24"/>
        </w:rPr>
        <w:t>（姓名）系</w:t>
      </w:r>
      <w:r>
        <w:rPr>
          <w:rFonts w:hint="eastAsia" w:ascii="仿宋" w:hAnsi="仿宋" w:eastAsia="仿宋" w:cs="宋体"/>
          <w:color w:val="auto"/>
          <w:sz w:val="24"/>
          <w:u w:val="single"/>
        </w:rPr>
        <w:t xml:space="preserve">          </w:t>
      </w:r>
      <w:r>
        <w:rPr>
          <w:rFonts w:hint="eastAsia" w:ascii="仿宋" w:hAnsi="仿宋" w:eastAsia="仿宋" w:cs="宋体"/>
          <w:color w:val="auto"/>
          <w:sz w:val="24"/>
        </w:rPr>
        <w:t>（供应商名称）的法定代表人，现委托</w:t>
      </w:r>
      <w:r>
        <w:rPr>
          <w:rFonts w:hint="eastAsia" w:ascii="仿宋" w:hAnsi="仿宋" w:eastAsia="仿宋" w:cs="宋体"/>
          <w:color w:val="auto"/>
          <w:sz w:val="24"/>
          <w:u w:val="single"/>
        </w:rPr>
        <w:t xml:space="preserve">     </w:t>
      </w:r>
      <w:r>
        <w:rPr>
          <w:rFonts w:hint="eastAsia" w:ascii="仿宋" w:hAnsi="仿宋" w:eastAsia="仿宋" w:cs="宋体"/>
          <w:color w:val="auto"/>
          <w:sz w:val="24"/>
        </w:rPr>
        <w:t>（姓名）为我方代理人。代理人根据授权，以我方名义签署、澄清、说明、补正、递交、撤回、修改</w:t>
      </w:r>
      <w:r>
        <w:rPr>
          <w:rFonts w:hint="eastAsia" w:ascii="仿宋" w:hAnsi="仿宋" w:eastAsia="仿宋" w:cs="宋体"/>
          <w:b/>
          <w:color w:val="auto"/>
          <w:sz w:val="24"/>
          <w:u w:val="single"/>
        </w:rPr>
        <w:t>石林彝族自治县自然资源局购买破坏耕地司法鉴定服务</w:t>
      </w:r>
      <w:r>
        <w:rPr>
          <w:rFonts w:hint="eastAsia" w:ascii="仿宋" w:hAnsi="仿宋" w:eastAsia="仿宋" w:cs="宋体"/>
          <w:color w:val="auto"/>
          <w:sz w:val="24"/>
        </w:rPr>
        <w:t>（项目名称）响应文件、签订合同和处理有关事宜，其法律后果由我方承担。</w:t>
      </w:r>
    </w:p>
    <w:p w14:paraId="1C17034A">
      <w:pPr>
        <w:spacing w:line="360" w:lineRule="auto"/>
        <w:ind w:firstLine="480" w:firstLineChars="200"/>
        <w:rPr>
          <w:rFonts w:ascii="仿宋" w:hAnsi="仿宋" w:eastAsia="仿宋" w:cs="宋体"/>
          <w:color w:val="auto"/>
          <w:sz w:val="24"/>
        </w:rPr>
      </w:pPr>
    </w:p>
    <w:p w14:paraId="3BFBA9BC">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委托期限：</w:t>
      </w:r>
      <w:r>
        <w:rPr>
          <w:rFonts w:hint="eastAsia" w:ascii="仿宋" w:hAnsi="仿宋" w:eastAsia="仿宋" w:cs="宋体"/>
          <w:color w:val="auto"/>
          <w:sz w:val="24"/>
          <w:u w:val="single"/>
        </w:rPr>
        <w:t xml:space="preserve">   </w:t>
      </w:r>
    </w:p>
    <w:p w14:paraId="2CE3C0A1">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代理人无转委托权。</w:t>
      </w:r>
    </w:p>
    <w:p w14:paraId="41AC1D91">
      <w:pPr>
        <w:spacing w:line="360" w:lineRule="auto"/>
        <w:ind w:firstLine="480" w:firstLineChars="200"/>
        <w:rPr>
          <w:rFonts w:ascii="仿宋" w:hAnsi="仿宋" w:eastAsia="仿宋" w:cs="宋体"/>
          <w:color w:val="auto"/>
          <w:sz w:val="24"/>
        </w:rPr>
      </w:pPr>
    </w:p>
    <w:p w14:paraId="58B99C29">
      <w:pPr>
        <w:spacing w:line="360" w:lineRule="auto"/>
        <w:ind w:firstLine="482" w:firstLineChars="200"/>
        <w:rPr>
          <w:rFonts w:ascii="仿宋" w:hAnsi="仿宋" w:eastAsia="仿宋" w:cs="宋体"/>
          <w:b/>
          <w:color w:val="auto"/>
          <w:sz w:val="24"/>
        </w:rPr>
      </w:pPr>
      <w:r>
        <w:rPr>
          <w:rFonts w:hint="eastAsia" w:ascii="仿宋" w:hAnsi="仿宋" w:eastAsia="仿宋" w:cs="宋体"/>
          <w:b/>
          <w:color w:val="auto"/>
          <w:sz w:val="24"/>
        </w:rPr>
        <w:t>附：授权委托代理人身份证（正、反面）复印件</w:t>
      </w:r>
      <w:r>
        <w:rPr>
          <w:rFonts w:hint="eastAsia" w:ascii="仿宋" w:hAnsi="仿宋" w:eastAsia="仿宋"/>
          <w:b/>
          <w:snapToGrid w:val="0"/>
          <w:color w:val="auto"/>
          <w:sz w:val="22"/>
        </w:rPr>
        <w:t>。</w:t>
      </w:r>
    </w:p>
    <w:p w14:paraId="695DF727">
      <w:pPr>
        <w:spacing w:line="360" w:lineRule="auto"/>
        <w:rPr>
          <w:rFonts w:ascii="仿宋" w:hAnsi="仿宋" w:eastAsia="仿宋" w:cs="宋体"/>
          <w:color w:val="auto"/>
          <w:sz w:val="24"/>
        </w:rPr>
      </w:pPr>
    </w:p>
    <w:p w14:paraId="00566287">
      <w:pPr>
        <w:spacing w:line="360" w:lineRule="auto"/>
        <w:rPr>
          <w:rFonts w:ascii="仿宋" w:hAnsi="仿宋" w:eastAsia="仿宋" w:cs="宋体"/>
          <w:color w:val="auto"/>
          <w:sz w:val="24"/>
        </w:rPr>
      </w:pPr>
    </w:p>
    <w:p w14:paraId="0F50E139">
      <w:pPr>
        <w:spacing w:line="360" w:lineRule="auto"/>
        <w:ind w:left="420" w:firstLine="420"/>
        <w:rPr>
          <w:rFonts w:ascii="仿宋" w:hAnsi="仿宋" w:eastAsia="仿宋" w:cs="宋体"/>
          <w:color w:val="auto"/>
          <w:sz w:val="24"/>
        </w:rPr>
      </w:pPr>
      <w:r>
        <w:rPr>
          <w:rFonts w:hint="eastAsia" w:ascii="仿宋" w:hAnsi="仿宋" w:eastAsia="仿宋" w:cs="宋体"/>
          <w:color w:val="auto"/>
          <w:sz w:val="24"/>
        </w:rPr>
        <w:t>供应商：</w:t>
      </w:r>
      <w:r>
        <w:rPr>
          <w:rFonts w:hint="eastAsia" w:ascii="仿宋" w:hAnsi="仿宋" w:eastAsia="仿宋" w:cs="宋体"/>
          <w:color w:val="auto"/>
          <w:sz w:val="24"/>
          <w:u w:val="single"/>
        </w:rPr>
        <w:t xml:space="preserve">                          </w:t>
      </w:r>
      <w:r>
        <w:rPr>
          <w:rFonts w:hint="eastAsia" w:ascii="仿宋" w:hAnsi="仿宋" w:eastAsia="仿宋" w:cs="宋体"/>
          <w:color w:val="auto"/>
          <w:sz w:val="24"/>
        </w:rPr>
        <w:t>（盖章）</w:t>
      </w:r>
    </w:p>
    <w:p w14:paraId="733D82A0">
      <w:pPr>
        <w:spacing w:line="360" w:lineRule="auto"/>
        <w:ind w:left="420" w:firstLine="420"/>
        <w:rPr>
          <w:rFonts w:ascii="仿宋" w:hAnsi="仿宋" w:eastAsia="仿宋" w:cs="宋体"/>
          <w:color w:val="auto"/>
          <w:sz w:val="24"/>
        </w:rPr>
      </w:pPr>
      <w:r>
        <w:rPr>
          <w:rFonts w:hint="eastAsia" w:ascii="仿宋" w:hAnsi="仿宋" w:eastAsia="仿宋"/>
          <w:color w:val="auto"/>
          <w:sz w:val="24"/>
          <w:szCs w:val="24"/>
        </w:rPr>
        <w:t>法定代表人：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14:paraId="7E2C23D9">
      <w:pPr>
        <w:spacing w:line="360" w:lineRule="auto"/>
        <w:ind w:left="420" w:firstLine="420"/>
        <w:rPr>
          <w:rFonts w:ascii="仿宋" w:hAnsi="仿宋" w:eastAsia="仿宋" w:cs="宋体"/>
          <w:color w:val="auto"/>
          <w:sz w:val="24"/>
        </w:rPr>
      </w:pPr>
      <w:r>
        <w:rPr>
          <w:rFonts w:hint="eastAsia" w:ascii="仿宋" w:hAnsi="仿宋" w:eastAsia="仿宋" w:cs="宋体"/>
          <w:color w:val="auto"/>
          <w:sz w:val="24"/>
        </w:rPr>
        <w:t>身份证号码：</w:t>
      </w:r>
      <w:r>
        <w:rPr>
          <w:rFonts w:hint="eastAsia" w:ascii="仿宋" w:hAnsi="仿宋" w:eastAsia="仿宋" w:cs="宋体"/>
          <w:color w:val="auto"/>
          <w:sz w:val="24"/>
          <w:u w:val="single"/>
        </w:rPr>
        <w:t xml:space="preserve">                          。</w:t>
      </w:r>
    </w:p>
    <w:p w14:paraId="5C09A0B0">
      <w:pPr>
        <w:spacing w:line="360" w:lineRule="auto"/>
        <w:ind w:left="420" w:firstLine="420"/>
        <w:rPr>
          <w:rFonts w:ascii="仿宋" w:hAnsi="仿宋" w:eastAsia="仿宋" w:cs="宋体"/>
          <w:color w:val="auto"/>
          <w:sz w:val="24"/>
        </w:rPr>
      </w:pPr>
      <w:r>
        <w:rPr>
          <w:rFonts w:hint="eastAsia" w:ascii="仿宋" w:hAnsi="仿宋" w:eastAsia="仿宋" w:cs="宋体"/>
          <w:color w:val="auto"/>
          <w:sz w:val="24"/>
        </w:rPr>
        <w:t>委托代理人：</w:t>
      </w:r>
      <w:r>
        <w:rPr>
          <w:rFonts w:hint="eastAsia" w:ascii="仿宋" w:hAnsi="仿宋" w:eastAsia="仿宋" w:cs="宋体"/>
          <w:color w:val="auto"/>
          <w:sz w:val="24"/>
          <w:u w:val="single"/>
        </w:rPr>
        <w:t xml:space="preserve">                          。</w:t>
      </w:r>
    </w:p>
    <w:p w14:paraId="65686CE8">
      <w:pPr>
        <w:spacing w:line="360" w:lineRule="auto"/>
        <w:ind w:left="420" w:firstLine="420"/>
        <w:rPr>
          <w:rFonts w:ascii="仿宋" w:hAnsi="仿宋" w:eastAsia="仿宋" w:cs="宋体"/>
          <w:color w:val="auto"/>
          <w:sz w:val="24"/>
        </w:rPr>
      </w:pPr>
      <w:r>
        <w:rPr>
          <w:rFonts w:hint="eastAsia" w:ascii="仿宋" w:hAnsi="仿宋" w:eastAsia="仿宋" w:cs="宋体"/>
          <w:color w:val="auto"/>
          <w:sz w:val="24"/>
        </w:rPr>
        <w:t>身份证号码：</w:t>
      </w:r>
      <w:r>
        <w:rPr>
          <w:rFonts w:hint="eastAsia" w:ascii="仿宋" w:hAnsi="仿宋" w:eastAsia="仿宋" w:cs="宋体"/>
          <w:color w:val="auto"/>
          <w:sz w:val="24"/>
          <w:u w:val="single"/>
        </w:rPr>
        <w:t xml:space="preserve">                          。</w:t>
      </w:r>
    </w:p>
    <w:p w14:paraId="7182E840">
      <w:pPr>
        <w:spacing w:line="360" w:lineRule="auto"/>
        <w:ind w:firstLine="720" w:firstLineChars="300"/>
        <w:rPr>
          <w:rFonts w:ascii="仿宋" w:hAnsi="仿宋" w:eastAsia="仿宋" w:cs="宋体"/>
          <w:color w:val="auto"/>
          <w:sz w:val="24"/>
        </w:rPr>
      </w:pPr>
      <w:r>
        <w:rPr>
          <w:rFonts w:hint="eastAsia" w:ascii="仿宋" w:hAnsi="仿宋" w:eastAsia="仿宋" w:cs="宋体"/>
          <w:color w:val="auto"/>
          <w:sz w:val="24"/>
        </w:rPr>
        <w:t xml:space="preserve"> 日      期：</w:t>
      </w:r>
      <w:r>
        <w:rPr>
          <w:rFonts w:hint="eastAsia" w:ascii="仿宋" w:hAnsi="仿宋" w:eastAsia="仿宋" w:cs="宋体"/>
          <w:color w:val="auto"/>
          <w:sz w:val="24"/>
          <w:u w:val="single"/>
        </w:rPr>
        <w:t xml:space="preserve">       </w:t>
      </w:r>
      <w:r>
        <w:rPr>
          <w:rFonts w:hint="eastAsia" w:ascii="仿宋" w:hAnsi="仿宋" w:eastAsia="仿宋" w:cs="宋体"/>
          <w:color w:val="auto"/>
          <w:sz w:val="24"/>
        </w:rPr>
        <w:t>年</w:t>
      </w:r>
      <w:r>
        <w:rPr>
          <w:rFonts w:hint="eastAsia" w:ascii="仿宋" w:hAnsi="仿宋" w:eastAsia="仿宋" w:cs="宋体"/>
          <w:color w:val="auto"/>
          <w:sz w:val="24"/>
          <w:u w:val="single"/>
        </w:rPr>
        <w:t xml:space="preserve">    </w:t>
      </w:r>
      <w:r>
        <w:rPr>
          <w:rFonts w:hint="eastAsia" w:ascii="仿宋" w:hAnsi="仿宋" w:eastAsia="仿宋" w:cs="宋体"/>
          <w:color w:val="auto"/>
          <w:sz w:val="24"/>
        </w:rPr>
        <w:t>月</w:t>
      </w:r>
      <w:r>
        <w:rPr>
          <w:rFonts w:hint="eastAsia" w:ascii="仿宋" w:hAnsi="仿宋" w:eastAsia="仿宋" w:cs="宋体"/>
          <w:color w:val="auto"/>
          <w:sz w:val="24"/>
          <w:u w:val="single"/>
        </w:rPr>
        <w:t xml:space="preserve">    </w:t>
      </w:r>
      <w:r>
        <w:rPr>
          <w:rFonts w:hint="eastAsia" w:ascii="仿宋" w:hAnsi="仿宋" w:eastAsia="仿宋" w:cs="宋体"/>
          <w:color w:val="auto"/>
          <w:sz w:val="24"/>
        </w:rPr>
        <w:t>日</w:t>
      </w:r>
    </w:p>
    <w:p w14:paraId="693E8741">
      <w:pPr>
        <w:spacing w:line="360" w:lineRule="auto"/>
        <w:jc w:val="left"/>
        <w:rPr>
          <w:rFonts w:ascii="仿宋" w:hAnsi="仿宋" w:eastAsia="仿宋" w:cs="宋体"/>
          <w:b/>
          <w:color w:val="auto"/>
          <w:sz w:val="24"/>
        </w:rPr>
      </w:pPr>
    </w:p>
    <w:p w14:paraId="3531D57A">
      <w:pPr>
        <w:spacing w:line="360" w:lineRule="auto"/>
        <w:jc w:val="left"/>
        <w:rPr>
          <w:rFonts w:ascii="仿宋" w:hAnsi="仿宋" w:eastAsia="仿宋" w:cs="宋体"/>
          <w:b/>
          <w:color w:val="auto"/>
          <w:sz w:val="24"/>
        </w:rPr>
      </w:pPr>
    </w:p>
    <w:p w14:paraId="3D5BA1B6">
      <w:pPr>
        <w:spacing w:line="360" w:lineRule="auto"/>
        <w:jc w:val="left"/>
        <w:rPr>
          <w:rFonts w:ascii="仿宋" w:hAnsi="仿宋" w:eastAsia="仿宋" w:cs="宋体"/>
          <w:b/>
          <w:color w:val="auto"/>
          <w:sz w:val="24"/>
        </w:rPr>
      </w:pPr>
    </w:p>
    <w:p w14:paraId="5D379D2F">
      <w:pPr>
        <w:spacing w:line="360" w:lineRule="auto"/>
        <w:jc w:val="left"/>
        <w:rPr>
          <w:rFonts w:ascii="仿宋" w:hAnsi="仿宋" w:eastAsia="仿宋" w:cs="宋体"/>
          <w:b/>
          <w:color w:val="auto"/>
          <w:sz w:val="24"/>
        </w:rPr>
      </w:pPr>
    </w:p>
    <w:p w14:paraId="4FE3F992">
      <w:pPr>
        <w:spacing w:line="360" w:lineRule="auto"/>
        <w:jc w:val="left"/>
        <w:rPr>
          <w:rFonts w:ascii="仿宋" w:hAnsi="仿宋" w:eastAsia="仿宋" w:cs="宋体"/>
          <w:b/>
          <w:color w:val="auto"/>
          <w:sz w:val="24"/>
        </w:rPr>
      </w:pPr>
    </w:p>
    <w:p w14:paraId="7CFFBA52">
      <w:pPr>
        <w:spacing w:line="360" w:lineRule="auto"/>
        <w:jc w:val="left"/>
        <w:rPr>
          <w:rFonts w:ascii="仿宋" w:hAnsi="仿宋" w:eastAsia="仿宋" w:cs="宋体"/>
          <w:b/>
          <w:color w:val="auto"/>
          <w:sz w:val="24"/>
        </w:rPr>
      </w:pPr>
    </w:p>
    <w:p w14:paraId="6DF87520">
      <w:pPr>
        <w:spacing w:line="360" w:lineRule="auto"/>
        <w:jc w:val="left"/>
        <w:rPr>
          <w:rFonts w:ascii="仿宋" w:hAnsi="仿宋" w:eastAsia="仿宋" w:cs="宋体"/>
          <w:b/>
          <w:color w:val="auto"/>
          <w:sz w:val="24"/>
        </w:rPr>
      </w:pPr>
    </w:p>
    <w:p w14:paraId="5C5D3452">
      <w:pPr>
        <w:spacing w:line="360" w:lineRule="auto"/>
        <w:jc w:val="left"/>
        <w:rPr>
          <w:rFonts w:ascii="仿宋" w:hAnsi="仿宋" w:eastAsia="仿宋" w:cs="宋体"/>
          <w:b/>
          <w:color w:val="auto"/>
          <w:sz w:val="24"/>
        </w:rPr>
      </w:pPr>
    </w:p>
    <w:p w14:paraId="0FD10ABA">
      <w:pPr>
        <w:spacing w:line="360" w:lineRule="auto"/>
        <w:jc w:val="left"/>
        <w:rPr>
          <w:rFonts w:ascii="仿宋" w:hAnsi="仿宋" w:eastAsia="仿宋" w:cs="宋体"/>
          <w:b/>
          <w:color w:val="auto"/>
          <w:sz w:val="24"/>
        </w:rPr>
      </w:pPr>
    </w:p>
    <w:p w14:paraId="56F9001F">
      <w:pPr>
        <w:spacing w:line="360" w:lineRule="auto"/>
        <w:jc w:val="left"/>
        <w:rPr>
          <w:rFonts w:ascii="仿宋" w:hAnsi="仿宋" w:eastAsia="仿宋" w:cs="宋体"/>
          <w:b/>
          <w:color w:val="auto"/>
          <w:sz w:val="24"/>
        </w:rPr>
      </w:pPr>
    </w:p>
    <w:p w14:paraId="2101CAC9">
      <w:pPr>
        <w:spacing w:line="360" w:lineRule="auto"/>
        <w:jc w:val="left"/>
        <w:rPr>
          <w:rFonts w:ascii="仿宋" w:hAnsi="仿宋" w:eastAsia="仿宋" w:cs="宋体"/>
          <w:b/>
          <w:color w:val="auto"/>
          <w:sz w:val="24"/>
        </w:rPr>
      </w:pPr>
    </w:p>
    <w:p w14:paraId="528036F9">
      <w:pPr>
        <w:spacing w:line="360" w:lineRule="auto"/>
        <w:jc w:val="center"/>
        <w:outlineLvl w:val="1"/>
        <w:rPr>
          <w:rFonts w:ascii="仿宋" w:hAnsi="仿宋" w:eastAsia="仿宋" w:cs="宋体"/>
          <w:b/>
          <w:color w:val="auto"/>
          <w:sz w:val="30"/>
          <w:szCs w:val="30"/>
        </w:rPr>
      </w:pPr>
      <w:bookmarkStart w:id="250" w:name="_Toc232004933"/>
      <w:r>
        <w:rPr>
          <w:rFonts w:hint="eastAsia" w:ascii="仿宋" w:hAnsi="仿宋" w:eastAsia="仿宋" w:cs="宋体"/>
          <w:b/>
          <w:color w:val="auto"/>
          <w:sz w:val="30"/>
          <w:szCs w:val="30"/>
        </w:rPr>
        <w:t>四、响应函</w:t>
      </w:r>
      <w:bookmarkEnd w:id="250"/>
    </w:p>
    <w:p w14:paraId="7342E540">
      <w:pPr>
        <w:spacing w:line="360" w:lineRule="auto"/>
        <w:rPr>
          <w:rFonts w:ascii="仿宋" w:hAnsi="仿宋" w:eastAsia="仿宋" w:cs="宋体"/>
          <w:color w:val="auto"/>
          <w:sz w:val="24"/>
          <w:szCs w:val="24"/>
          <w:u w:val="single"/>
        </w:rPr>
      </w:pPr>
      <w:r>
        <w:rPr>
          <w:rFonts w:hint="eastAsia" w:ascii="仿宋" w:hAnsi="仿宋" w:eastAsia="仿宋" w:cs="宋体"/>
          <w:color w:val="auto"/>
          <w:sz w:val="24"/>
          <w:szCs w:val="24"/>
        </w:rPr>
        <w:t>致：</w:t>
      </w:r>
      <w:r>
        <w:rPr>
          <w:rFonts w:hint="eastAsia" w:ascii="仿宋" w:hAnsi="仿宋" w:eastAsia="仿宋" w:cs="宋体"/>
          <w:bCs/>
          <w:color w:val="auto"/>
          <w:sz w:val="24"/>
          <w:szCs w:val="24"/>
          <w:u w:val="single"/>
        </w:rPr>
        <w:t xml:space="preserve">                  （采购人）</w:t>
      </w:r>
    </w:p>
    <w:p w14:paraId="69CDD986">
      <w:pPr>
        <w:spacing w:line="360" w:lineRule="auto"/>
        <w:ind w:firstLine="480" w:firstLineChars="200"/>
        <w:rPr>
          <w:rFonts w:ascii="仿宋" w:hAnsi="仿宋" w:eastAsia="仿宋" w:cs="宋体"/>
          <w:color w:val="auto"/>
          <w:sz w:val="24"/>
          <w:szCs w:val="24"/>
          <w:u w:val="single"/>
        </w:rPr>
      </w:pPr>
      <w:r>
        <w:rPr>
          <w:rFonts w:hint="eastAsia" w:ascii="仿宋" w:hAnsi="仿宋" w:eastAsia="仿宋" w:cs="宋体"/>
          <w:color w:val="auto"/>
          <w:sz w:val="24"/>
          <w:szCs w:val="24"/>
        </w:rPr>
        <w:t>根据贵方</w:t>
      </w:r>
      <w:r>
        <w:rPr>
          <w:rFonts w:hint="eastAsia" w:ascii="仿宋" w:hAnsi="仿宋" w:eastAsia="仿宋" w:cs="宋体"/>
          <w:b/>
          <w:color w:val="auto"/>
          <w:sz w:val="24"/>
          <w:szCs w:val="24"/>
          <w:u w:val="single"/>
        </w:rPr>
        <w:t>石林彝族自治县自然资源局购买破坏耕地司法鉴定服务</w:t>
      </w:r>
      <w:r>
        <w:rPr>
          <w:rFonts w:hint="eastAsia" w:ascii="仿宋" w:hAnsi="仿宋" w:eastAsia="仿宋" w:cs="宋体"/>
          <w:color w:val="auto"/>
          <w:sz w:val="24"/>
          <w:szCs w:val="24"/>
        </w:rPr>
        <w:t>的竞争性磋商公告，签字代表</w:t>
      </w:r>
      <w:r>
        <w:rPr>
          <w:rFonts w:hint="eastAsia" w:ascii="仿宋" w:hAnsi="仿宋" w:eastAsia="仿宋" w:cs="宋体"/>
          <w:color w:val="auto"/>
          <w:sz w:val="24"/>
          <w:szCs w:val="24"/>
          <w:u w:val="single"/>
        </w:rPr>
        <w:t>（姓名、职务）</w:t>
      </w:r>
      <w:r>
        <w:rPr>
          <w:rFonts w:hint="eastAsia" w:ascii="仿宋" w:hAnsi="仿宋" w:eastAsia="仿宋" w:cs="宋体"/>
          <w:color w:val="auto"/>
          <w:sz w:val="24"/>
          <w:szCs w:val="24"/>
        </w:rPr>
        <w:t>经正式授权并代表供应商</w:t>
      </w:r>
      <w:r>
        <w:rPr>
          <w:rFonts w:hint="eastAsia" w:ascii="仿宋" w:hAnsi="仿宋" w:eastAsia="仿宋" w:cs="宋体"/>
          <w:color w:val="auto"/>
          <w:sz w:val="24"/>
          <w:szCs w:val="24"/>
          <w:u w:val="single"/>
        </w:rPr>
        <w:t>（供应商名称）</w:t>
      </w:r>
      <w:r>
        <w:rPr>
          <w:rFonts w:hint="eastAsia" w:ascii="仿宋" w:hAnsi="仿宋" w:eastAsia="仿宋" w:cs="宋体"/>
          <w:color w:val="auto"/>
          <w:sz w:val="24"/>
          <w:szCs w:val="24"/>
        </w:rPr>
        <w:t>提交：</w:t>
      </w:r>
    </w:p>
    <w:p w14:paraId="1B3C2EBF">
      <w:pPr>
        <w:adjustRightInd w:val="0"/>
        <w:snapToGrid w:val="0"/>
        <w:spacing w:line="360" w:lineRule="auto"/>
        <w:rPr>
          <w:rFonts w:ascii="仿宋" w:hAnsi="仿宋" w:eastAsia="仿宋" w:cs="宋体"/>
          <w:b/>
          <w:color w:val="auto"/>
          <w:sz w:val="24"/>
          <w:szCs w:val="24"/>
        </w:rPr>
      </w:pPr>
      <w:r>
        <w:rPr>
          <w:rFonts w:hint="eastAsia" w:ascii="仿宋" w:hAnsi="仿宋" w:eastAsia="仿宋" w:cs="宋体"/>
          <w:b/>
          <w:color w:val="auto"/>
          <w:sz w:val="24"/>
          <w:szCs w:val="24"/>
        </w:rPr>
        <w:t>竞争性磋商文件有要求或供应商认为有必要提供的下述资料：</w:t>
      </w:r>
    </w:p>
    <w:p w14:paraId="7E654D1D">
      <w:pPr>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按竞争性磋商文件供应商须知和技术规格要求提供的其它有关文件和证明资料。</w:t>
      </w:r>
    </w:p>
    <w:p w14:paraId="466822FD">
      <w:pPr>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据此函，授权代表宣布同意如下：</w:t>
      </w:r>
    </w:p>
    <w:p w14:paraId="37BB23BA">
      <w:pPr>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1、合同履行期限：</w:t>
      </w:r>
      <w:r>
        <w:rPr>
          <w:rFonts w:hint="eastAsia" w:ascii="仿宋" w:hAnsi="仿宋" w:eastAsia="仿宋" w:cs="宋体"/>
          <w:color w:val="auto"/>
          <w:sz w:val="24"/>
          <w:szCs w:val="24"/>
          <w:u w:val="single"/>
        </w:rPr>
        <w:t>自合同签订之日起1年（或合同执行金额达到本项目预算金额止），单项案件司法鉴定意见出具时限须满足采购人要求。</w:t>
      </w:r>
    </w:p>
    <w:p w14:paraId="2AE44C44">
      <w:pPr>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2、供应商将按竞争性磋商文件的规定履行合同责任和义务。</w:t>
      </w:r>
    </w:p>
    <w:p w14:paraId="09B48AF3">
      <w:pPr>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3、供应商完全响应竞争性磋商文件的付款方法和条件。</w:t>
      </w:r>
    </w:p>
    <w:p w14:paraId="1D21D667">
      <w:pPr>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4、供应商已详细审查全部竞争性磋商文件，包括编号、补遗书等（如有）。我们完全理解并同意放弃对这方面有不明及误解的权力。</w:t>
      </w:r>
    </w:p>
    <w:p w14:paraId="7335C541">
      <w:pPr>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5、本响应有效期为响应文件递交截止日起9</w:t>
      </w:r>
      <w:r>
        <w:rPr>
          <w:rFonts w:ascii="仿宋" w:hAnsi="仿宋" w:eastAsia="仿宋" w:cs="宋体"/>
          <w:color w:val="auto"/>
          <w:sz w:val="24"/>
          <w:szCs w:val="24"/>
        </w:rPr>
        <w:t>0</w:t>
      </w:r>
      <w:r>
        <w:rPr>
          <w:rFonts w:hint="eastAsia" w:ascii="仿宋" w:hAnsi="仿宋" w:eastAsia="仿宋" w:cs="宋体"/>
          <w:color w:val="auto"/>
          <w:sz w:val="24"/>
          <w:szCs w:val="24"/>
        </w:rPr>
        <w:t>日历天。</w:t>
      </w:r>
    </w:p>
    <w:p w14:paraId="332CA1D2">
      <w:pPr>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6、供应商同意提供按照贵方可能要求的与其响应有关的一切数据或资料。</w:t>
      </w:r>
    </w:p>
    <w:p w14:paraId="41B11E77">
      <w:pPr>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7、与本响应有关的一切正式往来信函请按下面的联系方式寄送：</w:t>
      </w:r>
    </w:p>
    <w:p w14:paraId="5C573379">
      <w:pPr>
        <w:spacing w:line="360" w:lineRule="auto"/>
        <w:ind w:firstLine="840"/>
        <w:rPr>
          <w:rFonts w:ascii="仿宋" w:hAnsi="仿宋" w:eastAsia="仿宋" w:cs="宋体"/>
          <w:color w:val="auto"/>
          <w:sz w:val="24"/>
          <w:szCs w:val="24"/>
        </w:rPr>
      </w:pPr>
      <w:r>
        <w:rPr>
          <w:rFonts w:hint="eastAsia" w:ascii="仿宋" w:hAnsi="仿宋" w:eastAsia="仿宋" w:cs="宋体"/>
          <w:color w:val="auto"/>
          <w:sz w:val="24"/>
          <w:szCs w:val="24"/>
        </w:rPr>
        <w:t>电话：                       传真：</w:t>
      </w:r>
      <w:r>
        <w:rPr>
          <w:rFonts w:hint="eastAsia" w:ascii="仿宋" w:hAnsi="仿宋" w:eastAsia="仿宋" w:cs="宋体"/>
          <w:color w:val="auto"/>
          <w:sz w:val="24"/>
          <w:szCs w:val="24"/>
          <w:u w:val="single"/>
        </w:rPr>
        <w:t xml:space="preserve">   </w:t>
      </w:r>
    </w:p>
    <w:p w14:paraId="1FE8B6E1">
      <w:pPr>
        <w:spacing w:line="360" w:lineRule="auto"/>
        <w:ind w:firstLine="796" w:firstLineChars="332"/>
        <w:rPr>
          <w:rFonts w:ascii="仿宋" w:hAnsi="仿宋" w:eastAsia="仿宋" w:cs="宋体"/>
          <w:color w:val="auto"/>
          <w:sz w:val="24"/>
          <w:szCs w:val="24"/>
        </w:rPr>
      </w:pPr>
      <w:r>
        <w:rPr>
          <w:rFonts w:hint="eastAsia" w:ascii="仿宋" w:hAnsi="仿宋" w:eastAsia="仿宋" w:cs="宋体"/>
          <w:color w:val="auto"/>
          <w:sz w:val="24"/>
          <w:szCs w:val="24"/>
        </w:rPr>
        <w:t>电子邮件：</w:t>
      </w:r>
    </w:p>
    <w:p w14:paraId="25252749">
      <w:pPr>
        <w:spacing w:line="360" w:lineRule="auto"/>
        <w:ind w:firstLine="796" w:firstLineChars="332"/>
        <w:rPr>
          <w:rFonts w:ascii="仿宋" w:hAnsi="仿宋" w:eastAsia="仿宋" w:cs="宋体"/>
          <w:color w:val="auto"/>
          <w:sz w:val="24"/>
          <w:szCs w:val="24"/>
        </w:rPr>
      </w:pPr>
    </w:p>
    <w:p w14:paraId="7C982661">
      <w:pPr>
        <w:spacing w:line="360" w:lineRule="auto"/>
        <w:ind w:firstLine="796" w:firstLineChars="332"/>
        <w:rPr>
          <w:rFonts w:ascii="仿宋" w:hAnsi="仿宋" w:eastAsia="仿宋" w:cs="宋体"/>
          <w:color w:val="auto"/>
          <w:sz w:val="24"/>
          <w:szCs w:val="24"/>
        </w:rPr>
      </w:pPr>
    </w:p>
    <w:p w14:paraId="6DB7AE23">
      <w:pPr>
        <w:spacing w:line="360" w:lineRule="auto"/>
        <w:ind w:firstLine="796" w:firstLineChars="332"/>
        <w:rPr>
          <w:rFonts w:ascii="仿宋" w:hAnsi="仿宋" w:eastAsia="仿宋" w:cs="宋体"/>
          <w:color w:val="auto"/>
          <w:sz w:val="24"/>
          <w:szCs w:val="24"/>
          <w:u w:val="single"/>
        </w:rPr>
      </w:pPr>
      <w:r>
        <w:rPr>
          <w:rFonts w:hint="eastAsia" w:ascii="仿宋" w:hAnsi="仿宋" w:eastAsia="仿宋" w:cs="宋体"/>
          <w:color w:val="auto"/>
          <w:sz w:val="24"/>
          <w:szCs w:val="24"/>
          <w:u w:val="single"/>
        </w:rPr>
        <w:t xml:space="preserve">  </w:t>
      </w:r>
    </w:p>
    <w:p w14:paraId="20C96C23">
      <w:pPr>
        <w:spacing w:line="360" w:lineRule="auto"/>
        <w:ind w:firstLine="2" w:firstLineChars="1"/>
        <w:rPr>
          <w:rFonts w:ascii="仿宋" w:hAnsi="仿宋" w:eastAsia="仿宋" w:cs="宋体"/>
          <w:color w:val="auto"/>
          <w:sz w:val="24"/>
          <w:szCs w:val="24"/>
        </w:rPr>
      </w:pPr>
      <w:r>
        <w:rPr>
          <w:rFonts w:hint="eastAsia" w:ascii="仿宋" w:hAnsi="仿宋" w:eastAsia="仿宋" w:cs="宋体"/>
          <w:color w:val="auto"/>
          <w:sz w:val="24"/>
          <w:szCs w:val="24"/>
        </w:rPr>
        <w:t>供应商：</w:t>
      </w:r>
      <w:r>
        <w:rPr>
          <w:rFonts w:hint="eastAsia" w:ascii="仿宋" w:hAnsi="仿宋" w:eastAsia="仿宋" w:cs="宋体"/>
          <w:color w:val="auto"/>
          <w:sz w:val="24"/>
          <w:szCs w:val="24"/>
          <w:u w:val="single"/>
        </w:rPr>
        <w:t xml:space="preserve">                            </w:t>
      </w:r>
      <w:r>
        <w:rPr>
          <w:rFonts w:hint="eastAsia" w:ascii="仿宋" w:hAnsi="仿宋" w:eastAsia="仿宋" w:cs="宋体"/>
          <w:color w:val="auto"/>
          <w:sz w:val="24"/>
          <w:szCs w:val="24"/>
        </w:rPr>
        <w:t>（盖章）</w:t>
      </w:r>
    </w:p>
    <w:p w14:paraId="6A6C2AFC">
      <w:pPr>
        <w:spacing w:line="360" w:lineRule="auto"/>
        <w:ind w:firstLine="2" w:firstLineChars="1"/>
        <w:rPr>
          <w:rFonts w:ascii="仿宋" w:hAnsi="仿宋" w:eastAsia="仿宋" w:cs="宋体"/>
          <w:color w:val="auto"/>
          <w:sz w:val="24"/>
          <w:szCs w:val="24"/>
        </w:rPr>
      </w:pPr>
      <w:r>
        <w:rPr>
          <w:rFonts w:hint="eastAsia" w:ascii="仿宋" w:hAnsi="仿宋" w:eastAsia="仿宋"/>
          <w:color w:val="auto"/>
          <w:sz w:val="24"/>
          <w:szCs w:val="24"/>
        </w:rPr>
        <w:t>法定代表人或授权代理人：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14:paraId="3DE85275">
      <w:pPr>
        <w:spacing w:line="360" w:lineRule="auto"/>
        <w:ind w:firstLine="2" w:firstLineChars="1"/>
        <w:rPr>
          <w:rFonts w:ascii="仿宋" w:hAnsi="仿宋" w:eastAsia="仿宋" w:cs="宋体"/>
          <w:color w:val="auto"/>
          <w:sz w:val="24"/>
          <w:szCs w:val="24"/>
          <w:u w:val="single"/>
        </w:rPr>
      </w:pPr>
      <w:r>
        <w:rPr>
          <w:rFonts w:hint="eastAsia" w:ascii="仿宋" w:hAnsi="仿宋" w:eastAsia="仿宋" w:cs="宋体"/>
          <w:color w:val="auto"/>
          <w:sz w:val="24"/>
        </w:rPr>
        <w:t>日期：</w:t>
      </w:r>
      <w:r>
        <w:rPr>
          <w:rFonts w:hint="eastAsia" w:ascii="仿宋" w:hAnsi="仿宋" w:eastAsia="仿宋" w:cs="宋体"/>
          <w:color w:val="auto"/>
          <w:sz w:val="24"/>
          <w:u w:val="single"/>
        </w:rPr>
        <w:t xml:space="preserve">        </w:t>
      </w:r>
      <w:r>
        <w:rPr>
          <w:rFonts w:hint="eastAsia" w:ascii="仿宋" w:hAnsi="仿宋" w:eastAsia="仿宋" w:cs="宋体"/>
          <w:color w:val="auto"/>
          <w:sz w:val="24"/>
        </w:rPr>
        <w:t>年</w:t>
      </w:r>
      <w:r>
        <w:rPr>
          <w:rFonts w:hint="eastAsia" w:ascii="仿宋" w:hAnsi="仿宋" w:eastAsia="仿宋" w:cs="宋体"/>
          <w:color w:val="auto"/>
          <w:sz w:val="24"/>
          <w:u w:val="single"/>
        </w:rPr>
        <w:t xml:space="preserve">       </w:t>
      </w:r>
      <w:r>
        <w:rPr>
          <w:rFonts w:hint="eastAsia" w:ascii="仿宋" w:hAnsi="仿宋" w:eastAsia="仿宋" w:cs="宋体"/>
          <w:color w:val="auto"/>
          <w:sz w:val="24"/>
        </w:rPr>
        <w:t>月</w:t>
      </w:r>
      <w:r>
        <w:rPr>
          <w:rFonts w:hint="eastAsia" w:ascii="仿宋" w:hAnsi="仿宋" w:eastAsia="仿宋" w:cs="宋体"/>
          <w:color w:val="auto"/>
          <w:sz w:val="24"/>
          <w:u w:val="single"/>
        </w:rPr>
        <w:t xml:space="preserve">       </w:t>
      </w:r>
      <w:r>
        <w:rPr>
          <w:rFonts w:hint="eastAsia" w:ascii="仿宋" w:hAnsi="仿宋" w:eastAsia="仿宋" w:cs="宋体"/>
          <w:color w:val="auto"/>
          <w:sz w:val="24"/>
        </w:rPr>
        <w:t>日</w:t>
      </w:r>
    </w:p>
    <w:p w14:paraId="563E99B9">
      <w:pPr>
        <w:spacing w:line="360" w:lineRule="auto"/>
        <w:ind w:firstLine="482" w:firstLineChars="200"/>
        <w:rPr>
          <w:rFonts w:ascii="仿宋" w:hAnsi="仿宋" w:eastAsia="仿宋" w:cs="宋体"/>
          <w:b/>
          <w:color w:val="auto"/>
          <w:sz w:val="24"/>
        </w:rPr>
      </w:pPr>
    </w:p>
    <w:p w14:paraId="5826FC6C">
      <w:pPr>
        <w:spacing w:line="360" w:lineRule="auto"/>
        <w:ind w:firstLine="482" w:firstLineChars="200"/>
        <w:rPr>
          <w:rFonts w:ascii="仿宋" w:hAnsi="仿宋" w:eastAsia="仿宋" w:cs="宋体"/>
          <w:b/>
          <w:color w:val="auto"/>
          <w:sz w:val="24"/>
        </w:rPr>
      </w:pPr>
    </w:p>
    <w:p w14:paraId="757BE2E8">
      <w:pPr>
        <w:spacing w:line="360" w:lineRule="auto"/>
        <w:ind w:firstLine="482" w:firstLineChars="200"/>
        <w:rPr>
          <w:rFonts w:ascii="仿宋" w:hAnsi="仿宋" w:eastAsia="仿宋" w:cs="宋体"/>
          <w:b/>
          <w:color w:val="auto"/>
          <w:sz w:val="24"/>
        </w:rPr>
      </w:pPr>
    </w:p>
    <w:p w14:paraId="46D8872A">
      <w:pPr>
        <w:spacing w:line="360" w:lineRule="auto"/>
        <w:ind w:firstLine="482" w:firstLineChars="200"/>
        <w:rPr>
          <w:rFonts w:ascii="仿宋" w:hAnsi="仿宋" w:eastAsia="仿宋" w:cs="宋体"/>
          <w:b/>
          <w:color w:val="auto"/>
          <w:sz w:val="24"/>
        </w:rPr>
      </w:pPr>
    </w:p>
    <w:p w14:paraId="36A1CABB">
      <w:pPr>
        <w:spacing w:line="360" w:lineRule="auto"/>
        <w:ind w:firstLine="482" w:firstLineChars="200"/>
        <w:rPr>
          <w:rFonts w:ascii="仿宋" w:hAnsi="仿宋" w:eastAsia="仿宋" w:cs="宋体"/>
          <w:b/>
          <w:color w:val="auto"/>
          <w:sz w:val="24"/>
        </w:rPr>
      </w:pPr>
    </w:p>
    <w:p w14:paraId="7E2FA8C2">
      <w:pPr>
        <w:spacing w:line="360" w:lineRule="auto"/>
        <w:ind w:firstLine="482" w:firstLineChars="200"/>
        <w:rPr>
          <w:rFonts w:ascii="仿宋" w:hAnsi="仿宋" w:eastAsia="仿宋" w:cs="宋体"/>
          <w:b/>
          <w:color w:val="auto"/>
          <w:sz w:val="24"/>
        </w:rPr>
        <w:sectPr>
          <w:pgSz w:w="11906" w:h="16838"/>
          <w:pgMar w:top="1134" w:right="1134" w:bottom="1134" w:left="1134" w:header="851" w:footer="992" w:gutter="0"/>
          <w:cols w:space="720" w:num="1"/>
          <w:titlePg/>
          <w:docGrid w:linePitch="312" w:charSpace="0"/>
        </w:sectPr>
      </w:pPr>
    </w:p>
    <w:p w14:paraId="622F5C10">
      <w:pPr>
        <w:spacing w:line="360" w:lineRule="auto"/>
        <w:jc w:val="center"/>
        <w:outlineLvl w:val="1"/>
        <w:rPr>
          <w:rFonts w:ascii="仿宋" w:hAnsi="仿宋" w:eastAsia="仿宋" w:cs="宋体"/>
          <w:b/>
          <w:color w:val="auto"/>
          <w:sz w:val="30"/>
          <w:szCs w:val="30"/>
        </w:rPr>
      </w:pPr>
      <w:bookmarkStart w:id="251" w:name="_Toc232004934"/>
      <w:bookmarkStart w:id="252" w:name="_Toc134427103"/>
      <w:r>
        <w:rPr>
          <w:rFonts w:hint="eastAsia" w:ascii="仿宋" w:hAnsi="仿宋" w:eastAsia="仿宋"/>
          <w:b/>
          <w:color w:val="auto"/>
          <w:sz w:val="30"/>
          <w:szCs w:val="30"/>
        </w:rPr>
        <w:t>五、</w:t>
      </w:r>
      <w:bookmarkStart w:id="253" w:name="OLE_LINK9"/>
      <w:bookmarkStart w:id="254" w:name="OLE_LINK10"/>
      <w:r>
        <w:rPr>
          <w:rFonts w:hint="eastAsia" w:ascii="仿宋" w:hAnsi="仿宋" w:eastAsia="仿宋" w:cs="宋体"/>
          <w:b/>
          <w:color w:val="auto"/>
          <w:sz w:val="30"/>
          <w:szCs w:val="30"/>
        </w:rPr>
        <w:t>业绩一览表</w:t>
      </w:r>
      <w:bookmarkEnd w:id="251"/>
    </w:p>
    <w:p w14:paraId="21711EE3">
      <w:pPr>
        <w:jc w:val="right"/>
        <w:rPr>
          <w:rFonts w:ascii="仿宋" w:hAnsi="仿宋" w:eastAsia="仿宋"/>
          <w:color w:val="auto"/>
          <w:sz w:val="24"/>
        </w:rPr>
      </w:pPr>
    </w:p>
    <w:tbl>
      <w:tblPr>
        <w:tblStyle w:val="6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213"/>
        <w:gridCol w:w="1722"/>
        <w:gridCol w:w="1414"/>
        <w:gridCol w:w="1754"/>
        <w:gridCol w:w="1272"/>
      </w:tblGrid>
      <w:tr w14:paraId="3D7C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dxa"/>
            <w:vAlign w:val="center"/>
          </w:tcPr>
          <w:p w14:paraId="21C58FE5">
            <w:pPr>
              <w:snapToGrid w:val="0"/>
              <w:jc w:val="center"/>
              <w:rPr>
                <w:rFonts w:ascii="仿宋" w:hAnsi="仿宋" w:eastAsia="仿宋"/>
                <w:bCs/>
                <w:color w:val="auto"/>
                <w:sz w:val="24"/>
                <w:szCs w:val="24"/>
              </w:rPr>
            </w:pPr>
            <w:r>
              <w:rPr>
                <w:rFonts w:ascii="仿宋" w:hAnsi="仿宋" w:eastAsia="仿宋"/>
                <w:bCs/>
                <w:color w:val="auto"/>
                <w:sz w:val="24"/>
                <w:szCs w:val="24"/>
              </w:rPr>
              <w:t>序号</w:t>
            </w:r>
          </w:p>
        </w:tc>
        <w:tc>
          <w:tcPr>
            <w:tcW w:w="2213" w:type="dxa"/>
            <w:vAlign w:val="center"/>
          </w:tcPr>
          <w:p w14:paraId="329BB835">
            <w:pPr>
              <w:snapToGrid w:val="0"/>
              <w:jc w:val="center"/>
              <w:rPr>
                <w:rFonts w:ascii="仿宋" w:hAnsi="仿宋" w:eastAsia="仿宋"/>
                <w:bCs/>
                <w:color w:val="auto"/>
                <w:sz w:val="24"/>
                <w:szCs w:val="24"/>
              </w:rPr>
            </w:pPr>
            <w:r>
              <w:rPr>
                <w:rFonts w:ascii="仿宋" w:hAnsi="仿宋" w:eastAsia="仿宋"/>
                <w:bCs/>
                <w:color w:val="auto"/>
                <w:sz w:val="24"/>
                <w:szCs w:val="24"/>
              </w:rPr>
              <w:t>项目名称</w:t>
            </w:r>
          </w:p>
        </w:tc>
        <w:tc>
          <w:tcPr>
            <w:tcW w:w="1722" w:type="dxa"/>
            <w:vAlign w:val="center"/>
          </w:tcPr>
          <w:p w14:paraId="00397BD8">
            <w:pPr>
              <w:snapToGrid w:val="0"/>
              <w:jc w:val="center"/>
              <w:rPr>
                <w:rFonts w:ascii="仿宋" w:hAnsi="仿宋" w:eastAsia="仿宋"/>
                <w:bCs/>
                <w:color w:val="auto"/>
                <w:sz w:val="24"/>
                <w:szCs w:val="24"/>
              </w:rPr>
            </w:pPr>
            <w:r>
              <w:rPr>
                <w:rFonts w:hint="eastAsia" w:ascii="仿宋" w:hAnsi="仿宋" w:eastAsia="仿宋"/>
                <w:bCs/>
                <w:color w:val="auto"/>
                <w:sz w:val="24"/>
                <w:szCs w:val="24"/>
              </w:rPr>
              <w:t>服务</w:t>
            </w:r>
            <w:r>
              <w:rPr>
                <w:rFonts w:ascii="仿宋" w:hAnsi="仿宋" w:eastAsia="仿宋"/>
                <w:bCs/>
                <w:color w:val="auto"/>
                <w:sz w:val="24"/>
                <w:szCs w:val="24"/>
              </w:rPr>
              <w:t>单位</w:t>
            </w:r>
          </w:p>
        </w:tc>
        <w:tc>
          <w:tcPr>
            <w:tcW w:w="1414" w:type="dxa"/>
            <w:vAlign w:val="center"/>
          </w:tcPr>
          <w:p w14:paraId="40133312">
            <w:pPr>
              <w:snapToGrid w:val="0"/>
              <w:jc w:val="center"/>
              <w:rPr>
                <w:rFonts w:ascii="仿宋" w:hAnsi="仿宋" w:eastAsia="仿宋"/>
                <w:bCs/>
                <w:color w:val="auto"/>
                <w:sz w:val="24"/>
                <w:szCs w:val="24"/>
              </w:rPr>
            </w:pPr>
            <w:r>
              <w:rPr>
                <w:rFonts w:ascii="仿宋" w:hAnsi="仿宋" w:eastAsia="仿宋"/>
                <w:bCs/>
                <w:color w:val="auto"/>
                <w:sz w:val="24"/>
                <w:szCs w:val="24"/>
              </w:rPr>
              <w:t>合同金额</w:t>
            </w:r>
          </w:p>
        </w:tc>
        <w:tc>
          <w:tcPr>
            <w:tcW w:w="1754" w:type="dxa"/>
            <w:vAlign w:val="center"/>
          </w:tcPr>
          <w:p w14:paraId="79AC1FD7">
            <w:pPr>
              <w:snapToGrid w:val="0"/>
              <w:jc w:val="center"/>
              <w:rPr>
                <w:rFonts w:ascii="仿宋" w:hAnsi="仿宋" w:eastAsia="仿宋"/>
                <w:bCs/>
                <w:color w:val="auto"/>
                <w:sz w:val="24"/>
                <w:szCs w:val="24"/>
              </w:rPr>
            </w:pPr>
            <w:r>
              <w:rPr>
                <w:rFonts w:ascii="仿宋" w:hAnsi="仿宋" w:eastAsia="仿宋"/>
                <w:bCs/>
                <w:color w:val="auto"/>
                <w:sz w:val="24"/>
                <w:szCs w:val="24"/>
              </w:rPr>
              <w:t>合同签订时间</w:t>
            </w:r>
          </w:p>
        </w:tc>
        <w:tc>
          <w:tcPr>
            <w:tcW w:w="1272" w:type="dxa"/>
            <w:vAlign w:val="center"/>
          </w:tcPr>
          <w:p w14:paraId="4E224D2A">
            <w:pPr>
              <w:snapToGrid w:val="0"/>
              <w:jc w:val="center"/>
              <w:rPr>
                <w:rFonts w:ascii="仿宋" w:hAnsi="仿宋" w:eastAsia="仿宋"/>
                <w:bCs/>
                <w:color w:val="auto"/>
                <w:sz w:val="24"/>
                <w:szCs w:val="24"/>
              </w:rPr>
            </w:pPr>
            <w:r>
              <w:rPr>
                <w:rFonts w:ascii="仿宋" w:hAnsi="仿宋" w:eastAsia="仿宋"/>
                <w:bCs/>
                <w:color w:val="auto"/>
                <w:sz w:val="24"/>
                <w:szCs w:val="24"/>
              </w:rPr>
              <w:t>备注</w:t>
            </w:r>
          </w:p>
        </w:tc>
      </w:tr>
      <w:tr w14:paraId="7540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dxa"/>
            <w:vAlign w:val="center"/>
          </w:tcPr>
          <w:p w14:paraId="37761B3A">
            <w:pPr>
              <w:snapToGrid w:val="0"/>
              <w:jc w:val="center"/>
              <w:rPr>
                <w:rFonts w:ascii="仿宋" w:hAnsi="仿宋" w:eastAsia="仿宋"/>
                <w:bCs/>
                <w:color w:val="auto"/>
                <w:sz w:val="24"/>
                <w:szCs w:val="24"/>
              </w:rPr>
            </w:pPr>
            <w:r>
              <w:rPr>
                <w:rFonts w:ascii="仿宋" w:hAnsi="仿宋" w:eastAsia="仿宋"/>
                <w:bCs/>
                <w:color w:val="auto"/>
                <w:sz w:val="24"/>
                <w:szCs w:val="24"/>
              </w:rPr>
              <w:t>1</w:t>
            </w:r>
          </w:p>
        </w:tc>
        <w:tc>
          <w:tcPr>
            <w:tcW w:w="2213" w:type="dxa"/>
            <w:vAlign w:val="center"/>
          </w:tcPr>
          <w:p w14:paraId="5F934670">
            <w:pPr>
              <w:snapToGrid w:val="0"/>
              <w:jc w:val="center"/>
              <w:rPr>
                <w:rFonts w:ascii="仿宋" w:hAnsi="仿宋" w:eastAsia="仿宋"/>
                <w:bCs/>
                <w:color w:val="auto"/>
                <w:sz w:val="24"/>
                <w:szCs w:val="24"/>
                <w:u w:val="single"/>
              </w:rPr>
            </w:pPr>
          </w:p>
        </w:tc>
        <w:tc>
          <w:tcPr>
            <w:tcW w:w="1722" w:type="dxa"/>
            <w:vAlign w:val="center"/>
          </w:tcPr>
          <w:p w14:paraId="084A6321">
            <w:pPr>
              <w:snapToGrid w:val="0"/>
              <w:jc w:val="center"/>
              <w:rPr>
                <w:rFonts w:ascii="仿宋" w:hAnsi="仿宋" w:eastAsia="仿宋"/>
                <w:bCs/>
                <w:color w:val="auto"/>
                <w:sz w:val="24"/>
                <w:szCs w:val="24"/>
                <w:u w:val="single"/>
              </w:rPr>
            </w:pPr>
          </w:p>
        </w:tc>
        <w:tc>
          <w:tcPr>
            <w:tcW w:w="1414" w:type="dxa"/>
            <w:vAlign w:val="center"/>
          </w:tcPr>
          <w:p w14:paraId="636C7E7B">
            <w:pPr>
              <w:snapToGrid w:val="0"/>
              <w:jc w:val="center"/>
              <w:rPr>
                <w:rFonts w:ascii="仿宋" w:hAnsi="仿宋" w:eastAsia="仿宋"/>
                <w:bCs/>
                <w:color w:val="auto"/>
                <w:sz w:val="24"/>
                <w:szCs w:val="24"/>
                <w:u w:val="single"/>
              </w:rPr>
            </w:pPr>
          </w:p>
        </w:tc>
        <w:tc>
          <w:tcPr>
            <w:tcW w:w="1754" w:type="dxa"/>
            <w:vAlign w:val="center"/>
          </w:tcPr>
          <w:p w14:paraId="70FAB6BB">
            <w:pPr>
              <w:snapToGrid w:val="0"/>
              <w:jc w:val="center"/>
              <w:rPr>
                <w:rFonts w:ascii="仿宋" w:hAnsi="仿宋" w:eastAsia="仿宋"/>
                <w:bCs/>
                <w:color w:val="auto"/>
                <w:sz w:val="24"/>
                <w:szCs w:val="24"/>
                <w:u w:val="single"/>
              </w:rPr>
            </w:pPr>
          </w:p>
        </w:tc>
        <w:tc>
          <w:tcPr>
            <w:tcW w:w="1272" w:type="dxa"/>
            <w:vAlign w:val="center"/>
          </w:tcPr>
          <w:p w14:paraId="72025A68">
            <w:pPr>
              <w:snapToGrid w:val="0"/>
              <w:jc w:val="center"/>
              <w:rPr>
                <w:rFonts w:ascii="仿宋" w:hAnsi="仿宋" w:eastAsia="仿宋"/>
                <w:bCs/>
                <w:color w:val="auto"/>
                <w:sz w:val="24"/>
                <w:szCs w:val="24"/>
                <w:u w:val="single"/>
              </w:rPr>
            </w:pPr>
          </w:p>
        </w:tc>
      </w:tr>
      <w:tr w14:paraId="54D0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dxa"/>
            <w:vAlign w:val="center"/>
          </w:tcPr>
          <w:p w14:paraId="16637881">
            <w:pPr>
              <w:snapToGrid w:val="0"/>
              <w:jc w:val="center"/>
              <w:rPr>
                <w:rFonts w:ascii="仿宋" w:hAnsi="仿宋" w:eastAsia="仿宋"/>
                <w:bCs/>
                <w:color w:val="auto"/>
                <w:sz w:val="24"/>
                <w:szCs w:val="24"/>
              </w:rPr>
            </w:pPr>
            <w:r>
              <w:rPr>
                <w:rFonts w:ascii="仿宋" w:hAnsi="仿宋" w:eastAsia="仿宋"/>
                <w:bCs/>
                <w:color w:val="auto"/>
                <w:sz w:val="24"/>
                <w:szCs w:val="24"/>
              </w:rPr>
              <w:t>2</w:t>
            </w:r>
          </w:p>
        </w:tc>
        <w:tc>
          <w:tcPr>
            <w:tcW w:w="2213" w:type="dxa"/>
            <w:vAlign w:val="center"/>
          </w:tcPr>
          <w:p w14:paraId="42F610E6">
            <w:pPr>
              <w:snapToGrid w:val="0"/>
              <w:jc w:val="center"/>
              <w:rPr>
                <w:rFonts w:ascii="仿宋" w:hAnsi="仿宋" w:eastAsia="仿宋"/>
                <w:bCs/>
                <w:color w:val="auto"/>
                <w:sz w:val="24"/>
                <w:szCs w:val="24"/>
                <w:u w:val="single"/>
              </w:rPr>
            </w:pPr>
          </w:p>
        </w:tc>
        <w:tc>
          <w:tcPr>
            <w:tcW w:w="1722" w:type="dxa"/>
            <w:vAlign w:val="center"/>
          </w:tcPr>
          <w:p w14:paraId="3B03B34B">
            <w:pPr>
              <w:snapToGrid w:val="0"/>
              <w:jc w:val="center"/>
              <w:rPr>
                <w:rFonts w:ascii="仿宋" w:hAnsi="仿宋" w:eastAsia="仿宋"/>
                <w:bCs/>
                <w:color w:val="auto"/>
                <w:sz w:val="24"/>
                <w:szCs w:val="24"/>
                <w:u w:val="single"/>
              </w:rPr>
            </w:pPr>
          </w:p>
        </w:tc>
        <w:tc>
          <w:tcPr>
            <w:tcW w:w="1414" w:type="dxa"/>
            <w:vAlign w:val="center"/>
          </w:tcPr>
          <w:p w14:paraId="4E67274F">
            <w:pPr>
              <w:snapToGrid w:val="0"/>
              <w:jc w:val="center"/>
              <w:rPr>
                <w:rFonts w:ascii="仿宋" w:hAnsi="仿宋" w:eastAsia="仿宋"/>
                <w:bCs/>
                <w:color w:val="auto"/>
                <w:sz w:val="24"/>
                <w:szCs w:val="24"/>
                <w:u w:val="single"/>
              </w:rPr>
            </w:pPr>
          </w:p>
        </w:tc>
        <w:tc>
          <w:tcPr>
            <w:tcW w:w="1754" w:type="dxa"/>
            <w:vAlign w:val="center"/>
          </w:tcPr>
          <w:p w14:paraId="4E615920">
            <w:pPr>
              <w:snapToGrid w:val="0"/>
              <w:jc w:val="center"/>
              <w:rPr>
                <w:rFonts w:ascii="仿宋" w:hAnsi="仿宋" w:eastAsia="仿宋"/>
                <w:bCs/>
                <w:color w:val="auto"/>
                <w:sz w:val="24"/>
                <w:szCs w:val="24"/>
                <w:u w:val="single"/>
              </w:rPr>
            </w:pPr>
          </w:p>
        </w:tc>
        <w:tc>
          <w:tcPr>
            <w:tcW w:w="1272" w:type="dxa"/>
            <w:vAlign w:val="center"/>
          </w:tcPr>
          <w:p w14:paraId="03A14FF5">
            <w:pPr>
              <w:snapToGrid w:val="0"/>
              <w:jc w:val="center"/>
              <w:rPr>
                <w:rFonts w:ascii="仿宋" w:hAnsi="仿宋" w:eastAsia="仿宋"/>
                <w:bCs/>
                <w:color w:val="auto"/>
                <w:sz w:val="24"/>
                <w:szCs w:val="24"/>
                <w:u w:val="single"/>
              </w:rPr>
            </w:pPr>
          </w:p>
        </w:tc>
      </w:tr>
      <w:tr w14:paraId="2914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dxa"/>
            <w:vAlign w:val="center"/>
          </w:tcPr>
          <w:p w14:paraId="77987DF1">
            <w:pPr>
              <w:snapToGrid w:val="0"/>
              <w:jc w:val="center"/>
              <w:rPr>
                <w:rFonts w:ascii="仿宋" w:hAnsi="仿宋" w:eastAsia="仿宋"/>
                <w:bCs/>
                <w:color w:val="auto"/>
                <w:sz w:val="24"/>
                <w:szCs w:val="24"/>
              </w:rPr>
            </w:pPr>
            <w:r>
              <w:rPr>
                <w:rFonts w:ascii="仿宋" w:hAnsi="仿宋" w:eastAsia="仿宋"/>
                <w:bCs/>
                <w:color w:val="auto"/>
                <w:sz w:val="24"/>
                <w:szCs w:val="24"/>
              </w:rPr>
              <w:t>3</w:t>
            </w:r>
          </w:p>
        </w:tc>
        <w:tc>
          <w:tcPr>
            <w:tcW w:w="2213" w:type="dxa"/>
            <w:vAlign w:val="center"/>
          </w:tcPr>
          <w:p w14:paraId="7E0F7AE6">
            <w:pPr>
              <w:snapToGrid w:val="0"/>
              <w:jc w:val="center"/>
              <w:rPr>
                <w:rFonts w:ascii="仿宋" w:hAnsi="仿宋" w:eastAsia="仿宋"/>
                <w:bCs/>
                <w:color w:val="auto"/>
                <w:sz w:val="24"/>
                <w:szCs w:val="24"/>
                <w:u w:val="single"/>
              </w:rPr>
            </w:pPr>
          </w:p>
        </w:tc>
        <w:tc>
          <w:tcPr>
            <w:tcW w:w="1722" w:type="dxa"/>
            <w:vAlign w:val="center"/>
          </w:tcPr>
          <w:p w14:paraId="5971E305">
            <w:pPr>
              <w:snapToGrid w:val="0"/>
              <w:jc w:val="center"/>
              <w:rPr>
                <w:rFonts w:ascii="仿宋" w:hAnsi="仿宋" w:eastAsia="仿宋"/>
                <w:bCs/>
                <w:color w:val="auto"/>
                <w:sz w:val="24"/>
                <w:szCs w:val="24"/>
                <w:u w:val="single"/>
              </w:rPr>
            </w:pPr>
          </w:p>
        </w:tc>
        <w:tc>
          <w:tcPr>
            <w:tcW w:w="1414" w:type="dxa"/>
            <w:vAlign w:val="center"/>
          </w:tcPr>
          <w:p w14:paraId="26504146">
            <w:pPr>
              <w:snapToGrid w:val="0"/>
              <w:jc w:val="center"/>
              <w:rPr>
                <w:rFonts w:ascii="仿宋" w:hAnsi="仿宋" w:eastAsia="仿宋"/>
                <w:bCs/>
                <w:color w:val="auto"/>
                <w:sz w:val="24"/>
                <w:szCs w:val="24"/>
                <w:u w:val="single"/>
              </w:rPr>
            </w:pPr>
          </w:p>
        </w:tc>
        <w:tc>
          <w:tcPr>
            <w:tcW w:w="1754" w:type="dxa"/>
            <w:vAlign w:val="center"/>
          </w:tcPr>
          <w:p w14:paraId="30F7A1DC">
            <w:pPr>
              <w:snapToGrid w:val="0"/>
              <w:jc w:val="center"/>
              <w:rPr>
                <w:rFonts w:ascii="仿宋" w:hAnsi="仿宋" w:eastAsia="仿宋"/>
                <w:bCs/>
                <w:color w:val="auto"/>
                <w:sz w:val="24"/>
                <w:szCs w:val="24"/>
                <w:u w:val="single"/>
              </w:rPr>
            </w:pPr>
          </w:p>
        </w:tc>
        <w:tc>
          <w:tcPr>
            <w:tcW w:w="1272" w:type="dxa"/>
            <w:vAlign w:val="center"/>
          </w:tcPr>
          <w:p w14:paraId="2B1E6FE9">
            <w:pPr>
              <w:snapToGrid w:val="0"/>
              <w:jc w:val="center"/>
              <w:rPr>
                <w:rFonts w:ascii="仿宋" w:hAnsi="仿宋" w:eastAsia="仿宋"/>
                <w:bCs/>
                <w:color w:val="auto"/>
                <w:sz w:val="24"/>
                <w:szCs w:val="24"/>
                <w:u w:val="single"/>
              </w:rPr>
            </w:pPr>
          </w:p>
        </w:tc>
      </w:tr>
      <w:tr w14:paraId="4E52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dxa"/>
            <w:vAlign w:val="center"/>
          </w:tcPr>
          <w:p w14:paraId="513D3163">
            <w:pPr>
              <w:snapToGrid w:val="0"/>
              <w:jc w:val="center"/>
              <w:rPr>
                <w:rFonts w:ascii="仿宋" w:hAnsi="仿宋" w:eastAsia="仿宋"/>
                <w:bCs/>
                <w:color w:val="auto"/>
                <w:sz w:val="24"/>
                <w:szCs w:val="24"/>
              </w:rPr>
            </w:pPr>
            <w:r>
              <w:rPr>
                <w:rFonts w:ascii="仿宋" w:hAnsi="仿宋" w:eastAsia="仿宋"/>
                <w:bCs/>
                <w:color w:val="auto"/>
                <w:sz w:val="24"/>
                <w:szCs w:val="24"/>
              </w:rPr>
              <w:t>……</w:t>
            </w:r>
          </w:p>
        </w:tc>
        <w:tc>
          <w:tcPr>
            <w:tcW w:w="2213" w:type="dxa"/>
            <w:vAlign w:val="center"/>
          </w:tcPr>
          <w:p w14:paraId="5A15572B">
            <w:pPr>
              <w:snapToGrid w:val="0"/>
              <w:jc w:val="center"/>
              <w:rPr>
                <w:rFonts w:ascii="仿宋" w:hAnsi="仿宋" w:eastAsia="仿宋"/>
                <w:bCs/>
                <w:color w:val="auto"/>
                <w:sz w:val="24"/>
                <w:szCs w:val="24"/>
                <w:u w:val="single"/>
              </w:rPr>
            </w:pPr>
          </w:p>
        </w:tc>
        <w:tc>
          <w:tcPr>
            <w:tcW w:w="1722" w:type="dxa"/>
            <w:vAlign w:val="center"/>
          </w:tcPr>
          <w:p w14:paraId="454ACAC4">
            <w:pPr>
              <w:snapToGrid w:val="0"/>
              <w:jc w:val="center"/>
              <w:rPr>
                <w:rFonts w:ascii="仿宋" w:hAnsi="仿宋" w:eastAsia="仿宋"/>
                <w:bCs/>
                <w:color w:val="auto"/>
                <w:sz w:val="24"/>
                <w:szCs w:val="24"/>
                <w:u w:val="single"/>
              </w:rPr>
            </w:pPr>
          </w:p>
        </w:tc>
        <w:tc>
          <w:tcPr>
            <w:tcW w:w="1414" w:type="dxa"/>
            <w:vAlign w:val="center"/>
          </w:tcPr>
          <w:p w14:paraId="612CB927">
            <w:pPr>
              <w:snapToGrid w:val="0"/>
              <w:jc w:val="center"/>
              <w:rPr>
                <w:rFonts w:ascii="仿宋" w:hAnsi="仿宋" w:eastAsia="仿宋"/>
                <w:bCs/>
                <w:color w:val="auto"/>
                <w:sz w:val="24"/>
                <w:szCs w:val="24"/>
                <w:u w:val="single"/>
              </w:rPr>
            </w:pPr>
          </w:p>
        </w:tc>
        <w:tc>
          <w:tcPr>
            <w:tcW w:w="1754" w:type="dxa"/>
            <w:vAlign w:val="center"/>
          </w:tcPr>
          <w:p w14:paraId="7C1A2B08">
            <w:pPr>
              <w:snapToGrid w:val="0"/>
              <w:jc w:val="center"/>
              <w:rPr>
                <w:rFonts w:ascii="仿宋" w:hAnsi="仿宋" w:eastAsia="仿宋"/>
                <w:bCs/>
                <w:color w:val="auto"/>
                <w:sz w:val="24"/>
                <w:szCs w:val="24"/>
                <w:u w:val="single"/>
              </w:rPr>
            </w:pPr>
          </w:p>
        </w:tc>
        <w:tc>
          <w:tcPr>
            <w:tcW w:w="1272" w:type="dxa"/>
            <w:vAlign w:val="center"/>
          </w:tcPr>
          <w:p w14:paraId="05D477B5">
            <w:pPr>
              <w:snapToGrid w:val="0"/>
              <w:jc w:val="center"/>
              <w:rPr>
                <w:rFonts w:ascii="仿宋" w:hAnsi="仿宋" w:eastAsia="仿宋"/>
                <w:bCs/>
                <w:color w:val="auto"/>
                <w:sz w:val="24"/>
                <w:szCs w:val="24"/>
                <w:u w:val="single"/>
              </w:rPr>
            </w:pPr>
          </w:p>
        </w:tc>
      </w:tr>
      <w:tr w14:paraId="742B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dxa"/>
            <w:vAlign w:val="center"/>
          </w:tcPr>
          <w:p w14:paraId="5597093F">
            <w:pPr>
              <w:snapToGrid w:val="0"/>
              <w:jc w:val="center"/>
              <w:rPr>
                <w:rFonts w:ascii="仿宋" w:hAnsi="仿宋" w:eastAsia="仿宋"/>
                <w:bCs/>
                <w:color w:val="auto"/>
                <w:sz w:val="24"/>
                <w:szCs w:val="24"/>
              </w:rPr>
            </w:pPr>
          </w:p>
        </w:tc>
        <w:tc>
          <w:tcPr>
            <w:tcW w:w="2213" w:type="dxa"/>
            <w:vAlign w:val="center"/>
          </w:tcPr>
          <w:p w14:paraId="2514156E">
            <w:pPr>
              <w:snapToGrid w:val="0"/>
              <w:jc w:val="center"/>
              <w:rPr>
                <w:rFonts w:ascii="仿宋" w:hAnsi="仿宋" w:eastAsia="仿宋"/>
                <w:bCs/>
                <w:color w:val="auto"/>
                <w:sz w:val="24"/>
                <w:szCs w:val="24"/>
                <w:u w:val="single"/>
              </w:rPr>
            </w:pPr>
          </w:p>
        </w:tc>
        <w:tc>
          <w:tcPr>
            <w:tcW w:w="1722" w:type="dxa"/>
            <w:vAlign w:val="center"/>
          </w:tcPr>
          <w:p w14:paraId="7C7090B3">
            <w:pPr>
              <w:snapToGrid w:val="0"/>
              <w:jc w:val="center"/>
              <w:rPr>
                <w:rFonts w:ascii="仿宋" w:hAnsi="仿宋" w:eastAsia="仿宋"/>
                <w:bCs/>
                <w:color w:val="auto"/>
                <w:sz w:val="24"/>
                <w:szCs w:val="24"/>
                <w:u w:val="single"/>
              </w:rPr>
            </w:pPr>
          </w:p>
        </w:tc>
        <w:tc>
          <w:tcPr>
            <w:tcW w:w="1414" w:type="dxa"/>
            <w:vAlign w:val="center"/>
          </w:tcPr>
          <w:p w14:paraId="5596B83D">
            <w:pPr>
              <w:snapToGrid w:val="0"/>
              <w:jc w:val="center"/>
              <w:rPr>
                <w:rFonts w:ascii="仿宋" w:hAnsi="仿宋" w:eastAsia="仿宋"/>
                <w:bCs/>
                <w:color w:val="auto"/>
                <w:sz w:val="24"/>
                <w:szCs w:val="24"/>
                <w:u w:val="single"/>
              </w:rPr>
            </w:pPr>
          </w:p>
        </w:tc>
        <w:tc>
          <w:tcPr>
            <w:tcW w:w="1754" w:type="dxa"/>
            <w:vAlign w:val="center"/>
          </w:tcPr>
          <w:p w14:paraId="7223EB7D">
            <w:pPr>
              <w:snapToGrid w:val="0"/>
              <w:jc w:val="center"/>
              <w:rPr>
                <w:rFonts w:ascii="仿宋" w:hAnsi="仿宋" w:eastAsia="仿宋"/>
                <w:bCs/>
                <w:color w:val="auto"/>
                <w:sz w:val="24"/>
                <w:szCs w:val="24"/>
                <w:u w:val="single"/>
              </w:rPr>
            </w:pPr>
          </w:p>
        </w:tc>
        <w:tc>
          <w:tcPr>
            <w:tcW w:w="1272" w:type="dxa"/>
            <w:vAlign w:val="center"/>
          </w:tcPr>
          <w:p w14:paraId="1C024CB0">
            <w:pPr>
              <w:snapToGrid w:val="0"/>
              <w:jc w:val="center"/>
              <w:rPr>
                <w:rFonts w:ascii="仿宋" w:hAnsi="仿宋" w:eastAsia="仿宋"/>
                <w:bCs/>
                <w:color w:val="auto"/>
                <w:sz w:val="24"/>
                <w:szCs w:val="24"/>
                <w:u w:val="single"/>
              </w:rPr>
            </w:pPr>
          </w:p>
        </w:tc>
      </w:tr>
      <w:tr w14:paraId="14F1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dxa"/>
            <w:vAlign w:val="center"/>
          </w:tcPr>
          <w:p w14:paraId="7954FCC8">
            <w:pPr>
              <w:snapToGrid w:val="0"/>
              <w:jc w:val="center"/>
              <w:rPr>
                <w:rFonts w:ascii="仿宋" w:hAnsi="仿宋" w:eastAsia="仿宋"/>
                <w:bCs/>
                <w:color w:val="auto"/>
                <w:sz w:val="24"/>
                <w:szCs w:val="24"/>
              </w:rPr>
            </w:pPr>
          </w:p>
        </w:tc>
        <w:tc>
          <w:tcPr>
            <w:tcW w:w="2213" w:type="dxa"/>
            <w:vAlign w:val="center"/>
          </w:tcPr>
          <w:p w14:paraId="07F901F7">
            <w:pPr>
              <w:snapToGrid w:val="0"/>
              <w:jc w:val="center"/>
              <w:rPr>
                <w:rFonts w:ascii="仿宋" w:hAnsi="仿宋" w:eastAsia="仿宋"/>
                <w:bCs/>
                <w:color w:val="auto"/>
                <w:sz w:val="24"/>
                <w:szCs w:val="24"/>
                <w:u w:val="single"/>
              </w:rPr>
            </w:pPr>
          </w:p>
        </w:tc>
        <w:tc>
          <w:tcPr>
            <w:tcW w:w="1722" w:type="dxa"/>
            <w:vAlign w:val="center"/>
          </w:tcPr>
          <w:p w14:paraId="068AA44A">
            <w:pPr>
              <w:snapToGrid w:val="0"/>
              <w:jc w:val="center"/>
              <w:rPr>
                <w:rFonts w:ascii="仿宋" w:hAnsi="仿宋" w:eastAsia="仿宋"/>
                <w:bCs/>
                <w:color w:val="auto"/>
                <w:sz w:val="24"/>
                <w:szCs w:val="24"/>
                <w:u w:val="single"/>
              </w:rPr>
            </w:pPr>
          </w:p>
        </w:tc>
        <w:tc>
          <w:tcPr>
            <w:tcW w:w="1414" w:type="dxa"/>
            <w:vAlign w:val="center"/>
          </w:tcPr>
          <w:p w14:paraId="3A1942AA">
            <w:pPr>
              <w:snapToGrid w:val="0"/>
              <w:jc w:val="center"/>
              <w:rPr>
                <w:rFonts w:ascii="仿宋" w:hAnsi="仿宋" w:eastAsia="仿宋"/>
                <w:bCs/>
                <w:color w:val="auto"/>
                <w:sz w:val="24"/>
                <w:szCs w:val="24"/>
                <w:u w:val="single"/>
              </w:rPr>
            </w:pPr>
          </w:p>
        </w:tc>
        <w:tc>
          <w:tcPr>
            <w:tcW w:w="1754" w:type="dxa"/>
            <w:vAlign w:val="center"/>
          </w:tcPr>
          <w:p w14:paraId="36C52157">
            <w:pPr>
              <w:snapToGrid w:val="0"/>
              <w:jc w:val="center"/>
              <w:rPr>
                <w:rFonts w:ascii="仿宋" w:hAnsi="仿宋" w:eastAsia="仿宋"/>
                <w:bCs/>
                <w:color w:val="auto"/>
                <w:sz w:val="24"/>
                <w:szCs w:val="24"/>
                <w:u w:val="single"/>
              </w:rPr>
            </w:pPr>
          </w:p>
        </w:tc>
        <w:tc>
          <w:tcPr>
            <w:tcW w:w="1272" w:type="dxa"/>
            <w:vAlign w:val="center"/>
          </w:tcPr>
          <w:p w14:paraId="0C9AD023">
            <w:pPr>
              <w:snapToGrid w:val="0"/>
              <w:jc w:val="center"/>
              <w:rPr>
                <w:rFonts w:ascii="仿宋" w:hAnsi="仿宋" w:eastAsia="仿宋"/>
                <w:bCs/>
                <w:color w:val="auto"/>
                <w:sz w:val="24"/>
                <w:szCs w:val="24"/>
                <w:u w:val="single"/>
              </w:rPr>
            </w:pPr>
          </w:p>
        </w:tc>
      </w:tr>
    </w:tbl>
    <w:p w14:paraId="18FE9478">
      <w:pPr>
        <w:spacing w:line="360" w:lineRule="auto"/>
        <w:rPr>
          <w:rFonts w:ascii="仿宋" w:hAnsi="仿宋" w:eastAsia="仿宋"/>
          <w:bCs/>
          <w:color w:val="auto"/>
          <w:sz w:val="24"/>
          <w:szCs w:val="24"/>
        </w:rPr>
      </w:pPr>
      <w:r>
        <w:rPr>
          <w:rFonts w:hint="eastAsia" w:ascii="仿宋" w:hAnsi="仿宋" w:eastAsia="仿宋"/>
          <w:bCs/>
          <w:color w:val="auto"/>
          <w:sz w:val="24"/>
          <w:szCs w:val="24"/>
        </w:rPr>
        <w:t>注：须提供业绩证明材料（</w:t>
      </w:r>
      <w:r>
        <w:rPr>
          <w:rFonts w:ascii="仿宋" w:hAnsi="仿宋" w:eastAsia="仿宋"/>
          <w:bCs/>
          <w:color w:val="auto"/>
          <w:sz w:val="24"/>
          <w:szCs w:val="24"/>
        </w:rPr>
        <w:t>中标通知书或合同材料</w:t>
      </w:r>
      <w:r>
        <w:rPr>
          <w:rFonts w:hint="eastAsia" w:ascii="仿宋" w:hAnsi="仿宋" w:eastAsia="仿宋"/>
          <w:bCs/>
          <w:color w:val="auto"/>
          <w:sz w:val="24"/>
          <w:szCs w:val="24"/>
        </w:rPr>
        <w:t>）复印件。</w:t>
      </w:r>
    </w:p>
    <w:p w14:paraId="04DA114B">
      <w:pPr>
        <w:tabs>
          <w:tab w:val="left" w:pos="345"/>
          <w:tab w:val="left" w:pos="600"/>
        </w:tabs>
        <w:spacing w:line="360" w:lineRule="auto"/>
        <w:jc w:val="center"/>
        <w:outlineLvl w:val="1"/>
        <w:rPr>
          <w:rFonts w:ascii="仿宋" w:hAnsi="仿宋" w:eastAsia="仿宋"/>
          <w:b/>
          <w:color w:val="auto"/>
          <w:sz w:val="30"/>
          <w:szCs w:val="30"/>
        </w:rPr>
      </w:pPr>
    </w:p>
    <w:p w14:paraId="078EB350">
      <w:pPr>
        <w:pageBreakBefore/>
        <w:tabs>
          <w:tab w:val="left" w:pos="345"/>
          <w:tab w:val="left" w:pos="600"/>
        </w:tabs>
        <w:spacing w:line="360" w:lineRule="auto"/>
        <w:jc w:val="center"/>
        <w:outlineLvl w:val="1"/>
        <w:rPr>
          <w:rFonts w:ascii="仿宋" w:hAnsi="仿宋" w:eastAsia="仿宋"/>
          <w:b/>
          <w:color w:val="auto"/>
          <w:sz w:val="30"/>
          <w:szCs w:val="30"/>
        </w:rPr>
      </w:pPr>
      <w:bookmarkStart w:id="255" w:name="_Toc232004935"/>
      <w:r>
        <w:rPr>
          <w:rFonts w:hint="eastAsia" w:ascii="仿宋" w:hAnsi="仿宋" w:eastAsia="仿宋"/>
          <w:b/>
          <w:color w:val="auto"/>
          <w:sz w:val="30"/>
          <w:szCs w:val="30"/>
        </w:rPr>
        <w:t>六、供应商对响应文件真实性负责的承诺</w:t>
      </w:r>
      <w:bookmarkEnd w:id="252"/>
      <w:bookmarkEnd w:id="255"/>
    </w:p>
    <w:p w14:paraId="7D0709AC">
      <w:pPr>
        <w:spacing w:line="360" w:lineRule="auto"/>
        <w:jc w:val="center"/>
        <w:rPr>
          <w:rFonts w:ascii="仿宋" w:hAnsi="仿宋" w:eastAsia="仿宋"/>
          <w:color w:val="auto"/>
          <w:sz w:val="24"/>
          <w:szCs w:val="24"/>
        </w:rPr>
      </w:pPr>
      <w:r>
        <w:rPr>
          <w:rFonts w:hint="eastAsia" w:ascii="仿宋" w:hAnsi="仿宋" w:eastAsia="仿宋"/>
          <w:color w:val="auto"/>
          <w:sz w:val="24"/>
          <w:szCs w:val="24"/>
        </w:rPr>
        <w:t>供应商自行承诺或说明，格式不限。</w:t>
      </w:r>
    </w:p>
    <w:bookmarkEnd w:id="253"/>
    <w:bookmarkEnd w:id="254"/>
    <w:p w14:paraId="40888651">
      <w:pPr>
        <w:spacing w:line="360" w:lineRule="auto"/>
        <w:jc w:val="center"/>
        <w:rPr>
          <w:rFonts w:ascii="仿宋" w:hAnsi="仿宋" w:eastAsia="仿宋"/>
          <w:color w:val="auto"/>
          <w:sz w:val="24"/>
          <w:szCs w:val="24"/>
        </w:rPr>
      </w:pPr>
    </w:p>
    <w:p w14:paraId="6B619C5A">
      <w:pPr>
        <w:jc w:val="center"/>
        <w:rPr>
          <w:rFonts w:ascii="仿宋" w:hAnsi="仿宋" w:eastAsia="仿宋"/>
          <w:color w:val="auto"/>
        </w:rPr>
      </w:pPr>
    </w:p>
    <w:p w14:paraId="0016FB77">
      <w:pPr>
        <w:jc w:val="center"/>
        <w:rPr>
          <w:rFonts w:ascii="仿宋" w:hAnsi="仿宋" w:eastAsia="仿宋"/>
          <w:color w:val="auto"/>
        </w:rPr>
      </w:pPr>
    </w:p>
    <w:p w14:paraId="7CBE744D">
      <w:pPr>
        <w:spacing w:line="360" w:lineRule="auto"/>
        <w:ind w:firstLine="540" w:firstLineChars="225"/>
        <w:rPr>
          <w:rFonts w:ascii="仿宋" w:hAnsi="仿宋" w:eastAsia="仿宋"/>
          <w:color w:val="auto"/>
          <w:sz w:val="24"/>
        </w:rPr>
      </w:pPr>
    </w:p>
    <w:p w14:paraId="530A1F1E">
      <w:pPr>
        <w:spacing w:line="360" w:lineRule="auto"/>
        <w:ind w:firstLine="2" w:firstLineChars="1"/>
        <w:rPr>
          <w:rFonts w:ascii="仿宋" w:hAnsi="仿宋" w:eastAsia="仿宋" w:cs="宋体"/>
          <w:color w:val="auto"/>
          <w:sz w:val="24"/>
          <w:szCs w:val="24"/>
        </w:rPr>
      </w:pPr>
      <w:r>
        <w:rPr>
          <w:rFonts w:hint="eastAsia" w:ascii="仿宋" w:hAnsi="仿宋" w:eastAsia="仿宋" w:cs="宋体"/>
          <w:color w:val="auto"/>
          <w:sz w:val="24"/>
          <w:szCs w:val="24"/>
        </w:rPr>
        <w:t>供应商：</w:t>
      </w:r>
      <w:r>
        <w:rPr>
          <w:rFonts w:hint="eastAsia" w:ascii="仿宋" w:hAnsi="仿宋" w:eastAsia="仿宋" w:cs="宋体"/>
          <w:color w:val="auto"/>
          <w:sz w:val="24"/>
          <w:szCs w:val="24"/>
          <w:u w:val="single"/>
        </w:rPr>
        <w:t xml:space="preserve">                            </w:t>
      </w:r>
      <w:r>
        <w:rPr>
          <w:rFonts w:hint="eastAsia" w:ascii="仿宋" w:hAnsi="仿宋" w:eastAsia="仿宋" w:cs="宋体"/>
          <w:color w:val="auto"/>
          <w:sz w:val="24"/>
          <w:szCs w:val="24"/>
        </w:rPr>
        <w:t>（盖章）</w:t>
      </w:r>
    </w:p>
    <w:p w14:paraId="781EF832">
      <w:pPr>
        <w:spacing w:line="360" w:lineRule="auto"/>
        <w:ind w:firstLine="2" w:firstLineChars="1"/>
        <w:rPr>
          <w:rFonts w:ascii="仿宋" w:hAnsi="仿宋" w:eastAsia="仿宋" w:cs="宋体"/>
          <w:color w:val="auto"/>
          <w:sz w:val="24"/>
          <w:szCs w:val="24"/>
        </w:rPr>
      </w:pPr>
      <w:r>
        <w:rPr>
          <w:rFonts w:hint="eastAsia" w:ascii="仿宋" w:hAnsi="仿宋" w:eastAsia="仿宋"/>
          <w:color w:val="auto"/>
          <w:sz w:val="24"/>
          <w:szCs w:val="24"/>
        </w:rPr>
        <w:t>法定代表人或授权代理人：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14:paraId="7DD07172">
      <w:pPr>
        <w:spacing w:line="360" w:lineRule="auto"/>
        <w:ind w:firstLine="2" w:firstLineChars="1"/>
        <w:rPr>
          <w:rFonts w:ascii="仿宋" w:hAnsi="仿宋" w:eastAsia="仿宋" w:cs="宋体"/>
          <w:color w:val="auto"/>
          <w:sz w:val="24"/>
          <w:szCs w:val="24"/>
          <w:u w:val="single"/>
        </w:rPr>
      </w:pPr>
      <w:r>
        <w:rPr>
          <w:rFonts w:hint="eastAsia" w:ascii="仿宋" w:hAnsi="仿宋" w:eastAsia="仿宋" w:cs="宋体"/>
          <w:color w:val="auto"/>
          <w:sz w:val="24"/>
        </w:rPr>
        <w:t>日期：</w:t>
      </w:r>
      <w:r>
        <w:rPr>
          <w:rFonts w:hint="eastAsia" w:ascii="仿宋" w:hAnsi="仿宋" w:eastAsia="仿宋" w:cs="宋体"/>
          <w:color w:val="auto"/>
          <w:sz w:val="24"/>
          <w:u w:val="single"/>
        </w:rPr>
        <w:t xml:space="preserve">        </w:t>
      </w:r>
      <w:r>
        <w:rPr>
          <w:rFonts w:hint="eastAsia" w:ascii="仿宋" w:hAnsi="仿宋" w:eastAsia="仿宋" w:cs="宋体"/>
          <w:color w:val="auto"/>
          <w:sz w:val="24"/>
        </w:rPr>
        <w:t>年</w:t>
      </w:r>
      <w:r>
        <w:rPr>
          <w:rFonts w:hint="eastAsia" w:ascii="仿宋" w:hAnsi="仿宋" w:eastAsia="仿宋" w:cs="宋体"/>
          <w:color w:val="auto"/>
          <w:sz w:val="24"/>
          <w:u w:val="single"/>
        </w:rPr>
        <w:t xml:space="preserve">       </w:t>
      </w:r>
      <w:r>
        <w:rPr>
          <w:rFonts w:hint="eastAsia" w:ascii="仿宋" w:hAnsi="仿宋" w:eastAsia="仿宋" w:cs="宋体"/>
          <w:color w:val="auto"/>
          <w:sz w:val="24"/>
        </w:rPr>
        <w:t>月</w:t>
      </w:r>
      <w:r>
        <w:rPr>
          <w:rFonts w:hint="eastAsia" w:ascii="仿宋" w:hAnsi="仿宋" w:eastAsia="仿宋" w:cs="宋体"/>
          <w:color w:val="auto"/>
          <w:sz w:val="24"/>
          <w:u w:val="single"/>
        </w:rPr>
        <w:t xml:space="preserve">       </w:t>
      </w:r>
      <w:r>
        <w:rPr>
          <w:rFonts w:hint="eastAsia" w:ascii="仿宋" w:hAnsi="仿宋" w:eastAsia="仿宋" w:cs="宋体"/>
          <w:color w:val="auto"/>
          <w:sz w:val="24"/>
        </w:rPr>
        <w:t>日</w:t>
      </w:r>
    </w:p>
    <w:p w14:paraId="33166F9D">
      <w:pPr>
        <w:pStyle w:val="31"/>
        <w:snapToGrid w:val="0"/>
        <w:spacing w:line="360" w:lineRule="auto"/>
        <w:ind w:firstLine="600" w:firstLineChars="250"/>
        <w:jc w:val="left"/>
        <w:rPr>
          <w:rFonts w:ascii="仿宋" w:hAnsi="仿宋" w:eastAsia="仿宋" w:cs="宋体"/>
          <w:color w:val="auto"/>
          <w:kern w:val="0"/>
          <w:sz w:val="24"/>
        </w:rPr>
      </w:pPr>
    </w:p>
    <w:p w14:paraId="042AB6C9">
      <w:pPr>
        <w:pStyle w:val="31"/>
        <w:snapToGrid w:val="0"/>
        <w:spacing w:line="360" w:lineRule="auto"/>
        <w:jc w:val="left"/>
        <w:rPr>
          <w:rFonts w:ascii="仿宋" w:hAnsi="仿宋" w:eastAsia="仿宋" w:cs="宋体"/>
          <w:color w:val="auto"/>
          <w:kern w:val="0"/>
          <w:sz w:val="24"/>
        </w:rPr>
      </w:pPr>
    </w:p>
    <w:p w14:paraId="122C395C">
      <w:pPr>
        <w:pStyle w:val="31"/>
        <w:snapToGrid w:val="0"/>
        <w:spacing w:line="360" w:lineRule="auto"/>
        <w:jc w:val="left"/>
        <w:rPr>
          <w:rFonts w:ascii="仿宋" w:hAnsi="仿宋" w:eastAsia="仿宋" w:cs="宋体"/>
          <w:color w:val="auto"/>
          <w:kern w:val="0"/>
          <w:sz w:val="24"/>
        </w:rPr>
      </w:pPr>
    </w:p>
    <w:p w14:paraId="4C304C40">
      <w:pPr>
        <w:pStyle w:val="31"/>
        <w:snapToGrid w:val="0"/>
        <w:spacing w:line="360" w:lineRule="auto"/>
        <w:jc w:val="left"/>
        <w:rPr>
          <w:rFonts w:ascii="仿宋" w:hAnsi="仿宋" w:eastAsia="仿宋" w:cs="宋体"/>
          <w:color w:val="auto"/>
          <w:kern w:val="0"/>
          <w:sz w:val="24"/>
        </w:rPr>
      </w:pPr>
    </w:p>
    <w:p w14:paraId="5E6E7983">
      <w:pPr>
        <w:pStyle w:val="31"/>
        <w:snapToGrid w:val="0"/>
        <w:spacing w:line="360" w:lineRule="auto"/>
        <w:jc w:val="left"/>
        <w:rPr>
          <w:rFonts w:ascii="仿宋" w:hAnsi="仿宋" w:eastAsia="仿宋" w:cs="宋体"/>
          <w:color w:val="auto"/>
          <w:kern w:val="0"/>
          <w:sz w:val="24"/>
        </w:rPr>
      </w:pPr>
    </w:p>
    <w:p w14:paraId="54946C1C">
      <w:pPr>
        <w:pStyle w:val="31"/>
        <w:snapToGrid w:val="0"/>
        <w:spacing w:line="360" w:lineRule="auto"/>
        <w:jc w:val="left"/>
        <w:rPr>
          <w:rFonts w:ascii="仿宋" w:hAnsi="仿宋" w:eastAsia="仿宋" w:cs="宋体"/>
          <w:color w:val="auto"/>
          <w:kern w:val="0"/>
          <w:sz w:val="24"/>
        </w:rPr>
      </w:pPr>
    </w:p>
    <w:p w14:paraId="0FC8EEBC">
      <w:pPr>
        <w:pStyle w:val="31"/>
        <w:snapToGrid w:val="0"/>
        <w:spacing w:line="360" w:lineRule="auto"/>
        <w:jc w:val="left"/>
        <w:rPr>
          <w:rFonts w:ascii="仿宋" w:hAnsi="仿宋" w:eastAsia="仿宋" w:cs="宋体"/>
          <w:color w:val="auto"/>
          <w:kern w:val="0"/>
          <w:sz w:val="24"/>
        </w:rPr>
      </w:pPr>
      <w:r>
        <w:rPr>
          <w:rFonts w:hint="eastAsia" w:ascii="仿宋" w:hAnsi="仿宋" w:eastAsia="仿宋" w:cs="宋体"/>
          <w:color w:val="auto"/>
          <w:kern w:val="0"/>
          <w:sz w:val="24"/>
        </w:rPr>
        <w:br w:type="page"/>
      </w:r>
    </w:p>
    <w:p w14:paraId="11AD5897">
      <w:pPr>
        <w:tabs>
          <w:tab w:val="left" w:pos="345"/>
          <w:tab w:val="left" w:pos="600"/>
        </w:tabs>
        <w:spacing w:line="360" w:lineRule="auto"/>
        <w:jc w:val="center"/>
        <w:outlineLvl w:val="1"/>
        <w:rPr>
          <w:rFonts w:ascii="仿宋" w:hAnsi="仿宋" w:eastAsia="仿宋"/>
          <w:b/>
          <w:color w:val="auto"/>
          <w:sz w:val="30"/>
          <w:szCs w:val="30"/>
        </w:rPr>
      </w:pPr>
      <w:bookmarkStart w:id="256" w:name="_Toc208476382"/>
      <w:bookmarkStart w:id="257" w:name="_Toc232004936"/>
      <w:bookmarkStart w:id="258" w:name="_Toc134427106"/>
      <w:bookmarkStart w:id="259" w:name="_Toc105068345"/>
      <w:r>
        <w:rPr>
          <w:rFonts w:hint="eastAsia" w:ascii="仿宋" w:hAnsi="仿宋" w:eastAsia="仿宋"/>
          <w:b/>
          <w:color w:val="auto"/>
          <w:sz w:val="30"/>
          <w:szCs w:val="30"/>
        </w:rPr>
        <w:t>七、保密承诺书</w:t>
      </w:r>
      <w:bookmarkEnd w:id="256"/>
      <w:bookmarkEnd w:id="257"/>
    </w:p>
    <w:p w14:paraId="3F709BF1">
      <w:pPr>
        <w:adjustRightInd w:val="0"/>
        <w:snapToGrid w:val="0"/>
        <w:spacing w:line="500" w:lineRule="exact"/>
        <w:rPr>
          <w:rFonts w:ascii="仿宋" w:hAnsi="仿宋" w:eastAsia="仿宋"/>
          <w:color w:val="auto"/>
          <w:sz w:val="24"/>
          <w:szCs w:val="24"/>
        </w:rPr>
      </w:pPr>
      <w:r>
        <w:rPr>
          <w:rFonts w:hint="eastAsia" w:ascii="仿宋" w:hAnsi="仿宋" w:eastAsia="仿宋"/>
          <w:color w:val="auto"/>
          <w:sz w:val="24"/>
          <w:szCs w:val="24"/>
        </w:rPr>
        <w:t>致：</w:t>
      </w:r>
      <w:r>
        <w:rPr>
          <w:rFonts w:hint="eastAsia" w:ascii="仿宋" w:hAnsi="仿宋" w:eastAsia="仿宋" w:cs="宋体"/>
          <w:color w:val="auto"/>
          <w:sz w:val="24"/>
          <w:szCs w:val="24"/>
          <w:u w:val="single"/>
        </w:rPr>
        <w:t>石林彝族自治县自然资源局</w:t>
      </w:r>
    </w:p>
    <w:p w14:paraId="59790CD8">
      <w:pPr>
        <w:adjustRightInd w:val="0"/>
        <w:snapToGrid w:val="0"/>
        <w:spacing w:line="500" w:lineRule="exact"/>
        <w:ind w:firstLine="600" w:firstLineChars="250"/>
        <w:rPr>
          <w:rFonts w:ascii="仿宋" w:hAnsi="仿宋" w:eastAsia="仿宋"/>
          <w:color w:val="auto"/>
          <w:sz w:val="24"/>
          <w:szCs w:val="24"/>
        </w:rPr>
      </w:pPr>
      <w:r>
        <w:rPr>
          <w:rFonts w:hint="eastAsia" w:ascii="仿宋" w:hAnsi="仿宋" w:eastAsia="仿宋"/>
          <w:color w:val="auto"/>
          <w:sz w:val="24"/>
          <w:szCs w:val="24"/>
        </w:rPr>
        <w:t>我公司报名参加了你方的</w:t>
      </w:r>
      <w:r>
        <w:rPr>
          <w:rFonts w:hint="eastAsia" w:ascii="仿宋" w:hAnsi="仿宋" w:eastAsia="仿宋"/>
          <w:color w:val="auto"/>
          <w:sz w:val="24"/>
          <w:szCs w:val="24"/>
          <w:u w:val="single"/>
        </w:rPr>
        <w:t>石林彝族自治县自然资源局购买破坏耕地司法鉴定服务</w:t>
      </w:r>
      <w:r>
        <w:rPr>
          <w:rFonts w:hint="eastAsia" w:ascii="仿宋" w:hAnsi="仿宋" w:eastAsia="仿宋"/>
          <w:color w:val="auto"/>
          <w:sz w:val="24"/>
          <w:szCs w:val="24"/>
        </w:rPr>
        <w:t>的竞争性磋商，现阶段作为潜在供应商，我方承诺在整个竞争性磋商过程中，及其后期我公司如有幸成交，在为你方服务的过程中，如知悉或获取有关涉密的资料或信息。我方将有效保护涉密的资料或信息，防止被公开披露或以任何形式泄漏。若因我方泄密所造成的采购人损失，我方将全额进行补偿并主动消除负面影响。</w:t>
      </w:r>
    </w:p>
    <w:p w14:paraId="12F89386">
      <w:pPr>
        <w:adjustRightInd w:val="0"/>
        <w:snapToGrid w:val="0"/>
        <w:spacing w:line="500" w:lineRule="exact"/>
        <w:ind w:firstLine="600" w:firstLineChars="250"/>
        <w:rPr>
          <w:rFonts w:ascii="仿宋" w:hAnsi="仿宋" w:eastAsia="仿宋"/>
          <w:color w:val="auto"/>
          <w:sz w:val="24"/>
          <w:szCs w:val="24"/>
        </w:rPr>
      </w:pPr>
      <w:r>
        <w:rPr>
          <w:rFonts w:hint="eastAsia" w:ascii="仿宋" w:hAnsi="仿宋" w:eastAsia="仿宋"/>
          <w:color w:val="auto"/>
          <w:sz w:val="24"/>
          <w:szCs w:val="24"/>
        </w:rPr>
        <w:t>特此承诺。</w:t>
      </w:r>
    </w:p>
    <w:p w14:paraId="5A41AB95">
      <w:pPr>
        <w:pStyle w:val="31"/>
        <w:spacing w:line="360" w:lineRule="auto"/>
        <w:ind w:firstLine="480" w:firstLineChars="200"/>
        <w:rPr>
          <w:rFonts w:ascii="仿宋" w:hAnsi="仿宋" w:eastAsia="仿宋"/>
          <w:color w:val="auto"/>
          <w:sz w:val="24"/>
          <w:szCs w:val="24"/>
        </w:rPr>
      </w:pPr>
    </w:p>
    <w:p w14:paraId="545C1173">
      <w:pPr>
        <w:pStyle w:val="31"/>
        <w:spacing w:line="360" w:lineRule="auto"/>
        <w:rPr>
          <w:rFonts w:ascii="仿宋" w:hAnsi="仿宋" w:eastAsia="仿宋"/>
          <w:color w:val="auto"/>
          <w:sz w:val="24"/>
          <w:szCs w:val="24"/>
        </w:rPr>
      </w:pPr>
    </w:p>
    <w:p w14:paraId="5ADDCB85">
      <w:pPr>
        <w:tabs>
          <w:tab w:val="left" w:pos="0"/>
        </w:tabs>
        <w:spacing w:line="360" w:lineRule="auto"/>
        <w:ind w:right="-212" w:firstLine="100"/>
        <w:rPr>
          <w:rFonts w:ascii="仿宋" w:hAnsi="仿宋" w:eastAsia="仿宋"/>
          <w:color w:val="auto"/>
          <w:sz w:val="24"/>
          <w:szCs w:val="24"/>
          <w:u w:val="single"/>
        </w:rPr>
      </w:pPr>
      <w:r>
        <w:rPr>
          <w:rFonts w:hint="eastAsia" w:ascii="仿宋" w:hAnsi="仿宋" w:eastAsia="仿宋"/>
          <w:color w:val="auto"/>
          <w:spacing w:val="-4"/>
          <w:sz w:val="24"/>
          <w:szCs w:val="24"/>
        </w:rPr>
        <w:t>供应商</w:t>
      </w:r>
      <w:r>
        <w:rPr>
          <w:rFonts w:hint="eastAsia" w:ascii="仿宋" w:hAnsi="仿宋" w:eastAsia="仿宋"/>
          <w:color w:val="auto"/>
          <w:sz w:val="24"/>
          <w:szCs w:val="24"/>
        </w:rPr>
        <w:t>：</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（盖章）</w:t>
      </w:r>
    </w:p>
    <w:p w14:paraId="0073ED02">
      <w:pPr>
        <w:tabs>
          <w:tab w:val="left" w:pos="0"/>
        </w:tabs>
        <w:spacing w:line="360" w:lineRule="auto"/>
        <w:ind w:right="-212" w:firstLine="100"/>
        <w:rPr>
          <w:rFonts w:ascii="仿宋" w:hAnsi="仿宋" w:eastAsia="仿宋"/>
          <w:color w:val="auto"/>
          <w:sz w:val="24"/>
          <w:szCs w:val="24"/>
          <w:u w:val="single"/>
        </w:rPr>
      </w:pPr>
      <w:r>
        <w:rPr>
          <w:rFonts w:hint="eastAsia" w:ascii="仿宋" w:hAnsi="仿宋" w:eastAsia="仿宋"/>
          <w:color w:val="auto"/>
          <w:sz w:val="24"/>
          <w:szCs w:val="24"/>
        </w:rPr>
        <w:t xml:space="preserve">法定代表人或授权代理人： </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14:paraId="1FB97091">
      <w:pPr>
        <w:pStyle w:val="31"/>
        <w:spacing w:line="360" w:lineRule="auto"/>
        <w:ind w:firstLine="120" w:firstLineChars="50"/>
        <w:rPr>
          <w:rFonts w:ascii="仿宋" w:hAnsi="仿宋" w:eastAsia="仿宋"/>
          <w:color w:val="auto"/>
        </w:rPr>
      </w:pPr>
      <w:r>
        <w:rPr>
          <w:rFonts w:hint="eastAsia" w:ascii="仿宋" w:hAnsi="仿宋" w:eastAsia="仿宋"/>
          <w:color w:val="auto"/>
          <w:sz w:val="24"/>
          <w:szCs w:val="24"/>
        </w:rPr>
        <w:t>日  期：</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年</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月</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w:t>
      </w:r>
    </w:p>
    <w:p w14:paraId="726CF56F">
      <w:pPr>
        <w:spacing w:line="360" w:lineRule="auto"/>
        <w:jc w:val="center"/>
        <w:outlineLvl w:val="1"/>
        <w:rPr>
          <w:rFonts w:ascii="仿宋" w:hAnsi="仿宋" w:eastAsia="仿宋"/>
          <w:b/>
          <w:color w:val="auto"/>
          <w:sz w:val="30"/>
          <w:szCs w:val="30"/>
        </w:rPr>
      </w:pPr>
    </w:p>
    <w:p w14:paraId="08007B12">
      <w:pPr>
        <w:spacing w:line="360" w:lineRule="auto"/>
        <w:jc w:val="center"/>
        <w:outlineLvl w:val="1"/>
        <w:rPr>
          <w:rFonts w:ascii="仿宋" w:hAnsi="仿宋" w:eastAsia="仿宋"/>
          <w:b/>
          <w:color w:val="auto"/>
          <w:sz w:val="30"/>
          <w:szCs w:val="30"/>
        </w:rPr>
      </w:pPr>
    </w:p>
    <w:p w14:paraId="301437BE">
      <w:pPr>
        <w:pageBreakBefore/>
        <w:tabs>
          <w:tab w:val="left" w:pos="345"/>
          <w:tab w:val="left" w:pos="600"/>
        </w:tabs>
        <w:spacing w:line="360" w:lineRule="auto"/>
        <w:jc w:val="center"/>
        <w:outlineLvl w:val="1"/>
        <w:rPr>
          <w:rFonts w:ascii="仿宋" w:hAnsi="仿宋" w:eastAsia="仿宋"/>
          <w:b/>
          <w:color w:val="auto"/>
          <w:sz w:val="30"/>
          <w:szCs w:val="30"/>
        </w:rPr>
      </w:pPr>
      <w:bookmarkStart w:id="260" w:name="_Toc232004937"/>
      <w:r>
        <w:rPr>
          <w:rFonts w:hint="eastAsia" w:ascii="仿宋" w:hAnsi="仿宋" w:eastAsia="仿宋"/>
          <w:b/>
          <w:color w:val="auto"/>
          <w:sz w:val="30"/>
          <w:szCs w:val="30"/>
        </w:rPr>
        <w:t>八、供应商承诺书</w:t>
      </w:r>
      <w:bookmarkEnd w:id="258"/>
      <w:bookmarkEnd w:id="259"/>
      <w:bookmarkEnd w:id="260"/>
    </w:p>
    <w:p w14:paraId="32A2602B">
      <w:pPr>
        <w:spacing w:line="520" w:lineRule="exact"/>
        <w:ind w:firstLine="480" w:firstLineChars="200"/>
        <w:rPr>
          <w:rFonts w:ascii="仿宋" w:hAnsi="仿宋" w:eastAsia="仿宋" w:cs="宋体"/>
          <w:color w:val="auto"/>
          <w:sz w:val="24"/>
        </w:rPr>
      </w:pPr>
      <w:r>
        <w:rPr>
          <w:rFonts w:hint="eastAsia" w:ascii="仿宋" w:hAnsi="仿宋" w:eastAsia="仿宋" w:cs="宋体"/>
          <w:color w:val="auto"/>
          <w:sz w:val="24"/>
        </w:rPr>
        <w:t>本企业为参与</w:t>
      </w:r>
      <w:r>
        <w:rPr>
          <w:rFonts w:hint="eastAsia" w:ascii="仿宋" w:hAnsi="仿宋" w:eastAsia="仿宋" w:cs="宋体"/>
          <w:color w:val="auto"/>
          <w:sz w:val="24"/>
          <w:u w:val="single"/>
        </w:rPr>
        <w:t>石林彝族自治县自然资源局购买破坏耕地司法鉴定服务</w:t>
      </w:r>
      <w:r>
        <w:rPr>
          <w:rFonts w:hint="eastAsia" w:ascii="仿宋" w:hAnsi="仿宋" w:eastAsia="仿宋" w:cs="宋体"/>
          <w:color w:val="auto"/>
          <w:sz w:val="24"/>
        </w:rPr>
        <w:t>的供应商，现作如下承诺：</w:t>
      </w:r>
    </w:p>
    <w:p w14:paraId="69B640AC">
      <w:pPr>
        <w:spacing w:line="520" w:lineRule="exact"/>
        <w:ind w:firstLine="480" w:firstLineChars="200"/>
        <w:rPr>
          <w:rFonts w:ascii="仿宋" w:hAnsi="仿宋" w:eastAsia="仿宋" w:cs="宋体"/>
          <w:color w:val="auto"/>
          <w:sz w:val="24"/>
        </w:rPr>
      </w:pPr>
      <w:r>
        <w:rPr>
          <w:rFonts w:hint="eastAsia" w:ascii="仿宋" w:hAnsi="仿宋" w:eastAsia="仿宋" w:cs="宋体"/>
          <w:color w:val="auto"/>
          <w:sz w:val="24"/>
        </w:rPr>
        <w:t>1、我公司参与此次竞争性磋商活动所提交的所有资料都是合法、真实、有效的。</w:t>
      </w:r>
    </w:p>
    <w:p w14:paraId="5A025089">
      <w:pPr>
        <w:spacing w:line="520" w:lineRule="exact"/>
        <w:ind w:firstLine="480" w:firstLineChars="200"/>
        <w:rPr>
          <w:rFonts w:ascii="仿宋" w:hAnsi="仿宋" w:eastAsia="仿宋" w:cs="宋体"/>
          <w:color w:val="auto"/>
          <w:sz w:val="24"/>
        </w:rPr>
      </w:pPr>
      <w:r>
        <w:rPr>
          <w:rFonts w:hint="eastAsia" w:ascii="仿宋" w:hAnsi="仿宋" w:eastAsia="仿宋" w:cs="宋体"/>
          <w:color w:val="auto"/>
          <w:sz w:val="24"/>
        </w:rPr>
        <w:t>2、不与其他供应商串通，依法、依规公平竞争，不损害采购人或其他供应商的合法权益。</w:t>
      </w:r>
    </w:p>
    <w:p w14:paraId="70EC7D16">
      <w:pPr>
        <w:spacing w:line="520" w:lineRule="exact"/>
        <w:ind w:firstLine="480" w:firstLineChars="200"/>
        <w:rPr>
          <w:rFonts w:ascii="仿宋" w:hAnsi="仿宋" w:eastAsia="仿宋" w:cs="宋体"/>
          <w:color w:val="auto"/>
          <w:sz w:val="24"/>
        </w:rPr>
      </w:pPr>
      <w:r>
        <w:rPr>
          <w:rFonts w:hint="eastAsia" w:ascii="仿宋" w:hAnsi="仿宋" w:eastAsia="仿宋" w:cs="宋体"/>
          <w:color w:val="auto"/>
          <w:sz w:val="24"/>
        </w:rPr>
        <w:t>3、不转让、出租、出借资质证书、人员岗位证书，不以法律、法规禁止的方式参与本项目。</w:t>
      </w:r>
    </w:p>
    <w:p w14:paraId="01BF48B4">
      <w:pPr>
        <w:spacing w:line="520" w:lineRule="exact"/>
        <w:ind w:firstLine="480" w:firstLineChars="200"/>
        <w:rPr>
          <w:rFonts w:ascii="仿宋" w:hAnsi="仿宋" w:eastAsia="仿宋" w:cs="宋体"/>
          <w:color w:val="auto"/>
          <w:sz w:val="24"/>
        </w:rPr>
      </w:pPr>
      <w:r>
        <w:rPr>
          <w:rFonts w:hint="eastAsia" w:ascii="仿宋" w:hAnsi="仿宋" w:eastAsia="仿宋" w:cs="宋体"/>
          <w:color w:val="auto"/>
          <w:sz w:val="24"/>
        </w:rPr>
        <w:t>4、不与采购人或采购代理机构串通，不损害国家利益、社会公共利益或其他当事人的合法权益。</w:t>
      </w:r>
    </w:p>
    <w:p w14:paraId="07C5191A">
      <w:pPr>
        <w:spacing w:line="520" w:lineRule="exact"/>
        <w:ind w:firstLine="480" w:firstLineChars="200"/>
        <w:rPr>
          <w:rFonts w:ascii="仿宋" w:hAnsi="仿宋" w:eastAsia="仿宋" w:cs="宋体"/>
          <w:color w:val="auto"/>
          <w:sz w:val="24"/>
        </w:rPr>
      </w:pPr>
      <w:r>
        <w:rPr>
          <w:rFonts w:hint="eastAsia" w:ascii="仿宋" w:hAnsi="仿宋" w:eastAsia="仿宋" w:cs="宋体"/>
          <w:color w:val="auto"/>
          <w:sz w:val="24"/>
        </w:rPr>
        <w:t>5、不向采购人、评审委员会成员、监督人员行贿。</w:t>
      </w:r>
    </w:p>
    <w:p w14:paraId="7AA52D55">
      <w:pPr>
        <w:spacing w:line="520" w:lineRule="exact"/>
        <w:ind w:firstLine="480" w:firstLineChars="200"/>
        <w:rPr>
          <w:rFonts w:ascii="仿宋" w:hAnsi="仿宋" w:eastAsia="仿宋" w:cs="宋体"/>
          <w:color w:val="auto"/>
          <w:sz w:val="24"/>
        </w:rPr>
      </w:pPr>
      <w:r>
        <w:rPr>
          <w:rFonts w:hint="eastAsia" w:ascii="仿宋" w:hAnsi="仿宋" w:eastAsia="仿宋" w:cs="宋体"/>
          <w:color w:val="auto"/>
          <w:sz w:val="24"/>
        </w:rPr>
        <w:t>6、不扰乱磋商活动的正常秩序。</w:t>
      </w:r>
    </w:p>
    <w:p w14:paraId="6CC8A105">
      <w:pPr>
        <w:spacing w:line="520" w:lineRule="exact"/>
        <w:ind w:firstLine="480" w:firstLineChars="200"/>
        <w:rPr>
          <w:rFonts w:ascii="仿宋" w:hAnsi="仿宋" w:eastAsia="仿宋" w:cs="宋体"/>
          <w:color w:val="auto"/>
          <w:sz w:val="24"/>
        </w:rPr>
      </w:pPr>
      <w:r>
        <w:rPr>
          <w:rFonts w:hint="eastAsia" w:ascii="仿宋" w:hAnsi="仿宋" w:eastAsia="仿宋" w:cs="宋体"/>
          <w:color w:val="auto"/>
          <w:sz w:val="24"/>
        </w:rPr>
        <w:t>7、不进行虚假恶意投诉。</w:t>
      </w:r>
    </w:p>
    <w:p w14:paraId="574ABF20">
      <w:pPr>
        <w:spacing w:line="520" w:lineRule="exact"/>
        <w:ind w:firstLine="480" w:firstLineChars="200"/>
        <w:rPr>
          <w:rFonts w:ascii="仿宋" w:hAnsi="仿宋" w:eastAsia="仿宋" w:cs="宋体"/>
          <w:color w:val="auto"/>
          <w:sz w:val="24"/>
        </w:rPr>
      </w:pPr>
      <w:r>
        <w:rPr>
          <w:rFonts w:hint="eastAsia" w:ascii="仿宋" w:hAnsi="仿宋" w:eastAsia="仿宋" w:cs="宋体"/>
          <w:color w:val="auto"/>
          <w:sz w:val="24"/>
        </w:rPr>
        <w:t>8、因违反法律、法规或相关规定被查处的，不干预案件查处。</w:t>
      </w:r>
    </w:p>
    <w:p w14:paraId="100439F2">
      <w:pPr>
        <w:spacing w:line="520" w:lineRule="exact"/>
        <w:ind w:firstLine="480" w:firstLineChars="200"/>
        <w:rPr>
          <w:rFonts w:ascii="仿宋" w:hAnsi="仿宋" w:eastAsia="仿宋" w:cs="宋体"/>
          <w:color w:val="auto"/>
          <w:sz w:val="24"/>
        </w:rPr>
      </w:pPr>
      <w:r>
        <w:rPr>
          <w:rFonts w:hint="eastAsia" w:ascii="仿宋" w:hAnsi="仿宋" w:eastAsia="仿宋" w:cs="宋体"/>
          <w:color w:val="auto"/>
          <w:sz w:val="24"/>
        </w:rPr>
        <w:t>如违反以上承诺，涉嫌违纪违法、犯罪的，由纪检监察机关、行政监管部门、公安机关依法调查处理。违法、违规或不良行为事实成立的，并承担相关责任。给采购人造成损失的，依法承担赔偿责任。</w:t>
      </w:r>
    </w:p>
    <w:p w14:paraId="2C0B0174">
      <w:pPr>
        <w:spacing w:line="360" w:lineRule="auto"/>
        <w:ind w:firstLine="2" w:firstLineChars="1"/>
        <w:rPr>
          <w:rFonts w:ascii="仿宋" w:hAnsi="仿宋" w:eastAsia="仿宋"/>
          <w:color w:val="auto"/>
          <w:sz w:val="24"/>
          <w:szCs w:val="24"/>
        </w:rPr>
      </w:pPr>
    </w:p>
    <w:p w14:paraId="48D8A68F">
      <w:pPr>
        <w:spacing w:line="360" w:lineRule="auto"/>
        <w:ind w:firstLine="2" w:firstLineChars="1"/>
        <w:rPr>
          <w:rFonts w:ascii="仿宋" w:hAnsi="仿宋" w:eastAsia="仿宋"/>
          <w:color w:val="auto"/>
          <w:sz w:val="24"/>
          <w:szCs w:val="24"/>
        </w:rPr>
      </w:pPr>
    </w:p>
    <w:p w14:paraId="45EA1C73">
      <w:pPr>
        <w:spacing w:line="360" w:lineRule="auto"/>
        <w:ind w:firstLine="2" w:firstLineChars="1"/>
        <w:rPr>
          <w:rFonts w:ascii="仿宋" w:hAnsi="仿宋" w:eastAsia="仿宋"/>
          <w:color w:val="auto"/>
          <w:sz w:val="24"/>
          <w:szCs w:val="24"/>
        </w:rPr>
      </w:pPr>
    </w:p>
    <w:p w14:paraId="2EE8496D">
      <w:pPr>
        <w:spacing w:line="360" w:lineRule="auto"/>
        <w:ind w:firstLine="2" w:firstLineChars="1"/>
        <w:rPr>
          <w:rFonts w:ascii="仿宋" w:hAnsi="仿宋" w:eastAsia="仿宋" w:cs="宋体"/>
          <w:color w:val="auto"/>
          <w:sz w:val="24"/>
          <w:szCs w:val="24"/>
        </w:rPr>
      </w:pPr>
      <w:r>
        <w:rPr>
          <w:rFonts w:hint="eastAsia" w:ascii="仿宋" w:hAnsi="仿宋" w:eastAsia="仿宋" w:cs="宋体"/>
          <w:color w:val="auto"/>
          <w:sz w:val="24"/>
          <w:szCs w:val="24"/>
        </w:rPr>
        <w:t>供应商：</w:t>
      </w:r>
      <w:r>
        <w:rPr>
          <w:rFonts w:hint="eastAsia" w:ascii="仿宋" w:hAnsi="仿宋" w:eastAsia="仿宋" w:cs="宋体"/>
          <w:color w:val="auto"/>
          <w:sz w:val="24"/>
          <w:szCs w:val="24"/>
          <w:u w:val="single"/>
        </w:rPr>
        <w:t xml:space="preserve">                            </w:t>
      </w:r>
      <w:r>
        <w:rPr>
          <w:rFonts w:hint="eastAsia" w:ascii="仿宋" w:hAnsi="仿宋" w:eastAsia="仿宋" w:cs="宋体"/>
          <w:color w:val="auto"/>
          <w:sz w:val="24"/>
          <w:szCs w:val="24"/>
        </w:rPr>
        <w:t>（盖章）</w:t>
      </w:r>
    </w:p>
    <w:p w14:paraId="463D2096">
      <w:pPr>
        <w:spacing w:line="360" w:lineRule="auto"/>
        <w:ind w:firstLine="2" w:firstLineChars="1"/>
        <w:rPr>
          <w:rFonts w:ascii="仿宋" w:hAnsi="仿宋" w:eastAsia="仿宋" w:cs="宋体"/>
          <w:color w:val="auto"/>
          <w:sz w:val="24"/>
          <w:szCs w:val="24"/>
        </w:rPr>
      </w:pPr>
      <w:r>
        <w:rPr>
          <w:rFonts w:hint="eastAsia" w:ascii="仿宋" w:hAnsi="仿宋" w:eastAsia="仿宋"/>
          <w:color w:val="auto"/>
          <w:sz w:val="24"/>
          <w:szCs w:val="24"/>
        </w:rPr>
        <w:t>法定代表人或授权代理人：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14:paraId="34DB976C">
      <w:pPr>
        <w:rPr>
          <w:rFonts w:ascii="仿宋" w:hAnsi="仿宋" w:eastAsia="仿宋" w:cs="宋体"/>
          <w:color w:val="auto"/>
          <w:sz w:val="24"/>
        </w:rPr>
      </w:pPr>
      <w:r>
        <w:rPr>
          <w:rFonts w:hint="eastAsia" w:ascii="仿宋" w:hAnsi="仿宋" w:eastAsia="仿宋" w:cs="宋体"/>
          <w:color w:val="auto"/>
          <w:sz w:val="24"/>
        </w:rPr>
        <w:t>日期：</w:t>
      </w:r>
      <w:r>
        <w:rPr>
          <w:rFonts w:hint="eastAsia" w:ascii="仿宋" w:hAnsi="仿宋" w:eastAsia="仿宋" w:cs="宋体"/>
          <w:color w:val="auto"/>
          <w:sz w:val="24"/>
          <w:u w:val="single"/>
        </w:rPr>
        <w:t xml:space="preserve">        </w:t>
      </w:r>
      <w:r>
        <w:rPr>
          <w:rFonts w:hint="eastAsia" w:ascii="仿宋" w:hAnsi="仿宋" w:eastAsia="仿宋" w:cs="宋体"/>
          <w:color w:val="auto"/>
          <w:sz w:val="24"/>
        </w:rPr>
        <w:t>年</w:t>
      </w:r>
      <w:r>
        <w:rPr>
          <w:rFonts w:hint="eastAsia" w:ascii="仿宋" w:hAnsi="仿宋" w:eastAsia="仿宋" w:cs="宋体"/>
          <w:color w:val="auto"/>
          <w:sz w:val="24"/>
          <w:u w:val="single"/>
        </w:rPr>
        <w:t xml:space="preserve">       </w:t>
      </w:r>
      <w:r>
        <w:rPr>
          <w:rFonts w:hint="eastAsia" w:ascii="仿宋" w:hAnsi="仿宋" w:eastAsia="仿宋" w:cs="宋体"/>
          <w:color w:val="auto"/>
          <w:sz w:val="24"/>
        </w:rPr>
        <w:t>月</w:t>
      </w:r>
      <w:r>
        <w:rPr>
          <w:rFonts w:hint="eastAsia" w:ascii="仿宋" w:hAnsi="仿宋" w:eastAsia="仿宋" w:cs="宋体"/>
          <w:color w:val="auto"/>
          <w:sz w:val="24"/>
          <w:u w:val="single"/>
        </w:rPr>
        <w:t xml:space="preserve">       </w:t>
      </w:r>
      <w:r>
        <w:rPr>
          <w:rFonts w:hint="eastAsia" w:ascii="仿宋" w:hAnsi="仿宋" w:eastAsia="仿宋" w:cs="宋体"/>
          <w:color w:val="auto"/>
          <w:sz w:val="24"/>
        </w:rPr>
        <w:t>日</w:t>
      </w:r>
    </w:p>
    <w:p w14:paraId="0C4A2EE7">
      <w:pPr>
        <w:spacing w:line="360" w:lineRule="auto"/>
        <w:ind w:firstLine="482" w:firstLineChars="200"/>
        <w:rPr>
          <w:rFonts w:ascii="仿宋" w:hAnsi="仿宋" w:eastAsia="仿宋" w:cs="宋体"/>
          <w:b/>
          <w:color w:val="auto"/>
          <w:sz w:val="24"/>
        </w:rPr>
      </w:pPr>
    </w:p>
    <w:p w14:paraId="13FDBA0F">
      <w:pPr>
        <w:spacing w:line="360" w:lineRule="auto"/>
        <w:ind w:firstLine="482" w:firstLineChars="200"/>
        <w:rPr>
          <w:rFonts w:ascii="仿宋" w:hAnsi="仿宋" w:eastAsia="仿宋" w:cs="宋体"/>
          <w:b/>
          <w:color w:val="auto"/>
          <w:sz w:val="24"/>
        </w:rPr>
      </w:pPr>
    </w:p>
    <w:p w14:paraId="2336E409">
      <w:pPr>
        <w:spacing w:line="360" w:lineRule="auto"/>
        <w:ind w:firstLine="482" w:firstLineChars="200"/>
        <w:rPr>
          <w:rFonts w:ascii="仿宋" w:hAnsi="仿宋" w:eastAsia="仿宋" w:cs="宋体"/>
          <w:b/>
          <w:color w:val="auto"/>
          <w:sz w:val="24"/>
        </w:rPr>
      </w:pPr>
    </w:p>
    <w:p w14:paraId="42E58EB5">
      <w:pPr>
        <w:spacing w:line="360" w:lineRule="auto"/>
        <w:ind w:firstLine="482" w:firstLineChars="200"/>
        <w:rPr>
          <w:rFonts w:ascii="仿宋" w:hAnsi="仿宋" w:eastAsia="仿宋" w:cs="宋体"/>
          <w:b/>
          <w:color w:val="auto"/>
          <w:sz w:val="24"/>
        </w:rPr>
      </w:pPr>
    </w:p>
    <w:p w14:paraId="7E117BDA">
      <w:pPr>
        <w:spacing w:line="360" w:lineRule="auto"/>
        <w:ind w:firstLine="482" w:firstLineChars="200"/>
        <w:rPr>
          <w:rFonts w:ascii="仿宋" w:hAnsi="仿宋" w:eastAsia="仿宋" w:cs="宋体"/>
          <w:b/>
          <w:color w:val="auto"/>
          <w:sz w:val="24"/>
        </w:rPr>
      </w:pPr>
    </w:p>
    <w:p w14:paraId="2287193D">
      <w:pPr>
        <w:spacing w:line="360" w:lineRule="auto"/>
        <w:rPr>
          <w:rFonts w:ascii="仿宋" w:hAnsi="仿宋" w:eastAsia="仿宋"/>
          <w:color w:val="auto"/>
          <w:sz w:val="24"/>
          <w:szCs w:val="24"/>
        </w:rPr>
      </w:pPr>
    </w:p>
    <w:p w14:paraId="38AF5EF9">
      <w:pPr>
        <w:pStyle w:val="876"/>
        <w:ind w:firstLine="560"/>
        <w:rPr>
          <w:color w:val="auto"/>
        </w:rPr>
      </w:pPr>
    </w:p>
    <w:p w14:paraId="181B9C85">
      <w:pPr>
        <w:spacing w:line="360" w:lineRule="auto"/>
        <w:jc w:val="center"/>
        <w:outlineLvl w:val="1"/>
        <w:rPr>
          <w:rFonts w:ascii="仿宋" w:hAnsi="仿宋" w:eastAsia="仿宋" w:cs="宋体"/>
          <w:b/>
          <w:color w:val="auto"/>
          <w:sz w:val="30"/>
          <w:szCs w:val="30"/>
        </w:rPr>
      </w:pPr>
      <w:bookmarkStart w:id="261" w:name="_Toc232004938"/>
      <w:r>
        <w:rPr>
          <w:rFonts w:hint="eastAsia" w:ascii="仿宋" w:hAnsi="仿宋" w:eastAsia="仿宋" w:cs="宋体"/>
          <w:b/>
          <w:color w:val="auto"/>
          <w:sz w:val="30"/>
          <w:szCs w:val="30"/>
        </w:rPr>
        <w:t>九、供应商认为还须提供的其他相关资料</w:t>
      </w:r>
      <w:bookmarkEnd w:id="261"/>
    </w:p>
    <w:p w14:paraId="023C5C3A">
      <w:pPr>
        <w:spacing w:line="360" w:lineRule="auto"/>
        <w:jc w:val="center"/>
        <w:rPr>
          <w:rFonts w:ascii="仿宋" w:hAnsi="仿宋" w:eastAsia="仿宋"/>
          <w:color w:val="auto"/>
          <w:sz w:val="24"/>
        </w:rPr>
      </w:pPr>
      <w:r>
        <w:rPr>
          <w:rFonts w:hint="eastAsia" w:ascii="仿宋" w:hAnsi="仿宋" w:eastAsia="仿宋"/>
          <w:color w:val="auto"/>
          <w:sz w:val="24"/>
        </w:rPr>
        <w:t>（供应商认为需要提交的其他相关资料）</w:t>
      </w:r>
    </w:p>
    <w:p w14:paraId="1BC5637C">
      <w:pPr>
        <w:spacing w:line="360" w:lineRule="auto"/>
        <w:rPr>
          <w:rFonts w:ascii="仿宋" w:hAnsi="仿宋" w:eastAsia="仿宋"/>
          <w:color w:val="auto"/>
          <w:sz w:val="24"/>
          <w:szCs w:val="24"/>
        </w:rPr>
      </w:pPr>
    </w:p>
    <w:p w14:paraId="0E23E474">
      <w:pPr>
        <w:rPr>
          <w:rFonts w:ascii="仿宋" w:hAnsi="仿宋" w:eastAsia="仿宋"/>
          <w:color w:val="auto"/>
        </w:rPr>
      </w:pPr>
    </w:p>
    <w:p w14:paraId="64B696CE">
      <w:pPr>
        <w:rPr>
          <w:rFonts w:ascii="仿宋" w:hAnsi="仿宋" w:eastAsia="仿宋"/>
          <w:color w:val="auto"/>
        </w:rPr>
      </w:pPr>
    </w:p>
    <w:p w14:paraId="7EA0B4AD">
      <w:pPr>
        <w:rPr>
          <w:rFonts w:ascii="仿宋" w:hAnsi="仿宋" w:eastAsia="仿宋"/>
          <w:color w:val="auto"/>
        </w:rPr>
      </w:pPr>
    </w:p>
    <w:p w14:paraId="580B5E2C">
      <w:pPr>
        <w:rPr>
          <w:rFonts w:ascii="仿宋" w:hAnsi="仿宋" w:eastAsia="仿宋"/>
          <w:color w:val="auto"/>
        </w:rPr>
      </w:pPr>
    </w:p>
    <w:p w14:paraId="3F33FB7F">
      <w:pPr>
        <w:rPr>
          <w:rFonts w:ascii="仿宋" w:hAnsi="仿宋" w:eastAsia="仿宋"/>
          <w:color w:val="auto"/>
        </w:rPr>
      </w:pPr>
    </w:p>
    <w:p w14:paraId="08EC4EB9">
      <w:pPr>
        <w:rPr>
          <w:rFonts w:ascii="仿宋" w:hAnsi="仿宋" w:eastAsia="仿宋"/>
          <w:color w:val="auto"/>
        </w:rPr>
      </w:pPr>
    </w:p>
    <w:p w14:paraId="72B90A65">
      <w:pPr>
        <w:rPr>
          <w:rFonts w:ascii="仿宋" w:hAnsi="仿宋" w:eastAsia="仿宋"/>
          <w:color w:val="auto"/>
        </w:rPr>
      </w:pPr>
    </w:p>
    <w:p w14:paraId="735874D1">
      <w:pPr>
        <w:rPr>
          <w:rFonts w:ascii="仿宋" w:hAnsi="仿宋" w:eastAsia="仿宋"/>
          <w:color w:val="auto"/>
        </w:rPr>
      </w:pPr>
    </w:p>
    <w:p w14:paraId="6732B82D">
      <w:pPr>
        <w:rPr>
          <w:rFonts w:ascii="仿宋" w:hAnsi="仿宋" w:eastAsia="仿宋"/>
          <w:color w:val="auto"/>
        </w:rPr>
      </w:pPr>
    </w:p>
    <w:p w14:paraId="5B2E9B8B">
      <w:pPr>
        <w:rPr>
          <w:rFonts w:ascii="仿宋" w:hAnsi="仿宋" w:eastAsia="仿宋"/>
          <w:color w:val="auto"/>
        </w:rPr>
      </w:pPr>
    </w:p>
    <w:p w14:paraId="3FBDE8DA">
      <w:pPr>
        <w:rPr>
          <w:rFonts w:ascii="仿宋" w:hAnsi="仿宋" w:eastAsia="仿宋"/>
          <w:color w:val="auto"/>
        </w:rPr>
      </w:pPr>
    </w:p>
    <w:p w14:paraId="4E31A34E">
      <w:pPr>
        <w:rPr>
          <w:rFonts w:ascii="仿宋" w:hAnsi="仿宋" w:eastAsia="仿宋"/>
          <w:color w:val="auto"/>
        </w:rPr>
      </w:pPr>
    </w:p>
    <w:p w14:paraId="607679F0">
      <w:pPr>
        <w:rPr>
          <w:rFonts w:ascii="仿宋" w:hAnsi="仿宋" w:eastAsia="仿宋"/>
          <w:color w:val="auto"/>
        </w:rPr>
      </w:pPr>
    </w:p>
    <w:p w14:paraId="19D90561">
      <w:pPr>
        <w:rPr>
          <w:rFonts w:ascii="仿宋" w:hAnsi="仿宋" w:eastAsia="仿宋"/>
          <w:color w:val="auto"/>
        </w:rPr>
      </w:pPr>
    </w:p>
    <w:p w14:paraId="28404A84">
      <w:pPr>
        <w:rPr>
          <w:rFonts w:ascii="仿宋" w:hAnsi="仿宋" w:eastAsia="仿宋"/>
          <w:color w:val="auto"/>
        </w:rPr>
      </w:pPr>
    </w:p>
    <w:p w14:paraId="025ACB8F">
      <w:pPr>
        <w:rPr>
          <w:rFonts w:ascii="仿宋" w:hAnsi="仿宋" w:eastAsia="仿宋"/>
          <w:color w:val="auto"/>
        </w:rPr>
      </w:pPr>
    </w:p>
    <w:p w14:paraId="22FBFBA2">
      <w:pPr>
        <w:rPr>
          <w:rFonts w:ascii="仿宋" w:hAnsi="仿宋" w:eastAsia="仿宋"/>
          <w:color w:val="auto"/>
        </w:rPr>
      </w:pPr>
    </w:p>
    <w:p w14:paraId="4719617C">
      <w:pPr>
        <w:rPr>
          <w:rFonts w:ascii="仿宋" w:hAnsi="仿宋" w:eastAsia="仿宋"/>
          <w:color w:val="auto"/>
        </w:rPr>
      </w:pPr>
    </w:p>
    <w:p w14:paraId="48F11E27">
      <w:pPr>
        <w:rPr>
          <w:rFonts w:ascii="仿宋" w:hAnsi="仿宋" w:eastAsia="仿宋"/>
          <w:color w:val="auto"/>
        </w:rPr>
      </w:pPr>
    </w:p>
    <w:p w14:paraId="4735BF3A">
      <w:pPr>
        <w:rPr>
          <w:rFonts w:ascii="仿宋" w:hAnsi="仿宋" w:eastAsia="仿宋"/>
          <w:color w:val="auto"/>
        </w:rPr>
      </w:pPr>
    </w:p>
    <w:p w14:paraId="0D179289">
      <w:pPr>
        <w:rPr>
          <w:rFonts w:ascii="仿宋" w:hAnsi="仿宋" w:eastAsia="仿宋"/>
          <w:color w:val="auto"/>
        </w:rPr>
      </w:pPr>
    </w:p>
    <w:p w14:paraId="2DCF657C">
      <w:pPr>
        <w:rPr>
          <w:rFonts w:ascii="仿宋" w:hAnsi="仿宋" w:eastAsia="仿宋"/>
          <w:color w:val="auto"/>
        </w:rPr>
      </w:pPr>
    </w:p>
    <w:p w14:paraId="30362242">
      <w:pPr>
        <w:rPr>
          <w:rFonts w:ascii="仿宋" w:hAnsi="仿宋" w:eastAsia="仿宋"/>
          <w:color w:val="auto"/>
        </w:rPr>
      </w:pPr>
    </w:p>
    <w:p w14:paraId="7A420EC8">
      <w:pPr>
        <w:rPr>
          <w:rFonts w:ascii="仿宋" w:hAnsi="仿宋" w:eastAsia="仿宋"/>
          <w:color w:val="auto"/>
        </w:rPr>
      </w:pPr>
    </w:p>
    <w:p w14:paraId="03BFB8EF">
      <w:pPr>
        <w:rPr>
          <w:rFonts w:ascii="仿宋" w:hAnsi="仿宋" w:eastAsia="仿宋"/>
          <w:color w:val="auto"/>
        </w:rPr>
      </w:pPr>
    </w:p>
    <w:p w14:paraId="09109900">
      <w:pPr>
        <w:rPr>
          <w:rFonts w:ascii="仿宋" w:hAnsi="仿宋" w:eastAsia="仿宋"/>
          <w:color w:val="auto"/>
        </w:rPr>
      </w:pPr>
    </w:p>
    <w:bookmarkEnd w:id="236"/>
    <w:bookmarkEnd w:id="237"/>
    <w:p w14:paraId="6AAEA474">
      <w:pPr>
        <w:pageBreakBefore/>
        <w:spacing w:line="360" w:lineRule="auto"/>
        <w:jc w:val="center"/>
        <w:outlineLvl w:val="1"/>
        <w:rPr>
          <w:rFonts w:ascii="仿宋" w:hAnsi="仿宋" w:eastAsia="仿宋"/>
          <w:b/>
          <w:color w:val="auto"/>
          <w:sz w:val="28"/>
          <w:szCs w:val="28"/>
        </w:rPr>
      </w:pPr>
      <w:bookmarkStart w:id="262" w:name="_Toc101690923"/>
      <w:bookmarkStart w:id="263" w:name="_Toc101290711"/>
      <w:bookmarkStart w:id="264" w:name="_Toc232004939"/>
      <w:r>
        <w:rPr>
          <w:rFonts w:hint="eastAsia" w:ascii="仿宋" w:hAnsi="仿宋" w:eastAsia="仿宋"/>
          <w:b/>
          <w:color w:val="auto"/>
          <w:sz w:val="28"/>
          <w:szCs w:val="28"/>
        </w:rPr>
        <w:t>（三）</w:t>
      </w:r>
      <w:bookmarkEnd w:id="262"/>
      <w:bookmarkEnd w:id="263"/>
      <w:r>
        <w:rPr>
          <w:rFonts w:hint="eastAsia" w:ascii="仿宋" w:hAnsi="仿宋" w:eastAsia="仿宋"/>
          <w:b/>
          <w:color w:val="auto"/>
          <w:sz w:val="28"/>
          <w:szCs w:val="28"/>
        </w:rPr>
        <w:t>技术部分格式</w:t>
      </w:r>
      <w:bookmarkEnd w:id="264"/>
    </w:p>
    <w:p w14:paraId="6AA1D4B7">
      <w:pPr>
        <w:rPr>
          <w:rFonts w:ascii="仿宋" w:hAnsi="仿宋" w:eastAsia="仿宋"/>
          <w:color w:val="auto"/>
        </w:rPr>
      </w:pPr>
    </w:p>
    <w:p w14:paraId="0CA07400">
      <w:pPr>
        <w:spacing w:line="360" w:lineRule="auto"/>
        <w:jc w:val="center"/>
        <w:outlineLvl w:val="1"/>
        <w:rPr>
          <w:rFonts w:ascii="仿宋" w:hAnsi="仿宋" w:eastAsia="仿宋" w:cs="宋体"/>
          <w:b/>
          <w:color w:val="auto"/>
          <w:sz w:val="30"/>
          <w:szCs w:val="30"/>
        </w:rPr>
      </w:pPr>
      <w:bookmarkStart w:id="265" w:name="_Toc130329771"/>
      <w:bookmarkStart w:id="266" w:name="_Toc232004940"/>
      <w:r>
        <w:rPr>
          <w:rFonts w:hint="eastAsia" w:ascii="仿宋" w:hAnsi="仿宋" w:eastAsia="仿宋" w:cs="宋体"/>
          <w:b/>
          <w:color w:val="auto"/>
          <w:sz w:val="30"/>
          <w:szCs w:val="30"/>
        </w:rPr>
        <w:t>一、</w:t>
      </w:r>
      <w:bookmarkEnd w:id="265"/>
      <w:r>
        <w:rPr>
          <w:rFonts w:hint="eastAsia" w:ascii="仿宋" w:hAnsi="仿宋" w:eastAsia="仿宋" w:cs="宋体"/>
          <w:b/>
          <w:color w:val="auto"/>
          <w:sz w:val="30"/>
          <w:szCs w:val="30"/>
        </w:rPr>
        <w:t>服务方案</w:t>
      </w:r>
      <w:bookmarkEnd w:id="266"/>
    </w:p>
    <w:p w14:paraId="61034832">
      <w:pPr>
        <w:jc w:val="center"/>
        <w:rPr>
          <w:rFonts w:ascii="仿宋" w:hAnsi="仿宋" w:eastAsia="仿宋"/>
          <w:color w:val="auto"/>
          <w:sz w:val="24"/>
        </w:rPr>
      </w:pPr>
      <w:bookmarkStart w:id="267" w:name="_Toc47458997"/>
      <w:bookmarkStart w:id="268" w:name="_Toc48137294"/>
      <w:r>
        <w:rPr>
          <w:rFonts w:hint="eastAsia" w:ascii="仿宋" w:hAnsi="仿宋" w:eastAsia="仿宋"/>
          <w:color w:val="auto"/>
          <w:sz w:val="24"/>
        </w:rPr>
        <w:t>（无固定格式，请各供应商自行编制）</w:t>
      </w:r>
      <w:bookmarkEnd w:id="267"/>
      <w:bookmarkEnd w:id="268"/>
    </w:p>
    <w:p w14:paraId="6316B767">
      <w:pPr>
        <w:spacing w:line="360" w:lineRule="auto"/>
        <w:jc w:val="center"/>
        <w:rPr>
          <w:rFonts w:ascii="仿宋" w:hAnsi="仿宋" w:eastAsia="仿宋"/>
          <w:color w:val="auto"/>
          <w:sz w:val="24"/>
        </w:rPr>
      </w:pPr>
    </w:p>
    <w:p w14:paraId="4D86A802">
      <w:pPr>
        <w:spacing w:line="360" w:lineRule="auto"/>
        <w:jc w:val="center"/>
        <w:rPr>
          <w:rFonts w:ascii="仿宋" w:hAnsi="仿宋" w:eastAsia="仿宋"/>
          <w:color w:val="auto"/>
          <w:sz w:val="24"/>
        </w:rPr>
      </w:pPr>
    </w:p>
    <w:p w14:paraId="69314EE0">
      <w:pPr>
        <w:spacing w:line="360" w:lineRule="auto"/>
        <w:jc w:val="center"/>
        <w:rPr>
          <w:rFonts w:ascii="仿宋" w:hAnsi="仿宋" w:eastAsia="仿宋"/>
          <w:color w:val="auto"/>
          <w:sz w:val="24"/>
        </w:rPr>
      </w:pPr>
    </w:p>
    <w:p w14:paraId="3624FEEB">
      <w:pPr>
        <w:spacing w:line="360" w:lineRule="auto"/>
        <w:jc w:val="center"/>
        <w:rPr>
          <w:rFonts w:ascii="仿宋" w:hAnsi="仿宋" w:eastAsia="仿宋"/>
          <w:color w:val="auto"/>
          <w:sz w:val="24"/>
        </w:rPr>
      </w:pPr>
    </w:p>
    <w:p w14:paraId="25E6C1C5">
      <w:pPr>
        <w:spacing w:line="360" w:lineRule="auto"/>
        <w:jc w:val="center"/>
        <w:outlineLvl w:val="1"/>
        <w:rPr>
          <w:rFonts w:ascii="仿宋" w:hAnsi="仿宋" w:eastAsia="仿宋" w:cs="宋体"/>
          <w:b/>
          <w:color w:val="auto"/>
          <w:sz w:val="30"/>
          <w:szCs w:val="30"/>
        </w:rPr>
      </w:pPr>
      <w:bookmarkStart w:id="269" w:name="_Toc130329772"/>
      <w:bookmarkStart w:id="270" w:name="_Toc232004941"/>
      <w:r>
        <w:rPr>
          <w:rFonts w:hint="eastAsia" w:ascii="仿宋" w:hAnsi="仿宋" w:eastAsia="仿宋" w:cs="宋体"/>
          <w:b/>
          <w:color w:val="auto"/>
          <w:sz w:val="30"/>
          <w:szCs w:val="30"/>
        </w:rPr>
        <w:t>二、</w:t>
      </w:r>
      <w:bookmarkEnd w:id="269"/>
      <w:r>
        <w:rPr>
          <w:rFonts w:hint="eastAsia" w:ascii="仿宋" w:hAnsi="仿宋" w:eastAsia="仿宋" w:cs="宋体"/>
          <w:b/>
          <w:color w:val="auto"/>
          <w:sz w:val="30"/>
          <w:szCs w:val="30"/>
        </w:rPr>
        <w:t>服务质量保证措施</w:t>
      </w:r>
      <w:bookmarkEnd w:id="270"/>
    </w:p>
    <w:p w14:paraId="53150B33">
      <w:pPr>
        <w:jc w:val="center"/>
        <w:rPr>
          <w:rFonts w:ascii="仿宋" w:hAnsi="仿宋" w:eastAsia="仿宋"/>
          <w:color w:val="auto"/>
          <w:sz w:val="24"/>
        </w:rPr>
      </w:pPr>
      <w:r>
        <w:rPr>
          <w:rFonts w:hint="eastAsia" w:ascii="仿宋" w:hAnsi="仿宋" w:eastAsia="仿宋"/>
          <w:color w:val="auto"/>
          <w:sz w:val="24"/>
        </w:rPr>
        <w:t>（无固定格式，请各供应商自行编制）</w:t>
      </w:r>
    </w:p>
    <w:p w14:paraId="4AD4C38F">
      <w:pPr>
        <w:jc w:val="center"/>
        <w:rPr>
          <w:rFonts w:ascii="仿宋" w:hAnsi="仿宋" w:eastAsia="仿宋"/>
          <w:color w:val="auto"/>
          <w:sz w:val="24"/>
        </w:rPr>
      </w:pPr>
    </w:p>
    <w:p w14:paraId="21D33BAC">
      <w:pPr>
        <w:jc w:val="center"/>
        <w:rPr>
          <w:rFonts w:ascii="仿宋" w:hAnsi="仿宋" w:eastAsia="仿宋"/>
          <w:color w:val="auto"/>
          <w:sz w:val="24"/>
        </w:rPr>
      </w:pPr>
    </w:p>
    <w:p w14:paraId="138DE8FB">
      <w:pPr>
        <w:jc w:val="center"/>
        <w:rPr>
          <w:rFonts w:ascii="仿宋" w:hAnsi="仿宋" w:eastAsia="仿宋"/>
          <w:color w:val="auto"/>
          <w:sz w:val="24"/>
        </w:rPr>
      </w:pPr>
    </w:p>
    <w:p w14:paraId="38D4B42E">
      <w:pPr>
        <w:jc w:val="center"/>
        <w:rPr>
          <w:rFonts w:ascii="仿宋" w:hAnsi="仿宋" w:eastAsia="仿宋"/>
          <w:color w:val="auto"/>
          <w:sz w:val="24"/>
        </w:rPr>
      </w:pPr>
    </w:p>
    <w:p w14:paraId="7E6CF7ED">
      <w:pPr>
        <w:jc w:val="center"/>
        <w:rPr>
          <w:rFonts w:ascii="仿宋" w:hAnsi="仿宋" w:eastAsia="仿宋"/>
          <w:color w:val="auto"/>
          <w:sz w:val="24"/>
        </w:rPr>
      </w:pPr>
    </w:p>
    <w:p w14:paraId="1679B9A6">
      <w:pPr>
        <w:jc w:val="center"/>
        <w:rPr>
          <w:rFonts w:ascii="仿宋" w:hAnsi="仿宋" w:eastAsia="仿宋" w:cs="宋体"/>
          <w:b/>
          <w:color w:val="auto"/>
          <w:sz w:val="30"/>
          <w:szCs w:val="30"/>
        </w:rPr>
      </w:pPr>
    </w:p>
    <w:p w14:paraId="6ECAA6B9">
      <w:pPr>
        <w:spacing w:line="360" w:lineRule="auto"/>
        <w:jc w:val="center"/>
        <w:outlineLvl w:val="1"/>
        <w:rPr>
          <w:rFonts w:ascii="仿宋" w:hAnsi="仿宋" w:eastAsia="仿宋" w:cs="宋体"/>
          <w:b/>
          <w:color w:val="auto"/>
          <w:sz w:val="30"/>
          <w:szCs w:val="30"/>
        </w:rPr>
      </w:pPr>
      <w:bookmarkStart w:id="271" w:name="_Toc232004942"/>
      <w:r>
        <w:rPr>
          <w:rFonts w:hint="eastAsia" w:ascii="仿宋" w:hAnsi="仿宋" w:eastAsia="仿宋" w:cs="宋体"/>
          <w:b/>
          <w:color w:val="auto"/>
          <w:sz w:val="30"/>
          <w:szCs w:val="30"/>
        </w:rPr>
        <w:t>三、服务期限承诺及保证措施</w:t>
      </w:r>
      <w:bookmarkEnd w:id="271"/>
    </w:p>
    <w:p w14:paraId="4173E1C8">
      <w:pPr>
        <w:spacing w:line="360" w:lineRule="auto"/>
        <w:jc w:val="center"/>
        <w:rPr>
          <w:rFonts w:ascii="仿宋" w:hAnsi="仿宋" w:eastAsia="仿宋"/>
          <w:color w:val="auto"/>
          <w:sz w:val="24"/>
        </w:rPr>
      </w:pPr>
      <w:r>
        <w:rPr>
          <w:rFonts w:hint="eastAsia" w:ascii="仿宋" w:hAnsi="仿宋" w:eastAsia="仿宋"/>
          <w:color w:val="auto"/>
          <w:sz w:val="24"/>
        </w:rPr>
        <w:t>（无固定格式，请各供应商自行编制）</w:t>
      </w:r>
    </w:p>
    <w:p w14:paraId="03B89CC2">
      <w:pPr>
        <w:spacing w:line="360" w:lineRule="auto"/>
        <w:jc w:val="center"/>
        <w:rPr>
          <w:rFonts w:ascii="仿宋" w:hAnsi="仿宋" w:eastAsia="仿宋"/>
          <w:color w:val="auto"/>
          <w:sz w:val="24"/>
        </w:rPr>
      </w:pPr>
    </w:p>
    <w:p w14:paraId="634F94E9">
      <w:pPr>
        <w:spacing w:line="360" w:lineRule="auto"/>
        <w:jc w:val="center"/>
        <w:rPr>
          <w:rFonts w:ascii="仿宋" w:hAnsi="仿宋" w:eastAsia="仿宋"/>
          <w:color w:val="auto"/>
          <w:sz w:val="24"/>
        </w:rPr>
      </w:pPr>
    </w:p>
    <w:p w14:paraId="63E1D88C">
      <w:pPr>
        <w:spacing w:line="360" w:lineRule="auto"/>
        <w:jc w:val="center"/>
        <w:rPr>
          <w:rFonts w:ascii="仿宋" w:hAnsi="仿宋" w:eastAsia="仿宋"/>
          <w:color w:val="auto"/>
          <w:sz w:val="24"/>
        </w:rPr>
      </w:pPr>
    </w:p>
    <w:p w14:paraId="003DB95E">
      <w:pPr>
        <w:spacing w:line="360" w:lineRule="auto"/>
        <w:jc w:val="center"/>
        <w:rPr>
          <w:rFonts w:ascii="仿宋" w:hAnsi="仿宋" w:eastAsia="仿宋"/>
          <w:color w:val="auto"/>
          <w:sz w:val="24"/>
        </w:rPr>
      </w:pPr>
    </w:p>
    <w:p w14:paraId="01005085">
      <w:pPr>
        <w:spacing w:line="360" w:lineRule="auto"/>
        <w:jc w:val="center"/>
        <w:rPr>
          <w:rFonts w:ascii="仿宋" w:hAnsi="仿宋" w:eastAsia="仿宋"/>
          <w:color w:val="auto"/>
          <w:sz w:val="24"/>
        </w:rPr>
      </w:pPr>
    </w:p>
    <w:p w14:paraId="68C560B0">
      <w:pPr>
        <w:spacing w:line="360" w:lineRule="auto"/>
        <w:jc w:val="center"/>
        <w:outlineLvl w:val="1"/>
        <w:rPr>
          <w:rFonts w:ascii="仿宋" w:hAnsi="仿宋" w:eastAsia="仿宋" w:cs="宋体"/>
          <w:b/>
          <w:color w:val="auto"/>
          <w:sz w:val="30"/>
          <w:szCs w:val="30"/>
        </w:rPr>
      </w:pPr>
      <w:bookmarkStart w:id="272" w:name="_Toc232004943"/>
      <w:r>
        <w:rPr>
          <w:rFonts w:hint="eastAsia" w:ascii="仿宋" w:hAnsi="仿宋" w:eastAsia="仿宋" w:cs="宋体"/>
          <w:b/>
          <w:color w:val="auto"/>
          <w:sz w:val="30"/>
          <w:szCs w:val="30"/>
        </w:rPr>
        <w:t>四、保密承诺及保证措施</w:t>
      </w:r>
      <w:bookmarkEnd w:id="272"/>
    </w:p>
    <w:p w14:paraId="6125040F">
      <w:pPr>
        <w:spacing w:line="360" w:lineRule="auto"/>
        <w:jc w:val="center"/>
        <w:rPr>
          <w:rFonts w:ascii="仿宋" w:hAnsi="仿宋" w:eastAsia="仿宋"/>
          <w:color w:val="auto"/>
          <w:sz w:val="24"/>
        </w:rPr>
      </w:pPr>
      <w:r>
        <w:rPr>
          <w:rFonts w:hint="eastAsia" w:ascii="仿宋" w:hAnsi="仿宋" w:eastAsia="仿宋"/>
          <w:color w:val="auto"/>
          <w:sz w:val="24"/>
        </w:rPr>
        <w:t>（无固定格式，请各供应商自行编制）</w:t>
      </w:r>
    </w:p>
    <w:p w14:paraId="35860868">
      <w:pPr>
        <w:spacing w:line="360" w:lineRule="auto"/>
        <w:jc w:val="center"/>
        <w:rPr>
          <w:rFonts w:ascii="仿宋" w:hAnsi="仿宋" w:eastAsia="仿宋"/>
          <w:color w:val="auto"/>
          <w:sz w:val="24"/>
        </w:rPr>
      </w:pPr>
    </w:p>
    <w:p w14:paraId="28223CD9">
      <w:pPr>
        <w:spacing w:line="360" w:lineRule="auto"/>
        <w:jc w:val="center"/>
        <w:rPr>
          <w:rFonts w:ascii="仿宋" w:hAnsi="仿宋" w:eastAsia="仿宋"/>
          <w:color w:val="auto"/>
          <w:sz w:val="24"/>
        </w:rPr>
      </w:pPr>
    </w:p>
    <w:p w14:paraId="1D252C40">
      <w:pPr>
        <w:spacing w:line="360" w:lineRule="auto"/>
        <w:jc w:val="center"/>
        <w:rPr>
          <w:rFonts w:ascii="仿宋" w:hAnsi="仿宋" w:eastAsia="仿宋"/>
          <w:color w:val="auto"/>
          <w:sz w:val="24"/>
        </w:rPr>
      </w:pPr>
    </w:p>
    <w:p w14:paraId="6F41FE40">
      <w:pPr>
        <w:spacing w:line="360" w:lineRule="auto"/>
        <w:jc w:val="center"/>
        <w:rPr>
          <w:rFonts w:ascii="仿宋" w:hAnsi="仿宋" w:eastAsia="仿宋"/>
          <w:color w:val="auto"/>
          <w:sz w:val="24"/>
        </w:rPr>
      </w:pPr>
    </w:p>
    <w:p w14:paraId="471995B1">
      <w:pPr>
        <w:spacing w:line="360" w:lineRule="auto"/>
        <w:jc w:val="center"/>
        <w:outlineLvl w:val="1"/>
        <w:rPr>
          <w:rFonts w:ascii="仿宋" w:hAnsi="仿宋" w:eastAsia="仿宋" w:cs="宋体"/>
          <w:b/>
          <w:color w:val="auto"/>
          <w:sz w:val="30"/>
          <w:szCs w:val="30"/>
        </w:rPr>
      </w:pPr>
      <w:bookmarkStart w:id="273" w:name="_Toc232004944"/>
      <w:r>
        <w:rPr>
          <w:rFonts w:hint="eastAsia" w:ascii="仿宋" w:hAnsi="仿宋" w:eastAsia="仿宋" w:cs="宋体"/>
          <w:b/>
          <w:color w:val="auto"/>
          <w:sz w:val="30"/>
          <w:szCs w:val="30"/>
        </w:rPr>
        <w:t>五、应急预案及措施</w:t>
      </w:r>
      <w:bookmarkEnd w:id="273"/>
    </w:p>
    <w:p w14:paraId="1E4CFA20">
      <w:pPr>
        <w:spacing w:line="360" w:lineRule="auto"/>
        <w:jc w:val="center"/>
        <w:rPr>
          <w:rFonts w:ascii="仿宋" w:hAnsi="仿宋" w:eastAsia="仿宋"/>
          <w:color w:val="auto"/>
          <w:sz w:val="24"/>
        </w:rPr>
      </w:pPr>
      <w:r>
        <w:rPr>
          <w:rFonts w:hint="eastAsia" w:ascii="仿宋" w:hAnsi="仿宋" w:eastAsia="仿宋"/>
          <w:color w:val="auto"/>
          <w:sz w:val="24"/>
        </w:rPr>
        <w:t>（无固定格式，请各供应商自行编制）</w:t>
      </w:r>
    </w:p>
    <w:p w14:paraId="176525DB">
      <w:pPr>
        <w:spacing w:line="360" w:lineRule="auto"/>
        <w:jc w:val="center"/>
        <w:rPr>
          <w:rFonts w:ascii="仿宋" w:hAnsi="仿宋" w:eastAsia="仿宋"/>
          <w:color w:val="auto"/>
          <w:sz w:val="24"/>
        </w:rPr>
      </w:pPr>
    </w:p>
    <w:p w14:paraId="67DBFA88">
      <w:pPr>
        <w:spacing w:line="360" w:lineRule="auto"/>
        <w:jc w:val="center"/>
        <w:rPr>
          <w:rFonts w:ascii="仿宋" w:hAnsi="仿宋" w:eastAsia="仿宋"/>
          <w:color w:val="auto"/>
          <w:sz w:val="24"/>
        </w:rPr>
      </w:pPr>
    </w:p>
    <w:p w14:paraId="4E3B5FBB">
      <w:pPr>
        <w:spacing w:line="360" w:lineRule="auto"/>
        <w:jc w:val="center"/>
        <w:rPr>
          <w:rFonts w:ascii="仿宋" w:hAnsi="仿宋" w:eastAsia="仿宋" w:cs="宋体"/>
          <w:b/>
          <w:color w:val="auto"/>
          <w:sz w:val="30"/>
          <w:szCs w:val="30"/>
        </w:rPr>
      </w:pPr>
      <w:r>
        <w:rPr>
          <w:rFonts w:hint="eastAsia" w:ascii="仿宋" w:hAnsi="仿宋" w:eastAsia="仿宋" w:cs="宋体"/>
          <w:b/>
          <w:color w:val="auto"/>
          <w:sz w:val="30"/>
          <w:szCs w:val="30"/>
        </w:rPr>
        <w:t>六、服务团队人员配置表</w:t>
      </w:r>
    </w:p>
    <w:tbl>
      <w:tblPr>
        <w:tblStyle w:val="62"/>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76"/>
        <w:gridCol w:w="992"/>
        <w:gridCol w:w="850"/>
        <w:gridCol w:w="993"/>
        <w:gridCol w:w="1275"/>
        <w:gridCol w:w="1305"/>
        <w:gridCol w:w="1225"/>
        <w:gridCol w:w="901"/>
      </w:tblGrid>
      <w:tr w14:paraId="7D6F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0658627A">
            <w:pPr>
              <w:spacing w:line="360" w:lineRule="auto"/>
              <w:jc w:val="center"/>
              <w:rPr>
                <w:rFonts w:ascii="仿宋" w:hAnsi="仿宋" w:eastAsia="仿宋"/>
                <w:color w:val="auto"/>
                <w:szCs w:val="21"/>
              </w:rPr>
            </w:pPr>
            <w:r>
              <w:rPr>
                <w:rFonts w:hint="eastAsia" w:ascii="仿宋" w:hAnsi="仿宋" w:eastAsia="仿宋"/>
                <w:color w:val="auto"/>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0B0B514F">
            <w:pPr>
              <w:spacing w:line="360" w:lineRule="auto"/>
              <w:jc w:val="center"/>
              <w:rPr>
                <w:rFonts w:ascii="仿宋" w:hAnsi="仿宋" w:eastAsia="仿宋"/>
                <w:color w:val="auto"/>
              </w:rPr>
            </w:pPr>
            <w:r>
              <w:rPr>
                <w:rFonts w:hint="eastAsia" w:ascii="仿宋" w:hAnsi="仿宋" w:eastAsia="仿宋"/>
                <w:color w:val="auto"/>
              </w:rPr>
              <w:t>姓名</w:t>
            </w:r>
          </w:p>
        </w:tc>
        <w:tc>
          <w:tcPr>
            <w:tcW w:w="992" w:type="dxa"/>
            <w:tcBorders>
              <w:top w:val="single" w:color="auto" w:sz="4" w:space="0"/>
              <w:left w:val="single" w:color="auto" w:sz="4" w:space="0"/>
              <w:bottom w:val="single" w:color="auto" w:sz="4" w:space="0"/>
              <w:right w:val="single" w:color="auto" w:sz="4" w:space="0"/>
            </w:tcBorders>
            <w:vAlign w:val="center"/>
          </w:tcPr>
          <w:p w14:paraId="166FD8E6">
            <w:pPr>
              <w:spacing w:line="360" w:lineRule="auto"/>
              <w:jc w:val="center"/>
              <w:rPr>
                <w:rFonts w:ascii="仿宋" w:hAnsi="仿宋" w:eastAsia="仿宋"/>
                <w:color w:val="auto"/>
              </w:rPr>
            </w:pPr>
            <w:r>
              <w:rPr>
                <w:rFonts w:hint="eastAsia" w:ascii="仿宋" w:hAnsi="仿宋" w:eastAsia="仿宋"/>
                <w:color w:val="auto"/>
              </w:rPr>
              <w:t>性别</w:t>
            </w:r>
          </w:p>
        </w:tc>
        <w:tc>
          <w:tcPr>
            <w:tcW w:w="850" w:type="dxa"/>
            <w:tcBorders>
              <w:top w:val="single" w:color="auto" w:sz="4" w:space="0"/>
              <w:left w:val="single" w:color="auto" w:sz="4" w:space="0"/>
              <w:bottom w:val="single" w:color="auto" w:sz="4" w:space="0"/>
              <w:right w:val="single" w:color="auto" w:sz="4" w:space="0"/>
            </w:tcBorders>
            <w:vAlign w:val="center"/>
          </w:tcPr>
          <w:p w14:paraId="50C4AE0C">
            <w:pPr>
              <w:spacing w:line="360" w:lineRule="auto"/>
              <w:ind w:left="-107" w:leftChars="-51"/>
              <w:jc w:val="center"/>
              <w:rPr>
                <w:rFonts w:ascii="仿宋" w:hAnsi="仿宋" w:eastAsia="仿宋"/>
                <w:color w:val="auto"/>
              </w:rPr>
            </w:pPr>
            <w:r>
              <w:rPr>
                <w:rFonts w:hint="eastAsia" w:ascii="仿宋" w:hAnsi="仿宋" w:eastAsia="仿宋"/>
                <w:color w:val="auto"/>
              </w:rPr>
              <w:t>年龄</w:t>
            </w:r>
          </w:p>
        </w:tc>
        <w:tc>
          <w:tcPr>
            <w:tcW w:w="993" w:type="dxa"/>
            <w:tcBorders>
              <w:top w:val="single" w:color="auto" w:sz="4" w:space="0"/>
              <w:left w:val="single" w:color="auto" w:sz="4" w:space="0"/>
              <w:bottom w:val="single" w:color="auto" w:sz="4" w:space="0"/>
              <w:right w:val="single" w:color="auto" w:sz="4" w:space="0"/>
            </w:tcBorders>
            <w:vAlign w:val="center"/>
          </w:tcPr>
          <w:p w14:paraId="4C8173C1">
            <w:pPr>
              <w:spacing w:line="360" w:lineRule="auto"/>
              <w:ind w:left="-107" w:leftChars="-51"/>
              <w:jc w:val="center"/>
              <w:rPr>
                <w:rFonts w:ascii="仿宋" w:hAnsi="仿宋" w:eastAsia="仿宋"/>
                <w:color w:val="auto"/>
              </w:rPr>
            </w:pPr>
            <w:r>
              <w:rPr>
                <w:rFonts w:hint="eastAsia" w:ascii="仿宋" w:hAnsi="仿宋" w:eastAsia="仿宋"/>
                <w:color w:val="auto"/>
              </w:rPr>
              <w:t>文化程度</w:t>
            </w:r>
          </w:p>
        </w:tc>
        <w:tc>
          <w:tcPr>
            <w:tcW w:w="1275" w:type="dxa"/>
            <w:tcBorders>
              <w:top w:val="single" w:color="auto" w:sz="4" w:space="0"/>
              <w:left w:val="single" w:color="auto" w:sz="4" w:space="0"/>
              <w:bottom w:val="single" w:color="auto" w:sz="4" w:space="0"/>
              <w:right w:val="single" w:color="auto" w:sz="4" w:space="0"/>
            </w:tcBorders>
            <w:vAlign w:val="center"/>
          </w:tcPr>
          <w:p w14:paraId="13FBB82B">
            <w:pPr>
              <w:spacing w:line="360" w:lineRule="auto"/>
              <w:jc w:val="center"/>
              <w:rPr>
                <w:rFonts w:ascii="仿宋" w:hAnsi="仿宋" w:eastAsia="仿宋"/>
                <w:color w:val="auto"/>
              </w:rPr>
            </w:pPr>
            <w:r>
              <w:rPr>
                <w:rFonts w:hint="eastAsia" w:ascii="仿宋" w:hAnsi="仿宋" w:eastAsia="仿宋"/>
                <w:color w:val="auto"/>
              </w:rPr>
              <w:t>相关证书（如有）</w:t>
            </w:r>
          </w:p>
        </w:tc>
        <w:tc>
          <w:tcPr>
            <w:tcW w:w="1305" w:type="dxa"/>
            <w:tcBorders>
              <w:top w:val="single" w:color="auto" w:sz="4" w:space="0"/>
              <w:left w:val="single" w:color="auto" w:sz="4" w:space="0"/>
              <w:bottom w:val="single" w:color="auto" w:sz="4" w:space="0"/>
              <w:right w:val="single" w:color="auto" w:sz="4" w:space="0"/>
            </w:tcBorders>
            <w:vAlign w:val="center"/>
          </w:tcPr>
          <w:p w14:paraId="694AD9B7">
            <w:pPr>
              <w:spacing w:line="360" w:lineRule="auto"/>
              <w:jc w:val="center"/>
              <w:rPr>
                <w:rFonts w:ascii="仿宋" w:hAnsi="仿宋" w:eastAsia="仿宋"/>
                <w:color w:val="auto"/>
              </w:rPr>
            </w:pPr>
            <w:r>
              <w:rPr>
                <w:rFonts w:hint="eastAsia" w:ascii="仿宋" w:hAnsi="仿宋" w:eastAsia="仿宋"/>
                <w:color w:val="auto"/>
              </w:rPr>
              <w:t>岗位</w:t>
            </w:r>
          </w:p>
        </w:tc>
        <w:tc>
          <w:tcPr>
            <w:tcW w:w="1225" w:type="dxa"/>
            <w:tcBorders>
              <w:top w:val="single" w:color="auto" w:sz="4" w:space="0"/>
              <w:left w:val="single" w:color="auto" w:sz="4" w:space="0"/>
              <w:bottom w:val="single" w:color="auto" w:sz="4" w:space="0"/>
              <w:right w:val="single" w:color="auto" w:sz="4" w:space="0"/>
            </w:tcBorders>
            <w:vAlign w:val="center"/>
          </w:tcPr>
          <w:p w14:paraId="780B5AB5">
            <w:pPr>
              <w:spacing w:line="360" w:lineRule="auto"/>
              <w:jc w:val="center"/>
              <w:rPr>
                <w:rFonts w:ascii="仿宋" w:hAnsi="仿宋" w:eastAsia="仿宋"/>
                <w:color w:val="auto"/>
              </w:rPr>
            </w:pPr>
            <w:r>
              <w:rPr>
                <w:rFonts w:hint="eastAsia" w:ascii="仿宋" w:hAnsi="仿宋" w:eastAsia="仿宋"/>
                <w:color w:val="auto"/>
              </w:rPr>
              <w:t>从业年限</w:t>
            </w:r>
          </w:p>
        </w:tc>
        <w:tc>
          <w:tcPr>
            <w:tcW w:w="901" w:type="dxa"/>
            <w:tcBorders>
              <w:top w:val="single" w:color="auto" w:sz="4" w:space="0"/>
              <w:left w:val="single" w:color="auto" w:sz="4" w:space="0"/>
              <w:bottom w:val="single" w:color="auto" w:sz="4" w:space="0"/>
              <w:right w:val="single" w:color="auto" w:sz="4" w:space="0"/>
            </w:tcBorders>
            <w:vAlign w:val="center"/>
          </w:tcPr>
          <w:p w14:paraId="13B856E0">
            <w:pPr>
              <w:spacing w:line="360" w:lineRule="auto"/>
              <w:jc w:val="center"/>
              <w:rPr>
                <w:rFonts w:ascii="仿宋" w:hAnsi="仿宋" w:eastAsia="仿宋"/>
                <w:color w:val="auto"/>
              </w:rPr>
            </w:pPr>
            <w:r>
              <w:rPr>
                <w:rFonts w:hint="eastAsia" w:ascii="仿宋" w:hAnsi="仿宋" w:eastAsia="仿宋"/>
                <w:color w:val="auto"/>
              </w:rPr>
              <w:t>备注</w:t>
            </w:r>
          </w:p>
        </w:tc>
      </w:tr>
      <w:tr w14:paraId="32D4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704417AD">
            <w:pPr>
              <w:spacing w:line="360" w:lineRule="auto"/>
              <w:jc w:val="center"/>
              <w:rPr>
                <w:rFonts w:ascii="仿宋" w:hAnsi="仿宋" w:eastAsia="仿宋"/>
                <w:color w:val="auto"/>
                <w:sz w:val="24"/>
                <w:szCs w:val="24"/>
              </w:rPr>
            </w:pPr>
            <w:r>
              <w:rPr>
                <w:rFonts w:hint="eastAsia" w:ascii="仿宋" w:hAnsi="仿宋" w:eastAsia="仿宋"/>
                <w:color w:val="auto"/>
                <w:sz w:val="24"/>
                <w:szCs w:val="24"/>
              </w:rPr>
              <w:t>1</w:t>
            </w:r>
          </w:p>
        </w:tc>
        <w:tc>
          <w:tcPr>
            <w:tcW w:w="1276" w:type="dxa"/>
            <w:tcBorders>
              <w:top w:val="single" w:color="auto" w:sz="4" w:space="0"/>
              <w:left w:val="single" w:color="auto" w:sz="4" w:space="0"/>
              <w:bottom w:val="single" w:color="auto" w:sz="4" w:space="0"/>
              <w:right w:val="single" w:color="auto" w:sz="4" w:space="0"/>
            </w:tcBorders>
            <w:vAlign w:val="center"/>
          </w:tcPr>
          <w:p w14:paraId="51FF4EE1">
            <w:pPr>
              <w:spacing w:line="360" w:lineRule="auto"/>
              <w:jc w:val="center"/>
              <w:rPr>
                <w:rFonts w:ascii="仿宋" w:hAnsi="仿宋" w:eastAsia="仿宋"/>
                <w:color w:val="auto"/>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173E561">
            <w:pPr>
              <w:spacing w:line="360" w:lineRule="auto"/>
              <w:jc w:val="center"/>
              <w:rPr>
                <w:rFonts w:ascii="仿宋" w:hAnsi="仿宋" w:eastAsia="仿宋"/>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17D7CCE3">
            <w:pPr>
              <w:spacing w:line="360" w:lineRule="auto"/>
              <w:jc w:val="center"/>
              <w:rPr>
                <w:rFonts w:ascii="仿宋" w:hAnsi="仿宋" w:eastAsia="仿宋"/>
                <w:color w:val="auto"/>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3E4B2BF6">
            <w:pPr>
              <w:spacing w:line="360" w:lineRule="auto"/>
              <w:jc w:val="center"/>
              <w:rPr>
                <w:rFonts w:ascii="仿宋" w:hAnsi="仿宋" w:eastAsia="仿宋"/>
                <w:color w:val="auto"/>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8AA0D43">
            <w:pPr>
              <w:spacing w:line="360" w:lineRule="auto"/>
              <w:jc w:val="center"/>
              <w:rPr>
                <w:rFonts w:ascii="仿宋" w:hAnsi="仿宋" w:eastAsia="仿宋"/>
                <w:color w:val="auto"/>
                <w:sz w:val="24"/>
                <w:szCs w:val="24"/>
              </w:rPr>
            </w:pPr>
          </w:p>
        </w:tc>
        <w:tc>
          <w:tcPr>
            <w:tcW w:w="1305" w:type="dxa"/>
            <w:tcBorders>
              <w:top w:val="single" w:color="auto" w:sz="4" w:space="0"/>
              <w:left w:val="single" w:color="auto" w:sz="4" w:space="0"/>
              <w:bottom w:val="single" w:color="auto" w:sz="4" w:space="0"/>
              <w:right w:val="single" w:color="auto" w:sz="4" w:space="0"/>
            </w:tcBorders>
            <w:vAlign w:val="center"/>
          </w:tcPr>
          <w:p w14:paraId="68D98A5D">
            <w:pPr>
              <w:spacing w:line="360" w:lineRule="auto"/>
              <w:jc w:val="center"/>
              <w:rPr>
                <w:rFonts w:ascii="仿宋" w:hAnsi="仿宋" w:eastAsia="仿宋"/>
                <w:color w:val="auto"/>
                <w:sz w:val="24"/>
                <w:szCs w:val="24"/>
              </w:rPr>
            </w:pPr>
            <w:r>
              <w:rPr>
                <w:rFonts w:hint="eastAsia" w:ascii="仿宋" w:hAnsi="仿宋" w:eastAsia="仿宋"/>
                <w:color w:val="auto"/>
                <w:sz w:val="24"/>
                <w:szCs w:val="24"/>
              </w:rPr>
              <w:t>项目负责人</w:t>
            </w:r>
          </w:p>
        </w:tc>
        <w:tc>
          <w:tcPr>
            <w:tcW w:w="1225" w:type="dxa"/>
            <w:tcBorders>
              <w:top w:val="single" w:color="auto" w:sz="4" w:space="0"/>
              <w:left w:val="single" w:color="auto" w:sz="4" w:space="0"/>
              <w:bottom w:val="single" w:color="auto" w:sz="4" w:space="0"/>
              <w:right w:val="single" w:color="auto" w:sz="4" w:space="0"/>
            </w:tcBorders>
            <w:vAlign w:val="center"/>
          </w:tcPr>
          <w:p w14:paraId="5E50F6D3">
            <w:pPr>
              <w:spacing w:line="360" w:lineRule="auto"/>
              <w:jc w:val="center"/>
              <w:rPr>
                <w:rFonts w:ascii="仿宋" w:hAnsi="仿宋" w:eastAsia="仿宋"/>
                <w:color w:val="auto"/>
                <w:sz w:val="24"/>
                <w:szCs w:val="24"/>
              </w:rPr>
            </w:pPr>
          </w:p>
        </w:tc>
        <w:tc>
          <w:tcPr>
            <w:tcW w:w="901" w:type="dxa"/>
            <w:tcBorders>
              <w:top w:val="single" w:color="auto" w:sz="4" w:space="0"/>
              <w:left w:val="single" w:color="auto" w:sz="4" w:space="0"/>
              <w:bottom w:val="single" w:color="auto" w:sz="4" w:space="0"/>
              <w:right w:val="single" w:color="auto" w:sz="4" w:space="0"/>
            </w:tcBorders>
            <w:vAlign w:val="center"/>
          </w:tcPr>
          <w:p w14:paraId="51E1B505">
            <w:pPr>
              <w:spacing w:line="360" w:lineRule="auto"/>
              <w:jc w:val="center"/>
              <w:rPr>
                <w:rFonts w:ascii="仿宋" w:hAnsi="仿宋" w:eastAsia="仿宋"/>
                <w:color w:val="auto"/>
                <w:sz w:val="24"/>
                <w:szCs w:val="24"/>
              </w:rPr>
            </w:pPr>
          </w:p>
        </w:tc>
      </w:tr>
      <w:tr w14:paraId="3A7F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41A535C7">
            <w:pPr>
              <w:spacing w:line="360" w:lineRule="auto"/>
              <w:jc w:val="center"/>
              <w:rPr>
                <w:rFonts w:ascii="仿宋" w:hAnsi="仿宋" w:eastAsia="仿宋"/>
                <w:color w:val="auto"/>
                <w:sz w:val="24"/>
                <w:szCs w:val="24"/>
              </w:rPr>
            </w:pPr>
            <w:r>
              <w:rPr>
                <w:rFonts w:hint="eastAsia" w:ascii="仿宋" w:hAnsi="仿宋" w:eastAsia="仿宋"/>
                <w:color w:val="auto"/>
                <w:sz w:val="24"/>
                <w:szCs w:val="24"/>
              </w:rPr>
              <w:t>2</w:t>
            </w:r>
          </w:p>
        </w:tc>
        <w:tc>
          <w:tcPr>
            <w:tcW w:w="1276" w:type="dxa"/>
            <w:tcBorders>
              <w:top w:val="single" w:color="auto" w:sz="4" w:space="0"/>
              <w:left w:val="single" w:color="auto" w:sz="4" w:space="0"/>
              <w:bottom w:val="single" w:color="auto" w:sz="4" w:space="0"/>
              <w:right w:val="single" w:color="auto" w:sz="4" w:space="0"/>
            </w:tcBorders>
            <w:vAlign w:val="center"/>
          </w:tcPr>
          <w:p w14:paraId="5BE04081">
            <w:pPr>
              <w:spacing w:line="360" w:lineRule="auto"/>
              <w:jc w:val="center"/>
              <w:rPr>
                <w:rFonts w:ascii="仿宋" w:hAnsi="仿宋" w:eastAsia="仿宋"/>
                <w:color w:val="auto"/>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1C3685E">
            <w:pPr>
              <w:spacing w:line="360" w:lineRule="auto"/>
              <w:jc w:val="center"/>
              <w:rPr>
                <w:rFonts w:ascii="仿宋" w:hAnsi="仿宋" w:eastAsia="仿宋"/>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18B58EC3">
            <w:pPr>
              <w:spacing w:line="360" w:lineRule="auto"/>
              <w:jc w:val="center"/>
              <w:rPr>
                <w:rFonts w:ascii="仿宋" w:hAnsi="仿宋" w:eastAsia="仿宋"/>
                <w:color w:val="auto"/>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29229A3">
            <w:pPr>
              <w:spacing w:line="360" w:lineRule="auto"/>
              <w:jc w:val="center"/>
              <w:rPr>
                <w:rFonts w:ascii="仿宋" w:hAnsi="仿宋" w:eastAsia="仿宋"/>
                <w:color w:val="auto"/>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533498D">
            <w:pPr>
              <w:spacing w:line="360" w:lineRule="auto"/>
              <w:jc w:val="center"/>
              <w:rPr>
                <w:rFonts w:ascii="仿宋" w:hAnsi="仿宋" w:eastAsia="仿宋"/>
                <w:color w:val="auto"/>
                <w:sz w:val="24"/>
                <w:szCs w:val="24"/>
              </w:rPr>
            </w:pPr>
          </w:p>
        </w:tc>
        <w:tc>
          <w:tcPr>
            <w:tcW w:w="1305" w:type="dxa"/>
            <w:tcBorders>
              <w:top w:val="single" w:color="auto" w:sz="4" w:space="0"/>
              <w:left w:val="single" w:color="auto" w:sz="4" w:space="0"/>
              <w:bottom w:val="single" w:color="auto" w:sz="4" w:space="0"/>
              <w:right w:val="single" w:color="auto" w:sz="4" w:space="0"/>
            </w:tcBorders>
            <w:vAlign w:val="center"/>
          </w:tcPr>
          <w:p w14:paraId="2DE40AF0">
            <w:pPr>
              <w:spacing w:line="360" w:lineRule="auto"/>
              <w:jc w:val="center"/>
              <w:rPr>
                <w:rFonts w:ascii="仿宋" w:hAnsi="仿宋" w:eastAsia="仿宋"/>
                <w:color w:val="auto"/>
                <w:sz w:val="24"/>
                <w:szCs w:val="24"/>
              </w:rPr>
            </w:pPr>
          </w:p>
        </w:tc>
        <w:tc>
          <w:tcPr>
            <w:tcW w:w="1225" w:type="dxa"/>
            <w:tcBorders>
              <w:top w:val="single" w:color="auto" w:sz="4" w:space="0"/>
              <w:left w:val="single" w:color="auto" w:sz="4" w:space="0"/>
              <w:bottom w:val="single" w:color="auto" w:sz="4" w:space="0"/>
              <w:right w:val="single" w:color="auto" w:sz="4" w:space="0"/>
            </w:tcBorders>
            <w:vAlign w:val="center"/>
          </w:tcPr>
          <w:p w14:paraId="7C1BCB2E">
            <w:pPr>
              <w:spacing w:line="360" w:lineRule="auto"/>
              <w:jc w:val="center"/>
              <w:rPr>
                <w:rFonts w:ascii="仿宋" w:hAnsi="仿宋" w:eastAsia="仿宋"/>
                <w:color w:val="auto"/>
                <w:sz w:val="24"/>
                <w:szCs w:val="24"/>
              </w:rPr>
            </w:pPr>
          </w:p>
        </w:tc>
        <w:tc>
          <w:tcPr>
            <w:tcW w:w="901" w:type="dxa"/>
            <w:tcBorders>
              <w:top w:val="single" w:color="auto" w:sz="4" w:space="0"/>
              <w:left w:val="single" w:color="auto" w:sz="4" w:space="0"/>
              <w:bottom w:val="single" w:color="auto" w:sz="4" w:space="0"/>
              <w:right w:val="single" w:color="auto" w:sz="4" w:space="0"/>
            </w:tcBorders>
            <w:vAlign w:val="center"/>
          </w:tcPr>
          <w:p w14:paraId="57538A2D">
            <w:pPr>
              <w:spacing w:line="360" w:lineRule="auto"/>
              <w:jc w:val="center"/>
              <w:rPr>
                <w:rFonts w:ascii="仿宋" w:hAnsi="仿宋" w:eastAsia="仿宋"/>
                <w:color w:val="auto"/>
                <w:sz w:val="24"/>
                <w:szCs w:val="24"/>
              </w:rPr>
            </w:pPr>
          </w:p>
        </w:tc>
      </w:tr>
      <w:tr w14:paraId="697B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64A13DE2">
            <w:pPr>
              <w:spacing w:line="360" w:lineRule="auto"/>
              <w:jc w:val="center"/>
              <w:rPr>
                <w:rFonts w:ascii="仿宋" w:hAnsi="仿宋" w:eastAsia="仿宋"/>
                <w:color w:val="auto"/>
                <w:sz w:val="24"/>
                <w:szCs w:val="24"/>
              </w:rPr>
            </w:pPr>
            <w:r>
              <w:rPr>
                <w:rFonts w:hint="eastAsia" w:ascii="仿宋" w:hAnsi="仿宋" w:eastAsia="仿宋"/>
                <w:color w:val="auto"/>
                <w:sz w:val="24"/>
                <w:szCs w:val="24"/>
              </w:rPr>
              <w:t>3</w:t>
            </w:r>
          </w:p>
        </w:tc>
        <w:tc>
          <w:tcPr>
            <w:tcW w:w="1276" w:type="dxa"/>
            <w:tcBorders>
              <w:top w:val="single" w:color="auto" w:sz="4" w:space="0"/>
              <w:left w:val="single" w:color="auto" w:sz="4" w:space="0"/>
              <w:bottom w:val="single" w:color="auto" w:sz="4" w:space="0"/>
              <w:right w:val="single" w:color="auto" w:sz="4" w:space="0"/>
            </w:tcBorders>
            <w:vAlign w:val="center"/>
          </w:tcPr>
          <w:p w14:paraId="6776ABC4">
            <w:pPr>
              <w:spacing w:line="360" w:lineRule="auto"/>
              <w:jc w:val="center"/>
              <w:rPr>
                <w:rFonts w:ascii="仿宋" w:hAnsi="仿宋" w:eastAsia="仿宋"/>
                <w:color w:val="auto"/>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8DF9B7C">
            <w:pPr>
              <w:spacing w:line="360" w:lineRule="auto"/>
              <w:jc w:val="center"/>
              <w:rPr>
                <w:rFonts w:ascii="仿宋" w:hAnsi="仿宋" w:eastAsia="仿宋"/>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4F324E76">
            <w:pPr>
              <w:spacing w:line="360" w:lineRule="auto"/>
              <w:jc w:val="center"/>
              <w:rPr>
                <w:rFonts w:ascii="仿宋" w:hAnsi="仿宋" w:eastAsia="仿宋"/>
                <w:color w:val="auto"/>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264DBD1">
            <w:pPr>
              <w:spacing w:line="360" w:lineRule="auto"/>
              <w:jc w:val="center"/>
              <w:rPr>
                <w:rFonts w:ascii="仿宋" w:hAnsi="仿宋" w:eastAsia="仿宋"/>
                <w:color w:val="auto"/>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452BA016">
            <w:pPr>
              <w:spacing w:line="360" w:lineRule="auto"/>
              <w:jc w:val="center"/>
              <w:rPr>
                <w:rFonts w:ascii="仿宋" w:hAnsi="仿宋" w:eastAsia="仿宋"/>
                <w:color w:val="auto"/>
                <w:sz w:val="24"/>
                <w:szCs w:val="24"/>
              </w:rPr>
            </w:pPr>
          </w:p>
        </w:tc>
        <w:tc>
          <w:tcPr>
            <w:tcW w:w="1305" w:type="dxa"/>
            <w:tcBorders>
              <w:top w:val="single" w:color="auto" w:sz="4" w:space="0"/>
              <w:left w:val="single" w:color="auto" w:sz="4" w:space="0"/>
              <w:bottom w:val="single" w:color="auto" w:sz="4" w:space="0"/>
              <w:right w:val="single" w:color="auto" w:sz="4" w:space="0"/>
            </w:tcBorders>
            <w:vAlign w:val="center"/>
          </w:tcPr>
          <w:p w14:paraId="421227AE">
            <w:pPr>
              <w:spacing w:line="360" w:lineRule="auto"/>
              <w:jc w:val="center"/>
              <w:rPr>
                <w:rFonts w:ascii="仿宋" w:hAnsi="仿宋" w:eastAsia="仿宋"/>
                <w:color w:val="auto"/>
                <w:sz w:val="24"/>
                <w:szCs w:val="24"/>
              </w:rPr>
            </w:pPr>
          </w:p>
        </w:tc>
        <w:tc>
          <w:tcPr>
            <w:tcW w:w="1225" w:type="dxa"/>
            <w:tcBorders>
              <w:top w:val="single" w:color="auto" w:sz="4" w:space="0"/>
              <w:left w:val="single" w:color="auto" w:sz="4" w:space="0"/>
              <w:bottom w:val="single" w:color="auto" w:sz="4" w:space="0"/>
              <w:right w:val="single" w:color="auto" w:sz="4" w:space="0"/>
            </w:tcBorders>
            <w:vAlign w:val="center"/>
          </w:tcPr>
          <w:p w14:paraId="1523ED10">
            <w:pPr>
              <w:spacing w:line="360" w:lineRule="auto"/>
              <w:jc w:val="center"/>
              <w:rPr>
                <w:rFonts w:ascii="仿宋" w:hAnsi="仿宋" w:eastAsia="仿宋"/>
                <w:color w:val="auto"/>
                <w:sz w:val="24"/>
                <w:szCs w:val="24"/>
              </w:rPr>
            </w:pPr>
          </w:p>
        </w:tc>
        <w:tc>
          <w:tcPr>
            <w:tcW w:w="901" w:type="dxa"/>
            <w:tcBorders>
              <w:top w:val="single" w:color="auto" w:sz="4" w:space="0"/>
              <w:left w:val="single" w:color="auto" w:sz="4" w:space="0"/>
              <w:bottom w:val="single" w:color="auto" w:sz="4" w:space="0"/>
              <w:right w:val="single" w:color="auto" w:sz="4" w:space="0"/>
            </w:tcBorders>
            <w:vAlign w:val="center"/>
          </w:tcPr>
          <w:p w14:paraId="08402D42">
            <w:pPr>
              <w:spacing w:line="360" w:lineRule="auto"/>
              <w:jc w:val="center"/>
              <w:rPr>
                <w:rFonts w:ascii="仿宋" w:hAnsi="仿宋" w:eastAsia="仿宋"/>
                <w:color w:val="auto"/>
                <w:sz w:val="24"/>
                <w:szCs w:val="24"/>
              </w:rPr>
            </w:pPr>
          </w:p>
        </w:tc>
      </w:tr>
      <w:tr w14:paraId="15BB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1852800F">
            <w:pPr>
              <w:spacing w:line="360" w:lineRule="auto"/>
              <w:jc w:val="center"/>
              <w:rPr>
                <w:rFonts w:ascii="仿宋" w:hAnsi="仿宋" w:eastAsia="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BAF1014">
            <w:pPr>
              <w:spacing w:line="360" w:lineRule="auto"/>
              <w:jc w:val="center"/>
              <w:rPr>
                <w:rFonts w:ascii="仿宋" w:hAnsi="仿宋" w:eastAsia="仿宋"/>
                <w:color w:val="auto"/>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C92D94E">
            <w:pPr>
              <w:spacing w:line="360" w:lineRule="auto"/>
              <w:jc w:val="center"/>
              <w:rPr>
                <w:rFonts w:ascii="仿宋" w:hAnsi="仿宋" w:eastAsia="仿宋"/>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AF24930">
            <w:pPr>
              <w:spacing w:line="360" w:lineRule="auto"/>
              <w:jc w:val="center"/>
              <w:rPr>
                <w:rFonts w:ascii="仿宋" w:hAnsi="仿宋" w:eastAsia="仿宋"/>
                <w:color w:val="auto"/>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1B592437">
            <w:pPr>
              <w:spacing w:line="360" w:lineRule="auto"/>
              <w:jc w:val="center"/>
              <w:rPr>
                <w:rFonts w:ascii="仿宋" w:hAnsi="仿宋" w:eastAsia="仿宋"/>
                <w:color w:val="auto"/>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46AC2B3F">
            <w:pPr>
              <w:spacing w:line="360" w:lineRule="auto"/>
              <w:jc w:val="center"/>
              <w:rPr>
                <w:rFonts w:ascii="仿宋" w:hAnsi="仿宋" w:eastAsia="仿宋"/>
                <w:color w:val="auto"/>
                <w:sz w:val="24"/>
                <w:szCs w:val="24"/>
              </w:rPr>
            </w:pPr>
          </w:p>
        </w:tc>
        <w:tc>
          <w:tcPr>
            <w:tcW w:w="1305" w:type="dxa"/>
            <w:tcBorders>
              <w:top w:val="single" w:color="auto" w:sz="4" w:space="0"/>
              <w:left w:val="single" w:color="auto" w:sz="4" w:space="0"/>
              <w:bottom w:val="single" w:color="auto" w:sz="4" w:space="0"/>
              <w:right w:val="single" w:color="auto" w:sz="4" w:space="0"/>
            </w:tcBorders>
            <w:vAlign w:val="center"/>
          </w:tcPr>
          <w:p w14:paraId="0CCA2CDD">
            <w:pPr>
              <w:spacing w:line="360" w:lineRule="auto"/>
              <w:jc w:val="center"/>
              <w:rPr>
                <w:rFonts w:ascii="仿宋" w:hAnsi="仿宋" w:eastAsia="仿宋"/>
                <w:color w:val="auto"/>
                <w:sz w:val="24"/>
                <w:szCs w:val="24"/>
              </w:rPr>
            </w:pPr>
          </w:p>
        </w:tc>
        <w:tc>
          <w:tcPr>
            <w:tcW w:w="1225" w:type="dxa"/>
            <w:tcBorders>
              <w:top w:val="single" w:color="auto" w:sz="4" w:space="0"/>
              <w:left w:val="single" w:color="auto" w:sz="4" w:space="0"/>
              <w:bottom w:val="single" w:color="auto" w:sz="4" w:space="0"/>
              <w:right w:val="single" w:color="auto" w:sz="4" w:space="0"/>
            </w:tcBorders>
            <w:vAlign w:val="center"/>
          </w:tcPr>
          <w:p w14:paraId="0E53415C">
            <w:pPr>
              <w:spacing w:line="360" w:lineRule="auto"/>
              <w:jc w:val="center"/>
              <w:rPr>
                <w:rFonts w:ascii="仿宋" w:hAnsi="仿宋" w:eastAsia="仿宋"/>
                <w:color w:val="auto"/>
                <w:sz w:val="24"/>
                <w:szCs w:val="24"/>
              </w:rPr>
            </w:pPr>
          </w:p>
        </w:tc>
        <w:tc>
          <w:tcPr>
            <w:tcW w:w="901" w:type="dxa"/>
            <w:tcBorders>
              <w:top w:val="single" w:color="auto" w:sz="4" w:space="0"/>
              <w:left w:val="single" w:color="auto" w:sz="4" w:space="0"/>
              <w:bottom w:val="single" w:color="auto" w:sz="4" w:space="0"/>
              <w:right w:val="single" w:color="auto" w:sz="4" w:space="0"/>
            </w:tcBorders>
            <w:vAlign w:val="center"/>
          </w:tcPr>
          <w:p w14:paraId="274D125A">
            <w:pPr>
              <w:spacing w:line="360" w:lineRule="auto"/>
              <w:jc w:val="center"/>
              <w:rPr>
                <w:rFonts w:ascii="仿宋" w:hAnsi="仿宋" w:eastAsia="仿宋"/>
                <w:color w:val="auto"/>
                <w:sz w:val="24"/>
                <w:szCs w:val="24"/>
              </w:rPr>
            </w:pPr>
          </w:p>
        </w:tc>
      </w:tr>
      <w:tr w14:paraId="0189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665254CF">
            <w:pPr>
              <w:spacing w:line="360" w:lineRule="auto"/>
              <w:jc w:val="center"/>
              <w:rPr>
                <w:rFonts w:ascii="仿宋" w:hAnsi="仿宋" w:eastAsia="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B97D18F">
            <w:pPr>
              <w:spacing w:line="360" w:lineRule="auto"/>
              <w:jc w:val="center"/>
              <w:rPr>
                <w:rFonts w:ascii="仿宋" w:hAnsi="仿宋" w:eastAsia="仿宋"/>
                <w:color w:val="auto"/>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259383F">
            <w:pPr>
              <w:spacing w:line="360" w:lineRule="auto"/>
              <w:jc w:val="center"/>
              <w:rPr>
                <w:rFonts w:ascii="仿宋" w:hAnsi="仿宋" w:eastAsia="仿宋"/>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37FDE844">
            <w:pPr>
              <w:spacing w:line="360" w:lineRule="auto"/>
              <w:jc w:val="center"/>
              <w:rPr>
                <w:rFonts w:ascii="仿宋" w:hAnsi="仿宋" w:eastAsia="仿宋"/>
                <w:color w:val="auto"/>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FB604C8">
            <w:pPr>
              <w:spacing w:line="360" w:lineRule="auto"/>
              <w:jc w:val="center"/>
              <w:rPr>
                <w:rFonts w:ascii="仿宋" w:hAnsi="仿宋" w:eastAsia="仿宋"/>
                <w:color w:val="auto"/>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1772BFEA">
            <w:pPr>
              <w:spacing w:line="360" w:lineRule="auto"/>
              <w:jc w:val="center"/>
              <w:rPr>
                <w:rFonts w:ascii="仿宋" w:hAnsi="仿宋" w:eastAsia="仿宋"/>
                <w:color w:val="auto"/>
                <w:sz w:val="24"/>
                <w:szCs w:val="24"/>
              </w:rPr>
            </w:pPr>
          </w:p>
        </w:tc>
        <w:tc>
          <w:tcPr>
            <w:tcW w:w="1305" w:type="dxa"/>
            <w:tcBorders>
              <w:top w:val="single" w:color="auto" w:sz="4" w:space="0"/>
              <w:left w:val="single" w:color="auto" w:sz="4" w:space="0"/>
              <w:bottom w:val="single" w:color="auto" w:sz="4" w:space="0"/>
              <w:right w:val="single" w:color="auto" w:sz="4" w:space="0"/>
            </w:tcBorders>
            <w:vAlign w:val="center"/>
          </w:tcPr>
          <w:p w14:paraId="72E8DA43">
            <w:pPr>
              <w:spacing w:line="360" w:lineRule="auto"/>
              <w:jc w:val="center"/>
              <w:rPr>
                <w:rFonts w:ascii="仿宋" w:hAnsi="仿宋" w:eastAsia="仿宋"/>
                <w:color w:val="auto"/>
                <w:sz w:val="24"/>
                <w:szCs w:val="24"/>
              </w:rPr>
            </w:pPr>
          </w:p>
        </w:tc>
        <w:tc>
          <w:tcPr>
            <w:tcW w:w="1225" w:type="dxa"/>
            <w:tcBorders>
              <w:top w:val="single" w:color="auto" w:sz="4" w:space="0"/>
              <w:left w:val="single" w:color="auto" w:sz="4" w:space="0"/>
              <w:bottom w:val="single" w:color="auto" w:sz="4" w:space="0"/>
              <w:right w:val="single" w:color="auto" w:sz="4" w:space="0"/>
            </w:tcBorders>
            <w:vAlign w:val="center"/>
          </w:tcPr>
          <w:p w14:paraId="0BE36EC2">
            <w:pPr>
              <w:spacing w:line="360" w:lineRule="auto"/>
              <w:jc w:val="center"/>
              <w:rPr>
                <w:rFonts w:ascii="仿宋" w:hAnsi="仿宋" w:eastAsia="仿宋"/>
                <w:color w:val="auto"/>
                <w:sz w:val="24"/>
                <w:szCs w:val="24"/>
              </w:rPr>
            </w:pPr>
          </w:p>
        </w:tc>
        <w:tc>
          <w:tcPr>
            <w:tcW w:w="901" w:type="dxa"/>
            <w:tcBorders>
              <w:top w:val="single" w:color="auto" w:sz="4" w:space="0"/>
              <w:left w:val="single" w:color="auto" w:sz="4" w:space="0"/>
              <w:bottom w:val="single" w:color="auto" w:sz="4" w:space="0"/>
              <w:right w:val="single" w:color="auto" w:sz="4" w:space="0"/>
            </w:tcBorders>
            <w:vAlign w:val="center"/>
          </w:tcPr>
          <w:p w14:paraId="4AF205CD">
            <w:pPr>
              <w:spacing w:line="360" w:lineRule="auto"/>
              <w:jc w:val="center"/>
              <w:rPr>
                <w:rFonts w:ascii="仿宋" w:hAnsi="仿宋" w:eastAsia="仿宋"/>
                <w:color w:val="auto"/>
                <w:sz w:val="24"/>
                <w:szCs w:val="24"/>
              </w:rPr>
            </w:pPr>
          </w:p>
        </w:tc>
      </w:tr>
      <w:tr w14:paraId="77CC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3BD81119">
            <w:pPr>
              <w:spacing w:line="360" w:lineRule="auto"/>
              <w:jc w:val="center"/>
              <w:rPr>
                <w:rFonts w:ascii="仿宋" w:hAnsi="仿宋" w:eastAsia="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F4275E9">
            <w:pPr>
              <w:spacing w:line="360" w:lineRule="auto"/>
              <w:jc w:val="center"/>
              <w:rPr>
                <w:rFonts w:ascii="仿宋" w:hAnsi="仿宋" w:eastAsia="仿宋"/>
                <w:color w:val="auto"/>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D754E07">
            <w:pPr>
              <w:spacing w:line="360" w:lineRule="auto"/>
              <w:jc w:val="center"/>
              <w:rPr>
                <w:rFonts w:ascii="仿宋" w:hAnsi="仿宋" w:eastAsia="仿宋"/>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4D1C4094">
            <w:pPr>
              <w:spacing w:line="360" w:lineRule="auto"/>
              <w:jc w:val="center"/>
              <w:rPr>
                <w:rFonts w:ascii="仿宋" w:hAnsi="仿宋" w:eastAsia="仿宋"/>
                <w:color w:val="auto"/>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10F71424">
            <w:pPr>
              <w:spacing w:line="360" w:lineRule="auto"/>
              <w:jc w:val="center"/>
              <w:rPr>
                <w:rFonts w:ascii="仿宋" w:hAnsi="仿宋" w:eastAsia="仿宋"/>
                <w:color w:val="auto"/>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112ABB5A">
            <w:pPr>
              <w:spacing w:line="360" w:lineRule="auto"/>
              <w:jc w:val="center"/>
              <w:rPr>
                <w:rFonts w:ascii="仿宋" w:hAnsi="仿宋" w:eastAsia="仿宋"/>
                <w:color w:val="auto"/>
                <w:sz w:val="24"/>
                <w:szCs w:val="24"/>
              </w:rPr>
            </w:pPr>
          </w:p>
        </w:tc>
        <w:tc>
          <w:tcPr>
            <w:tcW w:w="1305" w:type="dxa"/>
            <w:tcBorders>
              <w:top w:val="single" w:color="auto" w:sz="4" w:space="0"/>
              <w:left w:val="single" w:color="auto" w:sz="4" w:space="0"/>
              <w:bottom w:val="single" w:color="auto" w:sz="4" w:space="0"/>
              <w:right w:val="single" w:color="auto" w:sz="4" w:space="0"/>
            </w:tcBorders>
            <w:vAlign w:val="center"/>
          </w:tcPr>
          <w:p w14:paraId="29CC62C0">
            <w:pPr>
              <w:spacing w:line="360" w:lineRule="auto"/>
              <w:jc w:val="center"/>
              <w:rPr>
                <w:rFonts w:ascii="仿宋" w:hAnsi="仿宋" w:eastAsia="仿宋"/>
                <w:color w:val="auto"/>
                <w:sz w:val="24"/>
                <w:szCs w:val="24"/>
              </w:rPr>
            </w:pPr>
          </w:p>
        </w:tc>
        <w:tc>
          <w:tcPr>
            <w:tcW w:w="1225" w:type="dxa"/>
            <w:tcBorders>
              <w:top w:val="single" w:color="auto" w:sz="4" w:space="0"/>
              <w:left w:val="single" w:color="auto" w:sz="4" w:space="0"/>
              <w:bottom w:val="single" w:color="auto" w:sz="4" w:space="0"/>
              <w:right w:val="single" w:color="auto" w:sz="4" w:space="0"/>
            </w:tcBorders>
            <w:vAlign w:val="center"/>
          </w:tcPr>
          <w:p w14:paraId="78920135">
            <w:pPr>
              <w:spacing w:line="360" w:lineRule="auto"/>
              <w:jc w:val="center"/>
              <w:rPr>
                <w:rFonts w:ascii="仿宋" w:hAnsi="仿宋" w:eastAsia="仿宋"/>
                <w:color w:val="auto"/>
                <w:sz w:val="24"/>
                <w:szCs w:val="24"/>
              </w:rPr>
            </w:pPr>
          </w:p>
        </w:tc>
        <w:tc>
          <w:tcPr>
            <w:tcW w:w="901" w:type="dxa"/>
            <w:tcBorders>
              <w:top w:val="single" w:color="auto" w:sz="4" w:space="0"/>
              <w:left w:val="single" w:color="auto" w:sz="4" w:space="0"/>
              <w:bottom w:val="single" w:color="auto" w:sz="4" w:space="0"/>
              <w:right w:val="single" w:color="auto" w:sz="4" w:space="0"/>
            </w:tcBorders>
            <w:vAlign w:val="center"/>
          </w:tcPr>
          <w:p w14:paraId="5448A825">
            <w:pPr>
              <w:spacing w:line="360" w:lineRule="auto"/>
              <w:jc w:val="center"/>
              <w:rPr>
                <w:rFonts w:ascii="仿宋" w:hAnsi="仿宋" w:eastAsia="仿宋"/>
                <w:color w:val="auto"/>
                <w:sz w:val="24"/>
                <w:szCs w:val="24"/>
              </w:rPr>
            </w:pPr>
          </w:p>
        </w:tc>
      </w:tr>
      <w:tr w14:paraId="73C2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61C82260">
            <w:pPr>
              <w:spacing w:line="360" w:lineRule="auto"/>
              <w:jc w:val="center"/>
              <w:rPr>
                <w:rFonts w:ascii="仿宋" w:hAnsi="仿宋" w:eastAsia="仿宋"/>
                <w:color w:val="auto"/>
                <w:sz w:val="24"/>
                <w:szCs w:val="24"/>
              </w:rPr>
            </w:pPr>
            <w:r>
              <w:rPr>
                <w:rFonts w:hint="eastAsia" w:ascii="仿宋" w:hAnsi="仿宋" w:eastAsia="仿宋"/>
                <w:color w:val="auto"/>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1FC2CC7A">
            <w:pPr>
              <w:spacing w:line="360" w:lineRule="auto"/>
              <w:jc w:val="center"/>
              <w:rPr>
                <w:rFonts w:ascii="仿宋" w:hAnsi="仿宋" w:eastAsia="仿宋"/>
                <w:color w:val="auto"/>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9E996B2">
            <w:pPr>
              <w:spacing w:line="360" w:lineRule="auto"/>
              <w:jc w:val="center"/>
              <w:rPr>
                <w:rFonts w:ascii="仿宋" w:hAnsi="仿宋" w:eastAsia="仿宋"/>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488C30DE">
            <w:pPr>
              <w:spacing w:line="360" w:lineRule="auto"/>
              <w:jc w:val="center"/>
              <w:rPr>
                <w:rFonts w:ascii="仿宋" w:hAnsi="仿宋" w:eastAsia="仿宋"/>
                <w:color w:val="auto"/>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3B33202C">
            <w:pPr>
              <w:spacing w:line="360" w:lineRule="auto"/>
              <w:jc w:val="center"/>
              <w:rPr>
                <w:rFonts w:ascii="仿宋" w:hAnsi="仿宋" w:eastAsia="仿宋"/>
                <w:color w:val="auto"/>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0531C1C4">
            <w:pPr>
              <w:spacing w:line="360" w:lineRule="auto"/>
              <w:jc w:val="center"/>
              <w:rPr>
                <w:rFonts w:ascii="仿宋" w:hAnsi="仿宋" w:eastAsia="仿宋"/>
                <w:color w:val="auto"/>
                <w:sz w:val="24"/>
                <w:szCs w:val="24"/>
              </w:rPr>
            </w:pPr>
          </w:p>
        </w:tc>
        <w:tc>
          <w:tcPr>
            <w:tcW w:w="1305" w:type="dxa"/>
            <w:tcBorders>
              <w:top w:val="single" w:color="auto" w:sz="4" w:space="0"/>
              <w:left w:val="single" w:color="auto" w:sz="4" w:space="0"/>
              <w:bottom w:val="single" w:color="auto" w:sz="4" w:space="0"/>
              <w:right w:val="single" w:color="auto" w:sz="4" w:space="0"/>
            </w:tcBorders>
            <w:vAlign w:val="center"/>
          </w:tcPr>
          <w:p w14:paraId="2F5B81EF">
            <w:pPr>
              <w:spacing w:line="360" w:lineRule="auto"/>
              <w:jc w:val="center"/>
              <w:rPr>
                <w:rFonts w:ascii="仿宋" w:hAnsi="仿宋" w:eastAsia="仿宋"/>
                <w:color w:val="auto"/>
                <w:sz w:val="24"/>
                <w:szCs w:val="24"/>
              </w:rPr>
            </w:pPr>
          </w:p>
        </w:tc>
        <w:tc>
          <w:tcPr>
            <w:tcW w:w="1225" w:type="dxa"/>
            <w:tcBorders>
              <w:top w:val="single" w:color="auto" w:sz="4" w:space="0"/>
              <w:left w:val="single" w:color="auto" w:sz="4" w:space="0"/>
              <w:bottom w:val="single" w:color="auto" w:sz="4" w:space="0"/>
              <w:right w:val="single" w:color="auto" w:sz="4" w:space="0"/>
            </w:tcBorders>
            <w:vAlign w:val="center"/>
          </w:tcPr>
          <w:p w14:paraId="098D6626">
            <w:pPr>
              <w:spacing w:line="360" w:lineRule="auto"/>
              <w:jc w:val="center"/>
              <w:rPr>
                <w:rFonts w:ascii="仿宋" w:hAnsi="仿宋" w:eastAsia="仿宋"/>
                <w:color w:val="auto"/>
                <w:sz w:val="24"/>
                <w:szCs w:val="24"/>
              </w:rPr>
            </w:pPr>
          </w:p>
        </w:tc>
        <w:tc>
          <w:tcPr>
            <w:tcW w:w="901" w:type="dxa"/>
            <w:tcBorders>
              <w:top w:val="single" w:color="auto" w:sz="4" w:space="0"/>
              <w:left w:val="single" w:color="auto" w:sz="4" w:space="0"/>
              <w:bottom w:val="single" w:color="auto" w:sz="4" w:space="0"/>
              <w:right w:val="single" w:color="auto" w:sz="4" w:space="0"/>
            </w:tcBorders>
            <w:vAlign w:val="center"/>
          </w:tcPr>
          <w:p w14:paraId="6E80ED78">
            <w:pPr>
              <w:spacing w:line="360" w:lineRule="auto"/>
              <w:jc w:val="center"/>
              <w:rPr>
                <w:rFonts w:ascii="仿宋" w:hAnsi="仿宋" w:eastAsia="仿宋"/>
                <w:color w:val="auto"/>
                <w:sz w:val="24"/>
                <w:szCs w:val="24"/>
              </w:rPr>
            </w:pPr>
          </w:p>
        </w:tc>
      </w:tr>
    </w:tbl>
    <w:p w14:paraId="5EBE062A">
      <w:pPr>
        <w:pStyle w:val="31"/>
        <w:spacing w:line="360" w:lineRule="auto"/>
        <w:rPr>
          <w:rFonts w:ascii="仿宋" w:hAnsi="仿宋" w:eastAsia="仿宋"/>
          <w:b/>
          <w:bCs/>
          <w:color w:val="auto"/>
          <w:sz w:val="24"/>
          <w:szCs w:val="24"/>
        </w:rPr>
      </w:pPr>
      <w:r>
        <w:rPr>
          <w:rFonts w:hint="eastAsia" w:ascii="仿宋" w:hAnsi="仿宋" w:eastAsia="仿宋"/>
          <w:b/>
          <w:bCs/>
          <w:color w:val="auto"/>
          <w:sz w:val="24"/>
          <w:szCs w:val="24"/>
        </w:rPr>
        <w:t>附上述所有人员的身份证、相关证书（如有）复印件。</w:t>
      </w:r>
    </w:p>
    <w:p w14:paraId="30ABEA2A">
      <w:pPr>
        <w:pStyle w:val="31"/>
        <w:spacing w:line="360" w:lineRule="auto"/>
        <w:rPr>
          <w:rFonts w:ascii="仿宋" w:hAnsi="仿宋" w:eastAsia="仿宋"/>
          <w:color w:val="auto"/>
          <w:sz w:val="24"/>
          <w:szCs w:val="24"/>
        </w:rPr>
      </w:pPr>
      <w:r>
        <w:rPr>
          <w:rFonts w:hint="eastAsia" w:ascii="仿宋" w:hAnsi="仿宋" w:eastAsia="仿宋"/>
          <w:color w:val="auto"/>
          <w:sz w:val="24"/>
          <w:szCs w:val="24"/>
        </w:rPr>
        <w:t xml:space="preserve"> </w:t>
      </w:r>
    </w:p>
    <w:p w14:paraId="6D3137D3">
      <w:pPr>
        <w:rPr>
          <w:rFonts w:ascii="仿宋" w:hAnsi="仿宋" w:eastAsia="仿宋"/>
          <w:color w:val="auto"/>
          <w:szCs w:val="21"/>
        </w:rPr>
      </w:pPr>
      <w:r>
        <w:rPr>
          <w:rFonts w:hint="eastAsia" w:ascii="仿宋" w:hAnsi="仿宋" w:eastAsia="仿宋"/>
          <w:color w:val="auto"/>
        </w:rPr>
        <w:t xml:space="preserve"> </w:t>
      </w:r>
    </w:p>
    <w:p w14:paraId="7C6780BF">
      <w:pPr>
        <w:spacing w:line="360" w:lineRule="auto"/>
        <w:ind w:firstLine="2" w:firstLineChars="1"/>
        <w:rPr>
          <w:rFonts w:ascii="仿宋" w:hAnsi="仿宋" w:eastAsia="仿宋"/>
          <w:color w:val="auto"/>
          <w:sz w:val="24"/>
          <w:szCs w:val="24"/>
        </w:rPr>
      </w:pPr>
      <w:r>
        <w:rPr>
          <w:rFonts w:hint="eastAsia" w:ascii="仿宋" w:hAnsi="仿宋" w:eastAsia="仿宋"/>
          <w:color w:val="auto"/>
          <w:sz w:val="24"/>
          <w:szCs w:val="24"/>
        </w:rPr>
        <w:t>供应商：</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（盖单位公章）</w:t>
      </w:r>
    </w:p>
    <w:p w14:paraId="59E8F3C0">
      <w:pPr>
        <w:spacing w:line="360" w:lineRule="auto"/>
        <w:ind w:firstLine="2" w:firstLineChars="1"/>
        <w:rPr>
          <w:rFonts w:ascii="仿宋" w:hAnsi="仿宋" w:eastAsia="仿宋"/>
          <w:color w:val="auto"/>
          <w:sz w:val="24"/>
          <w:szCs w:val="24"/>
        </w:rPr>
      </w:pPr>
      <w:r>
        <w:rPr>
          <w:rFonts w:hint="eastAsia" w:ascii="仿宋" w:hAnsi="仿宋" w:eastAsia="仿宋"/>
          <w:color w:val="auto"/>
          <w:sz w:val="24"/>
          <w:szCs w:val="24"/>
        </w:rPr>
        <w:t>法定代表人或其委托代理人：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14:paraId="6EA78352">
      <w:pPr>
        <w:rPr>
          <w:rFonts w:ascii="仿宋" w:hAnsi="仿宋" w:eastAsia="仿宋"/>
          <w:color w:val="auto"/>
          <w:sz w:val="24"/>
          <w:szCs w:val="24"/>
        </w:rPr>
      </w:pP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年</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月</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w:t>
      </w:r>
    </w:p>
    <w:p w14:paraId="697A0575">
      <w:pPr>
        <w:rPr>
          <w:rFonts w:ascii="Courier New" w:hAnsi="Courier New"/>
          <w:color w:val="auto"/>
          <w:szCs w:val="21"/>
        </w:rPr>
      </w:pPr>
      <w:r>
        <w:rPr>
          <w:color w:val="auto"/>
        </w:rPr>
        <w:t xml:space="preserve"> </w:t>
      </w:r>
    </w:p>
    <w:p w14:paraId="4E48C899">
      <w:pPr>
        <w:spacing w:line="360" w:lineRule="auto"/>
        <w:jc w:val="center"/>
        <w:rPr>
          <w:rFonts w:ascii="仿宋" w:hAnsi="仿宋" w:eastAsia="仿宋"/>
          <w:color w:val="auto"/>
          <w:sz w:val="24"/>
        </w:rPr>
      </w:pPr>
    </w:p>
    <w:p w14:paraId="414FC12F">
      <w:pPr>
        <w:spacing w:line="360" w:lineRule="auto"/>
        <w:jc w:val="center"/>
        <w:rPr>
          <w:rFonts w:ascii="仿宋" w:hAnsi="仿宋" w:eastAsia="仿宋"/>
          <w:color w:val="auto"/>
          <w:sz w:val="24"/>
        </w:rPr>
      </w:pPr>
    </w:p>
    <w:p w14:paraId="328CC7BA">
      <w:pPr>
        <w:spacing w:line="360" w:lineRule="auto"/>
        <w:jc w:val="left"/>
        <w:rPr>
          <w:rFonts w:ascii="仿宋" w:hAnsi="仿宋" w:eastAsia="仿宋" w:cs="宋体"/>
          <w:b/>
          <w:color w:val="auto"/>
          <w:szCs w:val="21"/>
        </w:rPr>
      </w:pPr>
      <w:r>
        <w:rPr>
          <w:rFonts w:hint="eastAsia" w:ascii="仿宋" w:hAnsi="仿宋" w:eastAsia="仿宋" w:cs="宋体"/>
          <w:b/>
          <w:color w:val="auto"/>
          <w:sz w:val="24"/>
        </w:rPr>
        <w:br w:type="page"/>
      </w:r>
      <w:r>
        <w:rPr>
          <w:rFonts w:hint="eastAsia" w:ascii="仿宋" w:hAnsi="仿宋" w:eastAsia="仿宋" w:cs="宋体"/>
          <w:b/>
          <w:color w:val="auto"/>
          <w:szCs w:val="21"/>
        </w:rPr>
        <w:t>注：此部分表格用于二次报价阶段，作为填报的格式，不需放入响应文件中，请供应商</w:t>
      </w:r>
      <w:r>
        <w:rPr>
          <w:rFonts w:ascii="仿宋" w:hAnsi="仿宋" w:eastAsia="仿宋" w:cs="宋体"/>
          <w:b/>
          <w:color w:val="auto"/>
          <w:szCs w:val="21"/>
        </w:rPr>
        <w:t>签章后</w:t>
      </w:r>
      <w:r>
        <w:rPr>
          <w:rFonts w:hint="eastAsia" w:ascii="仿宋" w:hAnsi="仿宋" w:eastAsia="仿宋" w:cs="宋体"/>
          <w:b/>
          <w:color w:val="auto"/>
          <w:szCs w:val="21"/>
        </w:rPr>
        <w:t>作为附件</w:t>
      </w:r>
      <w:r>
        <w:rPr>
          <w:rFonts w:ascii="仿宋" w:hAnsi="仿宋" w:eastAsia="仿宋" w:cs="宋体"/>
          <w:b/>
          <w:color w:val="auto"/>
          <w:szCs w:val="21"/>
        </w:rPr>
        <w:t>上传；打印此表时，只需打印以下表格，不带本文件页眉页脚</w:t>
      </w:r>
      <w:r>
        <w:rPr>
          <w:rFonts w:hint="eastAsia" w:ascii="仿宋" w:hAnsi="仿宋" w:eastAsia="仿宋" w:cs="宋体"/>
          <w:b/>
          <w:color w:val="auto"/>
          <w:szCs w:val="21"/>
        </w:rPr>
        <w:t>内容</w:t>
      </w:r>
      <w:r>
        <w:rPr>
          <w:rFonts w:ascii="仿宋" w:hAnsi="仿宋" w:eastAsia="仿宋" w:cs="宋体"/>
          <w:b/>
          <w:color w:val="auto"/>
          <w:szCs w:val="21"/>
        </w:rPr>
        <w:t>打印。</w:t>
      </w:r>
    </w:p>
    <w:p w14:paraId="70545035">
      <w:pPr>
        <w:spacing w:line="360" w:lineRule="auto"/>
        <w:jc w:val="left"/>
        <w:rPr>
          <w:rFonts w:ascii="仿宋" w:hAnsi="仿宋" w:eastAsia="仿宋" w:cs="宋体"/>
          <w:b/>
          <w:color w:val="auto"/>
          <w:sz w:val="24"/>
        </w:rPr>
      </w:pPr>
    </w:p>
    <w:p w14:paraId="695E99AB">
      <w:pPr>
        <w:spacing w:line="480" w:lineRule="auto"/>
        <w:jc w:val="center"/>
        <w:outlineLvl w:val="0"/>
        <w:rPr>
          <w:rFonts w:ascii="仿宋" w:hAnsi="仿宋" w:eastAsia="仿宋" w:cs="宋体"/>
          <w:b/>
          <w:color w:val="auto"/>
          <w:sz w:val="32"/>
          <w:szCs w:val="32"/>
        </w:rPr>
      </w:pPr>
      <w:bookmarkStart w:id="274" w:name="_Toc232004945"/>
      <w:r>
        <w:rPr>
          <w:rFonts w:hint="eastAsia" w:ascii="仿宋" w:hAnsi="仿宋" w:eastAsia="仿宋" w:cs="宋体"/>
          <w:b/>
          <w:color w:val="auto"/>
          <w:sz w:val="32"/>
          <w:szCs w:val="32"/>
        </w:rPr>
        <w:t>最终磋商一览表（二次报价）</w:t>
      </w:r>
      <w:bookmarkEnd w:id="274"/>
    </w:p>
    <w:tbl>
      <w:tblPr>
        <w:tblStyle w:val="62"/>
        <w:tblW w:w="9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410"/>
        <w:gridCol w:w="6666"/>
      </w:tblGrid>
      <w:tr w14:paraId="13EA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74609FC">
            <w:pPr>
              <w:spacing w:line="360" w:lineRule="auto"/>
              <w:jc w:val="center"/>
              <w:rPr>
                <w:rFonts w:ascii="仿宋" w:hAnsi="仿宋" w:eastAsia="仿宋" w:cs="宋体"/>
                <w:color w:val="auto"/>
                <w:sz w:val="24"/>
              </w:rPr>
            </w:pPr>
            <w:r>
              <w:rPr>
                <w:rFonts w:hint="eastAsia" w:ascii="仿宋" w:hAnsi="仿宋" w:eastAsia="仿宋" w:cs="宋体"/>
                <w:color w:val="auto"/>
                <w:sz w:val="24"/>
              </w:rPr>
              <w:t>序号</w:t>
            </w:r>
          </w:p>
        </w:tc>
        <w:tc>
          <w:tcPr>
            <w:tcW w:w="2410" w:type="dxa"/>
            <w:tcBorders>
              <w:top w:val="single" w:color="auto" w:sz="4" w:space="0"/>
              <w:left w:val="single" w:color="auto" w:sz="4" w:space="0"/>
              <w:bottom w:val="single" w:color="auto" w:sz="4" w:space="0"/>
              <w:right w:val="single" w:color="auto" w:sz="4" w:space="0"/>
            </w:tcBorders>
            <w:vAlign w:val="center"/>
          </w:tcPr>
          <w:p w14:paraId="1EE4E3B0">
            <w:pPr>
              <w:spacing w:line="360" w:lineRule="auto"/>
              <w:ind w:firstLine="2" w:firstLineChars="1"/>
              <w:jc w:val="center"/>
              <w:rPr>
                <w:rFonts w:ascii="仿宋" w:hAnsi="仿宋" w:eastAsia="仿宋" w:cs="宋体"/>
                <w:color w:val="auto"/>
                <w:sz w:val="24"/>
              </w:rPr>
            </w:pPr>
            <w:r>
              <w:rPr>
                <w:rFonts w:hint="eastAsia" w:ascii="仿宋" w:hAnsi="仿宋" w:eastAsia="仿宋" w:cs="宋体"/>
                <w:color w:val="auto"/>
                <w:sz w:val="24"/>
              </w:rPr>
              <w:t>项目</w:t>
            </w:r>
          </w:p>
        </w:tc>
        <w:tc>
          <w:tcPr>
            <w:tcW w:w="6666" w:type="dxa"/>
            <w:tcBorders>
              <w:top w:val="single" w:color="auto" w:sz="4" w:space="0"/>
              <w:left w:val="single" w:color="auto" w:sz="4" w:space="0"/>
              <w:bottom w:val="single" w:color="auto" w:sz="4" w:space="0"/>
              <w:right w:val="single" w:color="auto" w:sz="4" w:space="0"/>
            </w:tcBorders>
            <w:vAlign w:val="center"/>
          </w:tcPr>
          <w:p w14:paraId="17AB4A41">
            <w:pPr>
              <w:spacing w:line="360" w:lineRule="auto"/>
              <w:ind w:firstLine="2" w:firstLineChars="1"/>
              <w:jc w:val="center"/>
              <w:rPr>
                <w:rFonts w:ascii="仿宋" w:hAnsi="仿宋" w:eastAsia="仿宋" w:cs="宋体"/>
                <w:color w:val="auto"/>
                <w:sz w:val="24"/>
              </w:rPr>
            </w:pPr>
            <w:r>
              <w:rPr>
                <w:rFonts w:hint="eastAsia" w:ascii="仿宋" w:hAnsi="仿宋" w:eastAsia="仿宋" w:cs="宋体"/>
                <w:color w:val="auto"/>
                <w:sz w:val="24"/>
              </w:rPr>
              <w:t>内容</w:t>
            </w:r>
          </w:p>
        </w:tc>
      </w:tr>
      <w:tr w14:paraId="33EE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856" w:type="dxa"/>
            <w:tcBorders>
              <w:top w:val="single" w:color="auto" w:sz="4" w:space="0"/>
              <w:left w:val="single" w:color="auto" w:sz="4" w:space="0"/>
              <w:right w:val="single" w:color="auto" w:sz="4" w:space="0"/>
            </w:tcBorders>
            <w:vAlign w:val="center"/>
          </w:tcPr>
          <w:p w14:paraId="29894825">
            <w:pPr>
              <w:spacing w:line="360" w:lineRule="auto"/>
              <w:jc w:val="center"/>
              <w:rPr>
                <w:rFonts w:ascii="仿宋" w:hAnsi="仿宋" w:eastAsia="仿宋" w:cs="宋体"/>
                <w:color w:val="auto"/>
                <w:sz w:val="24"/>
              </w:rPr>
            </w:pPr>
            <w:r>
              <w:rPr>
                <w:rFonts w:ascii="仿宋" w:hAnsi="仿宋" w:eastAsia="仿宋" w:cs="宋体"/>
                <w:color w:val="auto"/>
                <w:sz w:val="24"/>
              </w:rPr>
              <w:t>1.1</w:t>
            </w:r>
          </w:p>
        </w:tc>
        <w:tc>
          <w:tcPr>
            <w:tcW w:w="2410" w:type="dxa"/>
            <w:tcBorders>
              <w:top w:val="single" w:color="auto" w:sz="4" w:space="0"/>
              <w:left w:val="single" w:color="auto" w:sz="4" w:space="0"/>
              <w:right w:val="single" w:color="auto" w:sz="4" w:space="0"/>
            </w:tcBorders>
            <w:vAlign w:val="center"/>
          </w:tcPr>
          <w:p w14:paraId="6F4CC869">
            <w:pPr>
              <w:spacing w:line="360" w:lineRule="auto"/>
              <w:ind w:firstLine="2" w:firstLineChars="1"/>
              <w:jc w:val="center"/>
              <w:rPr>
                <w:rFonts w:ascii="仿宋" w:hAnsi="仿宋" w:eastAsia="仿宋" w:cs="宋体"/>
                <w:bCs/>
                <w:color w:val="auto"/>
                <w:sz w:val="24"/>
                <w:szCs w:val="24"/>
              </w:rPr>
            </w:pPr>
            <w:r>
              <w:rPr>
                <w:rFonts w:hint="eastAsia" w:ascii="仿宋" w:hAnsi="仿宋" w:eastAsia="仿宋" w:cs="宋体"/>
                <w:bCs/>
                <w:color w:val="auto"/>
                <w:sz w:val="24"/>
                <w:szCs w:val="24"/>
              </w:rPr>
              <w:t>基础单价</w:t>
            </w:r>
          </w:p>
          <w:p w14:paraId="66B5837B">
            <w:pPr>
              <w:spacing w:line="360" w:lineRule="auto"/>
              <w:ind w:firstLine="2" w:firstLineChars="1"/>
              <w:jc w:val="center"/>
              <w:rPr>
                <w:rFonts w:ascii="仿宋" w:hAnsi="仿宋" w:eastAsia="仿宋" w:cs="宋体"/>
                <w:color w:val="auto"/>
                <w:sz w:val="24"/>
              </w:rPr>
            </w:pPr>
            <w:r>
              <w:rPr>
                <w:rFonts w:hint="eastAsia" w:ascii="仿宋" w:hAnsi="仿宋" w:eastAsia="仿宋" w:cs="宋体"/>
                <w:color w:val="auto"/>
                <w:sz w:val="24"/>
              </w:rPr>
              <w:t>磋商报价</w:t>
            </w:r>
          </w:p>
        </w:tc>
        <w:tc>
          <w:tcPr>
            <w:tcW w:w="6666" w:type="dxa"/>
            <w:tcBorders>
              <w:top w:val="single" w:color="auto" w:sz="4" w:space="0"/>
              <w:left w:val="single" w:color="auto" w:sz="4" w:space="0"/>
              <w:right w:val="single" w:color="auto" w:sz="4" w:space="0"/>
            </w:tcBorders>
            <w:vAlign w:val="center"/>
          </w:tcPr>
          <w:p w14:paraId="63BEE729">
            <w:pPr>
              <w:spacing w:line="360" w:lineRule="auto"/>
              <w:jc w:val="center"/>
              <w:rPr>
                <w:rFonts w:ascii="仿宋" w:hAnsi="仿宋" w:eastAsia="仿宋" w:cs="宋体"/>
                <w:b/>
                <w:bCs/>
                <w:color w:val="auto"/>
                <w:sz w:val="24"/>
              </w:rPr>
            </w:pPr>
            <w:r>
              <w:rPr>
                <w:rFonts w:ascii="Calibri" w:hAnsi="Calibri" w:eastAsia="仿宋" w:cs="Calibri"/>
                <w:b/>
                <w:bCs/>
                <w:color w:val="auto"/>
                <w:sz w:val="24"/>
                <w:u w:val="single"/>
              </w:rPr>
              <w:t xml:space="preserve">             </w:t>
            </w:r>
            <w:r>
              <w:rPr>
                <w:rFonts w:hint="eastAsia" w:ascii="Calibri" w:hAnsi="Calibri" w:eastAsia="仿宋" w:cs="Calibri"/>
                <w:b/>
                <w:bCs/>
                <w:color w:val="auto"/>
                <w:sz w:val="24"/>
              </w:rPr>
              <w:t>元/件</w:t>
            </w:r>
          </w:p>
        </w:tc>
      </w:tr>
      <w:tr w14:paraId="2FEC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856" w:type="dxa"/>
            <w:tcBorders>
              <w:top w:val="single" w:color="auto" w:sz="4" w:space="0"/>
              <w:left w:val="single" w:color="auto" w:sz="4" w:space="0"/>
              <w:right w:val="single" w:color="auto" w:sz="4" w:space="0"/>
            </w:tcBorders>
            <w:vAlign w:val="center"/>
          </w:tcPr>
          <w:p w14:paraId="37FDD467">
            <w:pPr>
              <w:spacing w:line="360" w:lineRule="auto"/>
              <w:jc w:val="center"/>
              <w:rPr>
                <w:rFonts w:ascii="仿宋" w:hAnsi="仿宋" w:eastAsia="仿宋" w:cs="宋体"/>
                <w:color w:val="auto"/>
                <w:sz w:val="24"/>
              </w:rPr>
            </w:pPr>
            <w:r>
              <w:rPr>
                <w:rFonts w:hint="eastAsia" w:ascii="仿宋" w:hAnsi="仿宋" w:eastAsia="仿宋" w:cs="宋体"/>
                <w:color w:val="auto"/>
                <w:sz w:val="24"/>
              </w:rPr>
              <w:t>1</w:t>
            </w:r>
            <w:r>
              <w:rPr>
                <w:rFonts w:ascii="仿宋" w:hAnsi="仿宋" w:eastAsia="仿宋" w:cs="宋体"/>
                <w:color w:val="auto"/>
                <w:sz w:val="24"/>
              </w:rPr>
              <w:t>.2</w:t>
            </w:r>
          </w:p>
        </w:tc>
        <w:tc>
          <w:tcPr>
            <w:tcW w:w="2410" w:type="dxa"/>
            <w:tcBorders>
              <w:top w:val="single" w:color="auto" w:sz="4" w:space="0"/>
              <w:left w:val="single" w:color="auto" w:sz="4" w:space="0"/>
              <w:right w:val="single" w:color="auto" w:sz="4" w:space="0"/>
            </w:tcBorders>
            <w:vAlign w:val="center"/>
          </w:tcPr>
          <w:p w14:paraId="47BDEB0D">
            <w:pPr>
              <w:spacing w:line="360" w:lineRule="auto"/>
              <w:ind w:firstLine="2" w:firstLineChars="1"/>
              <w:jc w:val="center"/>
              <w:rPr>
                <w:rFonts w:ascii="仿宋" w:hAnsi="仿宋" w:eastAsia="仿宋" w:cs="宋体"/>
                <w:color w:val="auto"/>
                <w:sz w:val="24"/>
              </w:rPr>
            </w:pPr>
            <w:r>
              <w:rPr>
                <w:rFonts w:hint="eastAsia" w:ascii="仿宋" w:hAnsi="仿宋" w:eastAsia="仿宋" w:cs="宋体"/>
                <w:color w:val="auto"/>
                <w:sz w:val="24"/>
              </w:rPr>
              <w:t>增量单价</w:t>
            </w:r>
          </w:p>
          <w:p w14:paraId="5ABD74F1">
            <w:pPr>
              <w:spacing w:line="360" w:lineRule="auto"/>
              <w:ind w:firstLine="2" w:firstLineChars="1"/>
              <w:jc w:val="center"/>
              <w:rPr>
                <w:rFonts w:ascii="仿宋" w:hAnsi="仿宋" w:eastAsia="仿宋" w:cs="宋体"/>
                <w:color w:val="auto"/>
                <w:sz w:val="24"/>
              </w:rPr>
            </w:pPr>
            <w:r>
              <w:rPr>
                <w:rFonts w:hint="eastAsia" w:ascii="仿宋" w:hAnsi="仿宋" w:eastAsia="仿宋" w:cs="宋体"/>
                <w:color w:val="auto"/>
                <w:sz w:val="24"/>
              </w:rPr>
              <w:t>磋商报价</w:t>
            </w:r>
          </w:p>
        </w:tc>
        <w:tc>
          <w:tcPr>
            <w:tcW w:w="6666" w:type="dxa"/>
            <w:tcBorders>
              <w:top w:val="single" w:color="auto" w:sz="4" w:space="0"/>
              <w:left w:val="single" w:color="auto" w:sz="4" w:space="0"/>
              <w:right w:val="single" w:color="auto" w:sz="4" w:space="0"/>
            </w:tcBorders>
            <w:vAlign w:val="center"/>
          </w:tcPr>
          <w:p w14:paraId="3A35AF43">
            <w:pPr>
              <w:spacing w:line="360" w:lineRule="auto"/>
              <w:jc w:val="center"/>
              <w:rPr>
                <w:rFonts w:ascii="仿宋" w:hAnsi="仿宋" w:eastAsia="仿宋" w:cs="宋体"/>
                <w:b/>
                <w:bCs/>
                <w:color w:val="auto"/>
                <w:sz w:val="24"/>
              </w:rPr>
            </w:pPr>
            <w:r>
              <w:rPr>
                <w:rFonts w:ascii="Calibri" w:hAnsi="Calibri" w:eastAsia="仿宋" w:cs="Calibri"/>
                <w:b/>
                <w:bCs/>
                <w:color w:val="auto"/>
                <w:sz w:val="24"/>
                <w:u w:val="single"/>
              </w:rPr>
              <w:t xml:space="preserve">             </w:t>
            </w:r>
            <w:r>
              <w:rPr>
                <w:rFonts w:hint="eastAsia" w:ascii="Calibri" w:hAnsi="Calibri" w:eastAsia="仿宋" w:cs="Calibri"/>
                <w:b/>
                <w:bCs/>
                <w:color w:val="auto"/>
                <w:sz w:val="24"/>
              </w:rPr>
              <w:t>元/亩</w:t>
            </w:r>
          </w:p>
        </w:tc>
      </w:tr>
      <w:tr w14:paraId="0F1E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DFC40E3">
            <w:pPr>
              <w:spacing w:line="360" w:lineRule="auto"/>
              <w:jc w:val="center"/>
              <w:rPr>
                <w:rFonts w:ascii="仿宋" w:hAnsi="仿宋" w:eastAsia="仿宋" w:cs="宋体"/>
                <w:color w:val="auto"/>
                <w:sz w:val="24"/>
              </w:rPr>
            </w:pPr>
            <w:r>
              <w:rPr>
                <w:rFonts w:hint="eastAsia" w:ascii="仿宋" w:hAnsi="仿宋" w:eastAsia="仿宋" w:cs="宋体"/>
                <w:color w:val="auto"/>
                <w:sz w:val="24"/>
              </w:rPr>
              <w:t>2</w:t>
            </w:r>
          </w:p>
        </w:tc>
        <w:tc>
          <w:tcPr>
            <w:tcW w:w="2410" w:type="dxa"/>
            <w:tcBorders>
              <w:top w:val="single" w:color="auto" w:sz="4" w:space="0"/>
              <w:left w:val="single" w:color="auto" w:sz="4" w:space="0"/>
              <w:bottom w:val="single" w:color="auto" w:sz="4" w:space="0"/>
              <w:right w:val="single" w:color="auto" w:sz="4" w:space="0"/>
            </w:tcBorders>
            <w:vAlign w:val="center"/>
          </w:tcPr>
          <w:p w14:paraId="6DA73449">
            <w:pPr>
              <w:spacing w:line="360" w:lineRule="auto"/>
              <w:ind w:firstLine="2" w:firstLineChars="1"/>
              <w:jc w:val="center"/>
              <w:rPr>
                <w:rFonts w:ascii="仿宋" w:hAnsi="仿宋" w:eastAsia="仿宋" w:cs="宋体"/>
                <w:color w:val="auto"/>
                <w:sz w:val="24"/>
              </w:rPr>
            </w:pPr>
            <w:r>
              <w:rPr>
                <w:rFonts w:hint="eastAsia" w:ascii="仿宋" w:hAnsi="仿宋" w:eastAsia="仿宋" w:cs="宋体"/>
                <w:color w:val="auto"/>
                <w:sz w:val="24"/>
                <w:szCs w:val="24"/>
              </w:rPr>
              <w:t>合同履行期限承诺</w:t>
            </w:r>
          </w:p>
        </w:tc>
        <w:tc>
          <w:tcPr>
            <w:tcW w:w="6666" w:type="dxa"/>
            <w:tcBorders>
              <w:top w:val="single" w:color="auto" w:sz="4" w:space="0"/>
              <w:left w:val="single" w:color="auto" w:sz="4" w:space="0"/>
              <w:bottom w:val="single" w:color="auto" w:sz="4" w:space="0"/>
              <w:right w:val="single" w:color="auto" w:sz="4" w:space="0"/>
            </w:tcBorders>
            <w:vAlign w:val="center"/>
          </w:tcPr>
          <w:p w14:paraId="17367B75">
            <w:pPr>
              <w:spacing w:line="360" w:lineRule="auto"/>
              <w:ind w:firstLine="2" w:firstLineChars="1"/>
              <w:jc w:val="center"/>
              <w:rPr>
                <w:rFonts w:ascii="仿宋" w:hAnsi="仿宋" w:eastAsia="仿宋" w:cs="宋体"/>
                <w:color w:val="auto"/>
                <w:sz w:val="24"/>
              </w:rPr>
            </w:pPr>
            <w:r>
              <w:rPr>
                <w:rFonts w:hint="eastAsia" w:ascii="仿宋" w:hAnsi="仿宋" w:eastAsia="仿宋" w:cs="宋体"/>
                <w:color w:val="auto"/>
                <w:sz w:val="24"/>
                <w:szCs w:val="24"/>
              </w:rPr>
              <w:t>自合同签订之日起1年（或合同执行金额达到本项目预算金额止），单项案件司法鉴定意见出具时限须满足采购人要求。</w:t>
            </w:r>
          </w:p>
        </w:tc>
      </w:tr>
      <w:tr w14:paraId="153F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E9121C7">
            <w:pPr>
              <w:spacing w:line="360" w:lineRule="auto"/>
              <w:jc w:val="center"/>
              <w:rPr>
                <w:rFonts w:ascii="仿宋" w:hAnsi="仿宋" w:eastAsia="仿宋" w:cs="宋体"/>
                <w:color w:val="auto"/>
                <w:sz w:val="24"/>
              </w:rPr>
            </w:pPr>
            <w:r>
              <w:rPr>
                <w:rFonts w:hint="eastAsia" w:ascii="仿宋" w:hAnsi="仿宋" w:eastAsia="仿宋" w:cs="宋体"/>
                <w:color w:val="auto"/>
                <w:sz w:val="24"/>
              </w:rPr>
              <w:t>3</w:t>
            </w:r>
          </w:p>
        </w:tc>
        <w:tc>
          <w:tcPr>
            <w:tcW w:w="2410" w:type="dxa"/>
            <w:tcBorders>
              <w:top w:val="single" w:color="auto" w:sz="4" w:space="0"/>
              <w:left w:val="single" w:color="auto" w:sz="4" w:space="0"/>
              <w:bottom w:val="single" w:color="auto" w:sz="4" w:space="0"/>
              <w:right w:val="single" w:color="auto" w:sz="4" w:space="0"/>
            </w:tcBorders>
            <w:vAlign w:val="center"/>
          </w:tcPr>
          <w:p w14:paraId="31077C00">
            <w:pPr>
              <w:spacing w:line="360" w:lineRule="auto"/>
              <w:ind w:firstLine="2" w:firstLineChars="1"/>
              <w:jc w:val="center"/>
              <w:rPr>
                <w:rFonts w:ascii="仿宋" w:hAnsi="仿宋" w:eastAsia="仿宋" w:cs="宋体"/>
                <w:color w:val="auto"/>
                <w:sz w:val="24"/>
                <w:szCs w:val="24"/>
              </w:rPr>
            </w:pPr>
            <w:r>
              <w:rPr>
                <w:rFonts w:hint="eastAsia" w:ascii="仿宋" w:hAnsi="仿宋" w:eastAsia="仿宋" w:cs="宋体"/>
                <w:color w:val="auto"/>
                <w:sz w:val="24"/>
              </w:rPr>
              <w:t>质量承诺</w:t>
            </w:r>
          </w:p>
        </w:tc>
        <w:tc>
          <w:tcPr>
            <w:tcW w:w="6666" w:type="dxa"/>
            <w:tcBorders>
              <w:top w:val="single" w:color="auto" w:sz="4" w:space="0"/>
              <w:left w:val="single" w:color="auto" w:sz="4" w:space="0"/>
              <w:bottom w:val="single" w:color="auto" w:sz="4" w:space="0"/>
              <w:right w:val="single" w:color="auto" w:sz="4" w:space="0"/>
            </w:tcBorders>
            <w:vAlign w:val="center"/>
          </w:tcPr>
          <w:p w14:paraId="2D87163E">
            <w:pPr>
              <w:spacing w:line="360" w:lineRule="auto"/>
              <w:ind w:firstLine="2" w:firstLineChars="1"/>
              <w:jc w:val="center"/>
              <w:rPr>
                <w:rFonts w:ascii="仿宋" w:hAnsi="仿宋" w:eastAsia="仿宋" w:cs="宋体"/>
                <w:color w:val="auto"/>
                <w:sz w:val="24"/>
              </w:rPr>
            </w:pPr>
            <w:r>
              <w:rPr>
                <w:rFonts w:hint="eastAsia" w:ascii="仿宋" w:hAnsi="仿宋" w:eastAsia="仿宋"/>
                <w:color w:val="auto"/>
                <w:sz w:val="24"/>
                <w:szCs w:val="24"/>
              </w:rPr>
              <w:t>供应商提供的服务及成果均能满足国家、地方、行业标准及采购人需求。</w:t>
            </w:r>
          </w:p>
        </w:tc>
      </w:tr>
      <w:tr w14:paraId="66A4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03A52F2">
            <w:pPr>
              <w:spacing w:line="360" w:lineRule="auto"/>
              <w:jc w:val="center"/>
              <w:rPr>
                <w:rFonts w:ascii="仿宋" w:hAnsi="仿宋" w:eastAsia="仿宋" w:cs="宋体"/>
                <w:color w:val="auto"/>
                <w:sz w:val="24"/>
              </w:rPr>
            </w:pPr>
            <w:r>
              <w:rPr>
                <w:rFonts w:ascii="仿宋" w:hAnsi="仿宋" w:eastAsia="仿宋" w:cs="宋体"/>
                <w:color w:val="auto"/>
                <w:sz w:val="24"/>
              </w:rPr>
              <w:t>4</w:t>
            </w:r>
          </w:p>
        </w:tc>
        <w:tc>
          <w:tcPr>
            <w:tcW w:w="2410" w:type="dxa"/>
            <w:tcBorders>
              <w:top w:val="single" w:color="auto" w:sz="4" w:space="0"/>
              <w:left w:val="single" w:color="auto" w:sz="4" w:space="0"/>
              <w:bottom w:val="single" w:color="auto" w:sz="4" w:space="0"/>
              <w:right w:val="single" w:color="auto" w:sz="4" w:space="0"/>
            </w:tcBorders>
            <w:vAlign w:val="center"/>
          </w:tcPr>
          <w:p w14:paraId="1CD2BA37">
            <w:pPr>
              <w:spacing w:line="360" w:lineRule="auto"/>
              <w:ind w:firstLine="2" w:firstLineChars="1"/>
              <w:jc w:val="center"/>
              <w:rPr>
                <w:rFonts w:ascii="仿宋" w:hAnsi="仿宋" w:eastAsia="仿宋" w:cs="宋体"/>
                <w:color w:val="auto"/>
                <w:sz w:val="24"/>
              </w:rPr>
            </w:pPr>
            <w:r>
              <w:rPr>
                <w:rFonts w:hint="eastAsia" w:ascii="仿宋" w:hAnsi="仿宋" w:eastAsia="仿宋" w:cs="宋体"/>
                <w:color w:val="auto"/>
                <w:sz w:val="24"/>
              </w:rPr>
              <w:t>其他承诺（若有）</w:t>
            </w:r>
          </w:p>
        </w:tc>
        <w:tc>
          <w:tcPr>
            <w:tcW w:w="6666" w:type="dxa"/>
            <w:tcBorders>
              <w:top w:val="single" w:color="auto" w:sz="4" w:space="0"/>
              <w:left w:val="single" w:color="auto" w:sz="4" w:space="0"/>
              <w:bottom w:val="single" w:color="auto" w:sz="4" w:space="0"/>
              <w:right w:val="single" w:color="auto" w:sz="4" w:space="0"/>
            </w:tcBorders>
            <w:vAlign w:val="center"/>
          </w:tcPr>
          <w:p w14:paraId="49A3D6AD">
            <w:pPr>
              <w:spacing w:line="360" w:lineRule="auto"/>
              <w:ind w:firstLine="2" w:firstLineChars="1"/>
              <w:jc w:val="center"/>
              <w:rPr>
                <w:rFonts w:ascii="仿宋" w:hAnsi="仿宋" w:eastAsia="仿宋" w:cs="宋体"/>
                <w:color w:val="auto"/>
                <w:sz w:val="24"/>
              </w:rPr>
            </w:pPr>
          </w:p>
        </w:tc>
      </w:tr>
    </w:tbl>
    <w:p w14:paraId="46B5B545">
      <w:pPr>
        <w:spacing w:line="360" w:lineRule="auto"/>
        <w:rPr>
          <w:rFonts w:ascii="仿宋" w:hAnsi="仿宋" w:eastAsia="仿宋" w:cs="宋体"/>
          <w:color w:val="auto"/>
          <w:sz w:val="24"/>
        </w:rPr>
      </w:pPr>
      <w:r>
        <w:rPr>
          <w:rFonts w:hint="eastAsia" w:ascii="仿宋" w:hAnsi="仿宋" w:eastAsia="仿宋" w:cs="宋体"/>
          <w:color w:val="auto"/>
          <w:sz w:val="24"/>
        </w:rPr>
        <w:t>项目名称：石林彝族自治县自然资源局购买破坏耕地司法鉴定服务</w:t>
      </w:r>
      <w:r>
        <w:rPr>
          <w:rFonts w:hint="eastAsia" w:ascii="仿宋" w:hAnsi="仿宋" w:eastAsia="仿宋" w:cs="宋体"/>
          <w:color w:val="auto"/>
          <w:sz w:val="24"/>
          <w:u w:val="single"/>
        </w:rPr>
        <w:t xml:space="preserve">                 </w:t>
      </w:r>
      <w:r>
        <w:rPr>
          <w:rFonts w:hint="eastAsia" w:ascii="仿宋" w:hAnsi="仿宋" w:eastAsia="仿宋" w:cs="宋体"/>
          <w:color w:val="auto"/>
          <w:sz w:val="24"/>
        </w:rPr>
        <w:t xml:space="preserve">                  </w:t>
      </w:r>
    </w:p>
    <w:p w14:paraId="4FA1E133">
      <w:pPr>
        <w:spacing w:line="360" w:lineRule="auto"/>
        <w:rPr>
          <w:rFonts w:ascii="仿宋" w:hAnsi="仿宋" w:eastAsia="仿宋" w:cs="宋体"/>
          <w:b/>
          <w:color w:val="auto"/>
          <w:szCs w:val="21"/>
        </w:rPr>
      </w:pPr>
    </w:p>
    <w:p w14:paraId="4C4F0D6E">
      <w:pPr>
        <w:spacing w:line="360" w:lineRule="auto"/>
        <w:rPr>
          <w:rFonts w:ascii="仿宋" w:hAnsi="仿宋" w:eastAsia="仿宋" w:cs="宋体"/>
          <w:b/>
          <w:color w:val="auto"/>
          <w:szCs w:val="21"/>
        </w:rPr>
      </w:pPr>
      <w:r>
        <w:rPr>
          <w:rFonts w:hint="eastAsia" w:ascii="仿宋" w:hAnsi="仿宋" w:eastAsia="仿宋" w:cs="宋体"/>
          <w:b/>
          <w:color w:val="auto"/>
          <w:szCs w:val="21"/>
        </w:rPr>
        <w:t>注： 磋商报价最多保留至小数点后两位</w:t>
      </w:r>
      <w:r>
        <w:rPr>
          <w:rFonts w:hint="eastAsia" w:ascii="仿宋" w:hAnsi="仿宋" w:eastAsia="仿宋"/>
          <w:b/>
          <w:color w:val="auto"/>
          <w:szCs w:val="21"/>
        </w:rPr>
        <w:t>。</w:t>
      </w:r>
    </w:p>
    <w:p w14:paraId="4FA7E310">
      <w:pPr>
        <w:spacing w:line="360" w:lineRule="auto"/>
        <w:ind w:firstLine="2" w:firstLineChars="1"/>
        <w:rPr>
          <w:rFonts w:ascii="仿宋" w:hAnsi="仿宋" w:eastAsia="仿宋" w:cs="宋体"/>
          <w:color w:val="auto"/>
          <w:sz w:val="24"/>
          <w:szCs w:val="24"/>
        </w:rPr>
      </w:pPr>
    </w:p>
    <w:p w14:paraId="4876C464">
      <w:pPr>
        <w:spacing w:line="360" w:lineRule="auto"/>
        <w:ind w:firstLine="2" w:firstLineChars="1"/>
        <w:rPr>
          <w:rFonts w:ascii="仿宋" w:hAnsi="仿宋" w:eastAsia="仿宋" w:cs="宋体"/>
          <w:color w:val="auto"/>
          <w:sz w:val="24"/>
          <w:szCs w:val="24"/>
        </w:rPr>
      </w:pPr>
    </w:p>
    <w:p w14:paraId="43F87AA4">
      <w:pPr>
        <w:spacing w:line="360" w:lineRule="auto"/>
        <w:ind w:firstLine="2" w:firstLineChars="1"/>
        <w:rPr>
          <w:rFonts w:ascii="仿宋" w:hAnsi="仿宋" w:eastAsia="仿宋" w:cs="宋体"/>
          <w:color w:val="auto"/>
          <w:sz w:val="24"/>
          <w:szCs w:val="24"/>
        </w:rPr>
      </w:pPr>
      <w:r>
        <w:rPr>
          <w:rFonts w:hint="eastAsia" w:ascii="仿宋" w:hAnsi="仿宋" w:eastAsia="仿宋" w:cs="宋体"/>
          <w:color w:val="auto"/>
          <w:sz w:val="24"/>
          <w:szCs w:val="24"/>
        </w:rPr>
        <w:t>供应商：</w:t>
      </w:r>
      <w:r>
        <w:rPr>
          <w:rFonts w:hint="eastAsia" w:ascii="仿宋" w:hAnsi="仿宋" w:eastAsia="仿宋" w:cs="宋体"/>
          <w:color w:val="auto"/>
          <w:sz w:val="24"/>
          <w:szCs w:val="24"/>
          <w:u w:val="single"/>
        </w:rPr>
        <w:t xml:space="preserve">                            </w:t>
      </w:r>
      <w:r>
        <w:rPr>
          <w:rFonts w:hint="eastAsia" w:ascii="仿宋" w:hAnsi="仿宋" w:eastAsia="仿宋" w:cs="宋体"/>
          <w:color w:val="auto"/>
          <w:sz w:val="24"/>
          <w:szCs w:val="24"/>
        </w:rPr>
        <w:t>（盖章）</w:t>
      </w:r>
    </w:p>
    <w:p w14:paraId="4AAD6C34">
      <w:pPr>
        <w:spacing w:line="360" w:lineRule="auto"/>
        <w:ind w:firstLine="2" w:firstLineChars="1"/>
        <w:rPr>
          <w:rFonts w:ascii="仿宋" w:hAnsi="仿宋" w:eastAsia="仿宋" w:cs="宋体"/>
          <w:color w:val="auto"/>
          <w:sz w:val="24"/>
          <w:szCs w:val="24"/>
        </w:rPr>
      </w:pPr>
      <w:r>
        <w:rPr>
          <w:rFonts w:hint="eastAsia" w:ascii="仿宋" w:hAnsi="仿宋" w:eastAsia="仿宋"/>
          <w:color w:val="auto"/>
          <w:sz w:val="24"/>
          <w:szCs w:val="24"/>
        </w:rPr>
        <w:t>法定代表人或授权代理人：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14:paraId="3C5720BF">
      <w:pPr>
        <w:spacing w:line="360" w:lineRule="auto"/>
        <w:ind w:firstLine="2" w:firstLineChars="1"/>
        <w:rPr>
          <w:rFonts w:ascii="仿宋" w:hAnsi="仿宋" w:eastAsia="仿宋" w:cs="宋体"/>
          <w:color w:val="auto"/>
          <w:sz w:val="24"/>
        </w:rPr>
      </w:pPr>
      <w:r>
        <w:rPr>
          <w:rFonts w:hint="eastAsia" w:ascii="仿宋" w:hAnsi="仿宋" w:eastAsia="仿宋" w:cs="宋体"/>
          <w:color w:val="auto"/>
          <w:sz w:val="24"/>
        </w:rPr>
        <w:t>日期：</w:t>
      </w:r>
      <w:r>
        <w:rPr>
          <w:rFonts w:hint="eastAsia" w:ascii="仿宋" w:hAnsi="仿宋" w:eastAsia="仿宋" w:cs="宋体"/>
          <w:color w:val="auto"/>
          <w:sz w:val="24"/>
          <w:u w:val="single"/>
        </w:rPr>
        <w:t xml:space="preserve">        </w:t>
      </w:r>
      <w:r>
        <w:rPr>
          <w:rFonts w:hint="eastAsia" w:ascii="仿宋" w:hAnsi="仿宋" w:eastAsia="仿宋" w:cs="宋体"/>
          <w:color w:val="auto"/>
          <w:sz w:val="24"/>
        </w:rPr>
        <w:t>年</w:t>
      </w:r>
      <w:r>
        <w:rPr>
          <w:rFonts w:hint="eastAsia" w:ascii="仿宋" w:hAnsi="仿宋" w:eastAsia="仿宋" w:cs="宋体"/>
          <w:color w:val="auto"/>
          <w:sz w:val="24"/>
          <w:u w:val="single"/>
        </w:rPr>
        <w:t xml:space="preserve">       </w:t>
      </w:r>
      <w:r>
        <w:rPr>
          <w:rFonts w:hint="eastAsia" w:ascii="仿宋" w:hAnsi="仿宋" w:eastAsia="仿宋" w:cs="宋体"/>
          <w:color w:val="auto"/>
          <w:sz w:val="24"/>
        </w:rPr>
        <w:t>月</w:t>
      </w:r>
      <w:r>
        <w:rPr>
          <w:rFonts w:hint="eastAsia" w:ascii="仿宋" w:hAnsi="仿宋" w:eastAsia="仿宋" w:cs="宋体"/>
          <w:color w:val="auto"/>
          <w:sz w:val="24"/>
          <w:u w:val="single"/>
        </w:rPr>
        <w:t xml:space="preserve">       </w:t>
      </w:r>
      <w:r>
        <w:rPr>
          <w:rFonts w:hint="eastAsia" w:ascii="仿宋" w:hAnsi="仿宋" w:eastAsia="仿宋" w:cs="宋体"/>
          <w:color w:val="auto"/>
          <w:sz w:val="24"/>
        </w:rPr>
        <w:t>日</w:t>
      </w:r>
    </w:p>
    <w:p w14:paraId="50BA7688">
      <w:pPr>
        <w:spacing w:line="360" w:lineRule="auto"/>
        <w:ind w:firstLine="2" w:firstLineChars="1"/>
        <w:rPr>
          <w:rFonts w:ascii="仿宋" w:hAnsi="仿宋" w:eastAsia="仿宋" w:cs="宋体"/>
          <w:color w:val="auto"/>
          <w:sz w:val="24"/>
        </w:rPr>
      </w:pPr>
    </w:p>
    <w:p w14:paraId="22096C65">
      <w:pPr>
        <w:spacing w:line="360" w:lineRule="auto"/>
        <w:ind w:firstLine="2" w:firstLineChars="1"/>
        <w:rPr>
          <w:rFonts w:ascii="仿宋" w:hAnsi="仿宋" w:eastAsia="仿宋" w:cs="宋体"/>
          <w:color w:val="auto"/>
          <w:sz w:val="24"/>
        </w:rPr>
      </w:pPr>
    </w:p>
    <w:p w14:paraId="6D33003C">
      <w:pPr>
        <w:wordWrap w:val="0"/>
        <w:spacing w:line="360" w:lineRule="auto"/>
        <w:ind w:firstLine="2" w:firstLineChars="1"/>
        <w:rPr>
          <w:rFonts w:ascii="仿宋" w:hAnsi="仿宋" w:eastAsia="仿宋" w:cs="宋体"/>
          <w:b/>
          <w:bCs/>
          <w:color w:val="auto"/>
          <w:sz w:val="24"/>
          <w:szCs w:val="24"/>
          <w:u w:val="single"/>
        </w:rPr>
      </w:pPr>
      <w:r>
        <w:rPr>
          <w:rFonts w:hint="eastAsia" w:ascii="仿宋" w:hAnsi="仿宋" w:eastAsia="仿宋" w:cs="宋体"/>
          <w:b/>
          <w:bCs/>
          <w:color w:val="auto"/>
          <w:sz w:val="24"/>
        </w:rPr>
        <w:t>磋商小组成员签字：</w:t>
      </w:r>
      <w:r>
        <w:rPr>
          <w:rFonts w:hint="eastAsia" w:ascii="仿宋" w:hAnsi="仿宋" w:eastAsia="仿宋" w:cs="宋体"/>
          <w:b/>
          <w:bCs/>
          <w:color w:val="auto"/>
          <w:sz w:val="24"/>
          <w:u w:val="single"/>
        </w:rPr>
        <w:t xml:space="preserve">  </w:t>
      </w:r>
      <w:r>
        <w:rPr>
          <w:rFonts w:hint="eastAsia" w:ascii="仿宋" w:hAnsi="仿宋" w:eastAsia="仿宋" w:cs="宋体"/>
          <w:b/>
          <w:bCs/>
          <w:color w:val="auto"/>
          <w:sz w:val="24"/>
          <w:szCs w:val="24"/>
          <w:u w:val="single"/>
        </w:rPr>
        <w:t xml:space="preserve">                                                       </w:t>
      </w:r>
    </w:p>
    <w:sectPr>
      <w:pgSz w:w="11906" w:h="16838"/>
      <w:pgMar w:top="1134" w:right="1134" w:bottom="1134" w:left="113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font-weight : 400">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TYPE">
    <w:altName w:val="Noto Sans SC"/>
    <w:panose1 w:val="00000000000000000000"/>
    <w:charset w:val="00"/>
    <w:family w:val="auto"/>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auto"/>
    <w:pitch w:val="default"/>
    <w:sig w:usb0="F7FFAEFF" w:usb1="F9DFFFFF" w:usb2="0000007F" w:usb3="00000000" w:csb0="203F01FF" w:csb1="D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金山简黑体">
    <w:altName w:val="黑体"/>
    <w:panose1 w:val="00000000000000000000"/>
    <w:charset w:val="00"/>
    <w:family w:val="modern"/>
    <w:pitch w:val="default"/>
    <w:sig w:usb0="00000000" w:usb1="00000000" w:usb2="00000010" w:usb3="00000000" w:csb0="00040000" w:csb1="00000000"/>
  </w:font>
  <w:font w:name="Lucida Sans Unicode">
    <w:panose1 w:val="020B0602030504020204"/>
    <w:charset w:val="00"/>
    <w:family w:val="swiss"/>
    <w:pitch w:val="default"/>
    <w:sig w:usb0="80001AFF" w:usb1="0000396B" w:usb2="00000000" w:usb3="00000000" w:csb0="200000BF" w:csb1="D7F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93D72">
    <w:pPr>
      <w:pStyle w:val="38"/>
      <w:rPr>
        <w:rFonts w:hAnsi="宋体"/>
      </w:rPr>
    </w:pPr>
    <w:r>
      <w:rPr>
        <w:rFonts w:ascii="仿宋_GB2312" w:eastAsia="仿宋_GB2312"/>
      </w:rPr>
      <w:drawing>
        <wp:inline distT="0" distB="0" distL="114300" distR="114300">
          <wp:extent cx="444500" cy="203200"/>
          <wp:effectExtent l="0" t="0" r="1270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444500" cy="203200"/>
                  </a:xfrm>
                  <a:prstGeom prst="rect">
                    <a:avLst/>
                  </a:prstGeom>
                  <a:noFill/>
                  <a:ln>
                    <a:noFill/>
                  </a:ln>
                </pic:spPr>
              </pic:pic>
            </a:graphicData>
          </a:graphic>
        </wp:inline>
      </w:drawing>
    </w:r>
    <w:r>
      <w:rPr>
        <w:rFonts w:hint="eastAsia" w:ascii="仿宋_GB2312" w:hAnsi="华文仿宋" w:eastAsia="仿宋_GB2312"/>
        <w:b/>
        <w:bCs/>
        <w:color w:val="000000"/>
      </w:rPr>
      <w:t xml:space="preserve">昆明市同力建设工程咨询有限公司                                                            </w:t>
    </w:r>
    <w:r>
      <w:rPr>
        <w:rFonts w:hAnsi="宋体"/>
        <w:bCs/>
      </w:rPr>
      <w:fldChar w:fldCharType="begin"/>
    </w:r>
    <w:r>
      <w:rPr>
        <w:rFonts w:hAnsi="宋体"/>
        <w:bCs/>
      </w:rPr>
      <w:instrText xml:space="preserve">PAGE   \* MERGEFORMAT</w:instrText>
    </w:r>
    <w:r>
      <w:rPr>
        <w:rFonts w:hAnsi="宋体"/>
        <w:bCs/>
      </w:rPr>
      <w:fldChar w:fldCharType="separate"/>
    </w:r>
    <w:r>
      <w:rPr>
        <w:rFonts w:hAnsi="宋体"/>
        <w:bCs/>
        <w:lang w:val="zh-CN"/>
      </w:rPr>
      <w:t>6</w:t>
    </w:r>
    <w:r>
      <w:rPr>
        <w:rFonts w:hAnsi="宋体"/>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9DFC4">
    <w:pPr>
      <w:pStyle w:val="38"/>
    </w:pPr>
    <w:r>
      <w:rPr>
        <w:rFonts w:ascii="仿宋_GB2312" w:eastAsia="仿宋_GB2312"/>
      </w:rPr>
      <w:drawing>
        <wp:inline distT="0" distB="0" distL="114300" distR="114300">
          <wp:extent cx="444500" cy="203200"/>
          <wp:effectExtent l="0" t="0" r="12700" b="635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444500" cy="203200"/>
                  </a:xfrm>
                  <a:prstGeom prst="rect">
                    <a:avLst/>
                  </a:prstGeom>
                  <a:noFill/>
                  <a:ln>
                    <a:noFill/>
                  </a:ln>
                </pic:spPr>
              </pic:pic>
            </a:graphicData>
          </a:graphic>
        </wp:inline>
      </w:drawing>
    </w:r>
    <w:r>
      <w:rPr>
        <w:rFonts w:hint="eastAsia" w:ascii="仿宋_GB2312" w:hAnsi="华文仿宋" w:eastAsia="仿宋_GB2312"/>
        <w:b/>
        <w:bCs/>
        <w:color w:val="000000"/>
      </w:rPr>
      <w:t xml:space="preserve">昆明市同力建设工程咨询有限公司                                                                  </w:t>
    </w:r>
    <w:r>
      <w:rPr>
        <w:rFonts w:hAnsi="宋体"/>
        <w:bCs/>
      </w:rPr>
      <w:fldChar w:fldCharType="begin"/>
    </w:r>
    <w:r>
      <w:rPr>
        <w:rFonts w:hAnsi="宋体"/>
        <w:bCs/>
      </w:rPr>
      <w:instrText xml:space="preserve">PAGE   \* MERGEFORMAT</w:instrText>
    </w:r>
    <w:r>
      <w:rPr>
        <w:rFonts w:hAnsi="宋体"/>
        <w:bCs/>
      </w:rPr>
      <w:fldChar w:fldCharType="separate"/>
    </w:r>
    <w:r>
      <w:rPr>
        <w:rFonts w:hAnsi="宋体"/>
        <w:bCs/>
        <w:lang w:val="zh-CN"/>
      </w:rPr>
      <w:t>1</w:t>
    </w:r>
    <w:r>
      <w:rPr>
        <w:rFonts w:hAnsi="宋体"/>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73C40">
    <w:pPr>
      <w:pStyle w:val="39"/>
      <w:pBdr>
        <w:bottom w:val="thinThickSmallGap" w:color="auto" w:sz="18" w:space="2"/>
      </w:pBdr>
      <w:ind w:firstLine="663" w:firstLineChars="300"/>
      <w:jc w:val="left"/>
      <w:rPr>
        <w:rFonts w:ascii="仿宋" w:hAnsi="仿宋" w:eastAsia="仿宋"/>
        <w:b/>
        <w:bCs/>
      </w:rPr>
    </w:pPr>
    <w:r>
      <w:rPr>
        <w:rFonts w:hint="eastAsia" w:ascii="仿宋" w:hAnsi="仿宋" w:eastAsia="仿宋"/>
        <w:b/>
        <w:bCs/>
        <w:sz w:val="22"/>
        <w:szCs w:val="22"/>
      </w:rPr>
      <w:t>石林彝族自治县自然资源局购买破坏耕地司法鉴定服务</w:t>
    </w:r>
    <w:r>
      <w:rPr>
        <w:rFonts w:ascii="仿宋" w:hAnsi="仿宋" w:eastAsia="仿宋"/>
        <w:b/>
        <w:bCs/>
        <w:sz w:val="22"/>
        <w:szCs w:val="22"/>
      </w:rPr>
      <w:t xml:space="preserve"> </w:t>
    </w:r>
    <w:r>
      <w:rPr>
        <w:rFonts w:hint="eastAsia" w:ascii="仿宋" w:hAnsi="仿宋" w:eastAsia="仿宋"/>
        <w:b/>
        <w:bCs/>
        <w:sz w:val="22"/>
        <w:szCs w:val="22"/>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B1C18">
    <w:pPr>
      <w:pStyle w:val="39"/>
      <w:pBdr>
        <w:bottom w:val="thinThickSmallGap" w:color="auto" w:sz="18" w:space="2"/>
      </w:pBdr>
      <w:ind w:firstLine="663" w:firstLineChars="300"/>
      <w:jc w:val="left"/>
      <w:rPr>
        <w:rFonts w:ascii="仿宋" w:hAnsi="仿宋" w:eastAsia="仿宋"/>
        <w:b/>
        <w:bCs/>
        <w:sz w:val="22"/>
        <w:szCs w:val="22"/>
      </w:rPr>
    </w:pPr>
    <w:r>
      <w:rPr>
        <w:rFonts w:hint="eastAsia" w:ascii="仿宋" w:hAnsi="仿宋" w:eastAsia="仿宋"/>
        <w:b/>
        <w:bCs/>
        <w:sz w:val="22"/>
        <w:szCs w:val="22"/>
      </w:rPr>
      <w:t>石林彝族自治县自然资源局购买破坏耕地司法鉴定服务</w:t>
    </w:r>
    <w:r>
      <w:rPr>
        <w:rFonts w:ascii="仿宋" w:hAnsi="仿宋" w:eastAsia="仿宋"/>
        <w:b/>
        <w:bCs/>
        <w:sz w:val="22"/>
        <w:szCs w:val="22"/>
      </w:rPr>
      <w:t xml:space="preserve"> </w:t>
    </w:r>
    <w:r>
      <w:rPr>
        <w:rFonts w:hint="eastAsia" w:ascii="仿宋" w:hAnsi="仿宋" w:eastAsia="仿宋"/>
        <w:b/>
        <w:bCs/>
        <w:sz w:val="22"/>
        <w:szCs w:val="22"/>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B4953">
    <w:pPr>
      <w:pStyle w:val="39"/>
      <w:pBdr>
        <w:bottom w:val="thinThickSmallGap" w:color="auto" w:sz="18" w:space="2"/>
      </w:pBdr>
      <w:ind w:firstLine="663" w:firstLineChars="300"/>
      <w:jc w:val="left"/>
      <w:rPr>
        <w:rFonts w:ascii="仿宋" w:hAnsi="仿宋" w:eastAsia="仿宋"/>
        <w:b/>
        <w:bCs/>
      </w:rPr>
    </w:pPr>
    <w:r>
      <w:rPr>
        <w:rFonts w:hint="eastAsia" w:ascii="仿宋" w:hAnsi="仿宋" w:eastAsia="仿宋"/>
        <w:b/>
        <w:bCs/>
        <w:sz w:val="22"/>
        <w:szCs w:val="22"/>
      </w:rPr>
      <w:t>石林彝族自治县自然资源局购买破坏耕地司法鉴定服务</w:t>
    </w:r>
    <w:r>
      <w:rPr>
        <w:rFonts w:ascii="仿宋" w:hAnsi="仿宋" w:eastAsia="仿宋"/>
        <w:b/>
        <w:bCs/>
        <w:sz w:val="22"/>
        <w:szCs w:val="22"/>
      </w:rPr>
      <w:t xml:space="preserve"> </w:t>
    </w:r>
    <w:r>
      <w:rPr>
        <w:rFonts w:hint="eastAsia" w:ascii="仿宋" w:hAnsi="仿宋" w:eastAsia="仿宋"/>
        <w:b/>
        <w:bCs/>
        <w:sz w:val="22"/>
        <w:szCs w:val="22"/>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DC3443"/>
    <w:multiLevelType w:val="multilevel"/>
    <w:tmpl w:val="1DDC3443"/>
    <w:lvl w:ilvl="0" w:tentative="0">
      <w:start w:val="2"/>
      <w:numFmt w:val="decimal"/>
      <w:pStyle w:val="651"/>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22AB391D"/>
    <w:multiLevelType w:val="multilevel"/>
    <w:tmpl w:val="22AB391D"/>
    <w:lvl w:ilvl="0" w:tentative="0">
      <w:start w:val="1"/>
      <w:numFmt w:val="decimal"/>
      <w:pStyle w:val="624"/>
      <w:lvlText w:val="%1）"/>
      <w:lvlJc w:val="left"/>
      <w:pPr>
        <w:ind w:left="780" w:hanging="360"/>
      </w:pPr>
      <w:rPr>
        <w:rFonts w:ascii="宋体" w:hAnsi="宋体" w:eastAsia="宋体"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2">
    <w:nsid w:val="6F945EAA"/>
    <w:multiLevelType w:val="multilevel"/>
    <w:tmpl w:val="6F945EAA"/>
    <w:lvl w:ilvl="0" w:tentative="0">
      <w:start w:val="1"/>
      <w:numFmt w:val="none"/>
      <w:pStyle w:val="834"/>
      <w:lvlText w:val="一、"/>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doNotDisplayPageBoundaries w:val="1"/>
  <w:bordersDoNotSurroundHeader w:val="1"/>
  <w:bordersDoNotSurroundFooter w:val="1"/>
  <w:documentProtection w:enforcement="0"/>
  <w:defaultTabStop w:val="420"/>
  <w:noPunctuationKerning w:val="1"/>
  <w:characterSpacingControl w:val="doNotCompress"/>
  <w:compat>
    <w:doNotExpandShiftReturn/>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zNjAzYTdkZjNlM2Q2NTA0ZmU1ZTE0MWFhZWFhZWIifQ=="/>
  </w:docVars>
  <w:rsids>
    <w:rsidRoot w:val="00172A27"/>
    <w:rsid w:val="00000967"/>
    <w:rsid w:val="00000A3F"/>
    <w:rsid w:val="00000CA0"/>
    <w:rsid w:val="0000107E"/>
    <w:rsid w:val="00001254"/>
    <w:rsid w:val="000013FE"/>
    <w:rsid w:val="00001684"/>
    <w:rsid w:val="000016F7"/>
    <w:rsid w:val="000018D2"/>
    <w:rsid w:val="000019C5"/>
    <w:rsid w:val="00001BB7"/>
    <w:rsid w:val="00001F6D"/>
    <w:rsid w:val="00001FE2"/>
    <w:rsid w:val="00002168"/>
    <w:rsid w:val="00003261"/>
    <w:rsid w:val="000032BD"/>
    <w:rsid w:val="00003399"/>
    <w:rsid w:val="000033CD"/>
    <w:rsid w:val="00003433"/>
    <w:rsid w:val="00003B75"/>
    <w:rsid w:val="00004737"/>
    <w:rsid w:val="00004790"/>
    <w:rsid w:val="0000494D"/>
    <w:rsid w:val="000050E9"/>
    <w:rsid w:val="00005235"/>
    <w:rsid w:val="000052D1"/>
    <w:rsid w:val="00005B4C"/>
    <w:rsid w:val="00005DD4"/>
    <w:rsid w:val="00005F91"/>
    <w:rsid w:val="000062B9"/>
    <w:rsid w:val="00006883"/>
    <w:rsid w:val="0000692D"/>
    <w:rsid w:val="00006B8E"/>
    <w:rsid w:val="00006E91"/>
    <w:rsid w:val="00006F6F"/>
    <w:rsid w:val="00006FE5"/>
    <w:rsid w:val="0000751A"/>
    <w:rsid w:val="000078C7"/>
    <w:rsid w:val="00007DF5"/>
    <w:rsid w:val="0001002C"/>
    <w:rsid w:val="0001009E"/>
    <w:rsid w:val="000104E1"/>
    <w:rsid w:val="000105B5"/>
    <w:rsid w:val="0001089C"/>
    <w:rsid w:val="00010F11"/>
    <w:rsid w:val="0001103F"/>
    <w:rsid w:val="00011298"/>
    <w:rsid w:val="000119FA"/>
    <w:rsid w:val="00011B54"/>
    <w:rsid w:val="00011B5B"/>
    <w:rsid w:val="00012207"/>
    <w:rsid w:val="000125E1"/>
    <w:rsid w:val="00012A54"/>
    <w:rsid w:val="00012C3F"/>
    <w:rsid w:val="00012DA1"/>
    <w:rsid w:val="0001330C"/>
    <w:rsid w:val="0001336C"/>
    <w:rsid w:val="0001367D"/>
    <w:rsid w:val="0001379F"/>
    <w:rsid w:val="0001382F"/>
    <w:rsid w:val="00013D56"/>
    <w:rsid w:val="00014879"/>
    <w:rsid w:val="00014B20"/>
    <w:rsid w:val="00014F41"/>
    <w:rsid w:val="000154EE"/>
    <w:rsid w:val="00015561"/>
    <w:rsid w:val="0001594F"/>
    <w:rsid w:val="00015D87"/>
    <w:rsid w:val="00016969"/>
    <w:rsid w:val="00016F20"/>
    <w:rsid w:val="00016FDD"/>
    <w:rsid w:val="000171DD"/>
    <w:rsid w:val="000179ED"/>
    <w:rsid w:val="00017BA5"/>
    <w:rsid w:val="00017E25"/>
    <w:rsid w:val="00020207"/>
    <w:rsid w:val="00020301"/>
    <w:rsid w:val="00020323"/>
    <w:rsid w:val="0002067A"/>
    <w:rsid w:val="0002084B"/>
    <w:rsid w:val="00020852"/>
    <w:rsid w:val="00020F9D"/>
    <w:rsid w:val="000212AF"/>
    <w:rsid w:val="000213F0"/>
    <w:rsid w:val="000214D5"/>
    <w:rsid w:val="000219AF"/>
    <w:rsid w:val="00021BCA"/>
    <w:rsid w:val="00022552"/>
    <w:rsid w:val="00022561"/>
    <w:rsid w:val="00022848"/>
    <w:rsid w:val="00022D38"/>
    <w:rsid w:val="00022EE4"/>
    <w:rsid w:val="00022F4C"/>
    <w:rsid w:val="0002374E"/>
    <w:rsid w:val="00023B4D"/>
    <w:rsid w:val="00023C0B"/>
    <w:rsid w:val="00023CC4"/>
    <w:rsid w:val="00023FAD"/>
    <w:rsid w:val="00023FCB"/>
    <w:rsid w:val="00024106"/>
    <w:rsid w:val="0002435E"/>
    <w:rsid w:val="00024A36"/>
    <w:rsid w:val="00024F39"/>
    <w:rsid w:val="000256AE"/>
    <w:rsid w:val="00025A29"/>
    <w:rsid w:val="00025AA5"/>
    <w:rsid w:val="00025B1F"/>
    <w:rsid w:val="00025C45"/>
    <w:rsid w:val="00025C9F"/>
    <w:rsid w:val="00025FF8"/>
    <w:rsid w:val="000264A7"/>
    <w:rsid w:val="00026A6C"/>
    <w:rsid w:val="000273AD"/>
    <w:rsid w:val="00027638"/>
    <w:rsid w:val="00027764"/>
    <w:rsid w:val="00027CD9"/>
    <w:rsid w:val="0003043D"/>
    <w:rsid w:val="000305CC"/>
    <w:rsid w:val="000305FE"/>
    <w:rsid w:val="0003111C"/>
    <w:rsid w:val="00031585"/>
    <w:rsid w:val="000319A5"/>
    <w:rsid w:val="00031CA3"/>
    <w:rsid w:val="00031D42"/>
    <w:rsid w:val="000322C7"/>
    <w:rsid w:val="0003249D"/>
    <w:rsid w:val="00032684"/>
    <w:rsid w:val="00033005"/>
    <w:rsid w:val="0003344D"/>
    <w:rsid w:val="0003389E"/>
    <w:rsid w:val="000338A0"/>
    <w:rsid w:val="00033A7F"/>
    <w:rsid w:val="000340F0"/>
    <w:rsid w:val="000343F4"/>
    <w:rsid w:val="0003461C"/>
    <w:rsid w:val="0003503A"/>
    <w:rsid w:val="0003525C"/>
    <w:rsid w:val="0003537D"/>
    <w:rsid w:val="0003553A"/>
    <w:rsid w:val="0003583A"/>
    <w:rsid w:val="00035A42"/>
    <w:rsid w:val="00035A43"/>
    <w:rsid w:val="0003628C"/>
    <w:rsid w:val="0003679B"/>
    <w:rsid w:val="00036E70"/>
    <w:rsid w:val="000371F7"/>
    <w:rsid w:val="00037386"/>
    <w:rsid w:val="0004003F"/>
    <w:rsid w:val="000403A3"/>
    <w:rsid w:val="0004092B"/>
    <w:rsid w:val="00040D1D"/>
    <w:rsid w:val="00040F05"/>
    <w:rsid w:val="000413A3"/>
    <w:rsid w:val="000421C9"/>
    <w:rsid w:val="00042DAF"/>
    <w:rsid w:val="00042DD6"/>
    <w:rsid w:val="00042FA3"/>
    <w:rsid w:val="000435FF"/>
    <w:rsid w:val="0004362C"/>
    <w:rsid w:val="00043914"/>
    <w:rsid w:val="00044835"/>
    <w:rsid w:val="000449B9"/>
    <w:rsid w:val="00044BB8"/>
    <w:rsid w:val="00044C40"/>
    <w:rsid w:val="0004513E"/>
    <w:rsid w:val="000452BF"/>
    <w:rsid w:val="00045A18"/>
    <w:rsid w:val="00045B3C"/>
    <w:rsid w:val="00045CA9"/>
    <w:rsid w:val="00045E51"/>
    <w:rsid w:val="00046CA2"/>
    <w:rsid w:val="0004713E"/>
    <w:rsid w:val="0004719B"/>
    <w:rsid w:val="000475B6"/>
    <w:rsid w:val="000476A5"/>
    <w:rsid w:val="000478D9"/>
    <w:rsid w:val="00047D40"/>
    <w:rsid w:val="00047F3D"/>
    <w:rsid w:val="0005030D"/>
    <w:rsid w:val="00050CA1"/>
    <w:rsid w:val="00050E5F"/>
    <w:rsid w:val="000514C0"/>
    <w:rsid w:val="000515F1"/>
    <w:rsid w:val="00051761"/>
    <w:rsid w:val="00051A9C"/>
    <w:rsid w:val="00051CD8"/>
    <w:rsid w:val="00051DD0"/>
    <w:rsid w:val="0005200B"/>
    <w:rsid w:val="00052383"/>
    <w:rsid w:val="00052447"/>
    <w:rsid w:val="00052525"/>
    <w:rsid w:val="000527FC"/>
    <w:rsid w:val="0005291C"/>
    <w:rsid w:val="0005310F"/>
    <w:rsid w:val="000539E0"/>
    <w:rsid w:val="00053BF3"/>
    <w:rsid w:val="00053C13"/>
    <w:rsid w:val="00053E82"/>
    <w:rsid w:val="00054025"/>
    <w:rsid w:val="000541CC"/>
    <w:rsid w:val="00054363"/>
    <w:rsid w:val="000543CE"/>
    <w:rsid w:val="0005467A"/>
    <w:rsid w:val="0005479C"/>
    <w:rsid w:val="00054D92"/>
    <w:rsid w:val="000550F6"/>
    <w:rsid w:val="00055286"/>
    <w:rsid w:val="000557E7"/>
    <w:rsid w:val="00055A2E"/>
    <w:rsid w:val="00055C1A"/>
    <w:rsid w:val="00056065"/>
    <w:rsid w:val="000561A6"/>
    <w:rsid w:val="0005637B"/>
    <w:rsid w:val="000563C7"/>
    <w:rsid w:val="000568B5"/>
    <w:rsid w:val="00056906"/>
    <w:rsid w:val="00056A32"/>
    <w:rsid w:val="00056B6B"/>
    <w:rsid w:val="00056C10"/>
    <w:rsid w:val="00056F42"/>
    <w:rsid w:val="00056F4D"/>
    <w:rsid w:val="0005725E"/>
    <w:rsid w:val="00057EA6"/>
    <w:rsid w:val="00057EF9"/>
    <w:rsid w:val="0006030B"/>
    <w:rsid w:val="00060614"/>
    <w:rsid w:val="000606AB"/>
    <w:rsid w:val="0006091D"/>
    <w:rsid w:val="00061113"/>
    <w:rsid w:val="000612AF"/>
    <w:rsid w:val="000615B1"/>
    <w:rsid w:val="000618A6"/>
    <w:rsid w:val="00061C7D"/>
    <w:rsid w:val="00061EE2"/>
    <w:rsid w:val="00061FDA"/>
    <w:rsid w:val="000626C4"/>
    <w:rsid w:val="000627D7"/>
    <w:rsid w:val="000627DC"/>
    <w:rsid w:val="0006317C"/>
    <w:rsid w:val="000633BE"/>
    <w:rsid w:val="000634C8"/>
    <w:rsid w:val="0006394A"/>
    <w:rsid w:val="00063FAA"/>
    <w:rsid w:val="000641FE"/>
    <w:rsid w:val="000643FF"/>
    <w:rsid w:val="00064783"/>
    <w:rsid w:val="000647B4"/>
    <w:rsid w:val="000649E2"/>
    <w:rsid w:val="0006515B"/>
    <w:rsid w:val="00066031"/>
    <w:rsid w:val="0006604D"/>
    <w:rsid w:val="000660F1"/>
    <w:rsid w:val="00066268"/>
    <w:rsid w:val="00066456"/>
    <w:rsid w:val="0006691E"/>
    <w:rsid w:val="00066DEF"/>
    <w:rsid w:val="00066F3A"/>
    <w:rsid w:val="00067150"/>
    <w:rsid w:val="00067209"/>
    <w:rsid w:val="000678CD"/>
    <w:rsid w:val="00067C32"/>
    <w:rsid w:val="00070178"/>
    <w:rsid w:val="000706AD"/>
    <w:rsid w:val="00070E02"/>
    <w:rsid w:val="00071055"/>
    <w:rsid w:val="00071210"/>
    <w:rsid w:val="00071A3D"/>
    <w:rsid w:val="00071CFE"/>
    <w:rsid w:val="00071EF9"/>
    <w:rsid w:val="000720BD"/>
    <w:rsid w:val="00072409"/>
    <w:rsid w:val="00072847"/>
    <w:rsid w:val="00072A27"/>
    <w:rsid w:val="00072CD2"/>
    <w:rsid w:val="00072D82"/>
    <w:rsid w:val="00072DAE"/>
    <w:rsid w:val="0007392E"/>
    <w:rsid w:val="00073AEA"/>
    <w:rsid w:val="00074649"/>
    <w:rsid w:val="00074773"/>
    <w:rsid w:val="00074E1E"/>
    <w:rsid w:val="0007596A"/>
    <w:rsid w:val="00075CCC"/>
    <w:rsid w:val="00075CDB"/>
    <w:rsid w:val="00075D29"/>
    <w:rsid w:val="00075D9B"/>
    <w:rsid w:val="00076C82"/>
    <w:rsid w:val="00076CAE"/>
    <w:rsid w:val="00077073"/>
    <w:rsid w:val="0007707A"/>
    <w:rsid w:val="000774E3"/>
    <w:rsid w:val="000776E8"/>
    <w:rsid w:val="00077DFD"/>
    <w:rsid w:val="00080808"/>
    <w:rsid w:val="0008083A"/>
    <w:rsid w:val="000808FC"/>
    <w:rsid w:val="00080A3A"/>
    <w:rsid w:val="00082065"/>
    <w:rsid w:val="0008208A"/>
    <w:rsid w:val="00082277"/>
    <w:rsid w:val="00082385"/>
    <w:rsid w:val="00082C78"/>
    <w:rsid w:val="00083230"/>
    <w:rsid w:val="00083468"/>
    <w:rsid w:val="00083818"/>
    <w:rsid w:val="0008382D"/>
    <w:rsid w:val="00083D0D"/>
    <w:rsid w:val="00084550"/>
    <w:rsid w:val="000846EE"/>
    <w:rsid w:val="0008473B"/>
    <w:rsid w:val="000849A9"/>
    <w:rsid w:val="00085020"/>
    <w:rsid w:val="00085201"/>
    <w:rsid w:val="000852E4"/>
    <w:rsid w:val="000858A5"/>
    <w:rsid w:val="000861FF"/>
    <w:rsid w:val="000867BA"/>
    <w:rsid w:val="000870C3"/>
    <w:rsid w:val="00087286"/>
    <w:rsid w:val="000873BD"/>
    <w:rsid w:val="0008795B"/>
    <w:rsid w:val="00087B57"/>
    <w:rsid w:val="00087C39"/>
    <w:rsid w:val="00087E12"/>
    <w:rsid w:val="00087E25"/>
    <w:rsid w:val="00090687"/>
    <w:rsid w:val="0009068D"/>
    <w:rsid w:val="00090861"/>
    <w:rsid w:val="00092314"/>
    <w:rsid w:val="00092642"/>
    <w:rsid w:val="0009266B"/>
    <w:rsid w:val="000928B8"/>
    <w:rsid w:val="000929FE"/>
    <w:rsid w:val="00092A91"/>
    <w:rsid w:val="00092AF6"/>
    <w:rsid w:val="00092B22"/>
    <w:rsid w:val="00092E07"/>
    <w:rsid w:val="000934B5"/>
    <w:rsid w:val="00093724"/>
    <w:rsid w:val="0009396C"/>
    <w:rsid w:val="00094200"/>
    <w:rsid w:val="0009432E"/>
    <w:rsid w:val="00094631"/>
    <w:rsid w:val="00095198"/>
    <w:rsid w:val="00095A9F"/>
    <w:rsid w:val="00095E2E"/>
    <w:rsid w:val="00095EEC"/>
    <w:rsid w:val="00095F32"/>
    <w:rsid w:val="000964C8"/>
    <w:rsid w:val="00096512"/>
    <w:rsid w:val="000966A5"/>
    <w:rsid w:val="00096770"/>
    <w:rsid w:val="00096945"/>
    <w:rsid w:val="00096BEB"/>
    <w:rsid w:val="00097477"/>
    <w:rsid w:val="00097696"/>
    <w:rsid w:val="000977F0"/>
    <w:rsid w:val="000978E5"/>
    <w:rsid w:val="00097F4C"/>
    <w:rsid w:val="000A0128"/>
    <w:rsid w:val="000A0177"/>
    <w:rsid w:val="000A05D9"/>
    <w:rsid w:val="000A05FA"/>
    <w:rsid w:val="000A0710"/>
    <w:rsid w:val="000A0A65"/>
    <w:rsid w:val="000A0A7B"/>
    <w:rsid w:val="000A0CA7"/>
    <w:rsid w:val="000A10BC"/>
    <w:rsid w:val="000A1B67"/>
    <w:rsid w:val="000A1CC1"/>
    <w:rsid w:val="000A1DEB"/>
    <w:rsid w:val="000A2995"/>
    <w:rsid w:val="000A29AF"/>
    <w:rsid w:val="000A2C38"/>
    <w:rsid w:val="000A2EA1"/>
    <w:rsid w:val="000A32CC"/>
    <w:rsid w:val="000A33B7"/>
    <w:rsid w:val="000A34D1"/>
    <w:rsid w:val="000A3AA1"/>
    <w:rsid w:val="000A4003"/>
    <w:rsid w:val="000A473B"/>
    <w:rsid w:val="000A4B51"/>
    <w:rsid w:val="000A5486"/>
    <w:rsid w:val="000A58FF"/>
    <w:rsid w:val="000A5979"/>
    <w:rsid w:val="000A5B6F"/>
    <w:rsid w:val="000A5C7B"/>
    <w:rsid w:val="000A5F1C"/>
    <w:rsid w:val="000A611C"/>
    <w:rsid w:val="000A6687"/>
    <w:rsid w:val="000A68D6"/>
    <w:rsid w:val="000A6E67"/>
    <w:rsid w:val="000A79BE"/>
    <w:rsid w:val="000A7AFA"/>
    <w:rsid w:val="000A7D78"/>
    <w:rsid w:val="000A7E57"/>
    <w:rsid w:val="000B0071"/>
    <w:rsid w:val="000B043F"/>
    <w:rsid w:val="000B083D"/>
    <w:rsid w:val="000B11C9"/>
    <w:rsid w:val="000B1488"/>
    <w:rsid w:val="000B15E2"/>
    <w:rsid w:val="000B18DC"/>
    <w:rsid w:val="000B1B11"/>
    <w:rsid w:val="000B1D91"/>
    <w:rsid w:val="000B1EE4"/>
    <w:rsid w:val="000B2538"/>
    <w:rsid w:val="000B258E"/>
    <w:rsid w:val="000B2A2F"/>
    <w:rsid w:val="000B36C2"/>
    <w:rsid w:val="000B4131"/>
    <w:rsid w:val="000B426D"/>
    <w:rsid w:val="000B42EB"/>
    <w:rsid w:val="000B4400"/>
    <w:rsid w:val="000B4DAD"/>
    <w:rsid w:val="000B4FEE"/>
    <w:rsid w:val="000B526F"/>
    <w:rsid w:val="000B5454"/>
    <w:rsid w:val="000B54CF"/>
    <w:rsid w:val="000B551F"/>
    <w:rsid w:val="000B55F5"/>
    <w:rsid w:val="000B5A47"/>
    <w:rsid w:val="000B5A79"/>
    <w:rsid w:val="000B6B43"/>
    <w:rsid w:val="000B6F74"/>
    <w:rsid w:val="000B72D6"/>
    <w:rsid w:val="000B7436"/>
    <w:rsid w:val="000B76EE"/>
    <w:rsid w:val="000B799B"/>
    <w:rsid w:val="000B7EE1"/>
    <w:rsid w:val="000C0084"/>
    <w:rsid w:val="000C072A"/>
    <w:rsid w:val="000C0C90"/>
    <w:rsid w:val="000C0D5C"/>
    <w:rsid w:val="000C0F59"/>
    <w:rsid w:val="000C124E"/>
    <w:rsid w:val="000C1399"/>
    <w:rsid w:val="000C1B8A"/>
    <w:rsid w:val="000C2377"/>
    <w:rsid w:val="000C2895"/>
    <w:rsid w:val="000C2969"/>
    <w:rsid w:val="000C2FE4"/>
    <w:rsid w:val="000C34B0"/>
    <w:rsid w:val="000C3669"/>
    <w:rsid w:val="000C38D4"/>
    <w:rsid w:val="000C3BA6"/>
    <w:rsid w:val="000C3BDF"/>
    <w:rsid w:val="000C4284"/>
    <w:rsid w:val="000C439C"/>
    <w:rsid w:val="000C43DB"/>
    <w:rsid w:val="000C46D4"/>
    <w:rsid w:val="000C47CA"/>
    <w:rsid w:val="000C4AB5"/>
    <w:rsid w:val="000C4C3B"/>
    <w:rsid w:val="000C4DE2"/>
    <w:rsid w:val="000C4E7D"/>
    <w:rsid w:val="000C5024"/>
    <w:rsid w:val="000C56D3"/>
    <w:rsid w:val="000C5A5E"/>
    <w:rsid w:val="000C5BFA"/>
    <w:rsid w:val="000C5E77"/>
    <w:rsid w:val="000C69F3"/>
    <w:rsid w:val="000C6A38"/>
    <w:rsid w:val="000C6C55"/>
    <w:rsid w:val="000C6D9E"/>
    <w:rsid w:val="000C721D"/>
    <w:rsid w:val="000C75FE"/>
    <w:rsid w:val="000C776F"/>
    <w:rsid w:val="000C783B"/>
    <w:rsid w:val="000C799A"/>
    <w:rsid w:val="000C7C92"/>
    <w:rsid w:val="000D0476"/>
    <w:rsid w:val="000D0C5B"/>
    <w:rsid w:val="000D0E5A"/>
    <w:rsid w:val="000D0E90"/>
    <w:rsid w:val="000D1069"/>
    <w:rsid w:val="000D1A42"/>
    <w:rsid w:val="000D1E24"/>
    <w:rsid w:val="000D1FB1"/>
    <w:rsid w:val="000D234C"/>
    <w:rsid w:val="000D250E"/>
    <w:rsid w:val="000D293C"/>
    <w:rsid w:val="000D2B4A"/>
    <w:rsid w:val="000D2FC5"/>
    <w:rsid w:val="000D32E5"/>
    <w:rsid w:val="000D354E"/>
    <w:rsid w:val="000D3DA5"/>
    <w:rsid w:val="000D3DD5"/>
    <w:rsid w:val="000D4194"/>
    <w:rsid w:val="000D576D"/>
    <w:rsid w:val="000D5A0B"/>
    <w:rsid w:val="000D5B93"/>
    <w:rsid w:val="000D5E26"/>
    <w:rsid w:val="000D635F"/>
    <w:rsid w:val="000D678F"/>
    <w:rsid w:val="000D6801"/>
    <w:rsid w:val="000D69CF"/>
    <w:rsid w:val="000D6ABE"/>
    <w:rsid w:val="000D6B39"/>
    <w:rsid w:val="000D6FC3"/>
    <w:rsid w:val="000E0823"/>
    <w:rsid w:val="000E0C07"/>
    <w:rsid w:val="000E0D74"/>
    <w:rsid w:val="000E116A"/>
    <w:rsid w:val="000E1BD0"/>
    <w:rsid w:val="000E1D22"/>
    <w:rsid w:val="000E1E65"/>
    <w:rsid w:val="000E1EB6"/>
    <w:rsid w:val="000E1F0F"/>
    <w:rsid w:val="000E2430"/>
    <w:rsid w:val="000E2A72"/>
    <w:rsid w:val="000E2BB9"/>
    <w:rsid w:val="000E3B93"/>
    <w:rsid w:val="000E3D0B"/>
    <w:rsid w:val="000E3E29"/>
    <w:rsid w:val="000E40C9"/>
    <w:rsid w:val="000E4497"/>
    <w:rsid w:val="000E4795"/>
    <w:rsid w:val="000E4A70"/>
    <w:rsid w:val="000E4CA3"/>
    <w:rsid w:val="000E4F9E"/>
    <w:rsid w:val="000E505C"/>
    <w:rsid w:val="000E5676"/>
    <w:rsid w:val="000E574D"/>
    <w:rsid w:val="000E5CDA"/>
    <w:rsid w:val="000E60F5"/>
    <w:rsid w:val="000E661E"/>
    <w:rsid w:val="000E687A"/>
    <w:rsid w:val="000E69E6"/>
    <w:rsid w:val="000E6AD4"/>
    <w:rsid w:val="000E6F5A"/>
    <w:rsid w:val="000E700C"/>
    <w:rsid w:val="000E79CB"/>
    <w:rsid w:val="000E7DBD"/>
    <w:rsid w:val="000F0253"/>
    <w:rsid w:val="000F0553"/>
    <w:rsid w:val="000F08A2"/>
    <w:rsid w:val="000F0AC7"/>
    <w:rsid w:val="000F0B3F"/>
    <w:rsid w:val="000F1B1C"/>
    <w:rsid w:val="000F210E"/>
    <w:rsid w:val="000F237A"/>
    <w:rsid w:val="000F2976"/>
    <w:rsid w:val="000F2AEC"/>
    <w:rsid w:val="000F2EDC"/>
    <w:rsid w:val="000F3030"/>
    <w:rsid w:val="000F3E5E"/>
    <w:rsid w:val="000F3F39"/>
    <w:rsid w:val="000F40D5"/>
    <w:rsid w:val="000F43C0"/>
    <w:rsid w:val="000F4775"/>
    <w:rsid w:val="000F48F3"/>
    <w:rsid w:val="000F4B87"/>
    <w:rsid w:val="000F50B9"/>
    <w:rsid w:val="000F51A7"/>
    <w:rsid w:val="000F528E"/>
    <w:rsid w:val="000F53F9"/>
    <w:rsid w:val="000F5568"/>
    <w:rsid w:val="000F58E2"/>
    <w:rsid w:val="000F5936"/>
    <w:rsid w:val="000F5979"/>
    <w:rsid w:val="000F6516"/>
    <w:rsid w:val="000F674C"/>
    <w:rsid w:val="000F6D9F"/>
    <w:rsid w:val="000F7158"/>
    <w:rsid w:val="000F7213"/>
    <w:rsid w:val="000F7970"/>
    <w:rsid w:val="000F7BA9"/>
    <w:rsid w:val="000F7D13"/>
    <w:rsid w:val="000F7DBC"/>
    <w:rsid w:val="001005CF"/>
    <w:rsid w:val="00100774"/>
    <w:rsid w:val="00100C1F"/>
    <w:rsid w:val="001011CE"/>
    <w:rsid w:val="00101346"/>
    <w:rsid w:val="00101CFF"/>
    <w:rsid w:val="00102034"/>
    <w:rsid w:val="001025E5"/>
    <w:rsid w:val="00102789"/>
    <w:rsid w:val="00102EBF"/>
    <w:rsid w:val="00102F8C"/>
    <w:rsid w:val="00103F77"/>
    <w:rsid w:val="001040D7"/>
    <w:rsid w:val="00104417"/>
    <w:rsid w:val="001048BB"/>
    <w:rsid w:val="00104C41"/>
    <w:rsid w:val="001051FE"/>
    <w:rsid w:val="0010580F"/>
    <w:rsid w:val="00105942"/>
    <w:rsid w:val="00106287"/>
    <w:rsid w:val="0010639A"/>
    <w:rsid w:val="001063E3"/>
    <w:rsid w:val="001067F9"/>
    <w:rsid w:val="00106A17"/>
    <w:rsid w:val="00106B0D"/>
    <w:rsid w:val="00106CA2"/>
    <w:rsid w:val="00106E60"/>
    <w:rsid w:val="00106FF0"/>
    <w:rsid w:val="00107003"/>
    <w:rsid w:val="0010748F"/>
    <w:rsid w:val="001079E8"/>
    <w:rsid w:val="00107B0F"/>
    <w:rsid w:val="00107CBE"/>
    <w:rsid w:val="00107EFE"/>
    <w:rsid w:val="00110233"/>
    <w:rsid w:val="00110302"/>
    <w:rsid w:val="001109DB"/>
    <w:rsid w:val="00110A28"/>
    <w:rsid w:val="00110B17"/>
    <w:rsid w:val="00110B65"/>
    <w:rsid w:val="00110F49"/>
    <w:rsid w:val="00110FAB"/>
    <w:rsid w:val="001111CF"/>
    <w:rsid w:val="00111283"/>
    <w:rsid w:val="00111915"/>
    <w:rsid w:val="00111A1E"/>
    <w:rsid w:val="00111CA9"/>
    <w:rsid w:val="00111DB7"/>
    <w:rsid w:val="00111EE5"/>
    <w:rsid w:val="001120EE"/>
    <w:rsid w:val="001125DD"/>
    <w:rsid w:val="00112689"/>
    <w:rsid w:val="00112FE1"/>
    <w:rsid w:val="001131A3"/>
    <w:rsid w:val="00113B10"/>
    <w:rsid w:val="00113D39"/>
    <w:rsid w:val="00113F40"/>
    <w:rsid w:val="00113F75"/>
    <w:rsid w:val="00114170"/>
    <w:rsid w:val="00114B37"/>
    <w:rsid w:val="001153FC"/>
    <w:rsid w:val="0011551C"/>
    <w:rsid w:val="001155C8"/>
    <w:rsid w:val="001158B9"/>
    <w:rsid w:val="00115901"/>
    <w:rsid w:val="00115965"/>
    <w:rsid w:val="0011601A"/>
    <w:rsid w:val="001163E8"/>
    <w:rsid w:val="001168E1"/>
    <w:rsid w:val="00116C69"/>
    <w:rsid w:val="0011716B"/>
    <w:rsid w:val="001173CA"/>
    <w:rsid w:val="00117D92"/>
    <w:rsid w:val="00117E13"/>
    <w:rsid w:val="00117FE1"/>
    <w:rsid w:val="00120692"/>
    <w:rsid w:val="0012070C"/>
    <w:rsid w:val="00120925"/>
    <w:rsid w:val="001214CF"/>
    <w:rsid w:val="0012171F"/>
    <w:rsid w:val="00121E1B"/>
    <w:rsid w:val="00122231"/>
    <w:rsid w:val="001223AF"/>
    <w:rsid w:val="00122509"/>
    <w:rsid w:val="0012256A"/>
    <w:rsid w:val="001229A2"/>
    <w:rsid w:val="00122C4C"/>
    <w:rsid w:val="00122D9D"/>
    <w:rsid w:val="0012323A"/>
    <w:rsid w:val="001232D1"/>
    <w:rsid w:val="001236E5"/>
    <w:rsid w:val="001236EA"/>
    <w:rsid w:val="0012380B"/>
    <w:rsid w:val="00123B3B"/>
    <w:rsid w:val="00123D6B"/>
    <w:rsid w:val="00123D76"/>
    <w:rsid w:val="001242CB"/>
    <w:rsid w:val="0012587D"/>
    <w:rsid w:val="00125F38"/>
    <w:rsid w:val="001260A0"/>
    <w:rsid w:val="00126346"/>
    <w:rsid w:val="00126783"/>
    <w:rsid w:val="00126D75"/>
    <w:rsid w:val="00126FE2"/>
    <w:rsid w:val="0012740E"/>
    <w:rsid w:val="00127602"/>
    <w:rsid w:val="0012767D"/>
    <w:rsid w:val="001276F4"/>
    <w:rsid w:val="00127DF5"/>
    <w:rsid w:val="00127FBB"/>
    <w:rsid w:val="001302CF"/>
    <w:rsid w:val="00130549"/>
    <w:rsid w:val="001306B9"/>
    <w:rsid w:val="00130826"/>
    <w:rsid w:val="00130D24"/>
    <w:rsid w:val="00130E0E"/>
    <w:rsid w:val="00131082"/>
    <w:rsid w:val="001314C9"/>
    <w:rsid w:val="00131507"/>
    <w:rsid w:val="00131DAF"/>
    <w:rsid w:val="0013210E"/>
    <w:rsid w:val="00132428"/>
    <w:rsid w:val="00132472"/>
    <w:rsid w:val="0013312C"/>
    <w:rsid w:val="0013337B"/>
    <w:rsid w:val="00133B72"/>
    <w:rsid w:val="00133E60"/>
    <w:rsid w:val="001341BA"/>
    <w:rsid w:val="0013428E"/>
    <w:rsid w:val="0013429C"/>
    <w:rsid w:val="0013572E"/>
    <w:rsid w:val="001362AD"/>
    <w:rsid w:val="0013643D"/>
    <w:rsid w:val="00136BC1"/>
    <w:rsid w:val="00136DBF"/>
    <w:rsid w:val="001377B9"/>
    <w:rsid w:val="00137870"/>
    <w:rsid w:val="0013789E"/>
    <w:rsid w:val="00137A6D"/>
    <w:rsid w:val="00137AA9"/>
    <w:rsid w:val="00137C04"/>
    <w:rsid w:val="00140861"/>
    <w:rsid w:val="00141018"/>
    <w:rsid w:val="00141641"/>
    <w:rsid w:val="001419EB"/>
    <w:rsid w:val="00141E59"/>
    <w:rsid w:val="00142069"/>
    <w:rsid w:val="00142152"/>
    <w:rsid w:val="00142737"/>
    <w:rsid w:val="00142B8B"/>
    <w:rsid w:val="00143410"/>
    <w:rsid w:val="0014379E"/>
    <w:rsid w:val="00143D26"/>
    <w:rsid w:val="00143E42"/>
    <w:rsid w:val="00144043"/>
    <w:rsid w:val="001442F7"/>
    <w:rsid w:val="001449B4"/>
    <w:rsid w:val="00144D16"/>
    <w:rsid w:val="001450E9"/>
    <w:rsid w:val="0014563C"/>
    <w:rsid w:val="0014575E"/>
    <w:rsid w:val="0014620A"/>
    <w:rsid w:val="001464BF"/>
    <w:rsid w:val="00146BF7"/>
    <w:rsid w:val="00146C48"/>
    <w:rsid w:val="00146E0F"/>
    <w:rsid w:val="00146E6C"/>
    <w:rsid w:val="00147121"/>
    <w:rsid w:val="00147584"/>
    <w:rsid w:val="00147A29"/>
    <w:rsid w:val="00147F2F"/>
    <w:rsid w:val="0015026B"/>
    <w:rsid w:val="0015057D"/>
    <w:rsid w:val="001509E5"/>
    <w:rsid w:val="00150BF1"/>
    <w:rsid w:val="00150CEB"/>
    <w:rsid w:val="0015104D"/>
    <w:rsid w:val="00151402"/>
    <w:rsid w:val="00151725"/>
    <w:rsid w:val="001517B7"/>
    <w:rsid w:val="001519CE"/>
    <w:rsid w:val="001520CB"/>
    <w:rsid w:val="0015223D"/>
    <w:rsid w:val="001525ED"/>
    <w:rsid w:val="0015289C"/>
    <w:rsid w:val="00152AF9"/>
    <w:rsid w:val="00152B97"/>
    <w:rsid w:val="00152C8A"/>
    <w:rsid w:val="00153031"/>
    <w:rsid w:val="00153284"/>
    <w:rsid w:val="001543DE"/>
    <w:rsid w:val="00155431"/>
    <w:rsid w:val="00155A06"/>
    <w:rsid w:val="00156350"/>
    <w:rsid w:val="001565BA"/>
    <w:rsid w:val="00156738"/>
    <w:rsid w:val="00156C14"/>
    <w:rsid w:val="00156C40"/>
    <w:rsid w:val="00156D93"/>
    <w:rsid w:val="00157280"/>
    <w:rsid w:val="00157BC3"/>
    <w:rsid w:val="00157E89"/>
    <w:rsid w:val="001601E0"/>
    <w:rsid w:val="00160201"/>
    <w:rsid w:val="0016053B"/>
    <w:rsid w:val="001606AF"/>
    <w:rsid w:val="00160893"/>
    <w:rsid w:val="00161764"/>
    <w:rsid w:val="00161942"/>
    <w:rsid w:val="001619F2"/>
    <w:rsid w:val="00161A5D"/>
    <w:rsid w:val="00161AE8"/>
    <w:rsid w:val="0016297F"/>
    <w:rsid w:val="00162D2F"/>
    <w:rsid w:val="00162DED"/>
    <w:rsid w:val="00163391"/>
    <w:rsid w:val="001634BF"/>
    <w:rsid w:val="00163781"/>
    <w:rsid w:val="001639C9"/>
    <w:rsid w:val="00163C54"/>
    <w:rsid w:val="00164457"/>
    <w:rsid w:val="0016463D"/>
    <w:rsid w:val="001647B9"/>
    <w:rsid w:val="001647E8"/>
    <w:rsid w:val="00164983"/>
    <w:rsid w:val="00164F86"/>
    <w:rsid w:val="001650A3"/>
    <w:rsid w:val="00165565"/>
    <w:rsid w:val="00165B42"/>
    <w:rsid w:val="00165B9B"/>
    <w:rsid w:val="00165FFF"/>
    <w:rsid w:val="0016633D"/>
    <w:rsid w:val="00166D8C"/>
    <w:rsid w:val="001674F0"/>
    <w:rsid w:val="00167874"/>
    <w:rsid w:val="0016791D"/>
    <w:rsid w:val="00167ADC"/>
    <w:rsid w:val="00167B50"/>
    <w:rsid w:val="00170104"/>
    <w:rsid w:val="00170F98"/>
    <w:rsid w:val="0017189F"/>
    <w:rsid w:val="001719FB"/>
    <w:rsid w:val="00171B38"/>
    <w:rsid w:val="00171CDB"/>
    <w:rsid w:val="00171DB1"/>
    <w:rsid w:val="001724B8"/>
    <w:rsid w:val="001724F3"/>
    <w:rsid w:val="00172642"/>
    <w:rsid w:val="00172A27"/>
    <w:rsid w:val="001738EB"/>
    <w:rsid w:val="001738F1"/>
    <w:rsid w:val="00173ADE"/>
    <w:rsid w:val="0017467D"/>
    <w:rsid w:val="00174689"/>
    <w:rsid w:val="0017523C"/>
    <w:rsid w:val="00175FCF"/>
    <w:rsid w:val="00175FF3"/>
    <w:rsid w:val="001762ED"/>
    <w:rsid w:val="00176FDE"/>
    <w:rsid w:val="00177065"/>
    <w:rsid w:val="001775AF"/>
    <w:rsid w:val="00177773"/>
    <w:rsid w:val="00177EE2"/>
    <w:rsid w:val="001800B2"/>
    <w:rsid w:val="001802F4"/>
    <w:rsid w:val="00180399"/>
    <w:rsid w:val="001803A6"/>
    <w:rsid w:val="00180533"/>
    <w:rsid w:val="00180605"/>
    <w:rsid w:val="001806C2"/>
    <w:rsid w:val="00180EDC"/>
    <w:rsid w:val="00180FA9"/>
    <w:rsid w:val="0018103D"/>
    <w:rsid w:val="0018121B"/>
    <w:rsid w:val="001813EA"/>
    <w:rsid w:val="00181B74"/>
    <w:rsid w:val="0018211B"/>
    <w:rsid w:val="00182461"/>
    <w:rsid w:val="001824BD"/>
    <w:rsid w:val="0018255B"/>
    <w:rsid w:val="00182D4E"/>
    <w:rsid w:val="00182D7F"/>
    <w:rsid w:val="0018335E"/>
    <w:rsid w:val="001833B7"/>
    <w:rsid w:val="00184891"/>
    <w:rsid w:val="00184AA7"/>
    <w:rsid w:val="00184FEF"/>
    <w:rsid w:val="001851E6"/>
    <w:rsid w:val="001856B8"/>
    <w:rsid w:val="001858AA"/>
    <w:rsid w:val="001859CF"/>
    <w:rsid w:val="00185A3B"/>
    <w:rsid w:val="00185A82"/>
    <w:rsid w:val="00186011"/>
    <w:rsid w:val="00186329"/>
    <w:rsid w:val="00186810"/>
    <w:rsid w:val="00186E29"/>
    <w:rsid w:val="00186FF4"/>
    <w:rsid w:val="0018718E"/>
    <w:rsid w:val="00187355"/>
    <w:rsid w:val="0018768D"/>
    <w:rsid w:val="00187AB7"/>
    <w:rsid w:val="00187D02"/>
    <w:rsid w:val="0019008F"/>
    <w:rsid w:val="001900B5"/>
    <w:rsid w:val="00190392"/>
    <w:rsid w:val="001907EF"/>
    <w:rsid w:val="00190CBD"/>
    <w:rsid w:val="00190D3E"/>
    <w:rsid w:val="001910D6"/>
    <w:rsid w:val="00191B67"/>
    <w:rsid w:val="00191F76"/>
    <w:rsid w:val="001922D7"/>
    <w:rsid w:val="001925AC"/>
    <w:rsid w:val="001925BC"/>
    <w:rsid w:val="00192884"/>
    <w:rsid w:val="0019290E"/>
    <w:rsid w:val="0019293F"/>
    <w:rsid w:val="00192F86"/>
    <w:rsid w:val="001936FC"/>
    <w:rsid w:val="00194149"/>
    <w:rsid w:val="0019436D"/>
    <w:rsid w:val="001945C0"/>
    <w:rsid w:val="001949AA"/>
    <w:rsid w:val="00194D0D"/>
    <w:rsid w:val="00194FB4"/>
    <w:rsid w:val="00195114"/>
    <w:rsid w:val="001952B5"/>
    <w:rsid w:val="00195351"/>
    <w:rsid w:val="00195515"/>
    <w:rsid w:val="001958FD"/>
    <w:rsid w:val="00195BA7"/>
    <w:rsid w:val="00195E04"/>
    <w:rsid w:val="00195F15"/>
    <w:rsid w:val="00196421"/>
    <w:rsid w:val="00196804"/>
    <w:rsid w:val="00196AEC"/>
    <w:rsid w:val="00196C90"/>
    <w:rsid w:val="00196E76"/>
    <w:rsid w:val="00196F11"/>
    <w:rsid w:val="0019732D"/>
    <w:rsid w:val="00197343"/>
    <w:rsid w:val="0019737F"/>
    <w:rsid w:val="00197833"/>
    <w:rsid w:val="00197D60"/>
    <w:rsid w:val="001A00D0"/>
    <w:rsid w:val="001A0100"/>
    <w:rsid w:val="001A0556"/>
    <w:rsid w:val="001A0563"/>
    <w:rsid w:val="001A103F"/>
    <w:rsid w:val="001A144E"/>
    <w:rsid w:val="001A1834"/>
    <w:rsid w:val="001A197C"/>
    <w:rsid w:val="001A1E65"/>
    <w:rsid w:val="001A29F1"/>
    <w:rsid w:val="001A2A89"/>
    <w:rsid w:val="001A2E04"/>
    <w:rsid w:val="001A2FB7"/>
    <w:rsid w:val="001A3792"/>
    <w:rsid w:val="001A4012"/>
    <w:rsid w:val="001A40BB"/>
    <w:rsid w:val="001A4475"/>
    <w:rsid w:val="001A46FD"/>
    <w:rsid w:val="001A474E"/>
    <w:rsid w:val="001A476E"/>
    <w:rsid w:val="001A4D75"/>
    <w:rsid w:val="001A4D9D"/>
    <w:rsid w:val="001A4F7D"/>
    <w:rsid w:val="001A4F84"/>
    <w:rsid w:val="001A500E"/>
    <w:rsid w:val="001A5723"/>
    <w:rsid w:val="001A60FF"/>
    <w:rsid w:val="001A6D33"/>
    <w:rsid w:val="001A741D"/>
    <w:rsid w:val="001A7555"/>
    <w:rsid w:val="001A7B36"/>
    <w:rsid w:val="001A7F34"/>
    <w:rsid w:val="001A7F55"/>
    <w:rsid w:val="001A7F80"/>
    <w:rsid w:val="001B0533"/>
    <w:rsid w:val="001B074B"/>
    <w:rsid w:val="001B077F"/>
    <w:rsid w:val="001B0F11"/>
    <w:rsid w:val="001B1148"/>
    <w:rsid w:val="001B16CB"/>
    <w:rsid w:val="001B18CE"/>
    <w:rsid w:val="001B1AB1"/>
    <w:rsid w:val="001B1AF0"/>
    <w:rsid w:val="001B1BDD"/>
    <w:rsid w:val="001B1D4C"/>
    <w:rsid w:val="001B1E9A"/>
    <w:rsid w:val="001B2372"/>
    <w:rsid w:val="001B2670"/>
    <w:rsid w:val="001B2B42"/>
    <w:rsid w:val="001B2D83"/>
    <w:rsid w:val="001B3213"/>
    <w:rsid w:val="001B329C"/>
    <w:rsid w:val="001B33AF"/>
    <w:rsid w:val="001B36ED"/>
    <w:rsid w:val="001B3EFC"/>
    <w:rsid w:val="001B4063"/>
    <w:rsid w:val="001B41AE"/>
    <w:rsid w:val="001B4B0F"/>
    <w:rsid w:val="001B4CE7"/>
    <w:rsid w:val="001B53AD"/>
    <w:rsid w:val="001B5BBB"/>
    <w:rsid w:val="001B5C10"/>
    <w:rsid w:val="001B5E89"/>
    <w:rsid w:val="001B6375"/>
    <w:rsid w:val="001B63EB"/>
    <w:rsid w:val="001B6772"/>
    <w:rsid w:val="001B682B"/>
    <w:rsid w:val="001B6D25"/>
    <w:rsid w:val="001B78D2"/>
    <w:rsid w:val="001C0053"/>
    <w:rsid w:val="001C0159"/>
    <w:rsid w:val="001C0361"/>
    <w:rsid w:val="001C03B5"/>
    <w:rsid w:val="001C0C14"/>
    <w:rsid w:val="001C0E9A"/>
    <w:rsid w:val="001C1509"/>
    <w:rsid w:val="001C15F7"/>
    <w:rsid w:val="001C1B8F"/>
    <w:rsid w:val="001C1D38"/>
    <w:rsid w:val="001C21B1"/>
    <w:rsid w:val="001C2A37"/>
    <w:rsid w:val="001C3101"/>
    <w:rsid w:val="001C38E9"/>
    <w:rsid w:val="001C3A51"/>
    <w:rsid w:val="001C3CE1"/>
    <w:rsid w:val="001C3D95"/>
    <w:rsid w:val="001C407E"/>
    <w:rsid w:val="001C4101"/>
    <w:rsid w:val="001C4519"/>
    <w:rsid w:val="001C5075"/>
    <w:rsid w:val="001C538F"/>
    <w:rsid w:val="001C53AE"/>
    <w:rsid w:val="001C59B8"/>
    <w:rsid w:val="001C5BEE"/>
    <w:rsid w:val="001C60E4"/>
    <w:rsid w:val="001C6114"/>
    <w:rsid w:val="001C6229"/>
    <w:rsid w:val="001C624C"/>
    <w:rsid w:val="001C62B9"/>
    <w:rsid w:val="001C645D"/>
    <w:rsid w:val="001C672B"/>
    <w:rsid w:val="001C710F"/>
    <w:rsid w:val="001C7674"/>
    <w:rsid w:val="001C7747"/>
    <w:rsid w:val="001C7ACA"/>
    <w:rsid w:val="001C7B98"/>
    <w:rsid w:val="001C7BB4"/>
    <w:rsid w:val="001C7C91"/>
    <w:rsid w:val="001D0103"/>
    <w:rsid w:val="001D0109"/>
    <w:rsid w:val="001D0901"/>
    <w:rsid w:val="001D0B46"/>
    <w:rsid w:val="001D1178"/>
    <w:rsid w:val="001D14B1"/>
    <w:rsid w:val="001D18FA"/>
    <w:rsid w:val="001D2180"/>
    <w:rsid w:val="001D247F"/>
    <w:rsid w:val="001D2C5D"/>
    <w:rsid w:val="001D3361"/>
    <w:rsid w:val="001D36CD"/>
    <w:rsid w:val="001D36D7"/>
    <w:rsid w:val="001D3ABA"/>
    <w:rsid w:val="001D3F20"/>
    <w:rsid w:val="001D415B"/>
    <w:rsid w:val="001D43B1"/>
    <w:rsid w:val="001D4BDE"/>
    <w:rsid w:val="001D4C34"/>
    <w:rsid w:val="001D59D8"/>
    <w:rsid w:val="001D59E0"/>
    <w:rsid w:val="001D5A56"/>
    <w:rsid w:val="001D5BEB"/>
    <w:rsid w:val="001D5E39"/>
    <w:rsid w:val="001D66E7"/>
    <w:rsid w:val="001D7428"/>
    <w:rsid w:val="001D7458"/>
    <w:rsid w:val="001D7699"/>
    <w:rsid w:val="001D76DC"/>
    <w:rsid w:val="001D7813"/>
    <w:rsid w:val="001D7DFE"/>
    <w:rsid w:val="001D7E53"/>
    <w:rsid w:val="001E03C2"/>
    <w:rsid w:val="001E0BA3"/>
    <w:rsid w:val="001E113B"/>
    <w:rsid w:val="001E1168"/>
    <w:rsid w:val="001E134F"/>
    <w:rsid w:val="001E1540"/>
    <w:rsid w:val="001E17C3"/>
    <w:rsid w:val="001E1B0B"/>
    <w:rsid w:val="001E1CB3"/>
    <w:rsid w:val="001E202D"/>
    <w:rsid w:val="001E2128"/>
    <w:rsid w:val="001E271C"/>
    <w:rsid w:val="001E2794"/>
    <w:rsid w:val="001E2CE9"/>
    <w:rsid w:val="001E2D11"/>
    <w:rsid w:val="001E2E29"/>
    <w:rsid w:val="001E3006"/>
    <w:rsid w:val="001E33D3"/>
    <w:rsid w:val="001E359A"/>
    <w:rsid w:val="001E3E40"/>
    <w:rsid w:val="001E417F"/>
    <w:rsid w:val="001E4412"/>
    <w:rsid w:val="001E4482"/>
    <w:rsid w:val="001E48BE"/>
    <w:rsid w:val="001E4C51"/>
    <w:rsid w:val="001E4E88"/>
    <w:rsid w:val="001E4F8D"/>
    <w:rsid w:val="001E4FA2"/>
    <w:rsid w:val="001E532E"/>
    <w:rsid w:val="001E562C"/>
    <w:rsid w:val="001E57AB"/>
    <w:rsid w:val="001E5858"/>
    <w:rsid w:val="001E64FA"/>
    <w:rsid w:val="001E6C36"/>
    <w:rsid w:val="001E73D3"/>
    <w:rsid w:val="001E74A6"/>
    <w:rsid w:val="001E7D44"/>
    <w:rsid w:val="001E7F86"/>
    <w:rsid w:val="001F1497"/>
    <w:rsid w:val="001F2362"/>
    <w:rsid w:val="001F27BA"/>
    <w:rsid w:val="001F2831"/>
    <w:rsid w:val="001F2879"/>
    <w:rsid w:val="001F2CE8"/>
    <w:rsid w:val="001F3674"/>
    <w:rsid w:val="001F3736"/>
    <w:rsid w:val="001F3A3A"/>
    <w:rsid w:val="001F3AFC"/>
    <w:rsid w:val="001F3C72"/>
    <w:rsid w:val="001F3D90"/>
    <w:rsid w:val="001F3E4C"/>
    <w:rsid w:val="001F4256"/>
    <w:rsid w:val="001F4687"/>
    <w:rsid w:val="001F46C0"/>
    <w:rsid w:val="001F4929"/>
    <w:rsid w:val="001F4980"/>
    <w:rsid w:val="001F573A"/>
    <w:rsid w:val="001F57C0"/>
    <w:rsid w:val="001F58DD"/>
    <w:rsid w:val="001F5B06"/>
    <w:rsid w:val="001F5B3B"/>
    <w:rsid w:val="001F64DA"/>
    <w:rsid w:val="001F6C5F"/>
    <w:rsid w:val="001F6DC9"/>
    <w:rsid w:val="001F6E76"/>
    <w:rsid w:val="001F6F60"/>
    <w:rsid w:val="001F71C7"/>
    <w:rsid w:val="001F741C"/>
    <w:rsid w:val="001F747C"/>
    <w:rsid w:val="001F78D2"/>
    <w:rsid w:val="001F78FB"/>
    <w:rsid w:val="001F7917"/>
    <w:rsid w:val="001F7C8B"/>
    <w:rsid w:val="00200137"/>
    <w:rsid w:val="00200329"/>
    <w:rsid w:val="00200653"/>
    <w:rsid w:val="00200C32"/>
    <w:rsid w:val="0020113F"/>
    <w:rsid w:val="0020125F"/>
    <w:rsid w:val="002012B8"/>
    <w:rsid w:val="00201532"/>
    <w:rsid w:val="00201E59"/>
    <w:rsid w:val="00202061"/>
    <w:rsid w:val="00202186"/>
    <w:rsid w:val="0020224A"/>
    <w:rsid w:val="002026E2"/>
    <w:rsid w:val="00202B2A"/>
    <w:rsid w:val="00202FD5"/>
    <w:rsid w:val="002031E8"/>
    <w:rsid w:val="002034FE"/>
    <w:rsid w:val="002039E0"/>
    <w:rsid w:val="00203A5D"/>
    <w:rsid w:val="002040B4"/>
    <w:rsid w:val="00204142"/>
    <w:rsid w:val="0020432E"/>
    <w:rsid w:val="0020456D"/>
    <w:rsid w:val="00204B70"/>
    <w:rsid w:val="00204BD5"/>
    <w:rsid w:val="0020514A"/>
    <w:rsid w:val="00205DEC"/>
    <w:rsid w:val="002060C4"/>
    <w:rsid w:val="00206232"/>
    <w:rsid w:val="002062B3"/>
    <w:rsid w:val="00206303"/>
    <w:rsid w:val="00206494"/>
    <w:rsid w:val="00206613"/>
    <w:rsid w:val="00206C0A"/>
    <w:rsid w:val="0020715F"/>
    <w:rsid w:val="00207AD7"/>
    <w:rsid w:val="00207B16"/>
    <w:rsid w:val="00207CB8"/>
    <w:rsid w:val="00210AD8"/>
    <w:rsid w:val="00210B99"/>
    <w:rsid w:val="00211064"/>
    <w:rsid w:val="00211213"/>
    <w:rsid w:val="002112AF"/>
    <w:rsid w:val="00211588"/>
    <w:rsid w:val="00211B54"/>
    <w:rsid w:val="00211C8C"/>
    <w:rsid w:val="002134B8"/>
    <w:rsid w:val="00213584"/>
    <w:rsid w:val="00213E6F"/>
    <w:rsid w:val="00214D8C"/>
    <w:rsid w:val="00214FA3"/>
    <w:rsid w:val="00215B6A"/>
    <w:rsid w:val="00215E58"/>
    <w:rsid w:val="00215E83"/>
    <w:rsid w:val="002162DE"/>
    <w:rsid w:val="00216391"/>
    <w:rsid w:val="00216663"/>
    <w:rsid w:val="00216A16"/>
    <w:rsid w:val="00216A85"/>
    <w:rsid w:val="00217227"/>
    <w:rsid w:val="0021740B"/>
    <w:rsid w:val="002179F1"/>
    <w:rsid w:val="00217F2F"/>
    <w:rsid w:val="002201DF"/>
    <w:rsid w:val="00220259"/>
    <w:rsid w:val="00220465"/>
    <w:rsid w:val="0022057B"/>
    <w:rsid w:val="002208D2"/>
    <w:rsid w:val="00220945"/>
    <w:rsid w:val="00220C1A"/>
    <w:rsid w:val="00220C6E"/>
    <w:rsid w:val="00220ED1"/>
    <w:rsid w:val="00221346"/>
    <w:rsid w:val="00221355"/>
    <w:rsid w:val="002219D7"/>
    <w:rsid w:val="00221EED"/>
    <w:rsid w:val="00221FCC"/>
    <w:rsid w:val="002220AE"/>
    <w:rsid w:val="002224DA"/>
    <w:rsid w:val="002224DB"/>
    <w:rsid w:val="002224E1"/>
    <w:rsid w:val="002225DB"/>
    <w:rsid w:val="00222A5D"/>
    <w:rsid w:val="00222A89"/>
    <w:rsid w:val="00222B5D"/>
    <w:rsid w:val="00222EAE"/>
    <w:rsid w:val="002233C3"/>
    <w:rsid w:val="002233EA"/>
    <w:rsid w:val="002237AB"/>
    <w:rsid w:val="00223B2A"/>
    <w:rsid w:val="0022459C"/>
    <w:rsid w:val="00225568"/>
    <w:rsid w:val="00225C25"/>
    <w:rsid w:val="002265A3"/>
    <w:rsid w:val="002267CB"/>
    <w:rsid w:val="00226A06"/>
    <w:rsid w:val="00226B55"/>
    <w:rsid w:val="00226D10"/>
    <w:rsid w:val="002270D7"/>
    <w:rsid w:val="0022737A"/>
    <w:rsid w:val="00227569"/>
    <w:rsid w:val="00227B00"/>
    <w:rsid w:val="00227ED9"/>
    <w:rsid w:val="00230182"/>
    <w:rsid w:val="00230834"/>
    <w:rsid w:val="002308E6"/>
    <w:rsid w:val="00230D63"/>
    <w:rsid w:val="00231060"/>
    <w:rsid w:val="00231BAE"/>
    <w:rsid w:val="00231DA2"/>
    <w:rsid w:val="00232791"/>
    <w:rsid w:val="00232E8F"/>
    <w:rsid w:val="00232F0E"/>
    <w:rsid w:val="0023353D"/>
    <w:rsid w:val="00233DD9"/>
    <w:rsid w:val="0023418F"/>
    <w:rsid w:val="002346B7"/>
    <w:rsid w:val="0023489D"/>
    <w:rsid w:val="0023491D"/>
    <w:rsid w:val="00235347"/>
    <w:rsid w:val="0023582E"/>
    <w:rsid w:val="00235AA3"/>
    <w:rsid w:val="002361CD"/>
    <w:rsid w:val="00236291"/>
    <w:rsid w:val="00236B6E"/>
    <w:rsid w:val="00236CD5"/>
    <w:rsid w:val="00236FC9"/>
    <w:rsid w:val="00237134"/>
    <w:rsid w:val="00237500"/>
    <w:rsid w:val="0023754A"/>
    <w:rsid w:val="002378C7"/>
    <w:rsid w:val="00240059"/>
    <w:rsid w:val="002401BA"/>
    <w:rsid w:val="002402E5"/>
    <w:rsid w:val="00240D3D"/>
    <w:rsid w:val="00240F23"/>
    <w:rsid w:val="0024171B"/>
    <w:rsid w:val="00241882"/>
    <w:rsid w:val="0024195E"/>
    <w:rsid w:val="00241F98"/>
    <w:rsid w:val="0024208D"/>
    <w:rsid w:val="002420FD"/>
    <w:rsid w:val="0024212B"/>
    <w:rsid w:val="002429B5"/>
    <w:rsid w:val="002429BA"/>
    <w:rsid w:val="00242A13"/>
    <w:rsid w:val="00242DA1"/>
    <w:rsid w:val="002432B2"/>
    <w:rsid w:val="002438C6"/>
    <w:rsid w:val="002438D4"/>
    <w:rsid w:val="00243A0A"/>
    <w:rsid w:val="00243D8D"/>
    <w:rsid w:val="0024444A"/>
    <w:rsid w:val="0024472A"/>
    <w:rsid w:val="00244793"/>
    <w:rsid w:val="00244E52"/>
    <w:rsid w:val="00244F2F"/>
    <w:rsid w:val="0024503C"/>
    <w:rsid w:val="002453EC"/>
    <w:rsid w:val="00245849"/>
    <w:rsid w:val="00245A32"/>
    <w:rsid w:val="00245B69"/>
    <w:rsid w:val="00245EF3"/>
    <w:rsid w:val="00246031"/>
    <w:rsid w:val="00246445"/>
    <w:rsid w:val="00246996"/>
    <w:rsid w:val="0024752F"/>
    <w:rsid w:val="0024768E"/>
    <w:rsid w:val="00247DB9"/>
    <w:rsid w:val="002500DC"/>
    <w:rsid w:val="002503BD"/>
    <w:rsid w:val="0025075A"/>
    <w:rsid w:val="002508E1"/>
    <w:rsid w:val="002510E9"/>
    <w:rsid w:val="00251127"/>
    <w:rsid w:val="00251574"/>
    <w:rsid w:val="0025172C"/>
    <w:rsid w:val="00251744"/>
    <w:rsid w:val="00251BBD"/>
    <w:rsid w:val="00251E79"/>
    <w:rsid w:val="0025262B"/>
    <w:rsid w:val="00252686"/>
    <w:rsid w:val="002529A3"/>
    <w:rsid w:val="002529B8"/>
    <w:rsid w:val="00252A0A"/>
    <w:rsid w:val="00252C80"/>
    <w:rsid w:val="00252D2D"/>
    <w:rsid w:val="00252E91"/>
    <w:rsid w:val="0025323A"/>
    <w:rsid w:val="002546B3"/>
    <w:rsid w:val="00254A95"/>
    <w:rsid w:val="00254C41"/>
    <w:rsid w:val="00254DBE"/>
    <w:rsid w:val="00255104"/>
    <w:rsid w:val="002553F0"/>
    <w:rsid w:val="0025565E"/>
    <w:rsid w:val="00255DFE"/>
    <w:rsid w:val="00255F3F"/>
    <w:rsid w:val="00256387"/>
    <w:rsid w:val="00256ACB"/>
    <w:rsid w:val="002570AA"/>
    <w:rsid w:val="002570FB"/>
    <w:rsid w:val="00257925"/>
    <w:rsid w:val="0025798E"/>
    <w:rsid w:val="00257BAC"/>
    <w:rsid w:val="0026023B"/>
    <w:rsid w:val="00260297"/>
    <w:rsid w:val="002608E6"/>
    <w:rsid w:val="00260AAD"/>
    <w:rsid w:val="00260F7F"/>
    <w:rsid w:val="00261142"/>
    <w:rsid w:val="002616C3"/>
    <w:rsid w:val="00261760"/>
    <w:rsid w:val="00261B47"/>
    <w:rsid w:val="002624C6"/>
    <w:rsid w:val="002625D6"/>
    <w:rsid w:val="00262B96"/>
    <w:rsid w:val="00262D42"/>
    <w:rsid w:val="002632C2"/>
    <w:rsid w:val="002639CA"/>
    <w:rsid w:val="00263B4D"/>
    <w:rsid w:val="0026471A"/>
    <w:rsid w:val="0026483F"/>
    <w:rsid w:val="00264853"/>
    <w:rsid w:val="00264B7F"/>
    <w:rsid w:val="00265244"/>
    <w:rsid w:val="0026528C"/>
    <w:rsid w:val="00265597"/>
    <w:rsid w:val="002656F0"/>
    <w:rsid w:val="002658EF"/>
    <w:rsid w:val="00266592"/>
    <w:rsid w:val="00266E0F"/>
    <w:rsid w:val="00266E17"/>
    <w:rsid w:val="00267C2E"/>
    <w:rsid w:val="002705DE"/>
    <w:rsid w:val="00270A97"/>
    <w:rsid w:val="00270F04"/>
    <w:rsid w:val="00271066"/>
    <w:rsid w:val="002713DA"/>
    <w:rsid w:val="002716A3"/>
    <w:rsid w:val="002719CA"/>
    <w:rsid w:val="00271D67"/>
    <w:rsid w:val="00272684"/>
    <w:rsid w:val="0027284C"/>
    <w:rsid w:val="00272ACE"/>
    <w:rsid w:val="002732BC"/>
    <w:rsid w:val="002733A4"/>
    <w:rsid w:val="00273429"/>
    <w:rsid w:val="00273889"/>
    <w:rsid w:val="00273B76"/>
    <w:rsid w:val="00274877"/>
    <w:rsid w:val="00274C4A"/>
    <w:rsid w:val="00274DA3"/>
    <w:rsid w:val="002757D5"/>
    <w:rsid w:val="002757D8"/>
    <w:rsid w:val="002760B2"/>
    <w:rsid w:val="002762E3"/>
    <w:rsid w:val="00276A96"/>
    <w:rsid w:val="00276D67"/>
    <w:rsid w:val="00276E73"/>
    <w:rsid w:val="00277FEB"/>
    <w:rsid w:val="00280045"/>
    <w:rsid w:val="00280651"/>
    <w:rsid w:val="002808F1"/>
    <w:rsid w:val="0028097C"/>
    <w:rsid w:val="00280DA7"/>
    <w:rsid w:val="002815AD"/>
    <w:rsid w:val="00281790"/>
    <w:rsid w:val="002818F9"/>
    <w:rsid w:val="00281986"/>
    <w:rsid w:val="00281A03"/>
    <w:rsid w:val="00282502"/>
    <w:rsid w:val="0028263F"/>
    <w:rsid w:val="00282B5B"/>
    <w:rsid w:val="00283057"/>
    <w:rsid w:val="002836FD"/>
    <w:rsid w:val="0028386D"/>
    <w:rsid w:val="00283975"/>
    <w:rsid w:val="00283AEF"/>
    <w:rsid w:val="002848E3"/>
    <w:rsid w:val="002849CC"/>
    <w:rsid w:val="00284AA9"/>
    <w:rsid w:val="00284B9A"/>
    <w:rsid w:val="00284CA3"/>
    <w:rsid w:val="00285387"/>
    <w:rsid w:val="0028552D"/>
    <w:rsid w:val="002857ED"/>
    <w:rsid w:val="00285B41"/>
    <w:rsid w:val="00286078"/>
    <w:rsid w:val="00286159"/>
    <w:rsid w:val="002861F4"/>
    <w:rsid w:val="0028663A"/>
    <w:rsid w:val="00286934"/>
    <w:rsid w:val="00286CA4"/>
    <w:rsid w:val="00287113"/>
    <w:rsid w:val="0028728B"/>
    <w:rsid w:val="0028793E"/>
    <w:rsid w:val="00287E9D"/>
    <w:rsid w:val="002902DF"/>
    <w:rsid w:val="0029039D"/>
    <w:rsid w:val="00290630"/>
    <w:rsid w:val="00290FBE"/>
    <w:rsid w:val="002914B0"/>
    <w:rsid w:val="00291C87"/>
    <w:rsid w:val="00291E51"/>
    <w:rsid w:val="002922F7"/>
    <w:rsid w:val="00292545"/>
    <w:rsid w:val="00292859"/>
    <w:rsid w:val="00292BE1"/>
    <w:rsid w:val="00292CA5"/>
    <w:rsid w:val="00292DB2"/>
    <w:rsid w:val="00292DFD"/>
    <w:rsid w:val="00292E7E"/>
    <w:rsid w:val="00292EC8"/>
    <w:rsid w:val="002936FC"/>
    <w:rsid w:val="0029371A"/>
    <w:rsid w:val="00293746"/>
    <w:rsid w:val="00293A18"/>
    <w:rsid w:val="00294353"/>
    <w:rsid w:val="00294CF0"/>
    <w:rsid w:val="0029598E"/>
    <w:rsid w:val="002959DE"/>
    <w:rsid w:val="00295B43"/>
    <w:rsid w:val="00296956"/>
    <w:rsid w:val="00296D24"/>
    <w:rsid w:val="00296D9B"/>
    <w:rsid w:val="002970F6"/>
    <w:rsid w:val="002971B1"/>
    <w:rsid w:val="002972DE"/>
    <w:rsid w:val="00297724"/>
    <w:rsid w:val="00297D69"/>
    <w:rsid w:val="00297D7F"/>
    <w:rsid w:val="00297F12"/>
    <w:rsid w:val="002A0387"/>
    <w:rsid w:val="002A0528"/>
    <w:rsid w:val="002A0FC1"/>
    <w:rsid w:val="002A1615"/>
    <w:rsid w:val="002A1BBA"/>
    <w:rsid w:val="002A1DCD"/>
    <w:rsid w:val="002A1DE5"/>
    <w:rsid w:val="002A1E1A"/>
    <w:rsid w:val="002A1F70"/>
    <w:rsid w:val="002A1FD6"/>
    <w:rsid w:val="002A20C1"/>
    <w:rsid w:val="002A2232"/>
    <w:rsid w:val="002A22C2"/>
    <w:rsid w:val="002A29D8"/>
    <w:rsid w:val="002A327B"/>
    <w:rsid w:val="002A3464"/>
    <w:rsid w:val="002A3A6A"/>
    <w:rsid w:val="002A3D9F"/>
    <w:rsid w:val="002A44FE"/>
    <w:rsid w:val="002A4550"/>
    <w:rsid w:val="002A4613"/>
    <w:rsid w:val="002A4D42"/>
    <w:rsid w:val="002A4E3A"/>
    <w:rsid w:val="002A5387"/>
    <w:rsid w:val="002A58DC"/>
    <w:rsid w:val="002A6420"/>
    <w:rsid w:val="002A654D"/>
    <w:rsid w:val="002A6624"/>
    <w:rsid w:val="002A69F4"/>
    <w:rsid w:val="002A6B8D"/>
    <w:rsid w:val="002A6DC0"/>
    <w:rsid w:val="002A6FD1"/>
    <w:rsid w:val="002A76E0"/>
    <w:rsid w:val="002A79FA"/>
    <w:rsid w:val="002A7D96"/>
    <w:rsid w:val="002B0497"/>
    <w:rsid w:val="002B069C"/>
    <w:rsid w:val="002B0AE8"/>
    <w:rsid w:val="002B0BA3"/>
    <w:rsid w:val="002B0FDE"/>
    <w:rsid w:val="002B15F8"/>
    <w:rsid w:val="002B16CE"/>
    <w:rsid w:val="002B194F"/>
    <w:rsid w:val="002B19DE"/>
    <w:rsid w:val="002B1B30"/>
    <w:rsid w:val="002B203A"/>
    <w:rsid w:val="002B2572"/>
    <w:rsid w:val="002B35D2"/>
    <w:rsid w:val="002B3C04"/>
    <w:rsid w:val="002B3D40"/>
    <w:rsid w:val="002B3EBA"/>
    <w:rsid w:val="002B3FD9"/>
    <w:rsid w:val="002B4314"/>
    <w:rsid w:val="002B46CD"/>
    <w:rsid w:val="002B4D3B"/>
    <w:rsid w:val="002B5093"/>
    <w:rsid w:val="002B5946"/>
    <w:rsid w:val="002B59FB"/>
    <w:rsid w:val="002B5EC2"/>
    <w:rsid w:val="002B5EFF"/>
    <w:rsid w:val="002B60A2"/>
    <w:rsid w:val="002B61CC"/>
    <w:rsid w:val="002B62E2"/>
    <w:rsid w:val="002B661E"/>
    <w:rsid w:val="002B68AA"/>
    <w:rsid w:val="002B68D7"/>
    <w:rsid w:val="002B7154"/>
    <w:rsid w:val="002B75F1"/>
    <w:rsid w:val="002B763C"/>
    <w:rsid w:val="002B7A52"/>
    <w:rsid w:val="002B7A92"/>
    <w:rsid w:val="002C062E"/>
    <w:rsid w:val="002C092E"/>
    <w:rsid w:val="002C0EA5"/>
    <w:rsid w:val="002C1433"/>
    <w:rsid w:val="002C18DE"/>
    <w:rsid w:val="002C192C"/>
    <w:rsid w:val="002C19C0"/>
    <w:rsid w:val="002C1D2C"/>
    <w:rsid w:val="002C1EDF"/>
    <w:rsid w:val="002C216E"/>
    <w:rsid w:val="002C2730"/>
    <w:rsid w:val="002C29E5"/>
    <w:rsid w:val="002C3567"/>
    <w:rsid w:val="002C36D1"/>
    <w:rsid w:val="002C377A"/>
    <w:rsid w:val="002C3921"/>
    <w:rsid w:val="002C3BA0"/>
    <w:rsid w:val="002C413C"/>
    <w:rsid w:val="002C48B9"/>
    <w:rsid w:val="002C4B84"/>
    <w:rsid w:val="002C4CEF"/>
    <w:rsid w:val="002C4F26"/>
    <w:rsid w:val="002C4F73"/>
    <w:rsid w:val="002C52E4"/>
    <w:rsid w:val="002C5F13"/>
    <w:rsid w:val="002C6161"/>
    <w:rsid w:val="002C6633"/>
    <w:rsid w:val="002C6BA1"/>
    <w:rsid w:val="002C7176"/>
    <w:rsid w:val="002C7503"/>
    <w:rsid w:val="002C7797"/>
    <w:rsid w:val="002D0340"/>
    <w:rsid w:val="002D03D1"/>
    <w:rsid w:val="002D0587"/>
    <w:rsid w:val="002D05D4"/>
    <w:rsid w:val="002D071D"/>
    <w:rsid w:val="002D0C92"/>
    <w:rsid w:val="002D137F"/>
    <w:rsid w:val="002D1B65"/>
    <w:rsid w:val="002D1E23"/>
    <w:rsid w:val="002D2099"/>
    <w:rsid w:val="002D2D7C"/>
    <w:rsid w:val="002D2E70"/>
    <w:rsid w:val="002D3055"/>
    <w:rsid w:val="002D380A"/>
    <w:rsid w:val="002D3C84"/>
    <w:rsid w:val="002D42BA"/>
    <w:rsid w:val="002D4635"/>
    <w:rsid w:val="002D4D9D"/>
    <w:rsid w:val="002D57FC"/>
    <w:rsid w:val="002D59B1"/>
    <w:rsid w:val="002D5EA1"/>
    <w:rsid w:val="002D6084"/>
    <w:rsid w:val="002D6258"/>
    <w:rsid w:val="002D6A65"/>
    <w:rsid w:val="002D7B79"/>
    <w:rsid w:val="002D7E0D"/>
    <w:rsid w:val="002D7E46"/>
    <w:rsid w:val="002E06F4"/>
    <w:rsid w:val="002E0B88"/>
    <w:rsid w:val="002E0B9A"/>
    <w:rsid w:val="002E0BC5"/>
    <w:rsid w:val="002E0C03"/>
    <w:rsid w:val="002E1B0F"/>
    <w:rsid w:val="002E1BE0"/>
    <w:rsid w:val="002E1C59"/>
    <w:rsid w:val="002E2593"/>
    <w:rsid w:val="002E2FBC"/>
    <w:rsid w:val="002E3634"/>
    <w:rsid w:val="002E406C"/>
    <w:rsid w:val="002E4103"/>
    <w:rsid w:val="002E463B"/>
    <w:rsid w:val="002E496B"/>
    <w:rsid w:val="002E4CE2"/>
    <w:rsid w:val="002E565A"/>
    <w:rsid w:val="002E5B77"/>
    <w:rsid w:val="002E5D90"/>
    <w:rsid w:val="002E5E6B"/>
    <w:rsid w:val="002E630E"/>
    <w:rsid w:val="002E6411"/>
    <w:rsid w:val="002E6D98"/>
    <w:rsid w:val="002E70E8"/>
    <w:rsid w:val="002E719B"/>
    <w:rsid w:val="002E720C"/>
    <w:rsid w:val="002E72B3"/>
    <w:rsid w:val="002E734A"/>
    <w:rsid w:val="002E7379"/>
    <w:rsid w:val="002E77F0"/>
    <w:rsid w:val="002E7C7D"/>
    <w:rsid w:val="002F0309"/>
    <w:rsid w:val="002F0570"/>
    <w:rsid w:val="002F0DFC"/>
    <w:rsid w:val="002F1335"/>
    <w:rsid w:val="002F2678"/>
    <w:rsid w:val="002F2728"/>
    <w:rsid w:val="002F2C44"/>
    <w:rsid w:val="002F2F24"/>
    <w:rsid w:val="002F2FC8"/>
    <w:rsid w:val="002F3BA8"/>
    <w:rsid w:val="002F3EEB"/>
    <w:rsid w:val="002F3F3A"/>
    <w:rsid w:val="002F5E0D"/>
    <w:rsid w:val="002F6272"/>
    <w:rsid w:val="002F6429"/>
    <w:rsid w:val="002F651D"/>
    <w:rsid w:val="002F6C6F"/>
    <w:rsid w:val="002F6DEA"/>
    <w:rsid w:val="002F712F"/>
    <w:rsid w:val="002F71F3"/>
    <w:rsid w:val="002F79B9"/>
    <w:rsid w:val="002F7BE5"/>
    <w:rsid w:val="002F7D5D"/>
    <w:rsid w:val="003003BF"/>
    <w:rsid w:val="0030050D"/>
    <w:rsid w:val="003007BA"/>
    <w:rsid w:val="00300A1E"/>
    <w:rsid w:val="003010CD"/>
    <w:rsid w:val="00301386"/>
    <w:rsid w:val="003013AF"/>
    <w:rsid w:val="00301654"/>
    <w:rsid w:val="00301E14"/>
    <w:rsid w:val="00301E92"/>
    <w:rsid w:val="00301F12"/>
    <w:rsid w:val="003022C6"/>
    <w:rsid w:val="0030243C"/>
    <w:rsid w:val="00302447"/>
    <w:rsid w:val="00302BD1"/>
    <w:rsid w:val="00303514"/>
    <w:rsid w:val="003035CE"/>
    <w:rsid w:val="00303B92"/>
    <w:rsid w:val="00303F81"/>
    <w:rsid w:val="00303FB3"/>
    <w:rsid w:val="0030401B"/>
    <w:rsid w:val="003044F8"/>
    <w:rsid w:val="00304652"/>
    <w:rsid w:val="00304DED"/>
    <w:rsid w:val="00304E4C"/>
    <w:rsid w:val="003051F1"/>
    <w:rsid w:val="00305563"/>
    <w:rsid w:val="00305928"/>
    <w:rsid w:val="003061C3"/>
    <w:rsid w:val="00306795"/>
    <w:rsid w:val="00306B50"/>
    <w:rsid w:val="00306E5A"/>
    <w:rsid w:val="0030702C"/>
    <w:rsid w:val="00307079"/>
    <w:rsid w:val="003071C4"/>
    <w:rsid w:val="00307750"/>
    <w:rsid w:val="0030779A"/>
    <w:rsid w:val="003078DD"/>
    <w:rsid w:val="00307DD4"/>
    <w:rsid w:val="00310F59"/>
    <w:rsid w:val="003112B5"/>
    <w:rsid w:val="00311380"/>
    <w:rsid w:val="00311C09"/>
    <w:rsid w:val="00311F50"/>
    <w:rsid w:val="00312233"/>
    <w:rsid w:val="00312D4C"/>
    <w:rsid w:val="0031325E"/>
    <w:rsid w:val="003133BE"/>
    <w:rsid w:val="0031345B"/>
    <w:rsid w:val="00313781"/>
    <w:rsid w:val="00313DB1"/>
    <w:rsid w:val="00313F38"/>
    <w:rsid w:val="003144DC"/>
    <w:rsid w:val="00314511"/>
    <w:rsid w:val="0031488C"/>
    <w:rsid w:val="003151E7"/>
    <w:rsid w:val="003154EB"/>
    <w:rsid w:val="00315687"/>
    <w:rsid w:val="00315EC8"/>
    <w:rsid w:val="003162B8"/>
    <w:rsid w:val="003162E5"/>
    <w:rsid w:val="00316D38"/>
    <w:rsid w:val="00316D48"/>
    <w:rsid w:val="0031709B"/>
    <w:rsid w:val="003173D5"/>
    <w:rsid w:val="00317495"/>
    <w:rsid w:val="003176C2"/>
    <w:rsid w:val="003176FA"/>
    <w:rsid w:val="003177EE"/>
    <w:rsid w:val="00317807"/>
    <w:rsid w:val="003178B8"/>
    <w:rsid w:val="00317DF0"/>
    <w:rsid w:val="003204BF"/>
    <w:rsid w:val="0032080B"/>
    <w:rsid w:val="0032157C"/>
    <w:rsid w:val="0032190C"/>
    <w:rsid w:val="00321A20"/>
    <w:rsid w:val="00321C6A"/>
    <w:rsid w:val="00322C7F"/>
    <w:rsid w:val="00322E7C"/>
    <w:rsid w:val="00322FB2"/>
    <w:rsid w:val="00323893"/>
    <w:rsid w:val="00323A94"/>
    <w:rsid w:val="00323B50"/>
    <w:rsid w:val="00323BD4"/>
    <w:rsid w:val="00323F2A"/>
    <w:rsid w:val="00325017"/>
    <w:rsid w:val="003254C3"/>
    <w:rsid w:val="00325CAD"/>
    <w:rsid w:val="00325CC7"/>
    <w:rsid w:val="00326742"/>
    <w:rsid w:val="003269C2"/>
    <w:rsid w:val="00326B38"/>
    <w:rsid w:val="00326B7F"/>
    <w:rsid w:val="00326D55"/>
    <w:rsid w:val="00327160"/>
    <w:rsid w:val="003279E3"/>
    <w:rsid w:val="00327A0F"/>
    <w:rsid w:val="00327B4B"/>
    <w:rsid w:val="00330022"/>
    <w:rsid w:val="003303EB"/>
    <w:rsid w:val="00330960"/>
    <w:rsid w:val="00330C35"/>
    <w:rsid w:val="00330CAD"/>
    <w:rsid w:val="00330F79"/>
    <w:rsid w:val="00330F9D"/>
    <w:rsid w:val="00331408"/>
    <w:rsid w:val="0033151E"/>
    <w:rsid w:val="00332001"/>
    <w:rsid w:val="003327C5"/>
    <w:rsid w:val="00332817"/>
    <w:rsid w:val="00332A15"/>
    <w:rsid w:val="003338AA"/>
    <w:rsid w:val="0033401E"/>
    <w:rsid w:val="00334100"/>
    <w:rsid w:val="0033449A"/>
    <w:rsid w:val="003346EE"/>
    <w:rsid w:val="00334789"/>
    <w:rsid w:val="00334B6F"/>
    <w:rsid w:val="00334EBB"/>
    <w:rsid w:val="00335067"/>
    <w:rsid w:val="00335276"/>
    <w:rsid w:val="0033592A"/>
    <w:rsid w:val="00335948"/>
    <w:rsid w:val="00335E82"/>
    <w:rsid w:val="0033613E"/>
    <w:rsid w:val="00336167"/>
    <w:rsid w:val="003367E8"/>
    <w:rsid w:val="003370B6"/>
    <w:rsid w:val="00337A74"/>
    <w:rsid w:val="00337ADC"/>
    <w:rsid w:val="00337E23"/>
    <w:rsid w:val="0034026E"/>
    <w:rsid w:val="0034061E"/>
    <w:rsid w:val="00340EB8"/>
    <w:rsid w:val="00340ECF"/>
    <w:rsid w:val="00341514"/>
    <w:rsid w:val="00341537"/>
    <w:rsid w:val="00341541"/>
    <w:rsid w:val="003415BA"/>
    <w:rsid w:val="0034172A"/>
    <w:rsid w:val="003422D7"/>
    <w:rsid w:val="00342607"/>
    <w:rsid w:val="003428BD"/>
    <w:rsid w:val="003429FC"/>
    <w:rsid w:val="00342CB3"/>
    <w:rsid w:val="00342CDB"/>
    <w:rsid w:val="00342FDF"/>
    <w:rsid w:val="003435CA"/>
    <w:rsid w:val="00344097"/>
    <w:rsid w:val="003442E1"/>
    <w:rsid w:val="00344638"/>
    <w:rsid w:val="003449A1"/>
    <w:rsid w:val="00344CB1"/>
    <w:rsid w:val="00345044"/>
    <w:rsid w:val="003450EB"/>
    <w:rsid w:val="0034562E"/>
    <w:rsid w:val="00345837"/>
    <w:rsid w:val="0034585B"/>
    <w:rsid w:val="00345B45"/>
    <w:rsid w:val="00345CE7"/>
    <w:rsid w:val="00345D87"/>
    <w:rsid w:val="00346468"/>
    <w:rsid w:val="003465AA"/>
    <w:rsid w:val="00346A63"/>
    <w:rsid w:val="00346A8E"/>
    <w:rsid w:val="00346F0E"/>
    <w:rsid w:val="00346F76"/>
    <w:rsid w:val="00346FB3"/>
    <w:rsid w:val="003479A4"/>
    <w:rsid w:val="00347E07"/>
    <w:rsid w:val="00347E0F"/>
    <w:rsid w:val="00347E4E"/>
    <w:rsid w:val="00347EBA"/>
    <w:rsid w:val="00347F86"/>
    <w:rsid w:val="003501B5"/>
    <w:rsid w:val="0035078B"/>
    <w:rsid w:val="00350BA1"/>
    <w:rsid w:val="00350C65"/>
    <w:rsid w:val="00351535"/>
    <w:rsid w:val="0035168D"/>
    <w:rsid w:val="003516B8"/>
    <w:rsid w:val="00351805"/>
    <w:rsid w:val="00351DE5"/>
    <w:rsid w:val="00352272"/>
    <w:rsid w:val="003525FC"/>
    <w:rsid w:val="00352879"/>
    <w:rsid w:val="00352B62"/>
    <w:rsid w:val="00352EA7"/>
    <w:rsid w:val="0035322A"/>
    <w:rsid w:val="003533DA"/>
    <w:rsid w:val="003534E9"/>
    <w:rsid w:val="003535B6"/>
    <w:rsid w:val="00353724"/>
    <w:rsid w:val="00354349"/>
    <w:rsid w:val="0035445C"/>
    <w:rsid w:val="003544C1"/>
    <w:rsid w:val="00354CBA"/>
    <w:rsid w:val="00354D4F"/>
    <w:rsid w:val="0035509A"/>
    <w:rsid w:val="0035517F"/>
    <w:rsid w:val="00355E2B"/>
    <w:rsid w:val="00355E49"/>
    <w:rsid w:val="00355EE4"/>
    <w:rsid w:val="00355FD6"/>
    <w:rsid w:val="003565B6"/>
    <w:rsid w:val="00357735"/>
    <w:rsid w:val="0035777C"/>
    <w:rsid w:val="00357883"/>
    <w:rsid w:val="00357ED4"/>
    <w:rsid w:val="0036008C"/>
    <w:rsid w:val="00360715"/>
    <w:rsid w:val="00360B69"/>
    <w:rsid w:val="0036162F"/>
    <w:rsid w:val="0036197B"/>
    <w:rsid w:val="00361A58"/>
    <w:rsid w:val="00361CB1"/>
    <w:rsid w:val="0036252F"/>
    <w:rsid w:val="0036254C"/>
    <w:rsid w:val="00362757"/>
    <w:rsid w:val="00362AA2"/>
    <w:rsid w:val="003630D5"/>
    <w:rsid w:val="0036332E"/>
    <w:rsid w:val="00363D04"/>
    <w:rsid w:val="00363EDB"/>
    <w:rsid w:val="0036412C"/>
    <w:rsid w:val="00364537"/>
    <w:rsid w:val="00364A3D"/>
    <w:rsid w:val="003656F5"/>
    <w:rsid w:val="00365759"/>
    <w:rsid w:val="00365786"/>
    <w:rsid w:val="00365897"/>
    <w:rsid w:val="00365973"/>
    <w:rsid w:val="00365F2F"/>
    <w:rsid w:val="003664E8"/>
    <w:rsid w:val="0036674B"/>
    <w:rsid w:val="00366767"/>
    <w:rsid w:val="00366789"/>
    <w:rsid w:val="0036687E"/>
    <w:rsid w:val="00366C2C"/>
    <w:rsid w:val="00366D5C"/>
    <w:rsid w:val="00367664"/>
    <w:rsid w:val="003677A5"/>
    <w:rsid w:val="00367CF3"/>
    <w:rsid w:val="00367E60"/>
    <w:rsid w:val="0037021E"/>
    <w:rsid w:val="00370D3D"/>
    <w:rsid w:val="003712B2"/>
    <w:rsid w:val="00371570"/>
    <w:rsid w:val="00371F13"/>
    <w:rsid w:val="0037230D"/>
    <w:rsid w:val="0037249B"/>
    <w:rsid w:val="00372685"/>
    <w:rsid w:val="00372AF2"/>
    <w:rsid w:val="00372B86"/>
    <w:rsid w:val="00372DB8"/>
    <w:rsid w:val="0037305A"/>
    <w:rsid w:val="0037348A"/>
    <w:rsid w:val="003736E7"/>
    <w:rsid w:val="0037389D"/>
    <w:rsid w:val="00373C9B"/>
    <w:rsid w:val="0037484C"/>
    <w:rsid w:val="00374ABB"/>
    <w:rsid w:val="003751EC"/>
    <w:rsid w:val="00375E9A"/>
    <w:rsid w:val="003767F5"/>
    <w:rsid w:val="00376964"/>
    <w:rsid w:val="00376BB4"/>
    <w:rsid w:val="00377213"/>
    <w:rsid w:val="00377252"/>
    <w:rsid w:val="003775C3"/>
    <w:rsid w:val="0037783C"/>
    <w:rsid w:val="003778B6"/>
    <w:rsid w:val="00377918"/>
    <w:rsid w:val="00377AE9"/>
    <w:rsid w:val="00377B8A"/>
    <w:rsid w:val="00377E73"/>
    <w:rsid w:val="003801E3"/>
    <w:rsid w:val="0038099F"/>
    <w:rsid w:val="00380A49"/>
    <w:rsid w:val="00380DEE"/>
    <w:rsid w:val="00380ED0"/>
    <w:rsid w:val="00381432"/>
    <w:rsid w:val="003814CD"/>
    <w:rsid w:val="003815D1"/>
    <w:rsid w:val="00382280"/>
    <w:rsid w:val="00382320"/>
    <w:rsid w:val="0038233F"/>
    <w:rsid w:val="003823BA"/>
    <w:rsid w:val="00382407"/>
    <w:rsid w:val="00382425"/>
    <w:rsid w:val="003828D8"/>
    <w:rsid w:val="003838B5"/>
    <w:rsid w:val="00383ACA"/>
    <w:rsid w:val="00383E11"/>
    <w:rsid w:val="0038468A"/>
    <w:rsid w:val="00384D45"/>
    <w:rsid w:val="003850D5"/>
    <w:rsid w:val="003859D8"/>
    <w:rsid w:val="00386597"/>
    <w:rsid w:val="003865F8"/>
    <w:rsid w:val="00386D5A"/>
    <w:rsid w:val="003870BA"/>
    <w:rsid w:val="0038727A"/>
    <w:rsid w:val="00387CA4"/>
    <w:rsid w:val="00390207"/>
    <w:rsid w:val="003905C7"/>
    <w:rsid w:val="00390AC5"/>
    <w:rsid w:val="00390BB2"/>
    <w:rsid w:val="00390BD2"/>
    <w:rsid w:val="003911E3"/>
    <w:rsid w:val="00391A41"/>
    <w:rsid w:val="00391F67"/>
    <w:rsid w:val="00392569"/>
    <w:rsid w:val="00392765"/>
    <w:rsid w:val="003927A9"/>
    <w:rsid w:val="00392A70"/>
    <w:rsid w:val="00392BBC"/>
    <w:rsid w:val="00392E49"/>
    <w:rsid w:val="0039307F"/>
    <w:rsid w:val="00393391"/>
    <w:rsid w:val="003934F9"/>
    <w:rsid w:val="00393748"/>
    <w:rsid w:val="00393A0E"/>
    <w:rsid w:val="00393AC5"/>
    <w:rsid w:val="00393B7F"/>
    <w:rsid w:val="003948EE"/>
    <w:rsid w:val="003951EE"/>
    <w:rsid w:val="00395275"/>
    <w:rsid w:val="00395781"/>
    <w:rsid w:val="00395A6F"/>
    <w:rsid w:val="00395E77"/>
    <w:rsid w:val="00395EE4"/>
    <w:rsid w:val="00395EE7"/>
    <w:rsid w:val="00395F42"/>
    <w:rsid w:val="003961E4"/>
    <w:rsid w:val="00396227"/>
    <w:rsid w:val="00397DF2"/>
    <w:rsid w:val="003A02D2"/>
    <w:rsid w:val="003A0301"/>
    <w:rsid w:val="003A0A8F"/>
    <w:rsid w:val="003A0AEB"/>
    <w:rsid w:val="003A0D97"/>
    <w:rsid w:val="003A0EBE"/>
    <w:rsid w:val="003A0FB1"/>
    <w:rsid w:val="003A1223"/>
    <w:rsid w:val="003A13CC"/>
    <w:rsid w:val="003A1698"/>
    <w:rsid w:val="003A18C9"/>
    <w:rsid w:val="003A1CDE"/>
    <w:rsid w:val="003A1E6C"/>
    <w:rsid w:val="003A223F"/>
    <w:rsid w:val="003A24DC"/>
    <w:rsid w:val="003A2657"/>
    <w:rsid w:val="003A29CE"/>
    <w:rsid w:val="003A2B09"/>
    <w:rsid w:val="003A2B63"/>
    <w:rsid w:val="003A2D0A"/>
    <w:rsid w:val="003A2D6F"/>
    <w:rsid w:val="003A2E6B"/>
    <w:rsid w:val="003A2EB0"/>
    <w:rsid w:val="003A2F2D"/>
    <w:rsid w:val="003A31EC"/>
    <w:rsid w:val="003A32B9"/>
    <w:rsid w:val="003A36B5"/>
    <w:rsid w:val="003A3BF4"/>
    <w:rsid w:val="003A3D61"/>
    <w:rsid w:val="003A3DDF"/>
    <w:rsid w:val="003A44A0"/>
    <w:rsid w:val="003A4897"/>
    <w:rsid w:val="003A4A36"/>
    <w:rsid w:val="003A4EB4"/>
    <w:rsid w:val="003A50A5"/>
    <w:rsid w:val="003A5228"/>
    <w:rsid w:val="003A5728"/>
    <w:rsid w:val="003A5B8E"/>
    <w:rsid w:val="003A5D83"/>
    <w:rsid w:val="003A5EF2"/>
    <w:rsid w:val="003A60FA"/>
    <w:rsid w:val="003A6112"/>
    <w:rsid w:val="003A627D"/>
    <w:rsid w:val="003A6424"/>
    <w:rsid w:val="003A6C1A"/>
    <w:rsid w:val="003A6F9E"/>
    <w:rsid w:val="003A7374"/>
    <w:rsid w:val="003A7559"/>
    <w:rsid w:val="003B0570"/>
    <w:rsid w:val="003B06DC"/>
    <w:rsid w:val="003B0746"/>
    <w:rsid w:val="003B0C3A"/>
    <w:rsid w:val="003B1268"/>
    <w:rsid w:val="003B13B4"/>
    <w:rsid w:val="003B16F9"/>
    <w:rsid w:val="003B18C7"/>
    <w:rsid w:val="003B217A"/>
    <w:rsid w:val="003B28FB"/>
    <w:rsid w:val="003B2BC2"/>
    <w:rsid w:val="003B2F14"/>
    <w:rsid w:val="003B386B"/>
    <w:rsid w:val="003B3968"/>
    <w:rsid w:val="003B39E9"/>
    <w:rsid w:val="003B3B6E"/>
    <w:rsid w:val="003B4173"/>
    <w:rsid w:val="003B449A"/>
    <w:rsid w:val="003B45CF"/>
    <w:rsid w:val="003B4659"/>
    <w:rsid w:val="003B4731"/>
    <w:rsid w:val="003B4B7A"/>
    <w:rsid w:val="003B4E62"/>
    <w:rsid w:val="003B53AA"/>
    <w:rsid w:val="003B5A94"/>
    <w:rsid w:val="003B5D41"/>
    <w:rsid w:val="003B60C0"/>
    <w:rsid w:val="003B6147"/>
    <w:rsid w:val="003B63A9"/>
    <w:rsid w:val="003B6E6F"/>
    <w:rsid w:val="003B7226"/>
    <w:rsid w:val="003B7A44"/>
    <w:rsid w:val="003B7D97"/>
    <w:rsid w:val="003C0E23"/>
    <w:rsid w:val="003C1026"/>
    <w:rsid w:val="003C1503"/>
    <w:rsid w:val="003C179A"/>
    <w:rsid w:val="003C1B25"/>
    <w:rsid w:val="003C1C1B"/>
    <w:rsid w:val="003C1C3E"/>
    <w:rsid w:val="003C1C9B"/>
    <w:rsid w:val="003C1D4B"/>
    <w:rsid w:val="003C2318"/>
    <w:rsid w:val="003C294D"/>
    <w:rsid w:val="003C2B10"/>
    <w:rsid w:val="003C2E20"/>
    <w:rsid w:val="003C30BB"/>
    <w:rsid w:val="003C338E"/>
    <w:rsid w:val="003C3E5A"/>
    <w:rsid w:val="003C4290"/>
    <w:rsid w:val="003C48A7"/>
    <w:rsid w:val="003C4BF8"/>
    <w:rsid w:val="003C4D48"/>
    <w:rsid w:val="003C4E34"/>
    <w:rsid w:val="003C508E"/>
    <w:rsid w:val="003C51EC"/>
    <w:rsid w:val="003C537F"/>
    <w:rsid w:val="003C551E"/>
    <w:rsid w:val="003C58B9"/>
    <w:rsid w:val="003C5982"/>
    <w:rsid w:val="003C5F95"/>
    <w:rsid w:val="003C6042"/>
    <w:rsid w:val="003C6C3D"/>
    <w:rsid w:val="003C70FF"/>
    <w:rsid w:val="003C71C5"/>
    <w:rsid w:val="003C72EC"/>
    <w:rsid w:val="003C7379"/>
    <w:rsid w:val="003C74B3"/>
    <w:rsid w:val="003C75AC"/>
    <w:rsid w:val="003C77A4"/>
    <w:rsid w:val="003C78F1"/>
    <w:rsid w:val="003C7A1F"/>
    <w:rsid w:val="003D009C"/>
    <w:rsid w:val="003D0134"/>
    <w:rsid w:val="003D0465"/>
    <w:rsid w:val="003D0D4F"/>
    <w:rsid w:val="003D119B"/>
    <w:rsid w:val="003D152A"/>
    <w:rsid w:val="003D1939"/>
    <w:rsid w:val="003D1D5C"/>
    <w:rsid w:val="003D1DE5"/>
    <w:rsid w:val="003D1DEF"/>
    <w:rsid w:val="003D2894"/>
    <w:rsid w:val="003D2B12"/>
    <w:rsid w:val="003D2C57"/>
    <w:rsid w:val="003D3216"/>
    <w:rsid w:val="003D34D1"/>
    <w:rsid w:val="003D35B4"/>
    <w:rsid w:val="003D3687"/>
    <w:rsid w:val="003D4350"/>
    <w:rsid w:val="003D48D8"/>
    <w:rsid w:val="003D4980"/>
    <w:rsid w:val="003D4A70"/>
    <w:rsid w:val="003D5543"/>
    <w:rsid w:val="003D56F8"/>
    <w:rsid w:val="003D5719"/>
    <w:rsid w:val="003D57E8"/>
    <w:rsid w:val="003D59D5"/>
    <w:rsid w:val="003D5B71"/>
    <w:rsid w:val="003D6411"/>
    <w:rsid w:val="003D6517"/>
    <w:rsid w:val="003D65DD"/>
    <w:rsid w:val="003D69CE"/>
    <w:rsid w:val="003D6F83"/>
    <w:rsid w:val="003D7609"/>
    <w:rsid w:val="003D76BE"/>
    <w:rsid w:val="003D7863"/>
    <w:rsid w:val="003D7957"/>
    <w:rsid w:val="003D7C4E"/>
    <w:rsid w:val="003E0346"/>
    <w:rsid w:val="003E0437"/>
    <w:rsid w:val="003E055D"/>
    <w:rsid w:val="003E07EC"/>
    <w:rsid w:val="003E100B"/>
    <w:rsid w:val="003E1015"/>
    <w:rsid w:val="003E1798"/>
    <w:rsid w:val="003E1A42"/>
    <w:rsid w:val="003E1F01"/>
    <w:rsid w:val="003E1F9B"/>
    <w:rsid w:val="003E27DF"/>
    <w:rsid w:val="003E2877"/>
    <w:rsid w:val="003E2DCA"/>
    <w:rsid w:val="003E2E1A"/>
    <w:rsid w:val="003E2E52"/>
    <w:rsid w:val="003E2F21"/>
    <w:rsid w:val="003E3078"/>
    <w:rsid w:val="003E30D5"/>
    <w:rsid w:val="003E35F6"/>
    <w:rsid w:val="003E37FC"/>
    <w:rsid w:val="003E3917"/>
    <w:rsid w:val="003E3B87"/>
    <w:rsid w:val="003E3BBE"/>
    <w:rsid w:val="003E3DD4"/>
    <w:rsid w:val="003E4156"/>
    <w:rsid w:val="003E4293"/>
    <w:rsid w:val="003E4B1A"/>
    <w:rsid w:val="003E4DCD"/>
    <w:rsid w:val="003E4FC2"/>
    <w:rsid w:val="003E5114"/>
    <w:rsid w:val="003E51E2"/>
    <w:rsid w:val="003E53C0"/>
    <w:rsid w:val="003E55F5"/>
    <w:rsid w:val="003E567C"/>
    <w:rsid w:val="003E5744"/>
    <w:rsid w:val="003E5A02"/>
    <w:rsid w:val="003E60EE"/>
    <w:rsid w:val="003E612A"/>
    <w:rsid w:val="003E6712"/>
    <w:rsid w:val="003E69CA"/>
    <w:rsid w:val="003E69E7"/>
    <w:rsid w:val="003E6AAF"/>
    <w:rsid w:val="003E703D"/>
    <w:rsid w:val="003E7345"/>
    <w:rsid w:val="003E784C"/>
    <w:rsid w:val="003F15CC"/>
    <w:rsid w:val="003F1B39"/>
    <w:rsid w:val="003F1B42"/>
    <w:rsid w:val="003F2B99"/>
    <w:rsid w:val="003F2E22"/>
    <w:rsid w:val="003F2E63"/>
    <w:rsid w:val="003F2F52"/>
    <w:rsid w:val="003F3164"/>
    <w:rsid w:val="003F4028"/>
    <w:rsid w:val="003F402A"/>
    <w:rsid w:val="003F44BA"/>
    <w:rsid w:val="003F45B0"/>
    <w:rsid w:val="003F51F2"/>
    <w:rsid w:val="003F6124"/>
    <w:rsid w:val="003F6369"/>
    <w:rsid w:val="003F6421"/>
    <w:rsid w:val="003F6C46"/>
    <w:rsid w:val="003F6DFC"/>
    <w:rsid w:val="003F744B"/>
    <w:rsid w:val="004001CF"/>
    <w:rsid w:val="00400686"/>
    <w:rsid w:val="004009BB"/>
    <w:rsid w:val="00400D26"/>
    <w:rsid w:val="00400F9F"/>
    <w:rsid w:val="0040123D"/>
    <w:rsid w:val="00401E37"/>
    <w:rsid w:val="00401F2E"/>
    <w:rsid w:val="00402462"/>
    <w:rsid w:val="004029B8"/>
    <w:rsid w:val="00402A45"/>
    <w:rsid w:val="00402AA3"/>
    <w:rsid w:val="00402D4E"/>
    <w:rsid w:val="00403D4F"/>
    <w:rsid w:val="0040420B"/>
    <w:rsid w:val="0040459F"/>
    <w:rsid w:val="00404C0F"/>
    <w:rsid w:val="00404CC5"/>
    <w:rsid w:val="00405B6F"/>
    <w:rsid w:val="004062D3"/>
    <w:rsid w:val="00406380"/>
    <w:rsid w:val="004068E6"/>
    <w:rsid w:val="00406929"/>
    <w:rsid w:val="00406BB7"/>
    <w:rsid w:val="00406F1D"/>
    <w:rsid w:val="004075E8"/>
    <w:rsid w:val="00410502"/>
    <w:rsid w:val="0041055B"/>
    <w:rsid w:val="0041061D"/>
    <w:rsid w:val="00410A84"/>
    <w:rsid w:val="004111DE"/>
    <w:rsid w:val="004112DA"/>
    <w:rsid w:val="0041142E"/>
    <w:rsid w:val="004116DE"/>
    <w:rsid w:val="00411BA6"/>
    <w:rsid w:val="00411C67"/>
    <w:rsid w:val="00412009"/>
    <w:rsid w:val="004126DA"/>
    <w:rsid w:val="00412BBB"/>
    <w:rsid w:val="00412BDC"/>
    <w:rsid w:val="00412CB2"/>
    <w:rsid w:val="00412FB3"/>
    <w:rsid w:val="0041358B"/>
    <w:rsid w:val="0041397D"/>
    <w:rsid w:val="004143D2"/>
    <w:rsid w:val="00414517"/>
    <w:rsid w:val="004148A5"/>
    <w:rsid w:val="00414969"/>
    <w:rsid w:val="00414976"/>
    <w:rsid w:val="00414D13"/>
    <w:rsid w:val="00414DA4"/>
    <w:rsid w:val="00414F0C"/>
    <w:rsid w:val="00414FD8"/>
    <w:rsid w:val="00414FF0"/>
    <w:rsid w:val="0041554F"/>
    <w:rsid w:val="00415617"/>
    <w:rsid w:val="00415753"/>
    <w:rsid w:val="00415A0F"/>
    <w:rsid w:val="004160B2"/>
    <w:rsid w:val="0041646A"/>
    <w:rsid w:val="00416479"/>
    <w:rsid w:val="0041652D"/>
    <w:rsid w:val="00416A4C"/>
    <w:rsid w:val="00416ECA"/>
    <w:rsid w:val="00417BDF"/>
    <w:rsid w:val="00417D1B"/>
    <w:rsid w:val="00420004"/>
    <w:rsid w:val="004200D5"/>
    <w:rsid w:val="00420436"/>
    <w:rsid w:val="004209B7"/>
    <w:rsid w:val="00420B7F"/>
    <w:rsid w:val="0042130B"/>
    <w:rsid w:val="004219A3"/>
    <w:rsid w:val="00421A94"/>
    <w:rsid w:val="00421B7C"/>
    <w:rsid w:val="00421EF8"/>
    <w:rsid w:val="00422116"/>
    <w:rsid w:val="00422239"/>
    <w:rsid w:val="00422241"/>
    <w:rsid w:val="0042237C"/>
    <w:rsid w:val="00422541"/>
    <w:rsid w:val="004225E5"/>
    <w:rsid w:val="00422756"/>
    <w:rsid w:val="00422B95"/>
    <w:rsid w:val="00422CBB"/>
    <w:rsid w:val="004239F3"/>
    <w:rsid w:val="00424067"/>
    <w:rsid w:val="0042465F"/>
    <w:rsid w:val="00424807"/>
    <w:rsid w:val="0042498E"/>
    <w:rsid w:val="004249C8"/>
    <w:rsid w:val="00424BDA"/>
    <w:rsid w:val="00424F8A"/>
    <w:rsid w:val="004251B9"/>
    <w:rsid w:val="00425312"/>
    <w:rsid w:val="004254CD"/>
    <w:rsid w:val="004255A7"/>
    <w:rsid w:val="004258CB"/>
    <w:rsid w:val="0042596D"/>
    <w:rsid w:val="00426000"/>
    <w:rsid w:val="00426028"/>
    <w:rsid w:val="00426294"/>
    <w:rsid w:val="0042661D"/>
    <w:rsid w:val="00426C1F"/>
    <w:rsid w:val="00426C73"/>
    <w:rsid w:val="00427440"/>
    <w:rsid w:val="004276A0"/>
    <w:rsid w:val="00427D57"/>
    <w:rsid w:val="0043055C"/>
    <w:rsid w:val="004306DC"/>
    <w:rsid w:val="00430798"/>
    <w:rsid w:val="004309E0"/>
    <w:rsid w:val="00430EB9"/>
    <w:rsid w:val="00430EDF"/>
    <w:rsid w:val="004312C9"/>
    <w:rsid w:val="00431414"/>
    <w:rsid w:val="004316DF"/>
    <w:rsid w:val="00431773"/>
    <w:rsid w:val="00431E34"/>
    <w:rsid w:val="00432294"/>
    <w:rsid w:val="00432517"/>
    <w:rsid w:val="0043286E"/>
    <w:rsid w:val="00432C2A"/>
    <w:rsid w:val="00432DB0"/>
    <w:rsid w:val="00432DC4"/>
    <w:rsid w:val="00432F46"/>
    <w:rsid w:val="00433295"/>
    <w:rsid w:val="004338F8"/>
    <w:rsid w:val="00433921"/>
    <w:rsid w:val="00433B8A"/>
    <w:rsid w:val="00433BCA"/>
    <w:rsid w:val="00433D26"/>
    <w:rsid w:val="004349E3"/>
    <w:rsid w:val="00434AA0"/>
    <w:rsid w:val="00434D04"/>
    <w:rsid w:val="004352FE"/>
    <w:rsid w:val="00435363"/>
    <w:rsid w:val="00435569"/>
    <w:rsid w:val="0043556F"/>
    <w:rsid w:val="00436591"/>
    <w:rsid w:val="00436801"/>
    <w:rsid w:val="00436D1E"/>
    <w:rsid w:val="00436DD4"/>
    <w:rsid w:val="0043721A"/>
    <w:rsid w:val="00437860"/>
    <w:rsid w:val="00437D4D"/>
    <w:rsid w:val="00437DD9"/>
    <w:rsid w:val="00437E5C"/>
    <w:rsid w:val="0044053F"/>
    <w:rsid w:val="00440568"/>
    <w:rsid w:val="00440BD8"/>
    <w:rsid w:val="00440C3A"/>
    <w:rsid w:val="00440E30"/>
    <w:rsid w:val="0044101B"/>
    <w:rsid w:val="00441170"/>
    <w:rsid w:val="004413C1"/>
    <w:rsid w:val="00441979"/>
    <w:rsid w:val="00441D0B"/>
    <w:rsid w:val="0044222E"/>
    <w:rsid w:val="004427B3"/>
    <w:rsid w:val="004427E2"/>
    <w:rsid w:val="00442881"/>
    <w:rsid w:val="00442C31"/>
    <w:rsid w:val="0044358F"/>
    <w:rsid w:val="00443838"/>
    <w:rsid w:val="00443843"/>
    <w:rsid w:val="00443895"/>
    <w:rsid w:val="004438E8"/>
    <w:rsid w:val="00443C4B"/>
    <w:rsid w:val="00443D87"/>
    <w:rsid w:val="004446AC"/>
    <w:rsid w:val="00444C8A"/>
    <w:rsid w:val="00444CAC"/>
    <w:rsid w:val="0044506E"/>
    <w:rsid w:val="00445352"/>
    <w:rsid w:val="004453A0"/>
    <w:rsid w:val="00445C66"/>
    <w:rsid w:val="00445C7B"/>
    <w:rsid w:val="00445DD0"/>
    <w:rsid w:val="00445E59"/>
    <w:rsid w:val="0044640C"/>
    <w:rsid w:val="004465EE"/>
    <w:rsid w:val="004467EA"/>
    <w:rsid w:val="00446A3C"/>
    <w:rsid w:val="00446E45"/>
    <w:rsid w:val="0044721F"/>
    <w:rsid w:val="0044792D"/>
    <w:rsid w:val="00447C10"/>
    <w:rsid w:val="00447D0E"/>
    <w:rsid w:val="00447DAA"/>
    <w:rsid w:val="00447F8F"/>
    <w:rsid w:val="004500E8"/>
    <w:rsid w:val="00450A76"/>
    <w:rsid w:val="00450F9B"/>
    <w:rsid w:val="00451284"/>
    <w:rsid w:val="00451746"/>
    <w:rsid w:val="00451809"/>
    <w:rsid w:val="0045181E"/>
    <w:rsid w:val="00451F7F"/>
    <w:rsid w:val="004522E5"/>
    <w:rsid w:val="00452456"/>
    <w:rsid w:val="00452547"/>
    <w:rsid w:val="004526FF"/>
    <w:rsid w:val="00452967"/>
    <w:rsid w:val="00452D21"/>
    <w:rsid w:val="00452DB9"/>
    <w:rsid w:val="00452DD5"/>
    <w:rsid w:val="0045306D"/>
    <w:rsid w:val="0045318F"/>
    <w:rsid w:val="0045364F"/>
    <w:rsid w:val="004539FF"/>
    <w:rsid w:val="00454AA4"/>
    <w:rsid w:val="00454DFA"/>
    <w:rsid w:val="004554FE"/>
    <w:rsid w:val="0045562E"/>
    <w:rsid w:val="0045592B"/>
    <w:rsid w:val="0045595A"/>
    <w:rsid w:val="00455A14"/>
    <w:rsid w:val="00455F67"/>
    <w:rsid w:val="004560B5"/>
    <w:rsid w:val="004565CC"/>
    <w:rsid w:val="0045663C"/>
    <w:rsid w:val="00456993"/>
    <w:rsid w:val="00456A74"/>
    <w:rsid w:val="00456AB4"/>
    <w:rsid w:val="00456FE1"/>
    <w:rsid w:val="0045740E"/>
    <w:rsid w:val="00457435"/>
    <w:rsid w:val="00457656"/>
    <w:rsid w:val="00457697"/>
    <w:rsid w:val="0046048B"/>
    <w:rsid w:val="00460713"/>
    <w:rsid w:val="00460BD2"/>
    <w:rsid w:val="00460D15"/>
    <w:rsid w:val="00460DB3"/>
    <w:rsid w:val="00460FE1"/>
    <w:rsid w:val="0046109A"/>
    <w:rsid w:val="004610F7"/>
    <w:rsid w:val="004611DC"/>
    <w:rsid w:val="00461217"/>
    <w:rsid w:val="00461292"/>
    <w:rsid w:val="00461321"/>
    <w:rsid w:val="0046150F"/>
    <w:rsid w:val="00461A21"/>
    <w:rsid w:val="00461B3E"/>
    <w:rsid w:val="00461BA9"/>
    <w:rsid w:val="004622EC"/>
    <w:rsid w:val="00462371"/>
    <w:rsid w:val="00462492"/>
    <w:rsid w:val="00462860"/>
    <w:rsid w:val="00463214"/>
    <w:rsid w:val="004637B8"/>
    <w:rsid w:val="00463F5C"/>
    <w:rsid w:val="00464089"/>
    <w:rsid w:val="00464168"/>
    <w:rsid w:val="004642DA"/>
    <w:rsid w:val="00464501"/>
    <w:rsid w:val="00464660"/>
    <w:rsid w:val="00464E6C"/>
    <w:rsid w:val="0046540C"/>
    <w:rsid w:val="0046554B"/>
    <w:rsid w:val="0046587C"/>
    <w:rsid w:val="00466165"/>
    <w:rsid w:val="00466A3E"/>
    <w:rsid w:val="00466D09"/>
    <w:rsid w:val="004672DF"/>
    <w:rsid w:val="004677CB"/>
    <w:rsid w:val="00467A89"/>
    <w:rsid w:val="00467DAF"/>
    <w:rsid w:val="004701C3"/>
    <w:rsid w:val="0047035A"/>
    <w:rsid w:val="004703BC"/>
    <w:rsid w:val="004703EE"/>
    <w:rsid w:val="00470D82"/>
    <w:rsid w:val="00470F48"/>
    <w:rsid w:val="0047128D"/>
    <w:rsid w:val="00471B68"/>
    <w:rsid w:val="00471D03"/>
    <w:rsid w:val="00471F7A"/>
    <w:rsid w:val="0047298B"/>
    <w:rsid w:val="00472F9C"/>
    <w:rsid w:val="00473200"/>
    <w:rsid w:val="004733AD"/>
    <w:rsid w:val="0047343C"/>
    <w:rsid w:val="00473537"/>
    <w:rsid w:val="00473AB3"/>
    <w:rsid w:val="00474070"/>
    <w:rsid w:val="00474193"/>
    <w:rsid w:val="004748BA"/>
    <w:rsid w:val="004751C1"/>
    <w:rsid w:val="00475DB9"/>
    <w:rsid w:val="0047626A"/>
    <w:rsid w:val="0047632F"/>
    <w:rsid w:val="00476621"/>
    <w:rsid w:val="00476796"/>
    <w:rsid w:val="00476E3F"/>
    <w:rsid w:val="0047708C"/>
    <w:rsid w:val="00477272"/>
    <w:rsid w:val="00477516"/>
    <w:rsid w:val="00477674"/>
    <w:rsid w:val="004801C6"/>
    <w:rsid w:val="00480237"/>
    <w:rsid w:val="00480512"/>
    <w:rsid w:val="004808BD"/>
    <w:rsid w:val="00480D7E"/>
    <w:rsid w:val="00481006"/>
    <w:rsid w:val="004810DC"/>
    <w:rsid w:val="0048127C"/>
    <w:rsid w:val="00481416"/>
    <w:rsid w:val="004817F6"/>
    <w:rsid w:val="00481866"/>
    <w:rsid w:val="00481A76"/>
    <w:rsid w:val="00482108"/>
    <w:rsid w:val="0048227C"/>
    <w:rsid w:val="0048234D"/>
    <w:rsid w:val="00482D88"/>
    <w:rsid w:val="00483839"/>
    <w:rsid w:val="00483C1D"/>
    <w:rsid w:val="0048413B"/>
    <w:rsid w:val="00484B71"/>
    <w:rsid w:val="00484DE0"/>
    <w:rsid w:val="00485506"/>
    <w:rsid w:val="004856EE"/>
    <w:rsid w:val="004857A1"/>
    <w:rsid w:val="00485ABB"/>
    <w:rsid w:val="00485C06"/>
    <w:rsid w:val="00485C4D"/>
    <w:rsid w:val="0048605E"/>
    <w:rsid w:val="0048668A"/>
    <w:rsid w:val="004867F1"/>
    <w:rsid w:val="0048690F"/>
    <w:rsid w:val="00486B8E"/>
    <w:rsid w:val="00487AFA"/>
    <w:rsid w:val="0049021D"/>
    <w:rsid w:val="0049024A"/>
    <w:rsid w:val="004902BE"/>
    <w:rsid w:val="00490489"/>
    <w:rsid w:val="00490811"/>
    <w:rsid w:val="00490968"/>
    <w:rsid w:val="00490E31"/>
    <w:rsid w:val="0049125E"/>
    <w:rsid w:val="004914C6"/>
    <w:rsid w:val="00491853"/>
    <w:rsid w:val="00491BD6"/>
    <w:rsid w:val="00491F59"/>
    <w:rsid w:val="004922A5"/>
    <w:rsid w:val="0049270E"/>
    <w:rsid w:val="00492A26"/>
    <w:rsid w:val="004931E3"/>
    <w:rsid w:val="004933F6"/>
    <w:rsid w:val="0049374A"/>
    <w:rsid w:val="00493770"/>
    <w:rsid w:val="004939E8"/>
    <w:rsid w:val="00493AA4"/>
    <w:rsid w:val="0049431E"/>
    <w:rsid w:val="0049439C"/>
    <w:rsid w:val="004945B8"/>
    <w:rsid w:val="00494A8B"/>
    <w:rsid w:val="00494B9D"/>
    <w:rsid w:val="00494C5A"/>
    <w:rsid w:val="00494F0D"/>
    <w:rsid w:val="004951A0"/>
    <w:rsid w:val="0049546F"/>
    <w:rsid w:val="00495735"/>
    <w:rsid w:val="0049577D"/>
    <w:rsid w:val="00495B65"/>
    <w:rsid w:val="00495ECB"/>
    <w:rsid w:val="00496038"/>
    <w:rsid w:val="0049614C"/>
    <w:rsid w:val="00496D81"/>
    <w:rsid w:val="00497262"/>
    <w:rsid w:val="00497BF2"/>
    <w:rsid w:val="00497D27"/>
    <w:rsid w:val="00497E1C"/>
    <w:rsid w:val="004A06EA"/>
    <w:rsid w:val="004A0B26"/>
    <w:rsid w:val="004A0B64"/>
    <w:rsid w:val="004A0D24"/>
    <w:rsid w:val="004A0F42"/>
    <w:rsid w:val="004A13C7"/>
    <w:rsid w:val="004A153E"/>
    <w:rsid w:val="004A1BB5"/>
    <w:rsid w:val="004A1D8E"/>
    <w:rsid w:val="004A1F81"/>
    <w:rsid w:val="004A1FB0"/>
    <w:rsid w:val="004A2710"/>
    <w:rsid w:val="004A279E"/>
    <w:rsid w:val="004A27E7"/>
    <w:rsid w:val="004A28ED"/>
    <w:rsid w:val="004A37DB"/>
    <w:rsid w:val="004A3859"/>
    <w:rsid w:val="004A3A8D"/>
    <w:rsid w:val="004A3C66"/>
    <w:rsid w:val="004A3E4A"/>
    <w:rsid w:val="004A4960"/>
    <w:rsid w:val="004A4B8A"/>
    <w:rsid w:val="004A4CD6"/>
    <w:rsid w:val="004A4CE1"/>
    <w:rsid w:val="004A4DF9"/>
    <w:rsid w:val="004A4E66"/>
    <w:rsid w:val="004A5329"/>
    <w:rsid w:val="004A6294"/>
    <w:rsid w:val="004A6DA5"/>
    <w:rsid w:val="004A6E6D"/>
    <w:rsid w:val="004A755A"/>
    <w:rsid w:val="004A7E0E"/>
    <w:rsid w:val="004A7FE8"/>
    <w:rsid w:val="004B08CD"/>
    <w:rsid w:val="004B0A24"/>
    <w:rsid w:val="004B0A73"/>
    <w:rsid w:val="004B0B0D"/>
    <w:rsid w:val="004B0E56"/>
    <w:rsid w:val="004B1253"/>
    <w:rsid w:val="004B15A7"/>
    <w:rsid w:val="004B1B85"/>
    <w:rsid w:val="004B1CE1"/>
    <w:rsid w:val="004B2150"/>
    <w:rsid w:val="004B2DC7"/>
    <w:rsid w:val="004B2FBA"/>
    <w:rsid w:val="004B337D"/>
    <w:rsid w:val="004B3816"/>
    <w:rsid w:val="004B3ADB"/>
    <w:rsid w:val="004B3B03"/>
    <w:rsid w:val="004B46CA"/>
    <w:rsid w:val="004B498A"/>
    <w:rsid w:val="004B4C94"/>
    <w:rsid w:val="004B5005"/>
    <w:rsid w:val="004B5188"/>
    <w:rsid w:val="004B5A74"/>
    <w:rsid w:val="004B5E8B"/>
    <w:rsid w:val="004B5F3D"/>
    <w:rsid w:val="004B6292"/>
    <w:rsid w:val="004B647A"/>
    <w:rsid w:val="004B6670"/>
    <w:rsid w:val="004B6C4F"/>
    <w:rsid w:val="004B702B"/>
    <w:rsid w:val="004B70AE"/>
    <w:rsid w:val="004B775E"/>
    <w:rsid w:val="004B7B42"/>
    <w:rsid w:val="004B7BD5"/>
    <w:rsid w:val="004C019B"/>
    <w:rsid w:val="004C065C"/>
    <w:rsid w:val="004C0A1E"/>
    <w:rsid w:val="004C0FAA"/>
    <w:rsid w:val="004C1274"/>
    <w:rsid w:val="004C129D"/>
    <w:rsid w:val="004C146D"/>
    <w:rsid w:val="004C1714"/>
    <w:rsid w:val="004C18A5"/>
    <w:rsid w:val="004C1C48"/>
    <w:rsid w:val="004C20AD"/>
    <w:rsid w:val="004C2248"/>
    <w:rsid w:val="004C236B"/>
    <w:rsid w:val="004C2551"/>
    <w:rsid w:val="004C2E50"/>
    <w:rsid w:val="004C2F18"/>
    <w:rsid w:val="004C31C1"/>
    <w:rsid w:val="004C358B"/>
    <w:rsid w:val="004C362E"/>
    <w:rsid w:val="004C4C96"/>
    <w:rsid w:val="004C4D13"/>
    <w:rsid w:val="004C4F57"/>
    <w:rsid w:val="004C5344"/>
    <w:rsid w:val="004C5655"/>
    <w:rsid w:val="004C575E"/>
    <w:rsid w:val="004C59ED"/>
    <w:rsid w:val="004C5FE7"/>
    <w:rsid w:val="004C646A"/>
    <w:rsid w:val="004C6F33"/>
    <w:rsid w:val="004C713E"/>
    <w:rsid w:val="004C73AC"/>
    <w:rsid w:val="004C7556"/>
    <w:rsid w:val="004C7FFE"/>
    <w:rsid w:val="004D0078"/>
    <w:rsid w:val="004D01FC"/>
    <w:rsid w:val="004D083C"/>
    <w:rsid w:val="004D098B"/>
    <w:rsid w:val="004D0F18"/>
    <w:rsid w:val="004D1219"/>
    <w:rsid w:val="004D165E"/>
    <w:rsid w:val="004D1B03"/>
    <w:rsid w:val="004D1EDA"/>
    <w:rsid w:val="004D1F75"/>
    <w:rsid w:val="004D225E"/>
    <w:rsid w:val="004D27B8"/>
    <w:rsid w:val="004D288F"/>
    <w:rsid w:val="004D2B21"/>
    <w:rsid w:val="004D3145"/>
    <w:rsid w:val="004D3594"/>
    <w:rsid w:val="004D363B"/>
    <w:rsid w:val="004D3EA8"/>
    <w:rsid w:val="004D40E9"/>
    <w:rsid w:val="004D474B"/>
    <w:rsid w:val="004D4753"/>
    <w:rsid w:val="004D4926"/>
    <w:rsid w:val="004D4C41"/>
    <w:rsid w:val="004D513F"/>
    <w:rsid w:val="004D5450"/>
    <w:rsid w:val="004D5F04"/>
    <w:rsid w:val="004D61C9"/>
    <w:rsid w:val="004D6434"/>
    <w:rsid w:val="004D683F"/>
    <w:rsid w:val="004D732D"/>
    <w:rsid w:val="004D7728"/>
    <w:rsid w:val="004D777F"/>
    <w:rsid w:val="004D7EB3"/>
    <w:rsid w:val="004D7FC9"/>
    <w:rsid w:val="004E02A7"/>
    <w:rsid w:val="004E0DA4"/>
    <w:rsid w:val="004E0DC5"/>
    <w:rsid w:val="004E0E1D"/>
    <w:rsid w:val="004E0F6A"/>
    <w:rsid w:val="004E1280"/>
    <w:rsid w:val="004E13FA"/>
    <w:rsid w:val="004E147C"/>
    <w:rsid w:val="004E1AAD"/>
    <w:rsid w:val="004E1C03"/>
    <w:rsid w:val="004E2575"/>
    <w:rsid w:val="004E264D"/>
    <w:rsid w:val="004E2C22"/>
    <w:rsid w:val="004E2DF8"/>
    <w:rsid w:val="004E2E2B"/>
    <w:rsid w:val="004E2FCF"/>
    <w:rsid w:val="004E34B8"/>
    <w:rsid w:val="004E3A0E"/>
    <w:rsid w:val="004E3B5B"/>
    <w:rsid w:val="004E3C34"/>
    <w:rsid w:val="004E4270"/>
    <w:rsid w:val="004E439A"/>
    <w:rsid w:val="004E45A6"/>
    <w:rsid w:val="004E4760"/>
    <w:rsid w:val="004E4846"/>
    <w:rsid w:val="004E4867"/>
    <w:rsid w:val="004E487B"/>
    <w:rsid w:val="004E48CD"/>
    <w:rsid w:val="004E4B7D"/>
    <w:rsid w:val="004E5278"/>
    <w:rsid w:val="004E5485"/>
    <w:rsid w:val="004E576B"/>
    <w:rsid w:val="004E59BD"/>
    <w:rsid w:val="004E6351"/>
    <w:rsid w:val="004E64AB"/>
    <w:rsid w:val="004E65F1"/>
    <w:rsid w:val="004E6AF2"/>
    <w:rsid w:val="004E6F3B"/>
    <w:rsid w:val="004E7863"/>
    <w:rsid w:val="004E79DA"/>
    <w:rsid w:val="004E7B48"/>
    <w:rsid w:val="004F0B44"/>
    <w:rsid w:val="004F0E00"/>
    <w:rsid w:val="004F1152"/>
    <w:rsid w:val="004F11C9"/>
    <w:rsid w:val="004F1855"/>
    <w:rsid w:val="004F1F85"/>
    <w:rsid w:val="004F1FC6"/>
    <w:rsid w:val="004F20E0"/>
    <w:rsid w:val="004F272A"/>
    <w:rsid w:val="004F2C6C"/>
    <w:rsid w:val="004F2F7B"/>
    <w:rsid w:val="004F34AF"/>
    <w:rsid w:val="004F36F9"/>
    <w:rsid w:val="004F3BAA"/>
    <w:rsid w:val="004F3E9A"/>
    <w:rsid w:val="004F3F1F"/>
    <w:rsid w:val="004F4016"/>
    <w:rsid w:val="004F46EB"/>
    <w:rsid w:val="004F4BAD"/>
    <w:rsid w:val="004F4BB7"/>
    <w:rsid w:val="004F4E4F"/>
    <w:rsid w:val="004F4F92"/>
    <w:rsid w:val="004F5942"/>
    <w:rsid w:val="004F59B3"/>
    <w:rsid w:val="004F5C0E"/>
    <w:rsid w:val="004F5D8C"/>
    <w:rsid w:val="004F5F43"/>
    <w:rsid w:val="004F63DC"/>
    <w:rsid w:val="004F6B33"/>
    <w:rsid w:val="004F778B"/>
    <w:rsid w:val="004F77C0"/>
    <w:rsid w:val="005006AE"/>
    <w:rsid w:val="00500783"/>
    <w:rsid w:val="005007FB"/>
    <w:rsid w:val="00500957"/>
    <w:rsid w:val="00500BF6"/>
    <w:rsid w:val="0050182D"/>
    <w:rsid w:val="00501C06"/>
    <w:rsid w:val="00502125"/>
    <w:rsid w:val="0050247C"/>
    <w:rsid w:val="00502623"/>
    <w:rsid w:val="00502978"/>
    <w:rsid w:val="00502B0E"/>
    <w:rsid w:val="00502F0D"/>
    <w:rsid w:val="0050314F"/>
    <w:rsid w:val="0050317B"/>
    <w:rsid w:val="00503703"/>
    <w:rsid w:val="00503759"/>
    <w:rsid w:val="00503B6D"/>
    <w:rsid w:val="00503DEC"/>
    <w:rsid w:val="005040FE"/>
    <w:rsid w:val="005041C8"/>
    <w:rsid w:val="00504376"/>
    <w:rsid w:val="005043B2"/>
    <w:rsid w:val="0050450B"/>
    <w:rsid w:val="00504721"/>
    <w:rsid w:val="0050484D"/>
    <w:rsid w:val="005049D8"/>
    <w:rsid w:val="00504A9E"/>
    <w:rsid w:val="00504B2F"/>
    <w:rsid w:val="00504BFB"/>
    <w:rsid w:val="0050525B"/>
    <w:rsid w:val="005058BA"/>
    <w:rsid w:val="005058DF"/>
    <w:rsid w:val="00505985"/>
    <w:rsid w:val="00505C1B"/>
    <w:rsid w:val="00505CEE"/>
    <w:rsid w:val="00505CFA"/>
    <w:rsid w:val="0050611A"/>
    <w:rsid w:val="00506327"/>
    <w:rsid w:val="0050689F"/>
    <w:rsid w:val="00506ACC"/>
    <w:rsid w:val="00506C13"/>
    <w:rsid w:val="00507343"/>
    <w:rsid w:val="0050747B"/>
    <w:rsid w:val="0050789E"/>
    <w:rsid w:val="00507C8F"/>
    <w:rsid w:val="00507F87"/>
    <w:rsid w:val="00510F65"/>
    <w:rsid w:val="00511323"/>
    <w:rsid w:val="00511DA0"/>
    <w:rsid w:val="00512004"/>
    <w:rsid w:val="0051251C"/>
    <w:rsid w:val="005129D0"/>
    <w:rsid w:val="00512AF1"/>
    <w:rsid w:val="00512DC1"/>
    <w:rsid w:val="00512EA0"/>
    <w:rsid w:val="00513373"/>
    <w:rsid w:val="005134AE"/>
    <w:rsid w:val="0051364B"/>
    <w:rsid w:val="0051364D"/>
    <w:rsid w:val="00513B97"/>
    <w:rsid w:val="00513DFE"/>
    <w:rsid w:val="00514595"/>
    <w:rsid w:val="00514D46"/>
    <w:rsid w:val="00514E59"/>
    <w:rsid w:val="0051512B"/>
    <w:rsid w:val="00515439"/>
    <w:rsid w:val="0051576C"/>
    <w:rsid w:val="00515B2E"/>
    <w:rsid w:val="00515C64"/>
    <w:rsid w:val="00516180"/>
    <w:rsid w:val="00516468"/>
    <w:rsid w:val="00516575"/>
    <w:rsid w:val="00516813"/>
    <w:rsid w:val="00516AE5"/>
    <w:rsid w:val="00516BDE"/>
    <w:rsid w:val="00516D97"/>
    <w:rsid w:val="00516E5B"/>
    <w:rsid w:val="005175C7"/>
    <w:rsid w:val="0051765B"/>
    <w:rsid w:val="0051766E"/>
    <w:rsid w:val="0051795D"/>
    <w:rsid w:val="0051796E"/>
    <w:rsid w:val="005179AA"/>
    <w:rsid w:val="005179D5"/>
    <w:rsid w:val="00520229"/>
    <w:rsid w:val="005204E1"/>
    <w:rsid w:val="0052112B"/>
    <w:rsid w:val="005215F0"/>
    <w:rsid w:val="005218FD"/>
    <w:rsid w:val="00521BFB"/>
    <w:rsid w:val="00521FD6"/>
    <w:rsid w:val="00522100"/>
    <w:rsid w:val="005225F5"/>
    <w:rsid w:val="00522D62"/>
    <w:rsid w:val="0052315E"/>
    <w:rsid w:val="0052351A"/>
    <w:rsid w:val="005235BF"/>
    <w:rsid w:val="005238FD"/>
    <w:rsid w:val="00523E3F"/>
    <w:rsid w:val="00523E4C"/>
    <w:rsid w:val="0052439B"/>
    <w:rsid w:val="005243F1"/>
    <w:rsid w:val="005249C2"/>
    <w:rsid w:val="00524D85"/>
    <w:rsid w:val="00525B56"/>
    <w:rsid w:val="00525BDA"/>
    <w:rsid w:val="00526720"/>
    <w:rsid w:val="00526B04"/>
    <w:rsid w:val="00526DE7"/>
    <w:rsid w:val="0052715A"/>
    <w:rsid w:val="005272D0"/>
    <w:rsid w:val="0052766B"/>
    <w:rsid w:val="005301B4"/>
    <w:rsid w:val="00530255"/>
    <w:rsid w:val="00530965"/>
    <w:rsid w:val="00530C20"/>
    <w:rsid w:val="0053101D"/>
    <w:rsid w:val="00531029"/>
    <w:rsid w:val="005314F1"/>
    <w:rsid w:val="00531807"/>
    <w:rsid w:val="00531C37"/>
    <w:rsid w:val="00531E3D"/>
    <w:rsid w:val="00531FB4"/>
    <w:rsid w:val="00532680"/>
    <w:rsid w:val="0053286E"/>
    <w:rsid w:val="00532939"/>
    <w:rsid w:val="00532A3A"/>
    <w:rsid w:val="00532BEC"/>
    <w:rsid w:val="00532D0D"/>
    <w:rsid w:val="005330C3"/>
    <w:rsid w:val="0053315D"/>
    <w:rsid w:val="00533CD3"/>
    <w:rsid w:val="00533D4C"/>
    <w:rsid w:val="00533DB2"/>
    <w:rsid w:val="00533E48"/>
    <w:rsid w:val="00534071"/>
    <w:rsid w:val="005348D3"/>
    <w:rsid w:val="00534C64"/>
    <w:rsid w:val="00535138"/>
    <w:rsid w:val="005352AE"/>
    <w:rsid w:val="00535403"/>
    <w:rsid w:val="00535732"/>
    <w:rsid w:val="00535ACC"/>
    <w:rsid w:val="00535BC5"/>
    <w:rsid w:val="00535CD9"/>
    <w:rsid w:val="00535DCD"/>
    <w:rsid w:val="00536CB8"/>
    <w:rsid w:val="005370BD"/>
    <w:rsid w:val="0053748C"/>
    <w:rsid w:val="00540548"/>
    <w:rsid w:val="0054066A"/>
    <w:rsid w:val="005406A2"/>
    <w:rsid w:val="00540C05"/>
    <w:rsid w:val="00540C23"/>
    <w:rsid w:val="00540D73"/>
    <w:rsid w:val="005410C8"/>
    <w:rsid w:val="00541643"/>
    <w:rsid w:val="0054185E"/>
    <w:rsid w:val="00541C3F"/>
    <w:rsid w:val="00542F83"/>
    <w:rsid w:val="0054357A"/>
    <w:rsid w:val="00543664"/>
    <w:rsid w:val="00543830"/>
    <w:rsid w:val="00544669"/>
    <w:rsid w:val="00544735"/>
    <w:rsid w:val="005449B5"/>
    <w:rsid w:val="005449BC"/>
    <w:rsid w:val="00544A83"/>
    <w:rsid w:val="00544AB8"/>
    <w:rsid w:val="00544AF9"/>
    <w:rsid w:val="005454AE"/>
    <w:rsid w:val="00545831"/>
    <w:rsid w:val="00545DE5"/>
    <w:rsid w:val="00545F25"/>
    <w:rsid w:val="00545FFB"/>
    <w:rsid w:val="0054644C"/>
    <w:rsid w:val="00546BBD"/>
    <w:rsid w:val="00547909"/>
    <w:rsid w:val="005479B2"/>
    <w:rsid w:val="00547ADB"/>
    <w:rsid w:val="00547B34"/>
    <w:rsid w:val="00547C85"/>
    <w:rsid w:val="00547E1D"/>
    <w:rsid w:val="00550320"/>
    <w:rsid w:val="005508F9"/>
    <w:rsid w:val="00550EB0"/>
    <w:rsid w:val="00550F04"/>
    <w:rsid w:val="00550F84"/>
    <w:rsid w:val="00551ABC"/>
    <w:rsid w:val="00551BF4"/>
    <w:rsid w:val="00551EF8"/>
    <w:rsid w:val="00552A20"/>
    <w:rsid w:val="00552B61"/>
    <w:rsid w:val="00552BF7"/>
    <w:rsid w:val="00552CFD"/>
    <w:rsid w:val="00552FE5"/>
    <w:rsid w:val="00553458"/>
    <w:rsid w:val="00553A0F"/>
    <w:rsid w:val="00553A95"/>
    <w:rsid w:val="00553C4D"/>
    <w:rsid w:val="005540D4"/>
    <w:rsid w:val="00554198"/>
    <w:rsid w:val="0055451B"/>
    <w:rsid w:val="00554A99"/>
    <w:rsid w:val="00554B05"/>
    <w:rsid w:val="00554C61"/>
    <w:rsid w:val="00554F6D"/>
    <w:rsid w:val="00555349"/>
    <w:rsid w:val="005556FB"/>
    <w:rsid w:val="00555739"/>
    <w:rsid w:val="0055602A"/>
    <w:rsid w:val="00556102"/>
    <w:rsid w:val="005562E9"/>
    <w:rsid w:val="00557040"/>
    <w:rsid w:val="00557274"/>
    <w:rsid w:val="0055743A"/>
    <w:rsid w:val="0055789B"/>
    <w:rsid w:val="005578B2"/>
    <w:rsid w:val="00557C4F"/>
    <w:rsid w:val="00560426"/>
    <w:rsid w:val="00560869"/>
    <w:rsid w:val="005608AD"/>
    <w:rsid w:val="00560CBC"/>
    <w:rsid w:val="00560F3C"/>
    <w:rsid w:val="0056106C"/>
    <w:rsid w:val="00561405"/>
    <w:rsid w:val="0056198B"/>
    <w:rsid w:val="00561AA3"/>
    <w:rsid w:val="00561AE6"/>
    <w:rsid w:val="00561CF0"/>
    <w:rsid w:val="005622D0"/>
    <w:rsid w:val="005622E6"/>
    <w:rsid w:val="00562301"/>
    <w:rsid w:val="00562557"/>
    <w:rsid w:val="00562E0A"/>
    <w:rsid w:val="005630B9"/>
    <w:rsid w:val="005632CC"/>
    <w:rsid w:val="005632D3"/>
    <w:rsid w:val="00563492"/>
    <w:rsid w:val="00563542"/>
    <w:rsid w:val="005637AB"/>
    <w:rsid w:val="00563EF9"/>
    <w:rsid w:val="00563F32"/>
    <w:rsid w:val="005640E9"/>
    <w:rsid w:val="00564317"/>
    <w:rsid w:val="00564873"/>
    <w:rsid w:val="0056488E"/>
    <w:rsid w:val="005649DC"/>
    <w:rsid w:val="00564CC3"/>
    <w:rsid w:val="00564DDD"/>
    <w:rsid w:val="00565761"/>
    <w:rsid w:val="00565989"/>
    <w:rsid w:val="00565BDB"/>
    <w:rsid w:val="00565EBE"/>
    <w:rsid w:val="00566504"/>
    <w:rsid w:val="00566533"/>
    <w:rsid w:val="005665A2"/>
    <w:rsid w:val="00566645"/>
    <w:rsid w:val="00566924"/>
    <w:rsid w:val="00566BE3"/>
    <w:rsid w:val="00566C42"/>
    <w:rsid w:val="005672C8"/>
    <w:rsid w:val="00567582"/>
    <w:rsid w:val="00567C58"/>
    <w:rsid w:val="00567F5C"/>
    <w:rsid w:val="00570525"/>
    <w:rsid w:val="00570573"/>
    <w:rsid w:val="00570672"/>
    <w:rsid w:val="0057077B"/>
    <w:rsid w:val="00570DBD"/>
    <w:rsid w:val="005710BC"/>
    <w:rsid w:val="0057111C"/>
    <w:rsid w:val="00571A49"/>
    <w:rsid w:val="00571AFB"/>
    <w:rsid w:val="00571C61"/>
    <w:rsid w:val="005720E8"/>
    <w:rsid w:val="00572771"/>
    <w:rsid w:val="00572916"/>
    <w:rsid w:val="00572B1B"/>
    <w:rsid w:val="00572B97"/>
    <w:rsid w:val="005733B9"/>
    <w:rsid w:val="00573B37"/>
    <w:rsid w:val="00573F4C"/>
    <w:rsid w:val="0057403C"/>
    <w:rsid w:val="005741CE"/>
    <w:rsid w:val="0057422C"/>
    <w:rsid w:val="0057443E"/>
    <w:rsid w:val="00574671"/>
    <w:rsid w:val="0057495B"/>
    <w:rsid w:val="00574A57"/>
    <w:rsid w:val="00574C9E"/>
    <w:rsid w:val="00574E0C"/>
    <w:rsid w:val="00574F71"/>
    <w:rsid w:val="0057532F"/>
    <w:rsid w:val="005753AE"/>
    <w:rsid w:val="0057540A"/>
    <w:rsid w:val="00575C1B"/>
    <w:rsid w:val="00576612"/>
    <w:rsid w:val="00576676"/>
    <w:rsid w:val="005767B6"/>
    <w:rsid w:val="00576A1B"/>
    <w:rsid w:val="00576D01"/>
    <w:rsid w:val="00576DEA"/>
    <w:rsid w:val="00577258"/>
    <w:rsid w:val="005808F8"/>
    <w:rsid w:val="00580A05"/>
    <w:rsid w:val="0058102B"/>
    <w:rsid w:val="00581931"/>
    <w:rsid w:val="00581A18"/>
    <w:rsid w:val="00581D1F"/>
    <w:rsid w:val="005822E6"/>
    <w:rsid w:val="00582460"/>
    <w:rsid w:val="005824FE"/>
    <w:rsid w:val="00582743"/>
    <w:rsid w:val="005827F2"/>
    <w:rsid w:val="00582F38"/>
    <w:rsid w:val="005838AE"/>
    <w:rsid w:val="00583C46"/>
    <w:rsid w:val="00583D1D"/>
    <w:rsid w:val="00583DA9"/>
    <w:rsid w:val="00583E33"/>
    <w:rsid w:val="00584235"/>
    <w:rsid w:val="00584378"/>
    <w:rsid w:val="00584B21"/>
    <w:rsid w:val="005856F1"/>
    <w:rsid w:val="00585C9A"/>
    <w:rsid w:val="00586582"/>
    <w:rsid w:val="00586D40"/>
    <w:rsid w:val="00587350"/>
    <w:rsid w:val="00587C25"/>
    <w:rsid w:val="00587C71"/>
    <w:rsid w:val="0059011F"/>
    <w:rsid w:val="005906F4"/>
    <w:rsid w:val="00590DBC"/>
    <w:rsid w:val="00590F18"/>
    <w:rsid w:val="00590FD0"/>
    <w:rsid w:val="0059115B"/>
    <w:rsid w:val="005919B3"/>
    <w:rsid w:val="00591A60"/>
    <w:rsid w:val="00591B08"/>
    <w:rsid w:val="00591FF5"/>
    <w:rsid w:val="005921A8"/>
    <w:rsid w:val="0059282B"/>
    <w:rsid w:val="00593767"/>
    <w:rsid w:val="00593915"/>
    <w:rsid w:val="0059426B"/>
    <w:rsid w:val="00594650"/>
    <w:rsid w:val="005958A8"/>
    <w:rsid w:val="00595DDC"/>
    <w:rsid w:val="00595FAE"/>
    <w:rsid w:val="005960BF"/>
    <w:rsid w:val="005969EC"/>
    <w:rsid w:val="005972D4"/>
    <w:rsid w:val="005973DF"/>
    <w:rsid w:val="0059756B"/>
    <w:rsid w:val="00597598"/>
    <w:rsid w:val="0059787D"/>
    <w:rsid w:val="005978D9"/>
    <w:rsid w:val="00597989"/>
    <w:rsid w:val="00597BFE"/>
    <w:rsid w:val="00597F64"/>
    <w:rsid w:val="005A040C"/>
    <w:rsid w:val="005A07DB"/>
    <w:rsid w:val="005A08FB"/>
    <w:rsid w:val="005A0988"/>
    <w:rsid w:val="005A0A50"/>
    <w:rsid w:val="005A0F47"/>
    <w:rsid w:val="005A0F61"/>
    <w:rsid w:val="005A1529"/>
    <w:rsid w:val="005A178F"/>
    <w:rsid w:val="005A17BD"/>
    <w:rsid w:val="005A20CC"/>
    <w:rsid w:val="005A231C"/>
    <w:rsid w:val="005A2F1B"/>
    <w:rsid w:val="005A2F30"/>
    <w:rsid w:val="005A312A"/>
    <w:rsid w:val="005A34D4"/>
    <w:rsid w:val="005A37A7"/>
    <w:rsid w:val="005A3911"/>
    <w:rsid w:val="005A3B69"/>
    <w:rsid w:val="005A3BAB"/>
    <w:rsid w:val="005A3F70"/>
    <w:rsid w:val="005A46C1"/>
    <w:rsid w:val="005A4862"/>
    <w:rsid w:val="005A540E"/>
    <w:rsid w:val="005A54CA"/>
    <w:rsid w:val="005A5E56"/>
    <w:rsid w:val="005A67BA"/>
    <w:rsid w:val="005A688B"/>
    <w:rsid w:val="005A6AC6"/>
    <w:rsid w:val="005A6AD7"/>
    <w:rsid w:val="005A6E55"/>
    <w:rsid w:val="005A6EF8"/>
    <w:rsid w:val="005A70D2"/>
    <w:rsid w:val="005A7592"/>
    <w:rsid w:val="005A7C23"/>
    <w:rsid w:val="005A7F25"/>
    <w:rsid w:val="005B029F"/>
    <w:rsid w:val="005B02BF"/>
    <w:rsid w:val="005B0CD9"/>
    <w:rsid w:val="005B0EC3"/>
    <w:rsid w:val="005B132C"/>
    <w:rsid w:val="005B1520"/>
    <w:rsid w:val="005B177D"/>
    <w:rsid w:val="005B17E7"/>
    <w:rsid w:val="005B194E"/>
    <w:rsid w:val="005B1D2C"/>
    <w:rsid w:val="005B1F73"/>
    <w:rsid w:val="005B2097"/>
    <w:rsid w:val="005B2141"/>
    <w:rsid w:val="005B2145"/>
    <w:rsid w:val="005B214B"/>
    <w:rsid w:val="005B2292"/>
    <w:rsid w:val="005B2789"/>
    <w:rsid w:val="005B28AB"/>
    <w:rsid w:val="005B32D3"/>
    <w:rsid w:val="005B393E"/>
    <w:rsid w:val="005B39D1"/>
    <w:rsid w:val="005B3C67"/>
    <w:rsid w:val="005B3CD2"/>
    <w:rsid w:val="005B45F4"/>
    <w:rsid w:val="005B4B4A"/>
    <w:rsid w:val="005B4C54"/>
    <w:rsid w:val="005B4E6B"/>
    <w:rsid w:val="005B51C5"/>
    <w:rsid w:val="005B575D"/>
    <w:rsid w:val="005B5C37"/>
    <w:rsid w:val="005B6CFB"/>
    <w:rsid w:val="005B6EF5"/>
    <w:rsid w:val="005B7DFD"/>
    <w:rsid w:val="005B7EC0"/>
    <w:rsid w:val="005B7F1B"/>
    <w:rsid w:val="005C0031"/>
    <w:rsid w:val="005C00B6"/>
    <w:rsid w:val="005C0348"/>
    <w:rsid w:val="005C11DC"/>
    <w:rsid w:val="005C12AD"/>
    <w:rsid w:val="005C1BED"/>
    <w:rsid w:val="005C1C3D"/>
    <w:rsid w:val="005C1D99"/>
    <w:rsid w:val="005C1DFF"/>
    <w:rsid w:val="005C1E00"/>
    <w:rsid w:val="005C2642"/>
    <w:rsid w:val="005C2666"/>
    <w:rsid w:val="005C2990"/>
    <w:rsid w:val="005C3380"/>
    <w:rsid w:val="005C363B"/>
    <w:rsid w:val="005C3DD0"/>
    <w:rsid w:val="005C410E"/>
    <w:rsid w:val="005C508B"/>
    <w:rsid w:val="005C534C"/>
    <w:rsid w:val="005C5911"/>
    <w:rsid w:val="005C59AD"/>
    <w:rsid w:val="005C5B81"/>
    <w:rsid w:val="005C5C1C"/>
    <w:rsid w:val="005C5DE7"/>
    <w:rsid w:val="005C68C8"/>
    <w:rsid w:val="005C6B48"/>
    <w:rsid w:val="005C6E0A"/>
    <w:rsid w:val="005C753E"/>
    <w:rsid w:val="005C793E"/>
    <w:rsid w:val="005C7980"/>
    <w:rsid w:val="005C7A9E"/>
    <w:rsid w:val="005C7DD0"/>
    <w:rsid w:val="005D07F9"/>
    <w:rsid w:val="005D0808"/>
    <w:rsid w:val="005D09E7"/>
    <w:rsid w:val="005D0C97"/>
    <w:rsid w:val="005D0DCC"/>
    <w:rsid w:val="005D0F3B"/>
    <w:rsid w:val="005D14D7"/>
    <w:rsid w:val="005D15AC"/>
    <w:rsid w:val="005D1685"/>
    <w:rsid w:val="005D1AB9"/>
    <w:rsid w:val="005D1EA9"/>
    <w:rsid w:val="005D2440"/>
    <w:rsid w:val="005D2C51"/>
    <w:rsid w:val="005D2DA1"/>
    <w:rsid w:val="005D2FF5"/>
    <w:rsid w:val="005D37E1"/>
    <w:rsid w:val="005D39A8"/>
    <w:rsid w:val="005D3A57"/>
    <w:rsid w:val="005D4155"/>
    <w:rsid w:val="005D6791"/>
    <w:rsid w:val="005D6C1B"/>
    <w:rsid w:val="005D700E"/>
    <w:rsid w:val="005D7956"/>
    <w:rsid w:val="005D7A38"/>
    <w:rsid w:val="005D7F90"/>
    <w:rsid w:val="005E056C"/>
    <w:rsid w:val="005E06C4"/>
    <w:rsid w:val="005E0906"/>
    <w:rsid w:val="005E09DF"/>
    <w:rsid w:val="005E0BC5"/>
    <w:rsid w:val="005E1400"/>
    <w:rsid w:val="005E1715"/>
    <w:rsid w:val="005E18F2"/>
    <w:rsid w:val="005E2170"/>
    <w:rsid w:val="005E2379"/>
    <w:rsid w:val="005E2692"/>
    <w:rsid w:val="005E2887"/>
    <w:rsid w:val="005E3036"/>
    <w:rsid w:val="005E306B"/>
    <w:rsid w:val="005E3159"/>
    <w:rsid w:val="005E3BAE"/>
    <w:rsid w:val="005E4068"/>
    <w:rsid w:val="005E452B"/>
    <w:rsid w:val="005E469C"/>
    <w:rsid w:val="005E4A3B"/>
    <w:rsid w:val="005E4DBC"/>
    <w:rsid w:val="005E4EDE"/>
    <w:rsid w:val="005E5675"/>
    <w:rsid w:val="005E5933"/>
    <w:rsid w:val="005E5A75"/>
    <w:rsid w:val="005E5B36"/>
    <w:rsid w:val="005E5F4B"/>
    <w:rsid w:val="005E6052"/>
    <w:rsid w:val="005E676F"/>
    <w:rsid w:val="005E6830"/>
    <w:rsid w:val="005E6C28"/>
    <w:rsid w:val="005E7562"/>
    <w:rsid w:val="005E7A3C"/>
    <w:rsid w:val="005E7D3C"/>
    <w:rsid w:val="005E7F8D"/>
    <w:rsid w:val="005F0271"/>
    <w:rsid w:val="005F0933"/>
    <w:rsid w:val="005F0EF2"/>
    <w:rsid w:val="005F1004"/>
    <w:rsid w:val="005F15D2"/>
    <w:rsid w:val="005F172B"/>
    <w:rsid w:val="005F18F2"/>
    <w:rsid w:val="005F212B"/>
    <w:rsid w:val="005F250D"/>
    <w:rsid w:val="005F26EA"/>
    <w:rsid w:val="005F27B4"/>
    <w:rsid w:val="005F2832"/>
    <w:rsid w:val="005F2C84"/>
    <w:rsid w:val="005F2CAB"/>
    <w:rsid w:val="005F2D1F"/>
    <w:rsid w:val="005F2E84"/>
    <w:rsid w:val="005F2F71"/>
    <w:rsid w:val="005F3103"/>
    <w:rsid w:val="005F38E9"/>
    <w:rsid w:val="005F3B8B"/>
    <w:rsid w:val="005F3E36"/>
    <w:rsid w:val="005F4121"/>
    <w:rsid w:val="005F457B"/>
    <w:rsid w:val="005F54DC"/>
    <w:rsid w:val="005F5A15"/>
    <w:rsid w:val="005F5B0E"/>
    <w:rsid w:val="005F61EB"/>
    <w:rsid w:val="005F6331"/>
    <w:rsid w:val="005F6A00"/>
    <w:rsid w:val="005F6A8B"/>
    <w:rsid w:val="005F73A5"/>
    <w:rsid w:val="005F779E"/>
    <w:rsid w:val="005F7DC2"/>
    <w:rsid w:val="00600A4D"/>
    <w:rsid w:val="00600DE9"/>
    <w:rsid w:val="00600EE4"/>
    <w:rsid w:val="006014E3"/>
    <w:rsid w:val="0060172A"/>
    <w:rsid w:val="006017F2"/>
    <w:rsid w:val="00601BC8"/>
    <w:rsid w:val="00601D89"/>
    <w:rsid w:val="00601E54"/>
    <w:rsid w:val="00602000"/>
    <w:rsid w:val="0060286A"/>
    <w:rsid w:val="00602BAF"/>
    <w:rsid w:val="00603314"/>
    <w:rsid w:val="006039EA"/>
    <w:rsid w:val="00603E7E"/>
    <w:rsid w:val="0060462A"/>
    <w:rsid w:val="00604ECA"/>
    <w:rsid w:val="00604F9F"/>
    <w:rsid w:val="0060561D"/>
    <w:rsid w:val="00605795"/>
    <w:rsid w:val="006059DF"/>
    <w:rsid w:val="00605BEA"/>
    <w:rsid w:val="00605E4B"/>
    <w:rsid w:val="00605EEF"/>
    <w:rsid w:val="00605F8A"/>
    <w:rsid w:val="00606257"/>
    <w:rsid w:val="006062E0"/>
    <w:rsid w:val="006065D2"/>
    <w:rsid w:val="00606C36"/>
    <w:rsid w:val="006070D1"/>
    <w:rsid w:val="00607473"/>
    <w:rsid w:val="006079B5"/>
    <w:rsid w:val="00607DA4"/>
    <w:rsid w:val="00607DEA"/>
    <w:rsid w:val="00610472"/>
    <w:rsid w:val="006111B2"/>
    <w:rsid w:val="006111E4"/>
    <w:rsid w:val="0061135F"/>
    <w:rsid w:val="0061164C"/>
    <w:rsid w:val="00611877"/>
    <w:rsid w:val="00611AEA"/>
    <w:rsid w:val="00611B0E"/>
    <w:rsid w:val="00611F31"/>
    <w:rsid w:val="006130EB"/>
    <w:rsid w:val="006131A1"/>
    <w:rsid w:val="0061327A"/>
    <w:rsid w:val="006134B4"/>
    <w:rsid w:val="00613737"/>
    <w:rsid w:val="006140C3"/>
    <w:rsid w:val="006140F2"/>
    <w:rsid w:val="0061529C"/>
    <w:rsid w:val="006156DB"/>
    <w:rsid w:val="0061572B"/>
    <w:rsid w:val="00615920"/>
    <w:rsid w:val="00615C0F"/>
    <w:rsid w:val="00615D3B"/>
    <w:rsid w:val="00616761"/>
    <w:rsid w:val="00616F3C"/>
    <w:rsid w:val="0061761F"/>
    <w:rsid w:val="00617DDD"/>
    <w:rsid w:val="0062055B"/>
    <w:rsid w:val="00622098"/>
    <w:rsid w:val="006221B6"/>
    <w:rsid w:val="0062253C"/>
    <w:rsid w:val="006229CE"/>
    <w:rsid w:val="006229F4"/>
    <w:rsid w:val="00622A2D"/>
    <w:rsid w:val="00622C86"/>
    <w:rsid w:val="00622D5B"/>
    <w:rsid w:val="00622EA6"/>
    <w:rsid w:val="0062385A"/>
    <w:rsid w:val="00623DE2"/>
    <w:rsid w:val="00623F10"/>
    <w:rsid w:val="00623F60"/>
    <w:rsid w:val="0062451A"/>
    <w:rsid w:val="00624D07"/>
    <w:rsid w:val="00624D1B"/>
    <w:rsid w:val="00624F76"/>
    <w:rsid w:val="00624FBB"/>
    <w:rsid w:val="00624FD0"/>
    <w:rsid w:val="00625004"/>
    <w:rsid w:val="00625047"/>
    <w:rsid w:val="00625AC6"/>
    <w:rsid w:val="00626B1A"/>
    <w:rsid w:val="0062702A"/>
    <w:rsid w:val="00627432"/>
    <w:rsid w:val="00627FBB"/>
    <w:rsid w:val="006308B4"/>
    <w:rsid w:val="00630AD4"/>
    <w:rsid w:val="00630D67"/>
    <w:rsid w:val="00631AB8"/>
    <w:rsid w:val="00631DC2"/>
    <w:rsid w:val="00631E49"/>
    <w:rsid w:val="00631E60"/>
    <w:rsid w:val="00631E75"/>
    <w:rsid w:val="00631EC1"/>
    <w:rsid w:val="006320BC"/>
    <w:rsid w:val="00632382"/>
    <w:rsid w:val="00632569"/>
    <w:rsid w:val="00632654"/>
    <w:rsid w:val="0063291C"/>
    <w:rsid w:val="00632CCF"/>
    <w:rsid w:val="00633073"/>
    <w:rsid w:val="006335D6"/>
    <w:rsid w:val="00633638"/>
    <w:rsid w:val="00633D4C"/>
    <w:rsid w:val="006344E3"/>
    <w:rsid w:val="00634515"/>
    <w:rsid w:val="006349C7"/>
    <w:rsid w:val="00634B20"/>
    <w:rsid w:val="00634B51"/>
    <w:rsid w:val="00634E51"/>
    <w:rsid w:val="00635118"/>
    <w:rsid w:val="00635465"/>
    <w:rsid w:val="0063554E"/>
    <w:rsid w:val="00635685"/>
    <w:rsid w:val="00635EF8"/>
    <w:rsid w:val="00636088"/>
    <w:rsid w:val="0063680E"/>
    <w:rsid w:val="00636958"/>
    <w:rsid w:val="0063699D"/>
    <w:rsid w:val="00636D75"/>
    <w:rsid w:val="006370C2"/>
    <w:rsid w:val="006370CC"/>
    <w:rsid w:val="00637CDA"/>
    <w:rsid w:val="0064001D"/>
    <w:rsid w:val="006407EF"/>
    <w:rsid w:val="006409C9"/>
    <w:rsid w:val="00640D0E"/>
    <w:rsid w:val="00640DD6"/>
    <w:rsid w:val="00641683"/>
    <w:rsid w:val="00641D53"/>
    <w:rsid w:val="006425EF"/>
    <w:rsid w:val="00642809"/>
    <w:rsid w:val="00643141"/>
    <w:rsid w:val="00643278"/>
    <w:rsid w:val="006439B7"/>
    <w:rsid w:val="00643D6A"/>
    <w:rsid w:val="006440EA"/>
    <w:rsid w:val="006441A6"/>
    <w:rsid w:val="00644254"/>
    <w:rsid w:val="00644B69"/>
    <w:rsid w:val="00644CE9"/>
    <w:rsid w:val="0064527B"/>
    <w:rsid w:val="006455BA"/>
    <w:rsid w:val="0064569A"/>
    <w:rsid w:val="00645B7B"/>
    <w:rsid w:val="006460CC"/>
    <w:rsid w:val="006460FB"/>
    <w:rsid w:val="006462AF"/>
    <w:rsid w:val="006462CF"/>
    <w:rsid w:val="006464CD"/>
    <w:rsid w:val="00646773"/>
    <w:rsid w:val="006468FA"/>
    <w:rsid w:val="00646CC7"/>
    <w:rsid w:val="00646DD3"/>
    <w:rsid w:val="00646F05"/>
    <w:rsid w:val="00646F60"/>
    <w:rsid w:val="006476D3"/>
    <w:rsid w:val="006479E5"/>
    <w:rsid w:val="00647C23"/>
    <w:rsid w:val="006508C9"/>
    <w:rsid w:val="00650A60"/>
    <w:rsid w:val="00651125"/>
    <w:rsid w:val="00651464"/>
    <w:rsid w:val="006514A2"/>
    <w:rsid w:val="00651F54"/>
    <w:rsid w:val="00652232"/>
    <w:rsid w:val="0065255F"/>
    <w:rsid w:val="0065277B"/>
    <w:rsid w:val="006527E6"/>
    <w:rsid w:val="00652EF5"/>
    <w:rsid w:val="006534DE"/>
    <w:rsid w:val="006537CA"/>
    <w:rsid w:val="00653B5F"/>
    <w:rsid w:val="00654220"/>
    <w:rsid w:val="0065452F"/>
    <w:rsid w:val="006546D1"/>
    <w:rsid w:val="00655025"/>
    <w:rsid w:val="00655261"/>
    <w:rsid w:val="0065532A"/>
    <w:rsid w:val="006553A4"/>
    <w:rsid w:val="00655AF6"/>
    <w:rsid w:val="00655B4F"/>
    <w:rsid w:val="00655FF3"/>
    <w:rsid w:val="00656911"/>
    <w:rsid w:val="00656E93"/>
    <w:rsid w:val="006570C1"/>
    <w:rsid w:val="0065719E"/>
    <w:rsid w:val="00657978"/>
    <w:rsid w:val="00657A00"/>
    <w:rsid w:val="00657A59"/>
    <w:rsid w:val="00657B4F"/>
    <w:rsid w:val="00657B72"/>
    <w:rsid w:val="00657B9F"/>
    <w:rsid w:val="00657BF0"/>
    <w:rsid w:val="00657CE8"/>
    <w:rsid w:val="00657DDF"/>
    <w:rsid w:val="006600CC"/>
    <w:rsid w:val="006601D8"/>
    <w:rsid w:val="00660354"/>
    <w:rsid w:val="006603BF"/>
    <w:rsid w:val="0066070A"/>
    <w:rsid w:val="006607F0"/>
    <w:rsid w:val="00661186"/>
    <w:rsid w:val="006611E0"/>
    <w:rsid w:val="006613FF"/>
    <w:rsid w:val="006617F6"/>
    <w:rsid w:val="00661852"/>
    <w:rsid w:val="006618E4"/>
    <w:rsid w:val="00661CCC"/>
    <w:rsid w:val="00661E18"/>
    <w:rsid w:val="0066245B"/>
    <w:rsid w:val="00662529"/>
    <w:rsid w:val="00662B5C"/>
    <w:rsid w:val="0066341A"/>
    <w:rsid w:val="00663738"/>
    <w:rsid w:val="006638AE"/>
    <w:rsid w:val="006639DA"/>
    <w:rsid w:val="00663C5A"/>
    <w:rsid w:val="006643E3"/>
    <w:rsid w:val="00664416"/>
    <w:rsid w:val="00664765"/>
    <w:rsid w:val="00664774"/>
    <w:rsid w:val="00664B2E"/>
    <w:rsid w:val="00664E52"/>
    <w:rsid w:val="00664FAD"/>
    <w:rsid w:val="00664FE6"/>
    <w:rsid w:val="0066524C"/>
    <w:rsid w:val="006654FF"/>
    <w:rsid w:val="006655EA"/>
    <w:rsid w:val="006657B4"/>
    <w:rsid w:val="00665822"/>
    <w:rsid w:val="0066598E"/>
    <w:rsid w:val="00665C2A"/>
    <w:rsid w:val="00665C93"/>
    <w:rsid w:val="00666115"/>
    <w:rsid w:val="006663DB"/>
    <w:rsid w:val="00666514"/>
    <w:rsid w:val="00666DFE"/>
    <w:rsid w:val="006676C3"/>
    <w:rsid w:val="00667753"/>
    <w:rsid w:val="006679C9"/>
    <w:rsid w:val="00667C3D"/>
    <w:rsid w:val="006700A2"/>
    <w:rsid w:val="00670230"/>
    <w:rsid w:val="0067033B"/>
    <w:rsid w:val="00670DE6"/>
    <w:rsid w:val="00671252"/>
    <w:rsid w:val="006716F6"/>
    <w:rsid w:val="00672BE6"/>
    <w:rsid w:val="00672EF1"/>
    <w:rsid w:val="00672F6E"/>
    <w:rsid w:val="006731EA"/>
    <w:rsid w:val="0067353B"/>
    <w:rsid w:val="00673C8A"/>
    <w:rsid w:val="00673D2F"/>
    <w:rsid w:val="0067401C"/>
    <w:rsid w:val="00674365"/>
    <w:rsid w:val="00674CB6"/>
    <w:rsid w:val="00674F41"/>
    <w:rsid w:val="00675094"/>
    <w:rsid w:val="006750F7"/>
    <w:rsid w:val="00675365"/>
    <w:rsid w:val="006759A8"/>
    <w:rsid w:val="00675AFB"/>
    <w:rsid w:val="00675B74"/>
    <w:rsid w:val="00675DF5"/>
    <w:rsid w:val="006760C6"/>
    <w:rsid w:val="006761CE"/>
    <w:rsid w:val="006764C6"/>
    <w:rsid w:val="0067668E"/>
    <w:rsid w:val="006766FD"/>
    <w:rsid w:val="006769F6"/>
    <w:rsid w:val="006771C3"/>
    <w:rsid w:val="006779EA"/>
    <w:rsid w:val="006800C7"/>
    <w:rsid w:val="0068037D"/>
    <w:rsid w:val="00680422"/>
    <w:rsid w:val="0068064D"/>
    <w:rsid w:val="006807AD"/>
    <w:rsid w:val="00680809"/>
    <w:rsid w:val="00680EAA"/>
    <w:rsid w:val="0068170B"/>
    <w:rsid w:val="0068219E"/>
    <w:rsid w:val="00682819"/>
    <w:rsid w:val="00682D4D"/>
    <w:rsid w:val="00682E05"/>
    <w:rsid w:val="00682E39"/>
    <w:rsid w:val="00682EA5"/>
    <w:rsid w:val="006831FF"/>
    <w:rsid w:val="00683290"/>
    <w:rsid w:val="006835F3"/>
    <w:rsid w:val="00683645"/>
    <w:rsid w:val="00683E2A"/>
    <w:rsid w:val="0068404D"/>
    <w:rsid w:val="0068469F"/>
    <w:rsid w:val="00684A34"/>
    <w:rsid w:val="00684CCC"/>
    <w:rsid w:val="006859B7"/>
    <w:rsid w:val="006859CB"/>
    <w:rsid w:val="006859ED"/>
    <w:rsid w:val="00685FF6"/>
    <w:rsid w:val="00686244"/>
    <w:rsid w:val="00686599"/>
    <w:rsid w:val="006867A6"/>
    <w:rsid w:val="00686EF2"/>
    <w:rsid w:val="00686FED"/>
    <w:rsid w:val="00687DB0"/>
    <w:rsid w:val="00687DCC"/>
    <w:rsid w:val="00687F26"/>
    <w:rsid w:val="00687FA6"/>
    <w:rsid w:val="0069000E"/>
    <w:rsid w:val="006904EA"/>
    <w:rsid w:val="00690DA3"/>
    <w:rsid w:val="00690FA6"/>
    <w:rsid w:val="006915B0"/>
    <w:rsid w:val="0069164B"/>
    <w:rsid w:val="006917C9"/>
    <w:rsid w:val="006919AE"/>
    <w:rsid w:val="00691A15"/>
    <w:rsid w:val="00691AF3"/>
    <w:rsid w:val="00691DCD"/>
    <w:rsid w:val="00691EC2"/>
    <w:rsid w:val="006921F3"/>
    <w:rsid w:val="00692229"/>
    <w:rsid w:val="00692253"/>
    <w:rsid w:val="006923A8"/>
    <w:rsid w:val="006924BE"/>
    <w:rsid w:val="006927E6"/>
    <w:rsid w:val="00692DC9"/>
    <w:rsid w:val="00692EC3"/>
    <w:rsid w:val="00692FB2"/>
    <w:rsid w:val="00693428"/>
    <w:rsid w:val="00693C66"/>
    <w:rsid w:val="006940D3"/>
    <w:rsid w:val="00694856"/>
    <w:rsid w:val="00695444"/>
    <w:rsid w:val="00695A19"/>
    <w:rsid w:val="00695BEF"/>
    <w:rsid w:val="00695D37"/>
    <w:rsid w:val="00695F03"/>
    <w:rsid w:val="00696315"/>
    <w:rsid w:val="00696489"/>
    <w:rsid w:val="00696585"/>
    <w:rsid w:val="00696863"/>
    <w:rsid w:val="00696996"/>
    <w:rsid w:val="006969E1"/>
    <w:rsid w:val="006970DC"/>
    <w:rsid w:val="00697552"/>
    <w:rsid w:val="006976C4"/>
    <w:rsid w:val="006977BF"/>
    <w:rsid w:val="00697933"/>
    <w:rsid w:val="006979F3"/>
    <w:rsid w:val="00697BF7"/>
    <w:rsid w:val="00697ED2"/>
    <w:rsid w:val="006A0014"/>
    <w:rsid w:val="006A0554"/>
    <w:rsid w:val="006A0589"/>
    <w:rsid w:val="006A0ADD"/>
    <w:rsid w:val="006A0B98"/>
    <w:rsid w:val="006A12DB"/>
    <w:rsid w:val="006A180B"/>
    <w:rsid w:val="006A1C72"/>
    <w:rsid w:val="006A1F29"/>
    <w:rsid w:val="006A2091"/>
    <w:rsid w:val="006A2495"/>
    <w:rsid w:val="006A2AA3"/>
    <w:rsid w:val="006A2DD2"/>
    <w:rsid w:val="006A35D6"/>
    <w:rsid w:val="006A3C02"/>
    <w:rsid w:val="006A3D9B"/>
    <w:rsid w:val="006A3DD1"/>
    <w:rsid w:val="006A3F4C"/>
    <w:rsid w:val="006A46AB"/>
    <w:rsid w:val="006A4938"/>
    <w:rsid w:val="006A4B51"/>
    <w:rsid w:val="006A4CCE"/>
    <w:rsid w:val="006A4D0C"/>
    <w:rsid w:val="006A5359"/>
    <w:rsid w:val="006A55D1"/>
    <w:rsid w:val="006A5904"/>
    <w:rsid w:val="006A593A"/>
    <w:rsid w:val="006A5B8C"/>
    <w:rsid w:val="006A5BD6"/>
    <w:rsid w:val="006A5FAA"/>
    <w:rsid w:val="006A6066"/>
    <w:rsid w:val="006A6426"/>
    <w:rsid w:val="006A66C1"/>
    <w:rsid w:val="006A7172"/>
    <w:rsid w:val="006A7230"/>
    <w:rsid w:val="006A766D"/>
    <w:rsid w:val="006A7B97"/>
    <w:rsid w:val="006A7DE4"/>
    <w:rsid w:val="006B016A"/>
    <w:rsid w:val="006B0468"/>
    <w:rsid w:val="006B070D"/>
    <w:rsid w:val="006B072F"/>
    <w:rsid w:val="006B0D60"/>
    <w:rsid w:val="006B13CA"/>
    <w:rsid w:val="006B1952"/>
    <w:rsid w:val="006B1ACE"/>
    <w:rsid w:val="006B1C6C"/>
    <w:rsid w:val="006B1F62"/>
    <w:rsid w:val="006B2737"/>
    <w:rsid w:val="006B2B0E"/>
    <w:rsid w:val="006B2B2D"/>
    <w:rsid w:val="006B2EC0"/>
    <w:rsid w:val="006B2EE9"/>
    <w:rsid w:val="006B31C2"/>
    <w:rsid w:val="006B3F60"/>
    <w:rsid w:val="006B4196"/>
    <w:rsid w:val="006B434A"/>
    <w:rsid w:val="006B43D2"/>
    <w:rsid w:val="006B4498"/>
    <w:rsid w:val="006B4C3C"/>
    <w:rsid w:val="006B4F32"/>
    <w:rsid w:val="006B528C"/>
    <w:rsid w:val="006B52FA"/>
    <w:rsid w:val="006B5CE8"/>
    <w:rsid w:val="006B6606"/>
    <w:rsid w:val="006B6C29"/>
    <w:rsid w:val="006B70D5"/>
    <w:rsid w:val="006B7269"/>
    <w:rsid w:val="006B7408"/>
    <w:rsid w:val="006B75D6"/>
    <w:rsid w:val="006B767B"/>
    <w:rsid w:val="006B776C"/>
    <w:rsid w:val="006B7C59"/>
    <w:rsid w:val="006C03CD"/>
    <w:rsid w:val="006C0C5A"/>
    <w:rsid w:val="006C0DC8"/>
    <w:rsid w:val="006C10BE"/>
    <w:rsid w:val="006C16F7"/>
    <w:rsid w:val="006C250F"/>
    <w:rsid w:val="006C2961"/>
    <w:rsid w:val="006C29A4"/>
    <w:rsid w:val="006C2DD3"/>
    <w:rsid w:val="006C2E82"/>
    <w:rsid w:val="006C2EBB"/>
    <w:rsid w:val="006C34EF"/>
    <w:rsid w:val="006C3654"/>
    <w:rsid w:val="006C3B41"/>
    <w:rsid w:val="006C40C5"/>
    <w:rsid w:val="006C45A5"/>
    <w:rsid w:val="006C4877"/>
    <w:rsid w:val="006C4B1D"/>
    <w:rsid w:val="006C4FB5"/>
    <w:rsid w:val="006C576C"/>
    <w:rsid w:val="006C6307"/>
    <w:rsid w:val="006C6323"/>
    <w:rsid w:val="006C643A"/>
    <w:rsid w:val="006C689B"/>
    <w:rsid w:val="006C68E3"/>
    <w:rsid w:val="006C6BC5"/>
    <w:rsid w:val="006C6E98"/>
    <w:rsid w:val="006C6FB7"/>
    <w:rsid w:val="006C77A0"/>
    <w:rsid w:val="006C7989"/>
    <w:rsid w:val="006D016B"/>
    <w:rsid w:val="006D0771"/>
    <w:rsid w:val="006D0867"/>
    <w:rsid w:val="006D0CBE"/>
    <w:rsid w:val="006D11DC"/>
    <w:rsid w:val="006D12E3"/>
    <w:rsid w:val="006D13D2"/>
    <w:rsid w:val="006D16F0"/>
    <w:rsid w:val="006D1956"/>
    <w:rsid w:val="006D1F7C"/>
    <w:rsid w:val="006D1F7D"/>
    <w:rsid w:val="006D1FAA"/>
    <w:rsid w:val="006D22AF"/>
    <w:rsid w:val="006D22DA"/>
    <w:rsid w:val="006D22F9"/>
    <w:rsid w:val="006D22FF"/>
    <w:rsid w:val="006D25E4"/>
    <w:rsid w:val="006D28F3"/>
    <w:rsid w:val="006D41AD"/>
    <w:rsid w:val="006D41B4"/>
    <w:rsid w:val="006D48D8"/>
    <w:rsid w:val="006D51A4"/>
    <w:rsid w:val="006D555D"/>
    <w:rsid w:val="006D5627"/>
    <w:rsid w:val="006D57C9"/>
    <w:rsid w:val="006D58C1"/>
    <w:rsid w:val="006D5B78"/>
    <w:rsid w:val="006D6280"/>
    <w:rsid w:val="006D666F"/>
    <w:rsid w:val="006D686B"/>
    <w:rsid w:val="006D691D"/>
    <w:rsid w:val="006D6C1D"/>
    <w:rsid w:val="006D6E91"/>
    <w:rsid w:val="006D7075"/>
    <w:rsid w:val="006D7925"/>
    <w:rsid w:val="006D7A4D"/>
    <w:rsid w:val="006D7B8A"/>
    <w:rsid w:val="006E03C2"/>
    <w:rsid w:val="006E09F2"/>
    <w:rsid w:val="006E1507"/>
    <w:rsid w:val="006E1590"/>
    <w:rsid w:val="006E176B"/>
    <w:rsid w:val="006E20DF"/>
    <w:rsid w:val="006E2332"/>
    <w:rsid w:val="006E23E1"/>
    <w:rsid w:val="006E2909"/>
    <w:rsid w:val="006E2A1C"/>
    <w:rsid w:val="006E2C96"/>
    <w:rsid w:val="006E2CF8"/>
    <w:rsid w:val="006E2F78"/>
    <w:rsid w:val="006E30B1"/>
    <w:rsid w:val="006E3239"/>
    <w:rsid w:val="006E348A"/>
    <w:rsid w:val="006E3A30"/>
    <w:rsid w:val="006E3AE5"/>
    <w:rsid w:val="006E3BFB"/>
    <w:rsid w:val="006E3FC6"/>
    <w:rsid w:val="006E403B"/>
    <w:rsid w:val="006E4155"/>
    <w:rsid w:val="006E41E7"/>
    <w:rsid w:val="006E4467"/>
    <w:rsid w:val="006E48F5"/>
    <w:rsid w:val="006E49C2"/>
    <w:rsid w:val="006E4C51"/>
    <w:rsid w:val="006E4F6C"/>
    <w:rsid w:val="006E5B76"/>
    <w:rsid w:val="006E6397"/>
    <w:rsid w:val="006E656E"/>
    <w:rsid w:val="006E6817"/>
    <w:rsid w:val="006E6852"/>
    <w:rsid w:val="006E69CF"/>
    <w:rsid w:val="006E6D75"/>
    <w:rsid w:val="006E6E04"/>
    <w:rsid w:val="006E6FA0"/>
    <w:rsid w:val="006E710A"/>
    <w:rsid w:val="006F06D7"/>
    <w:rsid w:val="006F083C"/>
    <w:rsid w:val="006F0A31"/>
    <w:rsid w:val="006F0B20"/>
    <w:rsid w:val="006F0BC3"/>
    <w:rsid w:val="006F0F63"/>
    <w:rsid w:val="006F1075"/>
    <w:rsid w:val="006F1109"/>
    <w:rsid w:val="006F193C"/>
    <w:rsid w:val="006F1C1D"/>
    <w:rsid w:val="006F1D4A"/>
    <w:rsid w:val="006F1EEE"/>
    <w:rsid w:val="006F2021"/>
    <w:rsid w:val="006F231E"/>
    <w:rsid w:val="006F267F"/>
    <w:rsid w:val="006F2A39"/>
    <w:rsid w:val="006F2CED"/>
    <w:rsid w:val="006F2FBE"/>
    <w:rsid w:val="006F41A3"/>
    <w:rsid w:val="006F45BD"/>
    <w:rsid w:val="006F4997"/>
    <w:rsid w:val="006F4BED"/>
    <w:rsid w:val="006F4EFE"/>
    <w:rsid w:val="006F4F06"/>
    <w:rsid w:val="006F5121"/>
    <w:rsid w:val="006F53FF"/>
    <w:rsid w:val="006F55C3"/>
    <w:rsid w:val="006F565F"/>
    <w:rsid w:val="006F585E"/>
    <w:rsid w:val="006F5F0D"/>
    <w:rsid w:val="006F62C5"/>
    <w:rsid w:val="006F6B19"/>
    <w:rsid w:val="006F7BA3"/>
    <w:rsid w:val="00700492"/>
    <w:rsid w:val="0070053B"/>
    <w:rsid w:val="00700C31"/>
    <w:rsid w:val="00701249"/>
    <w:rsid w:val="0070192C"/>
    <w:rsid w:val="00701A9E"/>
    <w:rsid w:val="00701D2C"/>
    <w:rsid w:val="00702024"/>
    <w:rsid w:val="00702450"/>
    <w:rsid w:val="00702539"/>
    <w:rsid w:val="007026E2"/>
    <w:rsid w:val="00702C47"/>
    <w:rsid w:val="00702CFB"/>
    <w:rsid w:val="00703133"/>
    <w:rsid w:val="0070331D"/>
    <w:rsid w:val="0070341A"/>
    <w:rsid w:val="00703736"/>
    <w:rsid w:val="0070381D"/>
    <w:rsid w:val="00703A83"/>
    <w:rsid w:val="00704278"/>
    <w:rsid w:val="007042CF"/>
    <w:rsid w:val="0070430F"/>
    <w:rsid w:val="00704B9E"/>
    <w:rsid w:val="00704E7D"/>
    <w:rsid w:val="007050CA"/>
    <w:rsid w:val="0070519E"/>
    <w:rsid w:val="0070551F"/>
    <w:rsid w:val="007056F6"/>
    <w:rsid w:val="007058D4"/>
    <w:rsid w:val="00705B3C"/>
    <w:rsid w:val="007063C3"/>
    <w:rsid w:val="0070648B"/>
    <w:rsid w:val="007068F8"/>
    <w:rsid w:val="00706CA3"/>
    <w:rsid w:val="0070706B"/>
    <w:rsid w:val="0070742A"/>
    <w:rsid w:val="00707617"/>
    <w:rsid w:val="0070793C"/>
    <w:rsid w:val="007079F8"/>
    <w:rsid w:val="00707ADD"/>
    <w:rsid w:val="00707E1D"/>
    <w:rsid w:val="00707E96"/>
    <w:rsid w:val="00707FB7"/>
    <w:rsid w:val="00710312"/>
    <w:rsid w:val="0071033F"/>
    <w:rsid w:val="007106AF"/>
    <w:rsid w:val="00710965"/>
    <w:rsid w:val="00710A32"/>
    <w:rsid w:val="00710C45"/>
    <w:rsid w:val="00710EE3"/>
    <w:rsid w:val="0071108C"/>
    <w:rsid w:val="0071265F"/>
    <w:rsid w:val="00714102"/>
    <w:rsid w:val="00714479"/>
    <w:rsid w:val="00714B0F"/>
    <w:rsid w:val="00714E15"/>
    <w:rsid w:val="0071511A"/>
    <w:rsid w:val="00715319"/>
    <w:rsid w:val="007156B0"/>
    <w:rsid w:val="00715D5C"/>
    <w:rsid w:val="00715F63"/>
    <w:rsid w:val="007160F6"/>
    <w:rsid w:val="007161C6"/>
    <w:rsid w:val="0071622D"/>
    <w:rsid w:val="0071628F"/>
    <w:rsid w:val="007168EB"/>
    <w:rsid w:val="007172F1"/>
    <w:rsid w:val="00717AEC"/>
    <w:rsid w:val="00717DED"/>
    <w:rsid w:val="007204CB"/>
    <w:rsid w:val="00720D46"/>
    <w:rsid w:val="00720EBA"/>
    <w:rsid w:val="007216CD"/>
    <w:rsid w:val="0072194A"/>
    <w:rsid w:val="00721B3F"/>
    <w:rsid w:val="00721BCC"/>
    <w:rsid w:val="00721F06"/>
    <w:rsid w:val="00722BA6"/>
    <w:rsid w:val="00722BC9"/>
    <w:rsid w:val="00722D48"/>
    <w:rsid w:val="00722F40"/>
    <w:rsid w:val="00723285"/>
    <w:rsid w:val="00723C1D"/>
    <w:rsid w:val="00724683"/>
    <w:rsid w:val="00724CB6"/>
    <w:rsid w:val="0072521D"/>
    <w:rsid w:val="00725251"/>
    <w:rsid w:val="00725599"/>
    <w:rsid w:val="00725B26"/>
    <w:rsid w:val="00725F6D"/>
    <w:rsid w:val="00726019"/>
    <w:rsid w:val="0072620D"/>
    <w:rsid w:val="007262B7"/>
    <w:rsid w:val="00726B81"/>
    <w:rsid w:val="00726BC5"/>
    <w:rsid w:val="00727863"/>
    <w:rsid w:val="00727A81"/>
    <w:rsid w:val="00727DB1"/>
    <w:rsid w:val="00727DD6"/>
    <w:rsid w:val="007302EF"/>
    <w:rsid w:val="00730756"/>
    <w:rsid w:val="007308F2"/>
    <w:rsid w:val="00730934"/>
    <w:rsid w:val="00730D20"/>
    <w:rsid w:val="00731133"/>
    <w:rsid w:val="00731387"/>
    <w:rsid w:val="00731AC1"/>
    <w:rsid w:val="00731BF9"/>
    <w:rsid w:val="00731C5F"/>
    <w:rsid w:val="0073217B"/>
    <w:rsid w:val="0073220C"/>
    <w:rsid w:val="007323D3"/>
    <w:rsid w:val="00732464"/>
    <w:rsid w:val="0073259A"/>
    <w:rsid w:val="007325BB"/>
    <w:rsid w:val="007327EE"/>
    <w:rsid w:val="00732EA3"/>
    <w:rsid w:val="00732EF4"/>
    <w:rsid w:val="007337DD"/>
    <w:rsid w:val="00733825"/>
    <w:rsid w:val="00733C9E"/>
    <w:rsid w:val="00734359"/>
    <w:rsid w:val="0073437D"/>
    <w:rsid w:val="007345D4"/>
    <w:rsid w:val="00734687"/>
    <w:rsid w:val="007346FB"/>
    <w:rsid w:val="007347FF"/>
    <w:rsid w:val="00734A74"/>
    <w:rsid w:val="00734C71"/>
    <w:rsid w:val="00734F1D"/>
    <w:rsid w:val="00734FA2"/>
    <w:rsid w:val="00735258"/>
    <w:rsid w:val="007353F4"/>
    <w:rsid w:val="0073547D"/>
    <w:rsid w:val="00735BFB"/>
    <w:rsid w:val="00735D69"/>
    <w:rsid w:val="00735E6A"/>
    <w:rsid w:val="00735FF3"/>
    <w:rsid w:val="0073644D"/>
    <w:rsid w:val="0073667A"/>
    <w:rsid w:val="0073696C"/>
    <w:rsid w:val="00736D60"/>
    <w:rsid w:val="00736E71"/>
    <w:rsid w:val="00736F68"/>
    <w:rsid w:val="007372C8"/>
    <w:rsid w:val="00737439"/>
    <w:rsid w:val="00737711"/>
    <w:rsid w:val="00737900"/>
    <w:rsid w:val="00737A2E"/>
    <w:rsid w:val="00737FEF"/>
    <w:rsid w:val="007404AD"/>
    <w:rsid w:val="007408CE"/>
    <w:rsid w:val="00740D04"/>
    <w:rsid w:val="007412BA"/>
    <w:rsid w:val="007414B7"/>
    <w:rsid w:val="00741F42"/>
    <w:rsid w:val="007421A3"/>
    <w:rsid w:val="0074250B"/>
    <w:rsid w:val="007430C1"/>
    <w:rsid w:val="00743FE7"/>
    <w:rsid w:val="00744006"/>
    <w:rsid w:val="00744042"/>
    <w:rsid w:val="0074404F"/>
    <w:rsid w:val="00744186"/>
    <w:rsid w:val="007441C0"/>
    <w:rsid w:val="007443B5"/>
    <w:rsid w:val="007447E2"/>
    <w:rsid w:val="00744B79"/>
    <w:rsid w:val="007457F2"/>
    <w:rsid w:val="007459BA"/>
    <w:rsid w:val="00745D10"/>
    <w:rsid w:val="007460EB"/>
    <w:rsid w:val="00746178"/>
    <w:rsid w:val="007461D0"/>
    <w:rsid w:val="00746596"/>
    <w:rsid w:val="00746708"/>
    <w:rsid w:val="00746BE5"/>
    <w:rsid w:val="00746EBA"/>
    <w:rsid w:val="00747F1A"/>
    <w:rsid w:val="00750567"/>
    <w:rsid w:val="00750B74"/>
    <w:rsid w:val="00750F79"/>
    <w:rsid w:val="007511C8"/>
    <w:rsid w:val="00751883"/>
    <w:rsid w:val="0075188E"/>
    <w:rsid w:val="00751BEB"/>
    <w:rsid w:val="00751C0D"/>
    <w:rsid w:val="0075267D"/>
    <w:rsid w:val="007527A3"/>
    <w:rsid w:val="00752DB8"/>
    <w:rsid w:val="00753640"/>
    <w:rsid w:val="00753973"/>
    <w:rsid w:val="00753B87"/>
    <w:rsid w:val="00754179"/>
    <w:rsid w:val="00754A6A"/>
    <w:rsid w:val="00754D4E"/>
    <w:rsid w:val="007552F6"/>
    <w:rsid w:val="007554A1"/>
    <w:rsid w:val="007557A5"/>
    <w:rsid w:val="00755ABF"/>
    <w:rsid w:val="00755F22"/>
    <w:rsid w:val="00756033"/>
    <w:rsid w:val="007560E0"/>
    <w:rsid w:val="007563D5"/>
    <w:rsid w:val="007565C3"/>
    <w:rsid w:val="007565E8"/>
    <w:rsid w:val="00756663"/>
    <w:rsid w:val="0075688D"/>
    <w:rsid w:val="007569AA"/>
    <w:rsid w:val="00756FD7"/>
    <w:rsid w:val="00757184"/>
    <w:rsid w:val="0075752A"/>
    <w:rsid w:val="00760229"/>
    <w:rsid w:val="00760773"/>
    <w:rsid w:val="00760E66"/>
    <w:rsid w:val="007611AA"/>
    <w:rsid w:val="0076133C"/>
    <w:rsid w:val="00761890"/>
    <w:rsid w:val="00761C09"/>
    <w:rsid w:val="0076216E"/>
    <w:rsid w:val="0076220D"/>
    <w:rsid w:val="00762301"/>
    <w:rsid w:val="0076244B"/>
    <w:rsid w:val="00762549"/>
    <w:rsid w:val="007633A3"/>
    <w:rsid w:val="007637CA"/>
    <w:rsid w:val="007648FE"/>
    <w:rsid w:val="00764A59"/>
    <w:rsid w:val="00764BF7"/>
    <w:rsid w:val="00764DB7"/>
    <w:rsid w:val="0076539F"/>
    <w:rsid w:val="00765601"/>
    <w:rsid w:val="00765CF6"/>
    <w:rsid w:val="007665E9"/>
    <w:rsid w:val="00766856"/>
    <w:rsid w:val="00766D58"/>
    <w:rsid w:val="00766F31"/>
    <w:rsid w:val="00767030"/>
    <w:rsid w:val="007671CC"/>
    <w:rsid w:val="007671DC"/>
    <w:rsid w:val="00767515"/>
    <w:rsid w:val="00767794"/>
    <w:rsid w:val="0076780B"/>
    <w:rsid w:val="00767ACD"/>
    <w:rsid w:val="00770121"/>
    <w:rsid w:val="007706F1"/>
    <w:rsid w:val="00770774"/>
    <w:rsid w:val="00770DB7"/>
    <w:rsid w:val="0077170E"/>
    <w:rsid w:val="007718A7"/>
    <w:rsid w:val="00771EDF"/>
    <w:rsid w:val="00772462"/>
    <w:rsid w:val="0077271F"/>
    <w:rsid w:val="007729B9"/>
    <w:rsid w:val="00773A76"/>
    <w:rsid w:val="007749E2"/>
    <w:rsid w:val="00774D0A"/>
    <w:rsid w:val="00775288"/>
    <w:rsid w:val="00775B23"/>
    <w:rsid w:val="00775EEA"/>
    <w:rsid w:val="007764E0"/>
    <w:rsid w:val="007767E6"/>
    <w:rsid w:val="00776BEF"/>
    <w:rsid w:val="00777114"/>
    <w:rsid w:val="0077714D"/>
    <w:rsid w:val="0077735C"/>
    <w:rsid w:val="00777A74"/>
    <w:rsid w:val="00777BE3"/>
    <w:rsid w:val="007802C9"/>
    <w:rsid w:val="00780955"/>
    <w:rsid w:val="00780C24"/>
    <w:rsid w:val="0078165A"/>
    <w:rsid w:val="00781710"/>
    <w:rsid w:val="0078192C"/>
    <w:rsid w:val="00781D03"/>
    <w:rsid w:val="00781E12"/>
    <w:rsid w:val="00781F83"/>
    <w:rsid w:val="00782745"/>
    <w:rsid w:val="00782E57"/>
    <w:rsid w:val="00782F6F"/>
    <w:rsid w:val="0078335B"/>
    <w:rsid w:val="00783704"/>
    <w:rsid w:val="00784015"/>
    <w:rsid w:val="007848D1"/>
    <w:rsid w:val="007854BA"/>
    <w:rsid w:val="007857FD"/>
    <w:rsid w:val="00785865"/>
    <w:rsid w:val="00785933"/>
    <w:rsid w:val="0078644A"/>
    <w:rsid w:val="0078651E"/>
    <w:rsid w:val="00786600"/>
    <w:rsid w:val="00786786"/>
    <w:rsid w:val="00786A48"/>
    <w:rsid w:val="00786CF3"/>
    <w:rsid w:val="00786F32"/>
    <w:rsid w:val="007870C5"/>
    <w:rsid w:val="0078798F"/>
    <w:rsid w:val="00787AA0"/>
    <w:rsid w:val="00787B53"/>
    <w:rsid w:val="00790691"/>
    <w:rsid w:val="007906BE"/>
    <w:rsid w:val="00790859"/>
    <w:rsid w:val="00790BE5"/>
    <w:rsid w:val="00790C5F"/>
    <w:rsid w:val="00790FD5"/>
    <w:rsid w:val="007913D9"/>
    <w:rsid w:val="00791705"/>
    <w:rsid w:val="007921AD"/>
    <w:rsid w:val="00792345"/>
    <w:rsid w:val="00792A33"/>
    <w:rsid w:val="00792AF8"/>
    <w:rsid w:val="00792E64"/>
    <w:rsid w:val="007931A6"/>
    <w:rsid w:val="007931F1"/>
    <w:rsid w:val="00793699"/>
    <w:rsid w:val="0079380A"/>
    <w:rsid w:val="00793DC6"/>
    <w:rsid w:val="00793EE6"/>
    <w:rsid w:val="00794DAC"/>
    <w:rsid w:val="00795008"/>
    <w:rsid w:val="007952F1"/>
    <w:rsid w:val="00795C67"/>
    <w:rsid w:val="007962D4"/>
    <w:rsid w:val="007972AB"/>
    <w:rsid w:val="00797437"/>
    <w:rsid w:val="00797702"/>
    <w:rsid w:val="00797B7E"/>
    <w:rsid w:val="00797BEB"/>
    <w:rsid w:val="007A0A80"/>
    <w:rsid w:val="007A0E1E"/>
    <w:rsid w:val="007A0F04"/>
    <w:rsid w:val="007A1491"/>
    <w:rsid w:val="007A18E8"/>
    <w:rsid w:val="007A2339"/>
    <w:rsid w:val="007A24A5"/>
    <w:rsid w:val="007A2912"/>
    <w:rsid w:val="007A2BBD"/>
    <w:rsid w:val="007A2C44"/>
    <w:rsid w:val="007A2E42"/>
    <w:rsid w:val="007A32AF"/>
    <w:rsid w:val="007A35E4"/>
    <w:rsid w:val="007A369A"/>
    <w:rsid w:val="007A37AC"/>
    <w:rsid w:val="007A3A16"/>
    <w:rsid w:val="007A3B76"/>
    <w:rsid w:val="007A3C99"/>
    <w:rsid w:val="007A3EBD"/>
    <w:rsid w:val="007A3F34"/>
    <w:rsid w:val="007A41FA"/>
    <w:rsid w:val="007A442E"/>
    <w:rsid w:val="007A4547"/>
    <w:rsid w:val="007A49C1"/>
    <w:rsid w:val="007A56C9"/>
    <w:rsid w:val="007A6EF7"/>
    <w:rsid w:val="007A7087"/>
    <w:rsid w:val="007A727D"/>
    <w:rsid w:val="007A7570"/>
    <w:rsid w:val="007A7E16"/>
    <w:rsid w:val="007A7F50"/>
    <w:rsid w:val="007B077A"/>
    <w:rsid w:val="007B0894"/>
    <w:rsid w:val="007B08BB"/>
    <w:rsid w:val="007B0A35"/>
    <w:rsid w:val="007B0B96"/>
    <w:rsid w:val="007B0BAB"/>
    <w:rsid w:val="007B0C7A"/>
    <w:rsid w:val="007B0D1E"/>
    <w:rsid w:val="007B0D63"/>
    <w:rsid w:val="007B0F17"/>
    <w:rsid w:val="007B1078"/>
    <w:rsid w:val="007B110A"/>
    <w:rsid w:val="007B156E"/>
    <w:rsid w:val="007B1628"/>
    <w:rsid w:val="007B1EB9"/>
    <w:rsid w:val="007B1EC2"/>
    <w:rsid w:val="007B1F22"/>
    <w:rsid w:val="007B2927"/>
    <w:rsid w:val="007B3633"/>
    <w:rsid w:val="007B36B7"/>
    <w:rsid w:val="007B3ED7"/>
    <w:rsid w:val="007B4444"/>
    <w:rsid w:val="007B491E"/>
    <w:rsid w:val="007B549D"/>
    <w:rsid w:val="007B571E"/>
    <w:rsid w:val="007B5F3F"/>
    <w:rsid w:val="007B6439"/>
    <w:rsid w:val="007B6782"/>
    <w:rsid w:val="007B6AD9"/>
    <w:rsid w:val="007B6AF6"/>
    <w:rsid w:val="007B6B3A"/>
    <w:rsid w:val="007B6D16"/>
    <w:rsid w:val="007B6D46"/>
    <w:rsid w:val="007B70AE"/>
    <w:rsid w:val="007B7A04"/>
    <w:rsid w:val="007B7FF7"/>
    <w:rsid w:val="007C05CD"/>
    <w:rsid w:val="007C05F2"/>
    <w:rsid w:val="007C069A"/>
    <w:rsid w:val="007C0D10"/>
    <w:rsid w:val="007C0DE1"/>
    <w:rsid w:val="007C12CB"/>
    <w:rsid w:val="007C1365"/>
    <w:rsid w:val="007C13BD"/>
    <w:rsid w:val="007C1CB2"/>
    <w:rsid w:val="007C20DB"/>
    <w:rsid w:val="007C2D02"/>
    <w:rsid w:val="007C2FFF"/>
    <w:rsid w:val="007C3092"/>
    <w:rsid w:val="007C372F"/>
    <w:rsid w:val="007C37C7"/>
    <w:rsid w:val="007C3ECB"/>
    <w:rsid w:val="007C4206"/>
    <w:rsid w:val="007C44F6"/>
    <w:rsid w:val="007C46EA"/>
    <w:rsid w:val="007C4AC5"/>
    <w:rsid w:val="007C569E"/>
    <w:rsid w:val="007C5DCF"/>
    <w:rsid w:val="007C6070"/>
    <w:rsid w:val="007C623D"/>
    <w:rsid w:val="007C6513"/>
    <w:rsid w:val="007C69C6"/>
    <w:rsid w:val="007C6E89"/>
    <w:rsid w:val="007C77BF"/>
    <w:rsid w:val="007C7CB1"/>
    <w:rsid w:val="007C7F0B"/>
    <w:rsid w:val="007C7FAE"/>
    <w:rsid w:val="007D0260"/>
    <w:rsid w:val="007D0359"/>
    <w:rsid w:val="007D04F3"/>
    <w:rsid w:val="007D0764"/>
    <w:rsid w:val="007D077B"/>
    <w:rsid w:val="007D1B1C"/>
    <w:rsid w:val="007D1DF2"/>
    <w:rsid w:val="007D1F71"/>
    <w:rsid w:val="007D251C"/>
    <w:rsid w:val="007D2548"/>
    <w:rsid w:val="007D2F8B"/>
    <w:rsid w:val="007D351A"/>
    <w:rsid w:val="007D3727"/>
    <w:rsid w:val="007D37D7"/>
    <w:rsid w:val="007D3899"/>
    <w:rsid w:val="007D38AE"/>
    <w:rsid w:val="007D3BF4"/>
    <w:rsid w:val="007D3C87"/>
    <w:rsid w:val="007D4234"/>
    <w:rsid w:val="007D528D"/>
    <w:rsid w:val="007D5505"/>
    <w:rsid w:val="007D5623"/>
    <w:rsid w:val="007D5F4E"/>
    <w:rsid w:val="007D6451"/>
    <w:rsid w:val="007D6E38"/>
    <w:rsid w:val="007D71A7"/>
    <w:rsid w:val="007D7239"/>
    <w:rsid w:val="007D7281"/>
    <w:rsid w:val="007D73A4"/>
    <w:rsid w:val="007D76C7"/>
    <w:rsid w:val="007D76E8"/>
    <w:rsid w:val="007E0141"/>
    <w:rsid w:val="007E06BD"/>
    <w:rsid w:val="007E0BF4"/>
    <w:rsid w:val="007E100B"/>
    <w:rsid w:val="007E178D"/>
    <w:rsid w:val="007E1ABA"/>
    <w:rsid w:val="007E2103"/>
    <w:rsid w:val="007E217A"/>
    <w:rsid w:val="007E2635"/>
    <w:rsid w:val="007E270C"/>
    <w:rsid w:val="007E2863"/>
    <w:rsid w:val="007E28FF"/>
    <w:rsid w:val="007E2EC1"/>
    <w:rsid w:val="007E3247"/>
    <w:rsid w:val="007E3A59"/>
    <w:rsid w:val="007E3D1C"/>
    <w:rsid w:val="007E3DB6"/>
    <w:rsid w:val="007E46ED"/>
    <w:rsid w:val="007E4929"/>
    <w:rsid w:val="007E4A2C"/>
    <w:rsid w:val="007E4FDD"/>
    <w:rsid w:val="007E526F"/>
    <w:rsid w:val="007E5301"/>
    <w:rsid w:val="007E5351"/>
    <w:rsid w:val="007E5E50"/>
    <w:rsid w:val="007E64A0"/>
    <w:rsid w:val="007E66E2"/>
    <w:rsid w:val="007E6807"/>
    <w:rsid w:val="007E68FC"/>
    <w:rsid w:val="007E6B02"/>
    <w:rsid w:val="007E6BF0"/>
    <w:rsid w:val="007E6F4D"/>
    <w:rsid w:val="007E7AA5"/>
    <w:rsid w:val="007E7B99"/>
    <w:rsid w:val="007E7D26"/>
    <w:rsid w:val="007F0121"/>
    <w:rsid w:val="007F0426"/>
    <w:rsid w:val="007F06BE"/>
    <w:rsid w:val="007F0F05"/>
    <w:rsid w:val="007F14AF"/>
    <w:rsid w:val="007F17E6"/>
    <w:rsid w:val="007F2010"/>
    <w:rsid w:val="007F22BC"/>
    <w:rsid w:val="007F27E2"/>
    <w:rsid w:val="007F2F2B"/>
    <w:rsid w:val="007F2F4D"/>
    <w:rsid w:val="007F2F4E"/>
    <w:rsid w:val="007F32FB"/>
    <w:rsid w:val="007F348D"/>
    <w:rsid w:val="007F35C6"/>
    <w:rsid w:val="007F3D64"/>
    <w:rsid w:val="007F3E4D"/>
    <w:rsid w:val="007F3F54"/>
    <w:rsid w:val="007F3F6C"/>
    <w:rsid w:val="007F3FC1"/>
    <w:rsid w:val="007F45DB"/>
    <w:rsid w:val="007F494F"/>
    <w:rsid w:val="007F4A67"/>
    <w:rsid w:val="007F4A7C"/>
    <w:rsid w:val="007F4C6C"/>
    <w:rsid w:val="007F559D"/>
    <w:rsid w:val="007F5C49"/>
    <w:rsid w:val="007F609F"/>
    <w:rsid w:val="007F61EC"/>
    <w:rsid w:val="007F6C3D"/>
    <w:rsid w:val="007F7669"/>
    <w:rsid w:val="007F7991"/>
    <w:rsid w:val="008003D7"/>
    <w:rsid w:val="00800500"/>
    <w:rsid w:val="0080052C"/>
    <w:rsid w:val="008005CC"/>
    <w:rsid w:val="008009BB"/>
    <w:rsid w:val="00800B17"/>
    <w:rsid w:val="00801080"/>
    <w:rsid w:val="008012FF"/>
    <w:rsid w:val="00801B77"/>
    <w:rsid w:val="00801BF1"/>
    <w:rsid w:val="00802098"/>
    <w:rsid w:val="0080242A"/>
    <w:rsid w:val="0080298A"/>
    <w:rsid w:val="00802B02"/>
    <w:rsid w:val="00803085"/>
    <w:rsid w:val="00803896"/>
    <w:rsid w:val="00803997"/>
    <w:rsid w:val="00804299"/>
    <w:rsid w:val="0080435C"/>
    <w:rsid w:val="008043C6"/>
    <w:rsid w:val="008048B7"/>
    <w:rsid w:val="00804A26"/>
    <w:rsid w:val="0080562C"/>
    <w:rsid w:val="00805DC7"/>
    <w:rsid w:val="0080625A"/>
    <w:rsid w:val="0080636B"/>
    <w:rsid w:val="008066B5"/>
    <w:rsid w:val="00806966"/>
    <w:rsid w:val="00806F33"/>
    <w:rsid w:val="008070E2"/>
    <w:rsid w:val="00807A17"/>
    <w:rsid w:val="00807D45"/>
    <w:rsid w:val="00807D4B"/>
    <w:rsid w:val="00807F51"/>
    <w:rsid w:val="00807FC4"/>
    <w:rsid w:val="008100F1"/>
    <w:rsid w:val="00810647"/>
    <w:rsid w:val="0081109E"/>
    <w:rsid w:val="008117C4"/>
    <w:rsid w:val="00811BC0"/>
    <w:rsid w:val="00811D71"/>
    <w:rsid w:val="00811D8F"/>
    <w:rsid w:val="00812057"/>
    <w:rsid w:val="0081223B"/>
    <w:rsid w:val="0081256A"/>
    <w:rsid w:val="008125A5"/>
    <w:rsid w:val="008127C7"/>
    <w:rsid w:val="008132EF"/>
    <w:rsid w:val="00813C1F"/>
    <w:rsid w:val="00813FD9"/>
    <w:rsid w:val="008140C9"/>
    <w:rsid w:val="0081413D"/>
    <w:rsid w:val="0081439E"/>
    <w:rsid w:val="00814829"/>
    <w:rsid w:val="008148DF"/>
    <w:rsid w:val="008153A6"/>
    <w:rsid w:val="0081632A"/>
    <w:rsid w:val="00816A5F"/>
    <w:rsid w:val="00816B93"/>
    <w:rsid w:val="00816C9A"/>
    <w:rsid w:val="00816F4A"/>
    <w:rsid w:val="008172B9"/>
    <w:rsid w:val="008172C9"/>
    <w:rsid w:val="00817387"/>
    <w:rsid w:val="00817989"/>
    <w:rsid w:val="008202D3"/>
    <w:rsid w:val="0082051D"/>
    <w:rsid w:val="00820CE3"/>
    <w:rsid w:val="00820E7B"/>
    <w:rsid w:val="0082114F"/>
    <w:rsid w:val="00821719"/>
    <w:rsid w:val="00821E83"/>
    <w:rsid w:val="00822007"/>
    <w:rsid w:val="0082249A"/>
    <w:rsid w:val="00822CB9"/>
    <w:rsid w:val="00822FE8"/>
    <w:rsid w:val="00823D1A"/>
    <w:rsid w:val="0082420D"/>
    <w:rsid w:val="00824239"/>
    <w:rsid w:val="0082425A"/>
    <w:rsid w:val="00824284"/>
    <w:rsid w:val="008243D8"/>
    <w:rsid w:val="0082457E"/>
    <w:rsid w:val="008245AA"/>
    <w:rsid w:val="008246E4"/>
    <w:rsid w:val="008249E8"/>
    <w:rsid w:val="00824E06"/>
    <w:rsid w:val="00824EB0"/>
    <w:rsid w:val="00825277"/>
    <w:rsid w:val="008252CA"/>
    <w:rsid w:val="00825A35"/>
    <w:rsid w:val="00825CD6"/>
    <w:rsid w:val="00826154"/>
    <w:rsid w:val="0082668A"/>
    <w:rsid w:val="008269CC"/>
    <w:rsid w:val="00826C90"/>
    <w:rsid w:val="00826F30"/>
    <w:rsid w:val="0082710E"/>
    <w:rsid w:val="008273BE"/>
    <w:rsid w:val="0082758B"/>
    <w:rsid w:val="00827901"/>
    <w:rsid w:val="0082796E"/>
    <w:rsid w:val="00827A9F"/>
    <w:rsid w:val="00827BD9"/>
    <w:rsid w:val="00830C68"/>
    <w:rsid w:val="008310B5"/>
    <w:rsid w:val="008311F6"/>
    <w:rsid w:val="00831468"/>
    <w:rsid w:val="00831494"/>
    <w:rsid w:val="0083182A"/>
    <w:rsid w:val="00831A17"/>
    <w:rsid w:val="00831EE8"/>
    <w:rsid w:val="00831F49"/>
    <w:rsid w:val="0083212B"/>
    <w:rsid w:val="0083232F"/>
    <w:rsid w:val="008327C5"/>
    <w:rsid w:val="00832845"/>
    <w:rsid w:val="00832889"/>
    <w:rsid w:val="00832C45"/>
    <w:rsid w:val="00833199"/>
    <w:rsid w:val="008334DC"/>
    <w:rsid w:val="00833AFC"/>
    <w:rsid w:val="00833B57"/>
    <w:rsid w:val="00834473"/>
    <w:rsid w:val="008344DE"/>
    <w:rsid w:val="00834616"/>
    <w:rsid w:val="00834CF7"/>
    <w:rsid w:val="00835017"/>
    <w:rsid w:val="00835A31"/>
    <w:rsid w:val="00835C99"/>
    <w:rsid w:val="00835DDC"/>
    <w:rsid w:val="00835F49"/>
    <w:rsid w:val="00836222"/>
    <w:rsid w:val="00836BAA"/>
    <w:rsid w:val="00837282"/>
    <w:rsid w:val="0083746F"/>
    <w:rsid w:val="0083751D"/>
    <w:rsid w:val="0083773A"/>
    <w:rsid w:val="0083777B"/>
    <w:rsid w:val="008378B0"/>
    <w:rsid w:val="00837AB0"/>
    <w:rsid w:val="00837C63"/>
    <w:rsid w:val="00837C76"/>
    <w:rsid w:val="0084045B"/>
    <w:rsid w:val="00840496"/>
    <w:rsid w:val="008404E6"/>
    <w:rsid w:val="00840599"/>
    <w:rsid w:val="00840FE3"/>
    <w:rsid w:val="0084101B"/>
    <w:rsid w:val="00841191"/>
    <w:rsid w:val="0084122C"/>
    <w:rsid w:val="0084129D"/>
    <w:rsid w:val="0084134B"/>
    <w:rsid w:val="0084158C"/>
    <w:rsid w:val="008416A3"/>
    <w:rsid w:val="00841750"/>
    <w:rsid w:val="00841B0D"/>
    <w:rsid w:val="00841C72"/>
    <w:rsid w:val="008420CC"/>
    <w:rsid w:val="0084232E"/>
    <w:rsid w:val="00842866"/>
    <w:rsid w:val="00842890"/>
    <w:rsid w:val="008434DE"/>
    <w:rsid w:val="008439E9"/>
    <w:rsid w:val="00843A23"/>
    <w:rsid w:val="00843B0B"/>
    <w:rsid w:val="00843BC3"/>
    <w:rsid w:val="00843D96"/>
    <w:rsid w:val="00843DD2"/>
    <w:rsid w:val="008440FD"/>
    <w:rsid w:val="00844272"/>
    <w:rsid w:val="008443CF"/>
    <w:rsid w:val="008443DE"/>
    <w:rsid w:val="0084476C"/>
    <w:rsid w:val="00844875"/>
    <w:rsid w:val="00844C03"/>
    <w:rsid w:val="00844CE0"/>
    <w:rsid w:val="00844FBF"/>
    <w:rsid w:val="00844FE4"/>
    <w:rsid w:val="00845253"/>
    <w:rsid w:val="00845485"/>
    <w:rsid w:val="0084553E"/>
    <w:rsid w:val="00845CB0"/>
    <w:rsid w:val="00845CF3"/>
    <w:rsid w:val="0084611F"/>
    <w:rsid w:val="008463E4"/>
    <w:rsid w:val="008468BC"/>
    <w:rsid w:val="00846962"/>
    <w:rsid w:val="00846A86"/>
    <w:rsid w:val="00846B35"/>
    <w:rsid w:val="00846FF2"/>
    <w:rsid w:val="00850290"/>
    <w:rsid w:val="008508B1"/>
    <w:rsid w:val="00850B1D"/>
    <w:rsid w:val="00850DF1"/>
    <w:rsid w:val="0085110C"/>
    <w:rsid w:val="00851139"/>
    <w:rsid w:val="00851938"/>
    <w:rsid w:val="00851B90"/>
    <w:rsid w:val="00851C82"/>
    <w:rsid w:val="00851EA3"/>
    <w:rsid w:val="0085239F"/>
    <w:rsid w:val="00852A0C"/>
    <w:rsid w:val="00852CBE"/>
    <w:rsid w:val="00852FDF"/>
    <w:rsid w:val="00853490"/>
    <w:rsid w:val="00853822"/>
    <w:rsid w:val="00853B0E"/>
    <w:rsid w:val="00853EB6"/>
    <w:rsid w:val="008540F0"/>
    <w:rsid w:val="00854154"/>
    <w:rsid w:val="008543A8"/>
    <w:rsid w:val="00854DFD"/>
    <w:rsid w:val="00854FCC"/>
    <w:rsid w:val="00855071"/>
    <w:rsid w:val="00855B39"/>
    <w:rsid w:val="00855B4E"/>
    <w:rsid w:val="00855EB5"/>
    <w:rsid w:val="008571A6"/>
    <w:rsid w:val="008576A5"/>
    <w:rsid w:val="00857C87"/>
    <w:rsid w:val="00860479"/>
    <w:rsid w:val="00860748"/>
    <w:rsid w:val="0086125A"/>
    <w:rsid w:val="008612D0"/>
    <w:rsid w:val="00861343"/>
    <w:rsid w:val="00862113"/>
    <w:rsid w:val="008622AE"/>
    <w:rsid w:val="0086245F"/>
    <w:rsid w:val="00862BBA"/>
    <w:rsid w:val="00862F97"/>
    <w:rsid w:val="008630AC"/>
    <w:rsid w:val="008634AA"/>
    <w:rsid w:val="00863653"/>
    <w:rsid w:val="00863780"/>
    <w:rsid w:val="00863E82"/>
    <w:rsid w:val="0086425E"/>
    <w:rsid w:val="008642DA"/>
    <w:rsid w:val="00864475"/>
    <w:rsid w:val="008645D7"/>
    <w:rsid w:val="008645E2"/>
    <w:rsid w:val="00864852"/>
    <w:rsid w:val="00864987"/>
    <w:rsid w:val="00864A19"/>
    <w:rsid w:val="00865231"/>
    <w:rsid w:val="00865345"/>
    <w:rsid w:val="00865455"/>
    <w:rsid w:val="00865504"/>
    <w:rsid w:val="008655BA"/>
    <w:rsid w:val="008659C5"/>
    <w:rsid w:val="00865BC7"/>
    <w:rsid w:val="00865F05"/>
    <w:rsid w:val="00866356"/>
    <w:rsid w:val="00866510"/>
    <w:rsid w:val="0086661E"/>
    <w:rsid w:val="00866887"/>
    <w:rsid w:val="00866F6D"/>
    <w:rsid w:val="0086750F"/>
    <w:rsid w:val="0086768E"/>
    <w:rsid w:val="008679EF"/>
    <w:rsid w:val="00870191"/>
    <w:rsid w:val="008702AD"/>
    <w:rsid w:val="00870569"/>
    <w:rsid w:val="008708DC"/>
    <w:rsid w:val="0087112B"/>
    <w:rsid w:val="008714CA"/>
    <w:rsid w:val="008715D4"/>
    <w:rsid w:val="00871723"/>
    <w:rsid w:val="00871B50"/>
    <w:rsid w:val="00871C5B"/>
    <w:rsid w:val="0087264D"/>
    <w:rsid w:val="0087267A"/>
    <w:rsid w:val="00872806"/>
    <w:rsid w:val="00872A80"/>
    <w:rsid w:val="00872D16"/>
    <w:rsid w:val="00872DB1"/>
    <w:rsid w:val="0087380D"/>
    <w:rsid w:val="00873C20"/>
    <w:rsid w:val="00873F5A"/>
    <w:rsid w:val="00874C8F"/>
    <w:rsid w:val="00874D47"/>
    <w:rsid w:val="00874EA8"/>
    <w:rsid w:val="00875B48"/>
    <w:rsid w:val="00875B66"/>
    <w:rsid w:val="00875CB0"/>
    <w:rsid w:val="00876009"/>
    <w:rsid w:val="008767E4"/>
    <w:rsid w:val="0087707D"/>
    <w:rsid w:val="0087717C"/>
    <w:rsid w:val="008777CF"/>
    <w:rsid w:val="008778B0"/>
    <w:rsid w:val="00877AC4"/>
    <w:rsid w:val="00877F46"/>
    <w:rsid w:val="008802EB"/>
    <w:rsid w:val="00880531"/>
    <w:rsid w:val="00880867"/>
    <w:rsid w:val="00880AD7"/>
    <w:rsid w:val="00880BCA"/>
    <w:rsid w:val="008814D5"/>
    <w:rsid w:val="008817A7"/>
    <w:rsid w:val="00881924"/>
    <w:rsid w:val="0088205C"/>
    <w:rsid w:val="0088264E"/>
    <w:rsid w:val="00883220"/>
    <w:rsid w:val="008834E2"/>
    <w:rsid w:val="00883F0B"/>
    <w:rsid w:val="00884246"/>
    <w:rsid w:val="00884372"/>
    <w:rsid w:val="00884715"/>
    <w:rsid w:val="00884762"/>
    <w:rsid w:val="008848A2"/>
    <w:rsid w:val="00884D90"/>
    <w:rsid w:val="00884F96"/>
    <w:rsid w:val="0088531D"/>
    <w:rsid w:val="008859E4"/>
    <w:rsid w:val="008859FC"/>
    <w:rsid w:val="00885A75"/>
    <w:rsid w:val="00885BFC"/>
    <w:rsid w:val="00885C84"/>
    <w:rsid w:val="00886763"/>
    <w:rsid w:val="00886B3D"/>
    <w:rsid w:val="00887596"/>
    <w:rsid w:val="008875D3"/>
    <w:rsid w:val="0088777C"/>
    <w:rsid w:val="008900A7"/>
    <w:rsid w:val="0089025E"/>
    <w:rsid w:val="008902F6"/>
    <w:rsid w:val="00890BBF"/>
    <w:rsid w:val="00891189"/>
    <w:rsid w:val="00891451"/>
    <w:rsid w:val="008916C3"/>
    <w:rsid w:val="00891EF6"/>
    <w:rsid w:val="00892B13"/>
    <w:rsid w:val="00892E35"/>
    <w:rsid w:val="008932EB"/>
    <w:rsid w:val="00893641"/>
    <w:rsid w:val="008939FD"/>
    <w:rsid w:val="00893F20"/>
    <w:rsid w:val="0089412E"/>
    <w:rsid w:val="008943D0"/>
    <w:rsid w:val="00894BBA"/>
    <w:rsid w:val="00894CFC"/>
    <w:rsid w:val="0089587E"/>
    <w:rsid w:val="00895A60"/>
    <w:rsid w:val="00895A81"/>
    <w:rsid w:val="008964BA"/>
    <w:rsid w:val="008969DA"/>
    <w:rsid w:val="00896BEB"/>
    <w:rsid w:val="00896D9D"/>
    <w:rsid w:val="0089701B"/>
    <w:rsid w:val="00897091"/>
    <w:rsid w:val="00897250"/>
    <w:rsid w:val="00897882"/>
    <w:rsid w:val="00897A2C"/>
    <w:rsid w:val="00897C5B"/>
    <w:rsid w:val="00897C5C"/>
    <w:rsid w:val="00897FFB"/>
    <w:rsid w:val="008A0CF3"/>
    <w:rsid w:val="008A1B09"/>
    <w:rsid w:val="008A1B36"/>
    <w:rsid w:val="008A1DFE"/>
    <w:rsid w:val="008A275C"/>
    <w:rsid w:val="008A28F4"/>
    <w:rsid w:val="008A2A4B"/>
    <w:rsid w:val="008A3DC4"/>
    <w:rsid w:val="008A40B5"/>
    <w:rsid w:val="008A438C"/>
    <w:rsid w:val="008A4886"/>
    <w:rsid w:val="008A529C"/>
    <w:rsid w:val="008A5321"/>
    <w:rsid w:val="008A54F8"/>
    <w:rsid w:val="008A5A99"/>
    <w:rsid w:val="008A5B35"/>
    <w:rsid w:val="008A62B9"/>
    <w:rsid w:val="008A68EF"/>
    <w:rsid w:val="008A6978"/>
    <w:rsid w:val="008A6CAC"/>
    <w:rsid w:val="008A6CCA"/>
    <w:rsid w:val="008A6EBF"/>
    <w:rsid w:val="008A74AE"/>
    <w:rsid w:val="008A7500"/>
    <w:rsid w:val="008A7553"/>
    <w:rsid w:val="008A7D85"/>
    <w:rsid w:val="008B07AC"/>
    <w:rsid w:val="008B0BCB"/>
    <w:rsid w:val="008B0CF6"/>
    <w:rsid w:val="008B1027"/>
    <w:rsid w:val="008B10F0"/>
    <w:rsid w:val="008B115B"/>
    <w:rsid w:val="008B1607"/>
    <w:rsid w:val="008B21CD"/>
    <w:rsid w:val="008B28A1"/>
    <w:rsid w:val="008B29FB"/>
    <w:rsid w:val="008B2D0B"/>
    <w:rsid w:val="008B3162"/>
    <w:rsid w:val="008B380C"/>
    <w:rsid w:val="008B4196"/>
    <w:rsid w:val="008B419C"/>
    <w:rsid w:val="008B46ED"/>
    <w:rsid w:val="008B4816"/>
    <w:rsid w:val="008B48A7"/>
    <w:rsid w:val="008B4B41"/>
    <w:rsid w:val="008B4BC7"/>
    <w:rsid w:val="008B4C65"/>
    <w:rsid w:val="008B4C88"/>
    <w:rsid w:val="008B5450"/>
    <w:rsid w:val="008B5930"/>
    <w:rsid w:val="008B6096"/>
    <w:rsid w:val="008B6278"/>
    <w:rsid w:val="008B6287"/>
    <w:rsid w:val="008B715B"/>
    <w:rsid w:val="008B71AF"/>
    <w:rsid w:val="008B78A1"/>
    <w:rsid w:val="008B7BFB"/>
    <w:rsid w:val="008B7E35"/>
    <w:rsid w:val="008B7F8E"/>
    <w:rsid w:val="008C14E1"/>
    <w:rsid w:val="008C1591"/>
    <w:rsid w:val="008C181D"/>
    <w:rsid w:val="008C194E"/>
    <w:rsid w:val="008C19F6"/>
    <w:rsid w:val="008C1C2C"/>
    <w:rsid w:val="008C1E34"/>
    <w:rsid w:val="008C2133"/>
    <w:rsid w:val="008C2500"/>
    <w:rsid w:val="008C2D62"/>
    <w:rsid w:val="008C2F3E"/>
    <w:rsid w:val="008C3227"/>
    <w:rsid w:val="008C3B2C"/>
    <w:rsid w:val="008C3EAD"/>
    <w:rsid w:val="008C3F07"/>
    <w:rsid w:val="008C3F1B"/>
    <w:rsid w:val="008C426A"/>
    <w:rsid w:val="008C473C"/>
    <w:rsid w:val="008C4A8B"/>
    <w:rsid w:val="008C4BF4"/>
    <w:rsid w:val="008C4C7E"/>
    <w:rsid w:val="008C52D9"/>
    <w:rsid w:val="008C5534"/>
    <w:rsid w:val="008C5AE1"/>
    <w:rsid w:val="008C5BAF"/>
    <w:rsid w:val="008C5E9A"/>
    <w:rsid w:val="008C600F"/>
    <w:rsid w:val="008C6481"/>
    <w:rsid w:val="008C64C9"/>
    <w:rsid w:val="008C663A"/>
    <w:rsid w:val="008C6A9E"/>
    <w:rsid w:val="008C6CD4"/>
    <w:rsid w:val="008C764C"/>
    <w:rsid w:val="008C798B"/>
    <w:rsid w:val="008C7D3A"/>
    <w:rsid w:val="008C7F81"/>
    <w:rsid w:val="008D0897"/>
    <w:rsid w:val="008D0F4A"/>
    <w:rsid w:val="008D1104"/>
    <w:rsid w:val="008D11F3"/>
    <w:rsid w:val="008D15CD"/>
    <w:rsid w:val="008D1779"/>
    <w:rsid w:val="008D1E8E"/>
    <w:rsid w:val="008D23E7"/>
    <w:rsid w:val="008D2AC5"/>
    <w:rsid w:val="008D2C63"/>
    <w:rsid w:val="008D2E52"/>
    <w:rsid w:val="008D2F52"/>
    <w:rsid w:val="008D31D8"/>
    <w:rsid w:val="008D3B62"/>
    <w:rsid w:val="008D409D"/>
    <w:rsid w:val="008D4A3D"/>
    <w:rsid w:val="008D4C98"/>
    <w:rsid w:val="008D4DEF"/>
    <w:rsid w:val="008D4E13"/>
    <w:rsid w:val="008D5633"/>
    <w:rsid w:val="008D59DF"/>
    <w:rsid w:val="008D5B62"/>
    <w:rsid w:val="008D5DFD"/>
    <w:rsid w:val="008D5EDC"/>
    <w:rsid w:val="008D5F3E"/>
    <w:rsid w:val="008D622F"/>
    <w:rsid w:val="008D6EBE"/>
    <w:rsid w:val="008D76BF"/>
    <w:rsid w:val="008D799A"/>
    <w:rsid w:val="008E02A6"/>
    <w:rsid w:val="008E0674"/>
    <w:rsid w:val="008E07BD"/>
    <w:rsid w:val="008E08CD"/>
    <w:rsid w:val="008E0FE7"/>
    <w:rsid w:val="008E123D"/>
    <w:rsid w:val="008E15C7"/>
    <w:rsid w:val="008E186E"/>
    <w:rsid w:val="008E1B50"/>
    <w:rsid w:val="008E1BD2"/>
    <w:rsid w:val="008E27EA"/>
    <w:rsid w:val="008E2B17"/>
    <w:rsid w:val="008E2DC0"/>
    <w:rsid w:val="008E3074"/>
    <w:rsid w:val="008E31FB"/>
    <w:rsid w:val="008E3580"/>
    <w:rsid w:val="008E3AFD"/>
    <w:rsid w:val="008E3ED0"/>
    <w:rsid w:val="008E3FF5"/>
    <w:rsid w:val="008E437E"/>
    <w:rsid w:val="008E454E"/>
    <w:rsid w:val="008E4718"/>
    <w:rsid w:val="008E472A"/>
    <w:rsid w:val="008E47FF"/>
    <w:rsid w:val="008E4ED8"/>
    <w:rsid w:val="008E4F85"/>
    <w:rsid w:val="008E548F"/>
    <w:rsid w:val="008E5542"/>
    <w:rsid w:val="008E585B"/>
    <w:rsid w:val="008E5C1B"/>
    <w:rsid w:val="008E5FF7"/>
    <w:rsid w:val="008E61D4"/>
    <w:rsid w:val="008E61EE"/>
    <w:rsid w:val="008E659D"/>
    <w:rsid w:val="008E65E8"/>
    <w:rsid w:val="008E6E0D"/>
    <w:rsid w:val="008E6F68"/>
    <w:rsid w:val="008E6FAA"/>
    <w:rsid w:val="008E774F"/>
    <w:rsid w:val="008F016A"/>
    <w:rsid w:val="008F03B1"/>
    <w:rsid w:val="008F058F"/>
    <w:rsid w:val="008F0867"/>
    <w:rsid w:val="008F0943"/>
    <w:rsid w:val="008F098A"/>
    <w:rsid w:val="008F11E5"/>
    <w:rsid w:val="008F1311"/>
    <w:rsid w:val="008F16FF"/>
    <w:rsid w:val="008F1BC6"/>
    <w:rsid w:val="008F1F33"/>
    <w:rsid w:val="008F2087"/>
    <w:rsid w:val="008F2261"/>
    <w:rsid w:val="008F2679"/>
    <w:rsid w:val="008F2839"/>
    <w:rsid w:val="008F2E18"/>
    <w:rsid w:val="008F32F9"/>
    <w:rsid w:val="008F33E4"/>
    <w:rsid w:val="008F34E1"/>
    <w:rsid w:val="008F3AFA"/>
    <w:rsid w:val="008F3D99"/>
    <w:rsid w:val="008F4029"/>
    <w:rsid w:val="008F41F5"/>
    <w:rsid w:val="008F4878"/>
    <w:rsid w:val="008F48CB"/>
    <w:rsid w:val="008F4C5A"/>
    <w:rsid w:val="008F4D29"/>
    <w:rsid w:val="008F4DD3"/>
    <w:rsid w:val="008F5656"/>
    <w:rsid w:val="008F567F"/>
    <w:rsid w:val="008F5696"/>
    <w:rsid w:val="008F5CFE"/>
    <w:rsid w:val="008F5D28"/>
    <w:rsid w:val="008F5DD1"/>
    <w:rsid w:val="008F635E"/>
    <w:rsid w:val="008F6976"/>
    <w:rsid w:val="008F6D91"/>
    <w:rsid w:val="008F77DA"/>
    <w:rsid w:val="008F7A92"/>
    <w:rsid w:val="008F7B3E"/>
    <w:rsid w:val="008F7D01"/>
    <w:rsid w:val="0090012F"/>
    <w:rsid w:val="00900590"/>
    <w:rsid w:val="00900A6F"/>
    <w:rsid w:val="00900BC2"/>
    <w:rsid w:val="00901A4F"/>
    <w:rsid w:val="00901E32"/>
    <w:rsid w:val="00901FCD"/>
    <w:rsid w:val="0090239B"/>
    <w:rsid w:val="009024EE"/>
    <w:rsid w:val="00902890"/>
    <w:rsid w:val="00902A68"/>
    <w:rsid w:val="00902F14"/>
    <w:rsid w:val="00902FD1"/>
    <w:rsid w:val="0090323F"/>
    <w:rsid w:val="0090336D"/>
    <w:rsid w:val="00903380"/>
    <w:rsid w:val="00903759"/>
    <w:rsid w:val="00903A3C"/>
    <w:rsid w:val="00903C9F"/>
    <w:rsid w:val="00903E98"/>
    <w:rsid w:val="00904348"/>
    <w:rsid w:val="009048C2"/>
    <w:rsid w:val="00905A98"/>
    <w:rsid w:val="00906AE4"/>
    <w:rsid w:val="00906CE9"/>
    <w:rsid w:val="00906EE6"/>
    <w:rsid w:val="00907340"/>
    <w:rsid w:val="00907530"/>
    <w:rsid w:val="009078F2"/>
    <w:rsid w:val="00907CAF"/>
    <w:rsid w:val="00907E24"/>
    <w:rsid w:val="009103D0"/>
    <w:rsid w:val="009118B0"/>
    <w:rsid w:val="00911A3B"/>
    <w:rsid w:val="00911FDF"/>
    <w:rsid w:val="00912881"/>
    <w:rsid w:val="00912A60"/>
    <w:rsid w:val="00912EAB"/>
    <w:rsid w:val="009132BC"/>
    <w:rsid w:val="009137AA"/>
    <w:rsid w:val="0091394C"/>
    <w:rsid w:val="00913AA4"/>
    <w:rsid w:val="00913EFD"/>
    <w:rsid w:val="00914310"/>
    <w:rsid w:val="00914424"/>
    <w:rsid w:val="00914708"/>
    <w:rsid w:val="00914907"/>
    <w:rsid w:val="0091492E"/>
    <w:rsid w:val="00914B91"/>
    <w:rsid w:val="00914CD7"/>
    <w:rsid w:val="00914D05"/>
    <w:rsid w:val="00914DFF"/>
    <w:rsid w:val="00914E92"/>
    <w:rsid w:val="009150BA"/>
    <w:rsid w:val="009151D8"/>
    <w:rsid w:val="00915D21"/>
    <w:rsid w:val="0091655F"/>
    <w:rsid w:val="00916722"/>
    <w:rsid w:val="009168A2"/>
    <w:rsid w:val="00916E0D"/>
    <w:rsid w:val="00916E75"/>
    <w:rsid w:val="009170C3"/>
    <w:rsid w:val="00917870"/>
    <w:rsid w:val="009179DB"/>
    <w:rsid w:val="00920632"/>
    <w:rsid w:val="009206AE"/>
    <w:rsid w:val="00920979"/>
    <w:rsid w:val="00920AA2"/>
    <w:rsid w:val="00920E5B"/>
    <w:rsid w:val="00920EF0"/>
    <w:rsid w:val="009210A8"/>
    <w:rsid w:val="0092193D"/>
    <w:rsid w:val="0092196D"/>
    <w:rsid w:val="00921ADE"/>
    <w:rsid w:val="00921B59"/>
    <w:rsid w:val="00921D81"/>
    <w:rsid w:val="00921E25"/>
    <w:rsid w:val="00921E9C"/>
    <w:rsid w:val="00922147"/>
    <w:rsid w:val="00922451"/>
    <w:rsid w:val="00922AA5"/>
    <w:rsid w:val="00922AE1"/>
    <w:rsid w:val="00922B11"/>
    <w:rsid w:val="00923594"/>
    <w:rsid w:val="009236BB"/>
    <w:rsid w:val="009242CE"/>
    <w:rsid w:val="00924572"/>
    <w:rsid w:val="00924754"/>
    <w:rsid w:val="00924780"/>
    <w:rsid w:val="009249E9"/>
    <w:rsid w:val="00924B38"/>
    <w:rsid w:val="00924D33"/>
    <w:rsid w:val="00924DD3"/>
    <w:rsid w:val="00924FBE"/>
    <w:rsid w:val="0092565C"/>
    <w:rsid w:val="00925980"/>
    <w:rsid w:val="00925A9B"/>
    <w:rsid w:val="009261A8"/>
    <w:rsid w:val="00926269"/>
    <w:rsid w:val="0092654B"/>
    <w:rsid w:val="00926619"/>
    <w:rsid w:val="00926DF3"/>
    <w:rsid w:val="0092718C"/>
    <w:rsid w:val="00927404"/>
    <w:rsid w:val="00927472"/>
    <w:rsid w:val="009276D4"/>
    <w:rsid w:val="00927C30"/>
    <w:rsid w:val="009300CF"/>
    <w:rsid w:val="0093041C"/>
    <w:rsid w:val="00930481"/>
    <w:rsid w:val="00930589"/>
    <w:rsid w:val="009308CB"/>
    <w:rsid w:val="00930BEC"/>
    <w:rsid w:val="00931073"/>
    <w:rsid w:val="00931414"/>
    <w:rsid w:val="00931756"/>
    <w:rsid w:val="009319EB"/>
    <w:rsid w:val="009324D8"/>
    <w:rsid w:val="00933307"/>
    <w:rsid w:val="00933BEF"/>
    <w:rsid w:val="00933C83"/>
    <w:rsid w:val="0093418A"/>
    <w:rsid w:val="00934529"/>
    <w:rsid w:val="00934813"/>
    <w:rsid w:val="00935184"/>
    <w:rsid w:val="009352A1"/>
    <w:rsid w:val="0093571B"/>
    <w:rsid w:val="00935754"/>
    <w:rsid w:val="00935E65"/>
    <w:rsid w:val="009360BD"/>
    <w:rsid w:val="009360E7"/>
    <w:rsid w:val="00936248"/>
    <w:rsid w:val="00936EC9"/>
    <w:rsid w:val="0093728A"/>
    <w:rsid w:val="0093768C"/>
    <w:rsid w:val="009378CE"/>
    <w:rsid w:val="00937E95"/>
    <w:rsid w:val="00940263"/>
    <w:rsid w:val="00940D63"/>
    <w:rsid w:val="00940ED3"/>
    <w:rsid w:val="00940F0D"/>
    <w:rsid w:val="009426BF"/>
    <w:rsid w:val="0094290C"/>
    <w:rsid w:val="00942E00"/>
    <w:rsid w:val="00943468"/>
    <w:rsid w:val="00943718"/>
    <w:rsid w:val="00943D38"/>
    <w:rsid w:val="00943EA2"/>
    <w:rsid w:val="00944028"/>
    <w:rsid w:val="00944387"/>
    <w:rsid w:val="00944487"/>
    <w:rsid w:val="00944497"/>
    <w:rsid w:val="00944AFC"/>
    <w:rsid w:val="00944C1E"/>
    <w:rsid w:val="00944CB5"/>
    <w:rsid w:val="0094577D"/>
    <w:rsid w:val="00945D6A"/>
    <w:rsid w:val="00946275"/>
    <w:rsid w:val="009462D7"/>
    <w:rsid w:val="009462EE"/>
    <w:rsid w:val="009463C5"/>
    <w:rsid w:val="009466B2"/>
    <w:rsid w:val="009466E8"/>
    <w:rsid w:val="00947583"/>
    <w:rsid w:val="009475BD"/>
    <w:rsid w:val="0094787D"/>
    <w:rsid w:val="00947BB9"/>
    <w:rsid w:val="0095068E"/>
    <w:rsid w:val="00950771"/>
    <w:rsid w:val="00950AB7"/>
    <w:rsid w:val="00950AE4"/>
    <w:rsid w:val="00950C0B"/>
    <w:rsid w:val="00950E4A"/>
    <w:rsid w:val="00951011"/>
    <w:rsid w:val="00951254"/>
    <w:rsid w:val="009519E8"/>
    <w:rsid w:val="00951E41"/>
    <w:rsid w:val="00952CF4"/>
    <w:rsid w:val="00952D8D"/>
    <w:rsid w:val="00952E93"/>
    <w:rsid w:val="0095427D"/>
    <w:rsid w:val="009548F8"/>
    <w:rsid w:val="00954F6D"/>
    <w:rsid w:val="009551DB"/>
    <w:rsid w:val="009553A4"/>
    <w:rsid w:val="0095545B"/>
    <w:rsid w:val="00955909"/>
    <w:rsid w:val="00955CCB"/>
    <w:rsid w:val="00955E14"/>
    <w:rsid w:val="00955E29"/>
    <w:rsid w:val="00955FF3"/>
    <w:rsid w:val="009560AB"/>
    <w:rsid w:val="009560F6"/>
    <w:rsid w:val="00956286"/>
    <w:rsid w:val="009563CC"/>
    <w:rsid w:val="009568EB"/>
    <w:rsid w:val="00956F8C"/>
    <w:rsid w:val="00957319"/>
    <w:rsid w:val="009575A4"/>
    <w:rsid w:val="00957875"/>
    <w:rsid w:val="00957A67"/>
    <w:rsid w:val="0096055C"/>
    <w:rsid w:val="0096086E"/>
    <w:rsid w:val="009609C6"/>
    <w:rsid w:val="00960AF9"/>
    <w:rsid w:val="0096147C"/>
    <w:rsid w:val="00961660"/>
    <w:rsid w:val="00961696"/>
    <w:rsid w:val="009623B0"/>
    <w:rsid w:val="00962C00"/>
    <w:rsid w:val="00962DA4"/>
    <w:rsid w:val="009631FC"/>
    <w:rsid w:val="00963B15"/>
    <w:rsid w:val="009643D7"/>
    <w:rsid w:val="00964600"/>
    <w:rsid w:val="00964805"/>
    <w:rsid w:val="00964907"/>
    <w:rsid w:val="00964B9A"/>
    <w:rsid w:val="00964D59"/>
    <w:rsid w:val="00964E01"/>
    <w:rsid w:val="00964E56"/>
    <w:rsid w:val="009651BE"/>
    <w:rsid w:val="00965214"/>
    <w:rsid w:val="0096577B"/>
    <w:rsid w:val="00965D35"/>
    <w:rsid w:val="00965D77"/>
    <w:rsid w:val="00965E43"/>
    <w:rsid w:val="00965FC2"/>
    <w:rsid w:val="009664FF"/>
    <w:rsid w:val="0096659B"/>
    <w:rsid w:val="00966994"/>
    <w:rsid w:val="0097038C"/>
    <w:rsid w:val="00970955"/>
    <w:rsid w:val="00970AFD"/>
    <w:rsid w:val="00970C8D"/>
    <w:rsid w:val="00970CD9"/>
    <w:rsid w:val="009711F3"/>
    <w:rsid w:val="00971382"/>
    <w:rsid w:val="0097177A"/>
    <w:rsid w:val="009717F3"/>
    <w:rsid w:val="00971F02"/>
    <w:rsid w:val="00971F61"/>
    <w:rsid w:val="009723F9"/>
    <w:rsid w:val="00972408"/>
    <w:rsid w:val="009724D3"/>
    <w:rsid w:val="00972632"/>
    <w:rsid w:val="00972EB7"/>
    <w:rsid w:val="00972EF1"/>
    <w:rsid w:val="0097302D"/>
    <w:rsid w:val="009730E9"/>
    <w:rsid w:val="00973FCA"/>
    <w:rsid w:val="009740D1"/>
    <w:rsid w:val="00974167"/>
    <w:rsid w:val="009741EF"/>
    <w:rsid w:val="009748FC"/>
    <w:rsid w:val="00974A54"/>
    <w:rsid w:val="00974FCC"/>
    <w:rsid w:val="009752B1"/>
    <w:rsid w:val="00975B7E"/>
    <w:rsid w:val="00975E24"/>
    <w:rsid w:val="00975FE5"/>
    <w:rsid w:val="0097612B"/>
    <w:rsid w:val="0097612E"/>
    <w:rsid w:val="00976392"/>
    <w:rsid w:val="00976614"/>
    <w:rsid w:val="00976693"/>
    <w:rsid w:val="00977225"/>
    <w:rsid w:val="0097777C"/>
    <w:rsid w:val="00977A65"/>
    <w:rsid w:val="00977DAB"/>
    <w:rsid w:val="00980414"/>
    <w:rsid w:val="0098082F"/>
    <w:rsid w:val="0098086C"/>
    <w:rsid w:val="00980944"/>
    <w:rsid w:val="009809AD"/>
    <w:rsid w:val="00980C38"/>
    <w:rsid w:val="00980CA0"/>
    <w:rsid w:val="009812A7"/>
    <w:rsid w:val="00981A7E"/>
    <w:rsid w:val="00982339"/>
    <w:rsid w:val="00982949"/>
    <w:rsid w:val="00982B61"/>
    <w:rsid w:val="00982E5C"/>
    <w:rsid w:val="00983022"/>
    <w:rsid w:val="009832D6"/>
    <w:rsid w:val="009833F6"/>
    <w:rsid w:val="009838DA"/>
    <w:rsid w:val="0098397A"/>
    <w:rsid w:val="00983A40"/>
    <w:rsid w:val="00983CA6"/>
    <w:rsid w:val="00983D9D"/>
    <w:rsid w:val="009840F4"/>
    <w:rsid w:val="0098414F"/>
    <w:rsid w:val="0098477F"/>
    <w:rsid w:val="00984C30"/>
    <w:rsid w:val="00984F62"/>
    <w:rsid w:val="009851F8"/>
    <w:rsid w:val="009852A8"/>
    <w:rsid w:val="00985438"/>
    <w:rsid w:val="00985FC4"/>
    <w:rsid w:val="0098607B"/>
    <w:rsid w:val="00986351"/>
    <w:rsid w:val="009867FD"/>
    <w:rsid w:val="009868B8"/>
    <w:rsid w:val="00986CC2"/>
    <w:rsid w:val="00986CFE"/>
    <w:rsid w:val="00986D98"/>
    <w:rsid w:val="00986DBC"/>
    <w:rsid w:val="009871D5"/>
    <w:rsid w:val="009875CD"/>
    <w:rsid w:val="0098788F"/>
    <w:rsid w:val="009879B2"/>
    <w:rsid w:val="00987B50"/>
    <w:rsid w:val="00987E03"/>
    <w:rsid w:val="00990006"/>
    <w:rsid w:val="00990161"/>
    <w:rsid w:val="009901A7"/>
    <w:rsid w:val="00990791"/>
    <w:rsid w:val="00990904"/>
    <w:rsid w:val="009909F4"/>
    <w:rsid w:val="00990E6C"/>
    <w:rsid w:val="0099127B"/>
    <w:rsid w:val="00991281"/>
    <w:rsid w:val="00991611"/>
    <w:rsid w:val="0099183E"/>
    <w:rsid w:val="00991A45"/>
    <w:rsid w:val="00991A4A"/>
    <w:rsid w:val="00991AB4"/>
    <w:rsid w:val="00991DC1"/>
    <w:rsid w:val="00991F17"/>
    <w:rsid w:val="00992716"/>
    <w:rsid w:val="009927BB"/>
    <w:rsid w:val="009927D4"/>
    <w:rsid w:val="00992E4D"/>
    <w:rsid w:val="00992F8E"/>
    <w:rsid w:val="0099397C"/>
    <w:rsid w:val="00994A10"/>
    <w:rsid w:val="00994C65"/>
    <w:rsid w:val="00995086"/>
    <w:rsid w:val="009950A4"/>
    <w:rsid w:val="009951BE"/>
    <w:rsid w:val="009955FA"/>
    <w:rsid w:val="00995BE7"/>
    <w:rsid w:val="00995F2E"/>
    <w:rsid w:val="0099665D"/>
    <w:rsid w:val="00996753"/>
    <w:rsid w:val="0099682E"/>
    <w:rsid w:val="00996A57"/>
    <w:rsid w:val="00996FEA"/>
    <w:rsid w:val="0099726E"/>
    <w:rsid w:val="0099751A"/>
    <w:rsid w:val="00997554"/>
    <w:rsid w:val="009979EA"/>
    <w:rsid w:val="009A0086"/>
    <w:rsid w:val="009A0463"/>
    <w:rsid w:val="009A05B6"/>
    <w:rsid w:val="009A073F"/>
    <w:rsid w:val="009A0A06"/>
    <w:rsid w:val="009A0D86"/>
    <w:rsid w:val="009A1256"/>
    <w:rsid w:val="009A1357"/>
    <w:rsid w:val="009A13F2"/>
    <w:rsid w:val="009A15E6"/>
    <w:rsid w:val="009A15EB"/>
    <w:rsid w:val="009A1840"/>
    <w:rsid w:val="009A1B4C"/>
    <w:rsid w:val="009A1BCF"/>
    <w:rsid w:val="009A1F3C"/>
    <w:rsid w:val="009A1F9D"/>
    <w:rsid w:val="009A2255"/>
    <w:rsid w:val="009A26CB"/>
    <w:rsid w:val="009A29E6"/>
    <w:rsid w:val="009A2C49"/>
    <w:rsid w:val="009A2F17"/>
    <w:rsid w:val="009A2F8F"/>
    <w:rsid w:val="009A325A"/>
    <w:rsid w:val="009A32AF"/>
    <w:rsid w:val="009A374B"/>
    <w:rsid w:val="009A3752"/>
    <w:rsid w:val="009A3991"/>
    <w:rsid w:val="009A3A27"/>
    <w:rsid w:val="009A3C6F"/>
    <w:rsid w:val="009A5228"/>
    <w:rsid w:val="009A53EF"/>
    <w:rsid w:val="009A5E3F"/>
    <w:rsid w:val="009A6278"/>
    <w:rsid w:val="009A6C46"/>
    <w:rsid w:val="009A6F2C"/>
    <w:rsid w:val="009A6FF5"/>
    <w:rsid w:val="009A7011"/>
    <w:rsid w:val="009A7099"/>
    <w:rsid w:val="009A7124"/>
    <w:rsid w:val="009A725F"/>
    <w:rsid w:val="009A78EB"/>
    <w:rsid w:val="009A7962"/>
    <w:rsid w:val="009A79F1"/>
    <w:rsid w:val="009A7B5B"/>
    <w:rsid w:val="009A7B71"/>
    <w:rsid w:val="009A7FF8"/>
    <w:rsid w:val="009B0D46"/>
    <w:rsid w:val="009B142B"/>
    <w:rsid w:val="009B14B8"/>
    <w:rsid w:val="009B1C48"/>
    <w:rsid w:val="009B1DA6"/>
    <w:rsid w:val="009B1EDE"/>
    <w:rsid w:val="009B212A"/>
    <w:rsid w:val="009B2335"/>
    <w:rsid w:val="009B23E6"/>
    <w:rsid w:val="009B2B35"/>
    <w:rsid w:val="009B2E2A"/>
    <w:rsid w:val="009B2EBC"/>
    <w:rsid w:val="009B30E4"/>
    <w:rsid w:val="009B32C8"/>
    <w:rsid w:val="009B3877"/>
    <w:rsid w:val="009B3B6B"/>
    <w:rsid w:val="009B3F9D"/>
    <w:rsid w:val="009B4E31"/>
    <w:rsid w:val="009B511B"/>
    <w:rsid w:val="009B519A"/>
    <w:rsid w:val="009B54CD"/>
    <w:rsid w:val="009B55AB"/>
    <w:rsid w:val="009B55B0"/>
    <w:rsid w:val="009B5878"/>
    <w:rsid w:val="009B5961"/>
    <w:rsid w:val="009B5AD2"/>
    <w:rsid w:val="009B5E3B"/>
    <w:rsid w:val="009B65B3"/>
    <w:rsid w:val="009B66EE"/>
    <w:rsid w:val="009B67A3"/>
    <w:rsid w:val="009B6856"/>
    <w:rsid w:val="009B6B8A"/>
    <w:rsid w:val="009B6BF9"/>
    <w:rsid w:val="009B6D30"/>
    <w:rsid w:val="009B6DA1"/>
    <w:rsid w:val="009B7330"/>
    <w:rsid w:val="009B7658"/>
    <w:rsid w:val="009B76D5"/>
    <w:rsid w:val="009B7C01"/>
    <w:rsid w:val="009B7C38"/>
    <w:rsid w:val="009B7D2E"/>
    <w:rsid w:val="009C0112"/>
    <w:rsid w:val="009C0206"/>
    <w:rsid w:val="009C0305"/>
    <w:rsid w:val="009C0880"/>
    <w:rsid w:val="009C0A82"/>
    <w:rsid w:val="009C0BCB"/>
    <w:rsid w:val="009C1066"/>
    <w:rsid w:val="009C1509"/>
    <w:rsid w:val="009C1915"/>
    <w:rsid w:val="009C1BEA"/>
    <w:rsid w:val="009C1C6C"/>
    <w:rsid w:val="009C1C9E"/>
    <w:rsid w:val="009C1D9C"/>
    <w:rsid w:val="009C1FCF"/>
    <w:rsid w:val="009C2014"/>
    <w:rsid w:val="009C25EB"/>
    <w:rsid w:val="009C2913"/>
    <w:rsid w:val="009C29C9"/>
    <w:rsid w:val="009C301F"/>
    <w:rsid w:val="009C346E"/>
    <w:rsid w:val="009C36AA"/>
    <w:rsid w:val="009C386B"/>
    <w:rsid w:val="009C3C39"/>
    <w:rsid w:val="009C449F"/>
    <w:rsid w:val="009C4583"/>
    <w:rsid w:val="009C4AAD"/>
    <w:rsid w:val="009C4DD5"/>
    <w:rsid w:val="009C4EAA"/>
    <w:rsid w:val="009C50F8"/>
    <w:rsid w:val="009C53B1"/>
    <w:rsid w:val="009C5635"/>
    <w:rsid w:val="009C58D4"/>
    <w:rsid w:val="009C6212"/>
    <w:rsid w:val="009C6250"/>
    <w:rsid w:val="009C632E"/>
    <w:rsid w:val="009C6933"/>
    <w:rsid w:val="009C6C3C"/>
    <w:rsid w:val="009C73B2"/>
    <w:rsid w:val="009C7733"/>
    <w:rsid w:val="009C77CD"/>
    <w:rsid w:val="009C7B52"/>
    <w:rsid w:val="009C7D55"/>
    <w:rsid w:val="009C7DC5"/>
    <w:rsid w:val="009D08C5"/>
    <w:rsid w:val="009D0CC9"/>
    <w:rsid w:val="009D0DD0"/>
    <w:rsid w:val="009D0E61"/>
    <w:rsid w:val="009D1697"/>
    <w:rsid w:val="009D179B"/>
    <w:rsid w:val="009D1896"/>
    <w:rsid w:val="009D1B91"/>
    <w:rsid w:val="009D2859"/>
    <w:rsid w:val="009D287A"/>
    <w:rsid w:val="009D2D7F"/>
    <w:rsid w:val="009D303E"/>
    <w:rsid w:val="009D3051"/>
    <w:rsid w:val="009D3106"/>
    <w:rsid w:val="009D3291"/>
    <w:rsid w:val="009D32AA"/>
    <w:rsid w:val="009D33B5"/>
    <w:rsid w:val="009D36C1"/>
    <w:rsid w:val="009D3B21"/>
    <w:rsid w:val="009D3D73"/>
    <w:rsid w:val="009D44A4"/>
    <w:rsid w:val="009D4B5B"/>
    <w:rsid w:val="009D4D49"/>
    <w:rsid w:val="009D51E3"/>
    <w:rsid w:val="009D53BF"/>
    <w:rsid w:val="009D54AE"/>
    <w:rsid w:val="009D5C66"/>
    <w:rsid w:val="009D64BB"/>
    <w:rsid w:val="009D68F3"/>
    <w:rsid w:val="009D6973"/>
    <w:rsid w:val="009D6C42"/>
    <w:rsid w:val="009D6E2D"/>
    <w:rsid w:val="009D6EAE"/>
    <w:rsid w:val="009D740F"/>
    <w:rsid w:val="009D742A"/>
    <w:rsid w:val="009D748D"/>
    <w:rsid w:val="009D7622"/>
    <w:rsid w:val="009D762F"/>
    <w:rsid w:val="009E01F4"/>
    <w:rsid w:val="009E0808"/>
    <w:rsid w:val="009E0D63"/>
    <w:rsid w:val="009E0E17"/>
    <w:rsid w:val="009E0E3B"/>
    <w:rsid w:val="009E1193"/>
    <w:rsid w:val="009E1893"/>
    <w:rsid w:val="009E1965"/>
    <w:rsid w:val="009E1D4D"/>
    <w:rsid w:val="009E1F8F"/>
    <w:rsid w:val="009E214E"/>
    <w:rsid w:val="009E2B74"/>
    <w:rsid w:val="009E32BA"/>
    <w:rsid w:val="009E3B47"/>
    <w:rsid w:val="009E40C0"/>
    <w:rsid w:val="009E5329"/>
    <w:rsid w:val="009E5B65"/>
    <w:rsid w:val="009E5BCD"/>
    <w:rsid w:val="009E5CF3"/>
    <w:rsid w:val="009E5E13"/>
    <w:rsid w:val="009E5E47"/>
    <w:rsid w:val="009E5EF7"/>
    <w:rsid w:val="009E5FB3"/>
    <w:rsid w:val="009E6BC3"/>
    <w:rsid w:val="009E7371"/>
    <w:rsid w:val="009E73D0"/>
    <w:rsid w:val="009E7491"/>
    <w:rsid w:val="009E79F1"/>
    <w:rsid w:val="009E7C5F"/>
    <w:rsid w:val="009E7F9A"/>
    <w:rsid w:val="009F0051"/>
    <w:rsid w:val="009F0132"/>
    <w:rsid w:val="009F0395"/>
    <w:rsid w:val="009F082F"/>
    <w:rsid w:val="009F08BB"/>
    <w:rsid w:val="009F0BB1"/>
    <w:rsid w:val="009F0F2D"/>
    <w:rsid w:val="009F144B"/>
    <w:rsid w:val="009F1851"/>
    <w:rsid w:val="009F2104"/>
    <w:rsid w:val="009F2840"/>
    <w:rsid w:val="009F2860"/>
    <w:rsid w:val="009F382B"/>
    <w:rsid w:val="009F3AA9"/>
    <w:rsid w:val="009F3C8D"/>
    <w:rsid w:val="009F3F58"/>
    <w:rsid w:val="009F40C2"/>
    <w:rsid w:val="009F48D0"/>
    <w:rsid w:val="009F48E1"/>
    <w:rsid w:val="009F49CF"/>
    <w:rsid w:val="009F4F3C"/>
    <w:rsid w:val="009F5559"/>
    <w:rsid w:val="009F556A"/>
    <w:rsid w:val="009F5E53"/>
    <w:rsid w:val="009F6138"/>
    <w:rsid w:val="009F6370"/>
    <w:rsid w:val="009F678B"/>
    <w:rsid w:val="009F68F5"/>
    <w:rsid w:val="009F6A50"/>
    <w:rsid w:val="009F6E94"/>
    <w:rsid w:val="009F70B1"/>
    <w:rsid w:val="009F7E68"/>
    <w:rsid w:val="00A000DC"/>
    <w:rsid w:val="00A0021E"/>
    <w:rsid w:val="00A005EF"/>
    <w:rsid w:val="00A00BE9"/>
    <w:rsid w:val="00A00DEC"/>
    <w:rsid w:val="00A010B8"/>
    <w:rsid w:val="00A010E4"/>
    <w:rsid w:val="00A012B3"/>
    <w:rsid w:val="00A0150D"/>
    <w:rsid w:val="00A018C2"/>
    <w:rsid w:val="00A01A68"/>
    <w:rsid w:val="00A01FA0"/>
    <w:rsid w:val="00A0269D"/>
    <w:rsid w:val="00A02AB5"/>
    <w:rsid w:val="00A02BE3"/>
    <w:rsid w:val="00A032DC"/>
    <w:rsid w:val="00A03A58"/>
    <w:rsid w:val="00A03B1B"/>
    <w:rsid w:val="00A03FBA"/>
    <w:rsid w:val="00A0446F"/>
    <w:rsid w:val="00A047E3"/>
    <w:rsid w:val="00A0480E"/>
    <w:rsid w:val="00A0482C"/>
    <w:rsid w:val="00A04A38"/>
    <w:rsid w:val="00A04A5F"/>
    <w:rsid w:val="00A04B61"/>
    <w:rsid w:val="00A04EDB"/>
    <w:rsid w:val="00A0676A"/>
    <w:rsid w:val="00A06F71"/>
    <w:rsid w:val="00A0709E"/>
    <w:rsid w:val="00A07DDE"/>
    <w:rsid w:val="00A106D2"/>
    <w:rsid w:val="00A10800"/>
    <w:rsid w:val="00A1125E"/>
    <w:rsid w:val="00A11A3F"/>
    <w:rsid w:val="00A11C2A"/>
    <w:rsid w:val="00A12297"/>
    <w:rsid w:val="00A12325"/>
    <w:rsid w:val="00A1292D"/>
    <w:rsid w:val="00A12B48"/>
    <w:rsid w:val="00A12B49"/>
    <w:rsid w:val="00A12D86"/>
    <w:rsid w:val="00A12DD1"/>
    <w:rsid w:val="00A131B4"/>
    <w:rsid w:val="00A1330F"/>
    <w:rsid w:val="00A137C0"/>
    <w:rsid w:val="00A139CB"/>
    <w:rsid w:val="00A13AF4"/>
    <w:rsid w:val="00A13BEB"/>
    <w:rsid w:val="00A13CB0"/>
    <w:rsid w:val="00A142B9"/>
    <w:rsid w:val="00A14B9C"/>
    <w:rsid w:val="00A14BBC"/>
    <w:rsid w:val="00A14F4E"/>
    <w:rsid w:val="00A150C8"/>
    <w:rsid w:val="00A15653"/>
    <w:rsid w:val="00A159CD"/>
    <w:rsid w:val="00A15B76"/>
    <w:rsid w:val="00A15E6F"/>
    <w:rsid w:val="00A164DA"/>
    <w:rsid w:val="00A16636"/>
    <w:rsid w:val="00A1698B"/>
    <w:rsid w:val="00A16A51"/>
    <w:rsid w:val="00A16BDC"/>
    <w:rsid w:val="00A16EE5"/>
    <w:rsid w:val="00A16F02"/>
    <w:rsid w:val="00A17522"/>
    <w:rsid w:val="00A20000"/>
    <w:rsid w:val="00A205F7"/>
    <w:rsid w:val="00A20C51"/>
    <w:rsid w:val="00A2149D"/>
    <w:rsid w:val="00A215D3"/>
    <w:rsid w:val="00A216CA"/>
    <w:rsid w:val="00A21CBB"/>
    <w:rsid w:val="00A2204E"/>
    <w:rsid w:val="00A22156"/>
    <w:rsid w:val="00A225D4"/>
    <w:rsid w:val="00A2289D"/>
    <w:rsid w:val="00A22E30"/>
    <w:rsid w:val="00A22EA8"/>
    <w:rsid w:val="00A2322F"/>
    <w:rsid w:val="00A234C8"/>
    <w:rsid w:val="00A23AFD"/>
    <w:rsid w:val="00A23CA9"/>
    <w:rsid w:val="00A23CC8"/>
    <w:rsid w:val="00A2438B"/>
    <w:rsid w:val="00A2472F"/>
    <w:rsid w:val="00A24890"/>
    <w:rsid w:val="00A24969"/>
    <w:rsid w:val="00A2518D"/>
    <w:rsid w:val="00A25496"/>
    <w:rsid w:val="00A2553F"/>
    <w:rsid w:val="00A2572B"/>
    <w:rsid w:val="00A259C5"/>
    <w:rsid w:val="00A259F4"/>
    <w:rsid w:val="00A25B0B"/>
    <w:rsid w:val="00A25E7D"/>
    <w:rsid w:val="00A2614D"/>
    <w:rsid w:val="00A266CC"/>
    <w:rsid w:val="00A27350"/>
    <w:rsid w:val="00A27679"/>
    <w:rsid w:val="00A27744"/>
    <w:rsid w:val="00A279F3"/>
    <w:rsid w:val="00A27AB5"/>
    <w:rsid w:val="00A27B4A"/>
    <w:rsid w:val="00A27EB0"/>
    <w:rsid w:val="00A3031B"/>
    <w:rsid w:val="00A3054D"/>
    <w:rsid w:val="00A30611"/>
    <w:rsid w:val="00A30AB2"/>
    <w:rsid w:val="00A30B7A"/>
    <w:rsid w:val="00A30D7E"/>
    <w:rsid w:val="00A31047"/>
    <w:rsid w:val="00A3188F"/>
    <w:rsid w:val="00A32001"/>
    <w:rsid w:val="00A32150"/>
    <w:rsid w:val="00A325F0"/>
    <w:rsid w:val="00A32C54"/>
    <w:rsid w:val="00A337CA"/>
    <w:rsid w:val="00A33870"/>
    <w:rsid w:val="00A33ABA"/>
    <w:rsid w:val="00A33B8C"/>
    <w:rsid w:val="00A33D94"/>
    <w:rsid w:val="00A344D1"/>
    <w:rsid w:val="00A34C98"/>
    <w:rsid w:val="00A3573D"/>
    <w:rsid w:val="00A359DF"/>
    <w:rsid w:val="00A35B2B"/>
    <w:rsid w:val="00A35CF9"/>
    <w:rsid w:val="00A361C7"/>
    <w:rsid w:val="00A368B2"/>
    <w:rsid w:val="00A36CB8"/>
    <w:rsid w:val="00A37266"/>
    <w:rsid w:val="00A372AC"/>
    <w:rsid w:val="00A376DE"/>
    <w:rsid w:val="00A37BA5"/>
    <w:rsid w:val="00A37CCD"/>
    <w:rsid w:val="00A37D3C"/>
    <w:rsid w:val="00A37E93"/>
    <w:rsid w:val="00A37EB6"/>
    <w:rsid w:val="00A4001F"/>
    <w:rsid w:val="00A402D9"/>
    <w:rsid w:val="00A408DC"/>
    <w:rsid w:val="00A40C4C"/>
    <w:rsid w:val="00A40D21"/>
    <w:rsid w:val="00A40EDC"/>
    <w:rsid w:val="00A41BD2"/>
    <w:rsid w:val="00A422FB"/>
    <w:rsid w:val="00A4252E"/>
    <w:rsid w:val="00A433BB"/>
    <w:rsid w:val="00A435C9"/>
    <w:rsid w:val="00A43665"/>
    <w:rsid w:val="00A43905"/>
    <w:rsid w:val="00A43BBF"/>
    <w:rsid w:val="00A442EF"/>
    <w:rsid w:val="00A4460B"/>
    <w:rsid w:val="00A447B6"/>
    <w:rsid w:val="00A44B84"/>
    <w:rsid w:val="00A4540C"/>
    <w:rsid w:val="00A459AC"/>
    <w:rsid w:val="00A47289"/>
    <w:rsid w:val="00A472C0"/>
    <w:rsid w:val="00A472CF"/>
    <w:rsid w:val="00A50942"/>
    <w:rsid w:val="00A5097D"/>
    <w:rsid w:val="00A5118C"/>
    <w:rsid w:val="00A51255"/>
    <w:rsid w:val="00A512AE"/>
    <w:rsid w:val="00A51491"/>
    <w:rsid w:val="00A51B66"/>
    <w:rsid w:val="00A52495"/>
    <w:rsid w:val="00A524EB"/>
    <w:rsid w:val="00A52637"/>
    <w:rsid w:val="00A52ABB"/>
    <w:rsid w:val="00A52B51"/>
    <w:rsid w:val="00A52EAC"/>
    <w:rsid w:val="00A52F48"/>
    <w:rsid w:val="00A53A8F"/>
    <w:rsid w:val="00A53B37"/>
    <w:rsid w:val="00A53FF0"/>
    <w:rsid w:val="00A542CE"/>
    <w:rsid w:val="00A546D7"/>
    <w:rsid w:val="00A54A2A"/>
    <w:rsid w:val="00A553AC"/>
    <w:rsid w:val="00A553CF"/>
    <w:rsid w:val="00A561A6"/>
    <w:rsid w:val="00A563A0"/>
    <w:rsid w:val="00A5663C"/>
    <w:rsid w:val="00A56C45"/>
    <w:rsid w:val="00A5722B"/>
    <w:rsid w:val="00A574FC"/>
    <w:rsid w:val="00A57853"/>
    <w:rsid w:val="00A578EB"/>
    <w:rsid w:val="00A57984"/>
    <w:rsid w:val="00A57C22"/>
    <w:rsid w:val="00A57E98"/>
    <w:rsid w:val="00A57F95"/>
    <w:rsid w:val="00A60136"/>
    <w:rsid w:val="00A60495"/>
    <w:rsid w:val="00A60E88"/>
    <w:rsid w:val="00A61013"/>
    <w:rsid w:val="00A61023"/>
    <w:rsid w:val="00A61DB0"/>
    <w:rsid w:val="00A621F3"/>
    <w:rsid w:val="00A62B6F"/>
    <w:rsid w:val="00A62D46"/>
    <w:rsid w:val="00A62D67"/>
    <w:rsid w:val="00A62F5F"/>
    <w:rsid w:val="00A63195"/>
    <w:rsid w:val="00A632A4"/>
    <w:rsid w:val="00A633E3"/>
    <w:rsid w:val="00A63404"/>
    <w:rsid w:val="00A64095"/>
    <w:rsid w:val="00A642BD"/>
    <w:rsid w:val="00A64304"/>
    <w:rsid w:val="00A643CA"/>
    <w:rsid w:val="00A64CAD"/>
    <w:rsid w:val="00A64D0E"/>
    <w:rsid w:val="00A64E30"/>
    <w:rsid w:val="00A65528"/>
    <w:rsid w:val="00A6597D"/>
    <w:rsid w:val="00A65E77"/>
    <w:rsid w:val="00A66060"/>
    <w:rsid w:val="00A66086"/>
    <w:rsid w:val="00A660E6"/>
    <w:rsid w:val="00A66268"/>
    <w:rsid w:val="00A662B9"/>
    <w:rsid w:val="00A66848"/>
    <w:rsid w:val="00A668DF"/>
    <w:rsid w:val="00A6697D"/>
    <w:rsid w:val="00A66A2E"/>
    <w:rsid w:val="00A66BE8"/>
    <w:rsid w:val="00A66DCC"/>
    <w:rsid w:val="00A66EC1"/>
    <w:rsid w:val="00A673C5"/>
    <w:rsid w:val="00A674E6"/>
    <w:rsid w:val="00A67630"/>
    <w:rsid w:val="00A67880"/>
    <w:rsid w:val="00A678B5"/>
    <w:rsid w:val="00A67A54"/>
    <w:rsid w:val="00A67C2B"/>
    <w:rsid w:val="00A67F8F"/>
    <w:rsid w:val="00A7018F"/>
    <w:rsid w:val="00A701B0"/>
    <w:rsid w:val="00A7035C"/>
    <w:rsid w:val="00A708CC"/>
    <w:rsid w:val="00A70EEE"/>
    <w:rsid w:val="00A71061"/>
    <w:rsid w:val="00A7169F"/>
    <w:rsid w:val="00A716D7"/>
    <w:rsid w:val="00A71C96"/>
    <w:rsid w:val="00A71D2A"/>
    <w:rsid w:val="00A721C9"/>
    <w:rsid w:val="00A72313"/>
    <w:rsid w:val="00A7246B"/>
    <w:rsid w:val="00A7286A"/>
    <w:rsid w:val="00A72AD5"/>
    <w:rsid w:val="00A72B30"/>
    <w:rsid w:val="00A72BAD"/>
    <w:rsid w:val="00A72ED1"/>
    <w:rsid w:val="00A732FB"/>
    <w:rsid w:val="00A73408"/>
    <w:rsid w:val="00A734CA"/>
    <w:rsid w:val="00A7374B"/>
    <w:rsid w:val="00A7378F"/>
    <w:rsid w:val="00A748B9"/>
    <w:rsid w:val="00A74A93"/>
    <w:rsid w:val="00A74EF2"/>
    <w:rsid w:val="00A74FA1"/>
    <w:rsid w:val="00A7530D"/>
    <w:rsid w:val="00A7560D"/>
    <w:rsid w:val="00A7600F"/>
    <w:rsid w:val="00A76061"/>
    <w:rsid w:val="00A761E1"/>
    <w:rsid w:val="00A76247"/>
    <w:rsid w:val="00A763C7"/>
    <w:rsid w:val="00A7651A"/>
    <w:rsid w:val="00A7690A"/>
    <w:rsid w:val="00A76CA5"/>
    <w:rsid w:val="00A777A3"/>
    <w:rsid w:val="00A77E07"/>
    <w:rsid w:val="00A80513"/>
    <w:rsid w:val="00A80C25"/>
    <w:rsid w:val="00A8104E"/>
    <w:rsid w:val="00A8173E"/>
    <w:rsid w:val="00A81886"/>
    <w:rsid w:val="00A819BC"/>
    <w:rsid w:val="00A81A13"/>
    <w:rsid w:val="00A8227B"/>
    <w:rsid w:val="00A8248D"/>
    <w:rsid w:val="00A825F9"/>
    <w:rsid w:val="00A82641"/>
    <w:rsid w:val="00A82EEF"/>
    <w:rsid w:val="00A838D3"/>
    <w:rsid w:val="00A838F7"/>
    <w:rsid w:val="00A83D84"/>
    <w:rsid w:val="00A85855"/>
    <w:rsid w:val="00A85A7A"/>
    <w:rsid w:val="00A86272"/>
    <w:rsid w:val="00A86396"/>
    <w:rsid w:val="00A86CB1"/>
    <w:rsid w:val="00A876EF"/>
    <w:rsid w:val="00A87AB2"/>
    <w:rsid w:val="00A87DA2"/>
    <w:rsid w:val="00A904C5"/>
    <w:rsid w:val="00A905C9"/>
    <w:rsid w:val="00A905EC"/>
    <w:rsid w:val="00A90722"/>
    <w:rsid w:val="00A9092A"/>
    <w:rsid w:val="00A909F8"/>
    <w:rsid w:val="00A90A21"/>
    <w:rsid w:val="00A90E63"/>
    <w:rsid w:val="00A90FCF"/>
    <w:rsid w:val="00A911CA"/>
    <w:rsid w:val="00A917D2"/>
    <w:rsid w:val="00A91964"/>
    <w:rsid w:val="00A91F09"/>
    <w:rsid w:val="00A92024"/>
    <w:rsid w:val="00A92140"/>
    <w:rsid w:val="00A92691"/>
    <w:rsid w:val="00A92762"/>
    <w:rsid w:val="00A92981"/>
    <w:rsid w:val="00A93168"/>
    <w:rsid w:val="00A93248"/>
    <w:rsid w:val="00A937B6"/>
    <w:rsid w:val="00A93AAD"/>
    <w:rsid w:val="00A93B4A"/>
    <w:rsid w:val="00A93C3A"/>
    <w:rsid w:val="00A93F79"/>
    <w:rsid w:val="00A94792"/>
    <w:rsid w:val="00A95B22"/>
    <w:rsid w:val="00A95BA5"/>
    <w:rsid w:val="00A9605D"/>
    <w:rsid w:val="00A9620E"/>
    <w:rsid w:val="00A9740C"/>
    <w:rsid w:val="00A9771C"/>
    <w:rsid w:val="00A97C24"/>
    <w:rsid w:val="00AA0292"/>
    <w:rsid w:val="00AA0564"/>
    <w:rsid w:val="00AA05C9"/>
    <w:rsid w:val="00AA07DA"/>
    <w:rsid w:val="00AA09CC"/>
    <w:rsid w:val="00AA1EAB"/>
    <w:rsid w:val="00AA202C"/>
    <w:rsid w:val="00AA28D1"/>
    <w:rsid w:val="00AA2A78"/>
    <w:rsid w:val="00AA2CD8"/>
    <w:rsid w:val="00AA3344"/>
    <w:rsid w:val="00AA34E3"/>
    <w:rsid w:val="00AA3509"/>
    <w:rsid w:val="00AA3DD4"/>
    <w:rsid w:val="00AA3F42"/>
    <w:rsid w:val="00AA421F"/>
    <w:rsid w:val="00AA424A"/>
    <w:rsid w:val="00AA4356"/>
    <w:rsid w:val="00AA44B4"/>
    <w:rsid w:val="00AA4742"/>
    <w:rsid w:val="00AA4B62"/>
    <w:rsid w:val="00AA4D20"/>
    <w:rsid w:val="00AA4FCB"/>
    <w:rsid w:val="00AA5282"/>
    <w:rsid w:val="00AA5601"/>
    <w:rsid w:val="00AA61BF"/>
    <w:rsid w:val="00AA668C"/>
    <w:rsid w:val="00AA6A15"/>
    <w:rsid w:val="00AA6A9A"/>
    <w:rsid w:val="00AA6D55"/>
    <w:rsid w:val="00AA708A"/>
    <w:rsid w:val="00AA727C"/>
    <w:rsid w:val="00AA73C6"/>
    <w:rsid w:val="00AA74FC"/>
    <w:rsid w:val="00AA75BF"/>
    <w:rsid w:val="00AA7F21"/>
    <w:rsid w:val="00AB0704"/>
    <w:rsid w:val="00AB0F6C"/>
    <w:rsid w:val="00AB0FED"/>
    <w:rsid w:val="00AB113A"/>
    <w:rsid w:val="00AB11C7"/>
    <w:rsid w:val="00AB1377"/>
    <w:rsid w:val="00AB14E1"/>
    <w:rsid w:val="00AB189A"/>
    <w:rsid w:val="00AB191F"/>
    <w:rsid w:val="00AB19D2"/>
    <w:rsid w:val="00AB1FA2"/>
    <w:rsid w:val="00AB216F"/>
    <w:rsid w:val="00AB2476"/>
    <w:rsid w:val="00AB31B1"/>
    <w:rsid w:val="00AB34DB"/>
    <w:rsid w:val="00AB35A2"/>
    <w:rsid w:val="00AB35BA"/>
    <w:rsid w:val="00AB376D"/>
    <w:rsid w:val="00AB37E4"/>
    <w:rsid w:val="00AB39E0"/>
    <w:rsid w:val="00AB3C88"/>
    <w:rsid w:val="00AB3D5C"/>
    <w:rsid w:val="00AB4288"/>
    <w:rsid w:val="00AB43E7"/>
    <w:rsid w:val="00AB451E"/>
    <w:rsid w:val="00AB4586"/>
    <w:rsid w:val="00AB4A56"/>
    <w:rsid w:val="00AB4A86"/>
    <w:rsid w:val="00AB4EFF"/>
    <w:rsid w:val="00AB5ECC"/>
    <w:rsid w:val="00AB63A2"/>
    <w:rsid w:val="00AB6859"/>
    <w:rsid w:val="00AB6A75"/>
    <w:rsid w:val="00AB71DE"/>
    <w:rsid w:val="00AB75E3"/>
    <w:rsid w:val="00AB7993"/>
    <w:rsid w:val="00AB7AA2"/>
    <w:rsid w:val="00AB7E0D"/>
    <w:rsid w:val="00AB7F59"/>
    <w:rsid w:val="00AC0226"/>
    <w:rsid w:val="00AC05DC"/>
    <w:rsid w:val="00AC09FB"/>
    <w:rsid w:val="00AC110F"/>
    <w:rsid w:val="00AC11DE"/>
    <w:rsid w:val="00AC1456"/>
    <w:rsid w:val="00AC194F"/>
    <w:rsid w:val="00AC1FBF"/>
    <w:rsid w:val="00AC1FD0"/>
    <w:rsid w:val="00AC2467"/>
    <w:rsid w:val="00AC28C4"/>
    <w:rsid w:val="00AC2CEC"/>
    <w:rsid w:val="00AC2F96"/>
    <w:rsid w:val="00AC340A"/>
    <w:rsid w:val="00AC3467"/>
    <w:rsid w:val="00AC3691"/>
    <w:rsid w:val="00AC38F0"/>
    <w:rsid w:val="00AC3904"/>
    <w:rsid w:val="00AC39EF"/>
    <w:rsid w:val="00AC3DA0"/>
    <w:rsid w:val="00AC3EC2"/>
    <w:rsid w:val="00AC41F1"/>
    <w:rsid w:val="00AC4BAD"/>
    <w:rsid w:val="00AC583C"/>
    <w:rsid w:val="00AC6AF4"/>
    <w:rsid w:val="00AC7487"/>
    <w:rsid w:val="00AC76F1"/>
    <w:rsid w:val="00AC790E"/>
    <w:rsid w:val="00AC7A4B"/>
    <w:rsid w:val="00AC7AC8"/>
    <w:rsid w:val="00AC7C99"/>
    <w:rsid w:val="00AC7EB1"/>
    <w:rsid w:val="00AD03DC"/>
    <w:rsid w:val="00AD0CC5"/>
    <w:rsid w:val="00AD19F3"/>
    <w:rsid w:val="00AD1AC7"/>
    <w:rsid w:val="00AD1AF1"/>
    <w:rsid w:val="00AD1D7A"/>
    <w:rsid w:val="00AD252F"/>
    <w:rsid w:val="00AD256E"/>
    <w:rsid w:val="00AD2B65"/>
    <w:rsid w:val="00AD2BEF"/>
    <w:rsid w:val="00AD2C58"/>
    <w:rsid w:val="00AD3329"/>
    <w:rsid w:val="00AD337E"/>
    <w:rsid w:val="00AD33FD"/>
    <w:rsid w:val="00AD3456"/>
    <w:rsid w:val="00AD35F3"/>
    <w:rsid w:val="00AD3CA5"/>
    <w:rsid w:val="00AD3F63"/>
    <w:rsid w:val="00AD443B"/>
    <w:rsid w:val="00AD47F5"/>
    <w:rsid w:val="00AD4B8F"/>
    <w:rsid w:val="00AD4D72"/>
    <w:rsid w:val="00AD4D78"/>
    <w:rsid w:val="00AD5034"/>
    <w:rsid w:val="00AD50E7"/>
    <w:rsid w:val="00AD53E0"/>
    <w:rsid w:val="00AD5429"/>
    <w:rsid w:val="00AD569B"/>
    <w:rsid w:val="00AD5CDB"/>
    <w:rsid w:val="00AD5E27"/>
    <w:rsid w:val="00AD5F9C"/>
    <w:rsid w:val="00AD61EB"/>
    <w:rsid w:val="00AD621C"/>
    <w:rsid w:val="00AD67CE"/>
    <w:rsid w:val="00AD698A"/>
    <w:rsid w:val="00AD70F6"/>
    <w:rsid w:val="00AD78E0"/>
    <w:rsid w:val="00AE00CB"/>
    <w:rsid w:val="00AE06CF"/>
    <w:rsid w:val="00AE08F3"/>
    <w:rsid w:val="00AE0B0C"/>
    <w:rsid w:val="00AE0B7E"/>
    <w:rsid w:val="00AE0E3E"/>
    <w:rsid w:val="00AE1A81"/>
    <w:rsid w:val="00AE1D7B"/>
    <w:rsid w:val="00AE265D"/>
    <w:rsid w:val="00AE2CDB"/>
    <w:rsid w:val="00AE2E9E"/>
    <w:rsid w:val="00AE2F67"/>
    <w:rsid w:val="00AE30E5"/>
    <w:rsid w:val="00AE341D"/>
    <w:rsid w:val="00AE3ED4"/>
    <w:rsid w:val="00AE406B"/>
    <w:rsid w:val="00AE45CB"/>
    <w:rsid w:val="00AE4AF9"/>
    <w:rsid w:val="00AE517A"/>
    <w:rsid w:val="00AE51F9"/>
    <w:rsid w:val="00AE536E"/>
    <w:rsid w:val="00AE5435"/>
    <w:rsid w:val="00AE5B43"/>
    <w:rsid w:val="00AE5B68"/>
    <w:rsid w:val="00AE5E77"/>
    <w:rsid w:val="00AE5F07"/>
    <w:rsid w:val="00AE69EB"/>
    <w:rsid w:val="00AE7473"/>
    <w:rsid w:val="00AE7565"/>
    <w:rsid w:val="00AE7E54"/>
    <w:rsid w:val="00AF02B8"/>
    <w:rsid w:val="00AF0360"/>
    <w:rsid w:val="00AF04F8"/>
    <w:rsid w:val="00AF04FD"/>
    <w:rsid w:val="00AF07EB"/>
    <w:rsid w:val="00AF0855"/>
    <w:rsid w:val="00AF0DCC"/>
    <w:rsid w:val="00AF1353"/>
    <w:rsid w:val="00AF1D36"/>
    <w:rsid w:val="00AF208E"/>
    <w:rsid w:val="00AF24CB"/>
    <w:rsid w:val="00AF2573"/>
    <w:rsid w:val="00AF2874"/>
    <w:rsid w:val="00AF39F8"/>
    <w:rsid w:val="00AF429E"/>
    <w:rsid w:val="00AF4398"/>
    <w:rsid w:val="00AF43C7"/>
    <w:rsid w:val="00AF4905"/>
    <w:rsid w:val="00AF4D80"/>
    <w:rsid w:val="00AF4EEC"/>
    <w:rsid w:val="00AF4F91"/>
    <w:rsid w:val="00AF547E"/>
    <w:rsid w:val="00AF592B"/>
    <w:rsid w:val="00AF5FC9"/>
    <w:rsid w:val="00AF67AB"/>
    <w:rsid w:val="00AF6A7D"/>
    <w:rsid w:val="00AF6C80"/>
    <w:rsid w:val="00AF6DD2"/>
    <w:rsid w:val="00AF709E"/>
    <w:rsid w:val="00AF7397"/>
    <w:rsid w:val="00AF756A"/>
    <w:rsid w:val="00AF7600"/>
    <w:rsid w:val="00AF7741"/>
    <w:rsid w:val="00AF77C4"/>
    <w:rsid w:val="00AF7961"/>
    <w:rsid w:val="00AF7A07"/>
    <w:rsid w:val="00B00299"/>
    <w:rsid w:val="00B002C0"/>
    <w:rsid w:val="00B00949"/>
    <w:rsid w:val="00B00A4D"/>
    <w:rsid w:val="00B01505"/>
    <w:rsid w:val="00B01522"/>
    <w:rsid w:val="00B01533"/>
    <w:rsid w:val="00B018F8"/>
    <w:rsid w:val="00B019F8"/>
    <w:rsid w:val="00B01BEB"/>
    <w:rsid w:val="00B01C55"/>
    <w:rsid w:val="00B01D8C"/>
    <w:rsid w:val="00B01DAB"/>
    <w:rsid w:val="00B020EB"/>
    <w:rsid w:val="00B02126"/>
    <w:rsid w:val="00B028E3"/>
    <w:rsid w:val="00B02C67"/>
    <w:rsid w:val="00B02DE8"/>
    <w:rsid w:val="00B03240"/>
    <w:rsid w:val="00B032EE"/>
    <w:rsid w:val="00B0338E"/>
    <w:rsid w:val="00B0350E"/>
    <w:rsid w:val="00B037A6"/>
    <w:rsid w:val="00B03838"/>
    <w:rsid w:val="00B03860"/>
    <w:rsid w:val="00B039BA"/>
    <w:rsid w:val="00B03D95"/>
    <w:rsid w:val="00B0403E"/>
    <w:rsid w:val="00B04156"/>
    <w:rsid w:val="00B041B9"/>
    <w:rsid w:val="00B047D4"/>
    <w:rsid w:val="00B04979"/>
    <w:rsid w:val="00B0497A"/>
    <w:rsid w:val="00B04A51"/>
    <w:rsid w:val="00B04A65"/>
    <w:rsid w:val="00B0539A"/>
    <w:rsid w:val="00B05C6B"/>
    <w:rsid w:val="00B05D62"/>
    <w:rsid w:val="00B05D74"/>
    <w:rsid w:val="00B06C43"/>
    <w:rsid w:val="00B06D59"/>
    <w:rsid w:val="00B06E73"/>
    <w:rsid w:val="00B06F20"/>
    <w:rsid w:val="00B06FEC"/>
    <w:rsid w:val="00B07246"/>
    <w:rsid w:val="00B0760F"/>
    <w:rsid w:val="00B0771E"/>
    <w:rsid w:val="00B07B25"/>
    <w:rsid w:val="00B07EE5"/>
    <w:rsid w:val="00B07FD5"/>
    <w:rsid w:val="00B100D7"/>
    <w:rsid w:val="00B1047F"/>
    <w:rsid w:val="00B10A03"/>
    <w:rsid w:val="00B10A17"/>
    <w:rsid w:val="00B1104A"/>
    <w:rsid w:val="00B113DA"/>
    <w:rsid w:val="00B11E51"/>
    <w:rsid w:val="00B11E5E"/>
    <w:rsid w:val="00B11E8C"/>
    <w:rsid w:val="00B1251C"/>
    <w:rsid w:val="00B12655"/>
    <w:rsid w:val="00B1281C"/>
    <w:rsid w:val="00B12828"/>
    <w:rsid w:val="00B1286A"/>
    <w:rsid w:val="00B12E62"/>
    <w:rsid w:val="00B12EAD"/>
    <w:rsid w:val="00B12EBE"/>
    <w:rsid w:val="00B131AD"/>
    <w:rsid w:val="00B13397"/>
    <w:rsid w:val="00B140C7"/>
    <w:rsid w:val="00B1436A"/>
    <w:rsid w:val="00B143EF"/>
    <w:rsid w:val="00B14464"/>
    <w:rsid w:val="00B14E2D"/>
    <w:rsid w:val="00B15081"/>
    <w:rsid w:val="00B15338"/>
    <w:rsid w:val="00B154E6"/>
    <w:rsid w:val="00B15539"/>
    <w:rsid w:val="00B1568E"/>
    <w:rsid w:val="00B15CC4"/>
    <w:rsid w:val="00B15DAC"/>
    <w:rsid w:val="00B15EE4"/>
    <w:rsid w:val="00B15FD5"/>
    <w:rsid w:val="00B16146"/>
    <w:rsid w:val="00B163D1"/>
    <w:rsid w:val="00B16C94"/>
    <w:rsid w:val="00B16F83"/>
    <w:rsid w:val="00B16FA7"/>
    <w:rsid w:val="00B1700B"/>
    <w:rsid w:val="00B17221"/>
    <w:rsid w:val="00B17463"/>
    <w:rsid w:val="00B17785"/>
    <w:rsid w:val="00B203BA"/>
    <w:rsid w:val="00B20512"/>
    <w:rsid w:val="00B20539"/>
    <w:rsid w:val="00B20737"/>
    <w:rsid w:val="00B20C4F"/>
    <w:rsid w:val="00B20CD2"/>
    <w:rsid w:val="00B20E34"/>
    <w:rsid w:val="00B210AE"/>
    <w:rsid w:val="00B21457"/>
    <w:rsid w:val="00B218EE"/>
    <w:rsid w:val="00B21ADB"/>
    <w:rsid w:val="00B21CB2"/>
    <w:rsid w:val="00B21FFA"/>
    <w:rsid w:val="00B2248D"/>
    <w:rsid w:val="00B22937"/>
    <w:rsid w:val="00B22D68"/>
    <w:rsid w:val="00B23326"/>
    <w:rsid w:val="00B23385"/>
    <w:rsid w:val="00B234A7"/>
    <w:rsid w:val="00B23B60"/>
    <w:rsid w:val="00B23F14"/>
    <w:rsid w:val="00B2471A"/>
    <w:rsid w:val="00B24D06"/>
    <w:rsid w:val="00B255AB"/>
    <w:rsid w:val="00B25834"/>
    <w:rsid w:val="00B25BC3"/>
    <w:rsid w:val="00B25EA8"/>
    <w:rsid w:val="00B25EAD"/>
    <w:rsid w:val="00B26766"/>
    <w:rsid w:val="00B26AE4"/>
    <w:rsid w:val="00B26E95"/>
    <w:rsid w:val="00B26EEB"/>
    <w:rsid w:val="00B276E8"/>
    <w:rsid w:val="00B277DF"/>
    <w:rsid w:val="00B27AEE"/>
    <w:rsid w:val="00B30347"/>
    <w:rsid w:val="00B303F8"/>
    <w:rsid w:val="00B30579"/>
    <w:rsid w:val="00B305EF"/>
    <w:rsid w:val="00B30C8C"/>
    <w:rsid w:val="00B30D96"/>
    <w:rsid w:val="00B311F3"/>
    <w:rsid w:val="00B313EE"/>
    <w:rsid w:val="00B3142B"/>
    <w:rsid w:val="00B31495"/>
    <w:rsid w:val="00B317A4"/>
    <w:rsid w:val="00B31A39"/>
    <w:rsid w:val="00B31D3F"/>
    <w:rsid w:val="00B31FFE"/>
    <w:rsid w:val="00B321FC"/>
    <w:rsid w:val="00B33383"/>
    <w:rsid w:val="00B33817"/>
    <w:rsid w:val="00B3389F"/>
    <w:rsid w:val="00B33DC1"/>
    <w:rsid w:val="00B34FB5"/>
    <w:rsid w:val="00B35092"/>
    <w:rsid w:val="00B352EE"/>
    <w:rsid w:val="00B36704"/>
    <w:rsid w:val="00B369A8"/>
    <w:rsid w:val="00B3701E"/>
    <w:rsid w:val="00B37501"/>
    <w:rsid w:val="00B37B38"/>
    <w:rsid w:val="00B37C99"/>
    <w:rsid w:val="00B4008C"/>
    <w:rsid w:val="00B4023B"/>
    <w:rsid w:val="00B4028A"/>
    <w:rsid w:val="00B40588"/>
    <w:rsid w:val="00B406AE"/>
    <w:rsid w:val="00B4098C"/>
    <w:rsid w:val="00B40C65"/>
    <w:rsid w:val="00B4139C"/>
    <w:rsid w:val="00B41718"/>
    <w:rsid w:val="00B419CD"/>
    <w:rsid w:val="00B42001"/>
    <w:rsid w:val="00B4240E"/>
    <w:rsid w:val="00B424D8"/>
    <w:rsid w:val="00B42637"/>
    <w:rsid w:val="00B4282A"/>
    <w:rsid w:val="00B4299F"/>
    <w:rsid w:val="00B429B2"/>
    <w:rsid w:val="00B42E1C"/>
    <w:rsid w:val="00B4300E"/>
    <w:rsid w:val="00B43230"/>
    <w:rsid w:val="00B437AF"/>
    <w:rsid w:val="00B43D90"/>
    <w:rsid w:val="00B443AF"/>
    <w:rsid w:val="00B44492"/>
    <w:rsid w:val="00B448FC"/>
    <w:rsid w:val="00B44C61"/>
    <w:rsid w:val="00B45165"/>
    <w:rsid w:val="00B4532A"/>
    <w:rsid w:val="00B455C5"/>
    <w:rsid w:val="00B4563D"/>
    <w:rsid w:val="00B45B25"/>
    <w:rsid w:val="00B466A2"/>
    <w:rsid w:val="00B46DA0"/>
    <w:rsid w:val="00B4758D"/>
    <w:rsid w:val="00B477E9"/>
    <w:rsid w:val="00B47C57"/>
    <w:rsid w:val="00B47E96"/>
    <w:rsid w:val="00B47F5E"/>
    <w:rsid w:val="00B500B7"/>
    <w:rsid w:val="00B5072A"/>
    <w:rsid w:val="00B510FF"/>
    <w:rsid w:val="00B5151B"/>
    <w:rsid w:val="00B51E2C"/>
    <w:rsid w:val="00B52341"/>
    <w:rsid w:val="00B524E2"/>
    <w:rsid w:val="00B5263C"/>
    <w:rsid w:val="00B528AE"/>
    <w:rsid w:val="00B52A47"/>
    <w:rsid w:val="00B52B79"/>
    <w:rsid w:val="00B52C2D"/>
    <w:rsid w:val="00B52CD3"/>
    <w:rsid w:val="00B52DCE"/>
    <w:rsid w:val="00B53248"/>
    <w:rsid w:val="00B5389C"/>
    <w:rsid w:val="00B53A27"/>
    <w:rsid w:val="00B548A8"/>
    <w:rsid w:val="00B548BB"/>
    <w:rsid w:val="00B556B7"/>
    <w:rsid w:val="00B5575E"/>
    <w:rsid w:val="00B55C49"/>
    <w:rsid w:val="00B5618D"/>
    <w:rsid w:val="00B561AC"/>
    <w:rsid w:val="00B56234"/>
    <w:rsid w:val="00B56283"/>
    <w:rsid w:val="00B56EDF"/>
    <w:rsid w:val="00B56F9B"/>
    <w:rsid w:val="00B571FB"/>
    <w:rsid w:val="00B57477"/>
    <w:rsid w:val="00B57A72"/>
    <w:rsid w:val="00B57E16"/>
    <w:rsid w:val="00B60495"/>
    <w:rsid w:val="00B60567"/>
    <w:rsid w:val="00B60694"/>
    <w:rsid w:val="00B6093B"/>
    <w:rsid w:val="00B60D6B"/>
    <w:rsid w:val="00B6115B"/>
    <w:rsid w:val="00B611E5"/>
    <w:rsid w:val="00B615C0"/>
    <w:rsid w:val="00B61F56"/>
    <w:rsid w:val="00B62101"/>
    <w:rsid w:val="00B62567"/>
    <w:rsid w:val="00B62949"/>
    <w:rsid w:val="00B62D49"/>
    <w:rsid w:val="00B62DB4"/>
    <w:rsid w:val="00B631BA"/>
    <w:rsid w:val="00B631DC"/>
    <w:rsid w:val="00B633D0"/>
    <w:rsid w:val="00B6343E"/>
    <w:rsid w:val="00B639D1"/>
    <w:rsid w:val="00B63C06"/>
    <w:rsid w:val="00B63E4F"/>
    <w:rsid w:val="00B64911"/>
    <w:rsid w:val="00B65AE2"/>
    <w:rsid w:val="00B65BDB"/>
    <w:rsid w:val="00B66151"/>
    <w:rsid w:val="00B662D9"/>
    <w:rsid w:val="00B666A8"/>
    <w:rsid w:val="00B66B45"/>
    <w:rsid w:val="00B66C12"/>
    <w:rsid w:val="00B66C4D"/>
    <w:rsid w:val="00B66D27"/>
    <w:rsid w:val="00B66FB3"/>
    <w:rsid w:val="00B67349"/>
    <w:rsid w:val="00B6738A"/>
    <w:rsid w:val="00B676AB"/>
    <w:rsid w:val="00B67C1B"/>
    <w:rsid w:val="00B70364"/>
    <w:rsid w:val="00B707AC"/>
    <w:rsid w:val="00B70931"/>
    <w:rsid w:val="00B7099E"/>
    <w:rsid w:val="00B70E15"/>
    <w:rsid w:val="00B70EDE"/>
    <w:rsid w:val="00B70FF0"/>
    <w:rsid w:val="00B7110D"/>
    <w:rsid w:val="00B71596"/>
    <w:rsid w:val="00B71887"/>
    <w:rsid w:val="00B7216E"/>
    <w:rsid w:val="00B723FC"/>
    <w:rsid w:val="00B727F8"/>
    <w:rsid w:val="00B7282E"/>
    <w:rsid w:val="00B72902"/>
    <w:rsid w:val="00B72BBA"/>
    <w:rsid w:val="00B73547"/>
    <w:rsid w:val="00B74386"/>
    <w:rsid w:val="00B746CD"/>
    <w:rsid w:val="00B748EC"/>
    <w:rsid w:val="00B74901"/>
    <w:rsid w:val="00B751B1"/>
    <w:rsid w:val="00B75698"/>
    <w:rsid w:val="00B75731"/>
    <w:rsid w:val="00B758A6"/>
    <w:rsid w:val="00B760A0"/>
    <w:rsid w:val="00B760CE"/>
    <w:rsid w:val="00B7625B"/>
    <w:rsid w:val="00B76442"/>
    <w:rsid w:val="00B76D06"/>
    <w:rsid w:val="00B7768D"/>
    <w:rsid w:val="00B8015B"/>
    <w:rsid w:val="00B805BA"/>
    <w:rsid w:val="00B80951"/>
    <w:rsid w:val="00B80A70"/>
    <w:rsid w:val="00B80D8E"/>
    <w:rsid w:val="00B811BC"/>
    <w:rsid w:val="00B81240"/>
    <w:rsid w:val="00B8173E"/>
    <w:rsid w:val="00B81912"/>
    <w:rsid w:val="00B81B5F"/>
    <w:rsid w:val="00B81EAE"/>
    <w:rsid w:val="00B821CA"/>
    <w:rsid w:val="00B8239C"/>
    <w:rsid w:val="00B829C8"/>
    <w:rsid w:val="00B82EB9"/>
    <w:rsid w:val="00B82F1F"/>
    <w:rsid w:val="00B838C4"/>
    <w:rsid w:val="00B84054"/>
    <w:rsid w:val="00B840C8"/>
    <w:rsid w:val="00B84559"/>
    <w:rsid w:val="00B84657"/>
    <w:rsid w:val="00B84705"/>
    <w:rsid w:val="00B84886"/>
    <w:rsid w:val="00B84B0B"/>
    <w:rsid w:val="00B84CD5"/>
    <w:rsid w:val="00B854BA"/>
    <w:rsid w:val="00B854DF"/>
    <w:rsid w:val="00B85516"/>
    <w:rsid w:val="00B85638"/>
    <w:rsid w:val="00B85F14"/>
    <w:rsid w:val="00B8652E"/>
    <w:rsid w:val="00B86B2D"/>
    <w:rsid w:val="00B86B38"/>
    <w:rsid w:val="00B86D20"/>
    <w:rsid w:val="00B86EDD"/>
    <w:rsid w:val="00B87204"/>
    <w:rsid w:val="00B8791D"/>
    <w:rsid w:val="00B87D40"/>
    <w:rsid w:val="00B90BC7"/>
    <w:rsid w:val="00B91044"/>
    <w:rsid w:val="00B91521"/>
    <w:rsid w:val="00B9157B"/>
    <w:rsid w:val="00B91A8D"/>
    <w:rsid w:val="00B91E9D"/>
    <w:rsid w:val="00B924BD"/>
    <w:rsid w:val="00B933B5"/>
    <w:rsid w:val="00B93674"/>
    <w:rsid w:val="00B937D2"/>
    <w:rsid w:val="00B9388C"/>
    <w:rsid w:val="00B93AD5"/>
    <w:rsid w:val="00B94298"/>
    <w:rsid w:val="00B9551A"/>
    <w:rsid w:val="00B95A4B"/>
    <w:rsid w:val="00B95C49"/>
    <w:rsid w:val="00B962B9"/>
    <w:rsid w:val="00B96349"/>
    <w:rsid w:val="00B964CD"/>
    <w:rsid w:val="00B96762"/>
    <w:rsid w:val="00B96E98"/>
    <w:rsid w:val="00B97276"/>
    <w:rsid w:val="00B9735E"/>
    <w:rsid w:val="00B974D9"/>
    <w:rsid w:val="00B97547"/>
    <w:rsid w:val="00B97C27"/>
    <w:rsid w:val="00B97DDF"/>
    <w:rsid w:val="00BA045E"/>
    <w:rsid w:val="00BA0D00"/>
    <w:rsid w:val="00BA0E20"/>
    <w:rsid w:val="00BA0E8F"/>
    <w:rsid w:val="00BA1695"/>
    <w:rsid w:val="00BA200B"/>
    <w:rsid w:val="00BA2105"/>
    <w:rsid w:val="00BA2335"/>
    <w:rsid w:val="00BA296A"/>
    <w:rsid w:val="00BA2AC7"/>
    <w:rsid w:val="00BA2BA2"/>
    <w:rsid w:val="00BA2D31"/>
    <w:rsid w:val="00BA2D62"/>
    <w:rsid w:val="00BA2E17"/>
    <w:rsid w:val="00BA2F65"/>
    <w:rsid w:val="00BA3D4D"/>
    <w:rsid w:val="00BA401D"/>
    <w:rsid w:val="00BA4021"/>
    <w:rsid w:val="00BA407C"/>
    <w:rsid w:val="00BA4122"/>
    <w:rsid w:val="00BA532A"/>
    <w:rsid w:val="00BA57AB"/>
    <w:rsid w:val="00BA57C0"/>
    <w:rsid w:val="00BA5A7B"/>
    <w:rsid w:val="00BA5B76"/>
    <w:rsid w:val="00BA620D"/>
    <w:rsid w:val="00BA634F"/>
    <w:rsid w:val="00BA663D"/>
    <w:rsid w:val="00BA7428"/>
    <w:rsid w:val="00BA7462"/>
    <w:rsid w:val="00BA7B60"/>
    <w:rsid w:val="00BA7DC3"/>
    <w:rsid w:val="00BA7E2F"/>
    <w:rsid w:val="00BB0289"/>
    <w:rsid w:val="00BB0293"/>
    <w:rsid w:val="00BB06CB"/>
    <w:rsid w:val="00BB0814"/>
    <w:rsid w:val="00BB0A27"/>
    <w:rsid w:val="00BB0C7E"/>
    <w:rsid w:val="00BB1175"/>
    <w:rsid w:val="00BB12D8"/>
    <w:rsid w:val="00BB1402"/>
    <w:rsid w:val="00BB1494"/>
    <w:rsid w:val="00BB16D1"/>
    <w:rsid w:val="00BB173D"/>
    <w:rsid w:val="00BB2525"/>
    <w:rsid w:val="00BB2859"/>
    <w:rsid w:val="00BB2944"/>
    <w:rsid w:val="00BB294D"/>
    <w:rsid w:val="00BB31EE"/>
    <w:rsid w:val="00BB3399"/>
    <w:rsid w:val="00BB3F24"/>
    <w:rsid w:val="00BB4365"/>
    <w:rsid w:val="00BB476A"/>
    <w:rsid w:val="00BB4AF3"/>
    <w:rsid w:val="00BB4CB4"/>
    <w:rsid w:val="00BB5441"/>
    <w:rsid w:val="00BB547A"/>
    <w:rsid w:val="00BB5555"/>
    <w:rsid w:val="00BB5996"/>
    <w:rsid w:val="00BB5AD5"/>
    <w:rsid w:val="00BB5AF8"/>
    <w:rsid w:val="00BB641F"/>
    <w:rsid w:val="00BB67A8"/>
    <w:rsid w:val="00BB7069"/>
    <w:rsid w:val="00BB716B"/>
    <w:rsid w:val="00BC0682"/>
    <w:rsid w:val="00BC11C8"/>
    <w:rsid w:val="00BC1931"/>
    <w:rsid w:val="00BC23CD"/>
    <w:rsid w:val="00BC282C"/>
    <w:rsid w:val="00BC29B7"/>
    <w:rsid w:val="00BC2D48"/>
    <w:rsid w:val="00BC2EA8"/>
    <w:rsid w:val="00BC2ECE"/>
    <w:rsid w:val="00BC30C1"/>
    <w:rsid w:val="00BC3404"/>
    <w:rsid w:val="00BC35FE"/>
    <w:rsid w:val="00BC3666"/>
    <w:rsid w:val="00BC36BF"/>
    <w:rsid w:val="00BC3BC2"/>
    <w:rsid w:val="00BC4180"/>
    <w:rsid w:val="00BC4328"/>
    <w:rsid w:val="00BC46CD"/>
    <w:rsid w:val="00BC4C31"/>
    <w:rsid w:val="00BC51DC"/>
    <w:rsid w:val="00BC59B8"/>
    <w:rsid w:val="00BC5A7E"/>
    <w:rsid w:val="00BC5B4A"/>
    <w:rsid w:val="00BC5C66"/>
    <w:rsid w:val="00BC607F"/>
    <w:rsid w:val="00BC668A"/>
    <w:rsid w:val="00BC6767"/>
    <w:rsid w:val="00BC6C1B"/>
    <w:rsid w:val="00BC6F77"/>
    <w:rsid w:val="00BC75DC"/>
    <w:rsid w:val="00BC76D2"/>
    <w:rsid w:val="00BC7C2F"/>
    <w:rsid w:val="00BD0290"/>
    <w:rsid w:val="00BD039F"/>
    <w:rsid w:val="00BD04E0"/>
    <w:rsid w:val="00BD0875"/>
    <w:rsid w:val="00BD09C8"/>
    <w:rsid w:val="00BD0BC7"/>
    <w:rsid w:val="00BD103B"/>
    <w:rsid w:val="00BD120C"/>
    <w:rsid w:val="00BD12BB"/>
    <w:rsid w:val="00BD13EB"/>
    <w:rsid w:val="00BD1424"/>
    <w:rsid w:val="00BD1429"/>
    <w:rsid w:val="00BD15DF"/>
    <w:rsid w:val="00BD173E"/>
    <w:rsid w:val="00BD18D9"/>
    <w:rsid w:val="00BD1B3E"/>
    <w:rsid w:val="00BD1C5E"/>
    <w:rsid w:val="00BD1CE5"/>
    <w:rsid w:val="00BD2444"/>
    <w:rsid w:val="00BD253E"/>
    <w:rsid w:val="00BD27EC"/>
    <w:rsid w:val="00BD297B"/>
    <w:rsid w:val="00BD32CB"/>
    <w:rsid w:val="00BD39EE"/>
    <w:rsid w:val="00BD3BBA"/>
    <w:rsid w:val="00BD3D31"/>
    <w:rsid w:val="00BD4A13"/>
    <w:rsid w:val="00BD5354"/>
    <w:rsid w:val="00BD5775"/>
    <w:rsid w:val="00BD584F"/>
    <w:rsid w:val="00BD5853"/>
    <w:rsid w:val="00BD5BF2"/>
    <w:rsid w:val="00BD601C"/>
    <w:rsid w:val="00BD61D6"/>
    <w:rsid w:val="00BD6DD0"/>
    <w:rsid w:val="00BD6F98"/>
    <w:rsid w:val="00BD7217"/>
    <w:rsid w:val="00BD7282"/>
    <w:rsid w:val="00BD77ED"/>
    <w:rsid w:val="00BD7A8D"/>
    <w:rsid w:val="00BD7A9A"/>
    <w:rsid w:val="00BE00A9"/>
    <w:rsid w:val="00BE01B8"/>
    <w:rsid w:val="00BE0341"/>
    <w:rsid w:val="00BE0577"/>
    <w:rsid w:val="00BE0D76"/>
    <w:rsid w:val="00BE0E50"/>
    <w:rsid w:val="00BE0FF2"/>
    <w:rsid w:val="00BE1143"/>
    <w:rsid w:val="00BE1724"/>
    <w:rsid w:val="00BE1A7C"/>
    <w:rsid w:val="00BE1E21"/>
    <w:rsid w:val="00BE1EF3"/>
    <w:rsid w:val="00BE23CA"/>
    <w:rsid w:val="00BE247E"/>
    <w:rsid w:val="00BE2B86"/>
    <w:rsid w:val="00BE2DB4"/>
    <w:rsid w:val="00BE39E9"/>
    <w:rsid w:val="00BE3A57"/>
    <w:rsid w:val="00BE4033"/>
    <w:rsid w:val="00BE40A1"/>
    <w:rsid w:val="00BE4211"/>
    <w:rsid w:val="00BE42A1"/>
    <w:rsid w:val="00BE437B"/>
    <w:rsid w:val="00BE44D6"/>
    <w:rsid w:val="00BE48C2"/>
    <w:rsid w:val="00BE4E5B"/>
    <w:rsid w:val="00BE4FBB"/>
    <w:rsid w:val="00BE528B"/>
    <w:rsid w:val="00BE5398"/>
    <w:rsid w:val="00BE5617"/>
    <w:rsid w:val="00BE5AB9"/>
    <w:rsid w:val="00BE5C7D"/>
    <w:rsid w:val="00BE617F"/>
    <w:rsid w:val="00BE6883"/>
    <w:rsid w:val="00BE6885"/>
    <w:rsid w:val="00BE6AF3"/>
    <w:rsid w:val="00BE6C57"/>
    <w:rsid w:val="00BE7A75"/>
    <w:rsid w:val="00BE7CF3"/>
    <w:rsid w:val="00BF009C"/>
    <w:rsid w:val="00BF017D"/>
    <w:rsid w:val="00BF02EA"/>
    <w:rsid w:val="00BF0715"/>
    <w:rsid w:val="00BF08C1"/>
    <w:rsid w:val="00BF0A4F"/>
    <w:rsid w:val="00BF0B1A"/>
    <w:rsid w:val="00BF1622"/>
    <w:rsid w:val="00BF1A8E"/>
    <w:rsid w:val="00BF1CA9"/>
    <w:rsid w:val="00BF1D5B"/>
    <w:rsid w:val="00BF1D91"/>
    <w:rsid w:val="00BF21AF"/>
    <w:rsid w:val="00BF2538"/>
    <w:rsid w:val="00BF2843"/>
    <w:rsid w:val="00BF28C3"/>
    <w:rsid w:val="00BF28DE"/>
    <w:rsid w:val="00BF2E63"/>
    <w:rsid w:val="00BF336F"/>
    <w:rsid w:val="00BF3B4B"/>
    <w:rsid w:val="00BF4030"/>
    <w:rsid w:val="00BF4203"/>
    <w:rsid w:val="00BF48A1"/>
    <w:rsid w:val="00BF4AAE"/>
    <w:rsid w:val="00BF505C"/>
    <w:rsid w:val="00BF5072"/>
    <w:rsid w:val="00BF5280"/>
    <w:rsid w:val="00BF5905"/>
    <w:rsid w:val="00BF5965"/>
    <w:rsid w:val="00BF5967"/>
    <w:rsid w:val="00BF677A"/>
    <w:rsid w:val="00BF67F9"/>
    <w:rsid w:val="00BF75DC"/>
    <w:rsid w:val="00BF797F"/>
    <w:rsid w:val="00BF7E76"/>
    <w:rsid w:val="00BF7F35"/>
    <w:rsid w:val="00C005FF"/>
    <w:rsid w:val="00C00C17"/>
    <w:rsid w:val="00C00ED6"/>
    <w:rsid w:val="00C011CD"/>
    <w:rsid w:val="00C012BA"/>
    <w:rsid w:val="00C01936"/>
    <w:rsid w:val="00C01FCF"/>
    <w:rsid w:val="00C0256E"/>
    <w:rsid w:val="00C025F6"/>
    <w:rsid w:val="00C02819"/>
    <w:rsid w:val="00C028CC"/>
    <w:rsid w:val="00C02C73"/>
    <w:rsid w:val="00C02DA9"/>
    <w:rsid w:val="00C02F3F"/>
    <w:rsid w:val="00C03385"/>
    <w:rsid w:val="00C034FF"/>
    <w:rsid w:val="00C038A2"/>
    <w:rsid w:val="00C03D2B"/>
    <w:rsid w:val="00C03ED8"/>
    <w:rsid w:val="00C03FFA"/>
    <w:rsid w:val="00C04086"/>
    <w:rsid w:val="00C040BE"/>
    <w:rsid w:val="00C047D0"/>
    <w:rsid w:val="00C04B15"/>
    <w:rsid w:val="00C04E48"/>
    <w:rsid w:val="00C05063"/>
    <w:rsid w:val="00C055BB"/>
    <w:rsid w:val="00C05AAB"/>
    <w:rsid w:val="00C05D68"/>
    <w:rsid w:val="00C065C4"/>
    <w:rsid w:val="00C06695"/>
    <w:rsid w:val="00C066A4"/>
    <w:rsid w:val="00C06817"/>
    <w:rsid w:val="00C072F8"/>
    <w:rsid w:val="00C07441"/>
    <w:rsid w:val="00C07731"/>
    <w:rsid w:val="00C07D02"/>
    <w:rsid w:val="00C07D1F"/>
    <w:rsid w:val="00C07E9C"/>
    <w:rsid w:val="00C07F89"/>
    <w:rsid w:val="00C100C6"/>
    <w:rsid w:val="00C1025C"/>
    <w:rsid w:val="00C104E6"/>
    <w:rsid w:val="00C106AE"/>
    <w:rsid w:val="00C11177"/>
    <w:rsid w:val="00C11342"/>
    <w:rsid w:val="00C1171E"/>
    <w:rsid w:val="00C1179E"/>
    <w:rsid w:val="00C1187B"/>
    <w:rsid w:val="00C11946"/>
    <w:rsid w:val="00C11B71"/>
    <w:rsid w:val="00C11BDF"/>
    <w:rsid w:val="00C121F4"/>
    <w:rsid w:val="00C12960"/>
    <w:rsid w:val="00C12A55"/>
    <w:rsid w:val="00C133BD"/>
    <w:rsid w:val="00C13DAE"/>
    <w:rsid w:val="00C143B4"/>
    <w:rsid w:val="00C14859"/>
    <w:rsid w:val="00C14A5F"/>
    <w:rsid w:val="00C14B45"/>
    <w:rsid w:val="00C14EB9"/>
    <w:rsid w:val="00C1534B"/>
    <w:rsid w:val="00C15360"/>
    <w:rsid w:val="00C15705"/>
    <w:rsid w:val="00C15971"/>
    <w:rsid w:val="00C1598E"/>
    <w:rsid w:val="00C15B64"/>
    <w:rsid w:val="00C15D06"/>
    <w:rsid w:val="00C1608B"/>
    <w:rsid w:val="00C1610C"/>
    <w:rsid w:val="00C165B6"/>
    <w:rsid w:val="00C16B29"/>
    <w:rsid w:val="00C1749C"/>
    <w:rsid w:val="00C17EE9"/>
    <w:rsid w:val="00C203B1"/>
    <w:rsid w:val="00C20578"/>
    <w:rsid w:val="00C2067A"/>
    <w:rsid w:val="00C20723"/>
    <w:rsid w:val="00C20BE6"/>
    <w:rsid w:val="00C20DEC"/>
    <w:rsid w:val="00C210D4"/>
    <w:rsid w:val="00C21922"/>
    <w:rsid w:val="00C21CB3"/>
    <w:rsid w:val="00C21E7C"/>
    <w:rsid w:val="00C22656"/>
    <w:rsid w:val="00C22798"/>
    <w:rsid w:val="00C22CAF"/>
    <w:rsid w:val="00C22D0B"/>
    <w:rsid w:val="00C23151"/>
    <w:rsid w:val="00C240E3"/>
    <w:rsid w:val="00C24C62"/>
    <w:rsid w:val="00C2566B"/>
    <w:rsid w:val="00C2606D"/>
    <w:rsid w:val="00C260DC"/>
    <w:rsid w:val="00C261D3"/>
    <w:rsid w:val="00C26662"/>
    <w:rsid w:val="00C26CF3"/>
    <w:rsid w:val="00C26F03"/>
    <w:rsid w:val="00C27267"/>
    <w:rsid w:val="00C27644"/>
    <w:rsid w:val="00C2774B"/>
    <w:rsid w:val="00C27C8E"/>
    <w:rsid w:val="00C27F12"/>
    <w:rsid w:val="00C301C5"/>
    <w:rsid w:val="00C30477"/>
    <w:rsid w:val="00C30D3C"/>
    <w:rsid w:val="00C30DD0"/>
    <w:rsid w:val="00C30F6E"/>
    <w:rsid w:val="00C3100B"/>
    <w:rsid w:val="00C31093"/>
    <w:rsid w:val="00C31684"/>
    <w:rsid w:val="00C31765"/>
    <w:rsid w:val="00C32358"/>
    <w:rsid w:val="00C32866"/>
    <w:rsid w:val="00C32879"/>
    <w:rsid w:val="00C32B20"/>
    <w:rsid w:val="00C32B63"/>
    <w:rsid w:val="00C32BEB"/>
    <w:rsid w:val="00C32CBE"/>
    <w:rsid w:val="00C33322"/>
    <w:rsid w:val="00C33329"/>
    <w:rsid w:val="00C33364"/>
    <w:rsid w:val="00C3336D"/>
    <w:rsid w:val="00C334F7"/>
    <w:rsid w:val="00C335A7"/>
    <w:rsid w:val="00C33A41"/>
    <w:rsid w:val="00C3408B"/>
    <w:rsid w:val="00C344A4"/>
    <w:rsid w:val="00C3472C"/>
    <w:rsid w:val="00C35348"/>
    <w:rsid w:val="00C35784"/>
    <w:rsid w:val="00C360EC"/>
    <w:rsid w:val="00C36E65"/>
    <w:rsid w:val="00C36F2A"/>
    <w:rsid w:val="00C370BC"/>
    <w:rsid w:val="00C37719"/>
    <w:rsid w:val="00C37B8D"/>
    <w:rsid w:val="00C37BC0"/>
    <w:rsid w:val="00C37CC8"/>
    <w:rsid w:val="00C37F19"/>
    <w:rsid w:val="00C40172"/>
    <w:rsid w:val="00C40563"/>
    <w:rsid w:val="00C406A2"/>
    <w:rsid w:val="00C408FA"/>
    <w:rsid w:val="00C40D49"/>
    <w:rsid w:val="00C4102A"/>
    <w:rsid w:val="00C4120B"/>
    <w:rsid w:val="00C415EC"/>
    <w:rsid w:val="00C41E1F"/>
    <w:rsid w:val="00C41E48"/>
    <w:rsid w:val="00C41ED9"/>
    <w:rsid w:val="00C41F0B"/>
    <w:rsid w:val="00C41F37"/>
    <w:rsid w:val="00C42069"/>
    <w:rsid w:val="00C4233D"/>
    <w:rsid w:val="00C42792"/>
    <w:rsid w:val="00C42B31"/>
    <w:rsid w:val="00C42D7D"/>
    <w:rsid w:val="00C436A5"/>
    <w:rsid w:val="00C438E1"/>
    <w:rsid w:val="00C43C73"/>
    <w:rsid w:val="00C43F40"/>
    <w:rsid w:val="00C4418B"/>
    <w:rsid w:val="00C445A4"/>
    <w:rsid w:val="00C446AD"/>
    <w:rsid w:val="00C447B7"/>
    <w:rsid w:val="00C44EAE"/>
    <w:rsid w:val="00C44EEC"/>
    <w:rsid w:val="00C451D6"/>
    <w:rsid w:val="00C45725"/>
    <w:rsid w:val="00C45975"/>
    <w:rsid w:val="00C4632B"/>
    <w:rsid w:val="00C466DC"/>
    <w:rsid w:val="00C46855"/>
    <w:rsid w:val="00C468DA"/>
    <w:rsid w:val="00C4692B"/>
    <w:rsid w:val="00C46E51"/>
    <w:rsid w:val="00C47621"/>
    <w:rsid w:val="00C47765"/>
    <w:rsid w:val="00C47FC1"/>
    <w:rsid w:val="00C50320"/>
    <w:rsid w:val="00C5053B"/>
    <w:rsid w:val="00C50871"/>
    <w:rsid w:val="00C50ACE"/>
    <w:rsid w:val="00C5144B"/>
    <w:rsid w:val="00C5157A"/>
    <w:rsid w:val="00C5196A"/>
    <w:rsid w:val="00C5199A"/>
    <w:rsid w:val="00C51FD8"/>
    <w:rsid w:val="00C52077"/>
    <w:rsid w:val="00C520C0"/>
    <w:rsid w:val="00C522F2"/>
    <w:rsid w:val="00C5291D"/>
    <w:rsid w:val="00C52998"/>
    <w:rsid w:val="00C52A3D"/>
    <w:rsid w:val="00C52C8A"/>
    <w:rsid w:val="00C52C96"/>
    <w:rsid w:val="00C530C9"/>
    <w:rsid w:val="00C531A6"/>
    <w:rsid w:val="00C532EB"/>
    <w:rsid w:val="00C53310"/>
    <w:rsid w:val="00C53A2A"/>
    <w:rsid w:val="00C53F0C"/>
    <w:rsid w:val="00C53F22"/>
    <w:rsid w:val="00C53F84"/>
    <w:rsid w:val="00C54196"/>
    <w:rsid w:val="00C542E6"/>
    <w:rsid w:val="00C5451A"/>
    <w:rsid w:val="00C546F4"/>
    <w:rsid w:val="00C54946"/>
    <w:rsid w:val="00C54D88"/>
    <w:rsid w:val="00C54D98"/>
    <w:rsid w:val="00C550CF"/>
    <w:rsid w:val="00C55640"/>
    <w:rsid w:val="00C556C9"/>
    <w:rsid w:val="00C5580D"/>
    <w:rsid w:val="00C55BF4"/>
    <w:rsid w:val="00C5618C"/>
    <w:rsid w:val="00C56381"/>
    <w:rsid w:val="00C5673A"/>
    <w:rsid w:val="00C56BA8"/>
    <w:rsid w:val="00C56D7F"/>
    <w:rsid w:val="00C56FB6"/>
    <w:rsid w:val="00C5708D"/>
    <w:rsid w:val="00C5724F"/>
    <w:rsid w:val="00C573F4"/>
    <w:rsid w:val="00C57472"/>
    <w:rsid w:val="00C575C1"/>
    <w:rsid w:val="00C60217"/>
    <w:rsid w:val="00C6053D"/>
    <w:rsid w:val="00C61E24"/>
    <w:rsid w:val="00C62472"/>
    <w:rsid w:val="00C62B9F"/>
    <w:rsid w:val="00C62D37"/>
    <w:rsid w:val="00C6310D"/>
    <w:rsid w:val="00C63239"/>
    <w:rsid w:val="00C632FA"/>
    <w:rsid w:val="00C63705"/>
    <w:rsid w:val="00C63903"/>
    <w:rsid w:val="00C639B6"/>
    <w:rsid w:val="00C63B13"/>
    <w:rsid w:val="00C63D44"/>
    <w:rsid w:val="00C640C7"/>
    <w:rsid w:val="00C641CF"/>
    <w:rsid w:val="00C645FF"/>
    <w:rsid w:val="00C646E1"/>
    <w:rsid w:val="00C64C97"/>
    <w:rsid w:val="00C65204"/>
    <w:rsid w:val="00C654EE"/>
    <w:rsid w:val="00C656FC"/>
    <w:rsid w:val="00C6574D"/>
    <w:rsid w:val="00C6591C"/>
    <w:rsid w:val="00C65AD0"/>
    <w:rsid w:val="00C65B3A"/>
    <w:rsid w:val="00C66412"/>
    <w:rsid w:val="00C66562"/>
    <w:rsid w:val="00C666D8"/>
    <w:rsid w:val="00C66B33"/>
    <w:rsid w:val="00C66F14"/>
    <w:rsid w:val="00C671F6"/>
    <w:rsid w:val="00C671F7"/>
    <w:rsid w:val="00C6730D"/>
    <w:rsid w:val="00C6766F"/>
    <w:rsid w:val="00C67B88"/>
    <w:rsid w:val="00C67D62"/>
    <w:rsid w:val="00C7029F"/>
    <w:rsid w:val="00C706BF"/>
    <w:rsid w:val="00C70B32"/>
    <w:rsid w:val="00C713DD"/>
    <w:rsid w:val="00C7199D"/>
    <w:rsid w:val="00C71AD5"/>
    <w:rsid w:val="00C71C54"/>
    <w:rsid w:val="00C71E88"/>
    <w:rsid w:val="00C7256D"/>
    <w:rsid w:val="00C73224"/>
    <w:rsid w:val="00C7338C"/>
    <w:rsid w:val="00C73424"/>
    <w:rsid w:val="00C7353D"/>
    <w:rsid w:val="00C73901"/>
    <w:rsid w:val="00C741A2"/>
    <w:rsid w:val="00C744DB"/>
    <w:rsid w:val="00C74981"/>
    <w:rsid w:val="00C74F80"/>
    <w:rsid w:val="00C75852"/>
    <w:rsid w:val="00C75859"/>
    <w:rsid w:val="00C758A5"/>
    <w:rsid w:val="00C76516"/>
    <w:rsid w:val="00C76E13"/>
    <w:rsid w:val="00C771C4"/>
    <w:rsid w:val="00C774FC"/>
    <w:rsid w:val="00C77F7E"/>
    <w:rsid w:val="00C77FD3"/>
    <w:rsid w:val="00C8026F"/>
    <w:rsid w:val="00C8061E"/>
    <w:rsid w:val="00C81318"/>
    <w:rsid w:val="00C817CB"/>
    <w:rsid w:val="00C81C2E"/>
    <w:rsid w:val="00C81FC8"/>
    <w:rsid w:val="00C82140"/>
    <w:rsid w:val="00C824C1"/>
    <w:rsid w:val="00C826D5"/>
    <w:rsid w:val="00C827E9"/>
    <w:rsid w:val="00C82C81"/>
    <w:rsid w:val="00C82E0E"/>
    <w:rsid w:val="00C83010"/>
    <w:rsid w:val="00C83135"/>
    <w:rsid w:val="00C83209"/>
    <w:rsid w:val="00C832AC"/>
    <w:rsid w:val="00C83307"/>
    <w:rsid w:val="00C835C6"/>
    <w:rsid w:val="00C83B71"/>
    <w:rsid w:val="00C841C8"/>
    <w:rsid w:val="00C8436E"/>
    <w:rsid w:val="00C843B1"/>
    <w:rsid w:val="00C8468F"/>
    <w:rsid w:val="00C847A7"/>
    <w:rsid w:val="00C8490B"/>
    <w:rsid w:val="00C850DE"/>
    <w:rsid w:val="00C85441"/>
    <w:rsid w:val="00C85FDD"/>
    <w:rsid w:val="00C85FFB"/>
    <w:rsid w:val="00C861A2"/>
    <w:rsid w:val="00C864A8"/>
    <w:rsid w:val="00C866D7"/>
    <w:rsid w:val="00C86AD9"/>
    <w:rsid w:val="00C8732E"/>
    <w:rsid w:val="00C8745E"/>
    <w:rsid w:val="00C87B8E"/>
    <w:rsid w:val="00C9026C"/>
    <w:rsid w:val="00C905BD"/>
    <w:rsid w:val="00C906C2"/>
    <w:rsid w:val="00C90A05"/>
    <w:rsid w:val="00C90ABA"/>
    <w:rsid w:val="00C90F46"/>
    <w:rsid w:val="00C911EF"/>
    <w:rsid w:val="00C915E3"/>
    <w:rsid w:val="00C91A12"/>
    <w:rsid w:val="00C91C15"/>
    <w:rsid w:val="00C91DCD"/>
    <w:rsid w:val="00C924DB"/>
    <w:rsid w:val="00C9269F"/>
    <w:rsid w:val="00C92FB4"/>
    <w:rsid w:val="00C931A1"/>
    <w:rsid w:val="00C93551"/>
    <w:rsid w:val="00C93CE2"/>
    <w:rsid w:val="00C94648"/>
    <w:rsid w:val="00C9474C"/>
    <w:rsid w:val="00C9484F"/>
    <w:rsid w:val="00C949CA"/>
    <w:rsid w:val="00C94DE2"/>
    <w:rsid w:val="00C95135"/>
    <w:rsid w:val="00C951FB"/>
    <w:rsid w:val="00C9523B"/>
    <w:rsid w:val="00C95335"/>
    <w:rsid w:val="00C954F4"/>
    <w:rsid w:val="00C96AC1"/>
    <w:rsid w:val="00C96B2F"/>
    <w:rsid w:val="00C96F79"/>
    <w:rsid w:val="00C96FD9"/>
    <w:rsid w:val="00C96FF8"/>
    <w:rsid w:val="00C97007"/>
    <w:rsid w:val="00C97579"/>
    <w:rsid w:val="00C975E8"/>
    <w:rsid w:val="00C9764A"/>
    <w:rsid w:val="00C977B0"/>
    <w:rsid w:val="00C978B2"/>
    <w:rsid w:val="00C97B2E"/>
    <w:rsid w:val="00C97BA1"/>
    <w:rsid w:val="00C97CF6"/>
    <w:rsid w:val="00C97F45"/>
    <w:rsid w:val="00CA006A"/>
    <w:rsid w:val="00CA0124"/>
    <w:rsid w:val="00CA015B"/>
    <w:rsid w:val="00CA06DB"/>
    <w:rsid w:val="00CA0A7E"/>
    <w:rsid w:val="00CA0F8C"/>
    <w:rsid w:val="00CA115F"/>
    <w:rsid w:val="00CA20ED"/>
    <w:rsid w:val="00CA20F5"/>
    <w:rsid w:val="00CA2606"/>
    <w:rsid w:val="00CA2CF2"/>
    <w:rsid w:val="00CA2D48"/>
    <w:rsid w:val="00CA2E71"/>
    <w:rsid w:val="00CA3A08"/>
    <w:rsid w:val="00CA3B16"/>
    <w:rsid w:val="00CA3CE4"/>
    <w:rsid w:val="00CA4613"/>
    <w:rsid w:val="00CA470C"/>
    <w:rsid w:val="00CA495C"/>
    <w:rsid w:val="00CA49DA"/>
    <w:rsid w:val="00CA4E66"/>
    <w:rsid w:val="00CA5DC7"/>
    <w:rsid w:val="00CA63D9"/>
    <w:rsid w:val="00CA64B3"/>
    <w:rsid w:val="00CA66C9"/>
    <w:rsid w:val="00CA6D0D"/>
    <w:rsid w:val="00CA77A7"/>
    <w:rsid w:val="00CA78AA"/>
    <w:rsid w:val="00CA7A4F"/>
    <w:rsid w:val="00CA7E70"/>
    <w:rsid w:val="00CA7F99"/>
    <w:rsid w:val="00CB02CE"/>
    <w:rsid w:val="00CB07AB"/>
    <w:rsid w:val="00CB0A69"/>
    <w:rsid w:val="00CB0FF6"/>
    <w:rsid w:val="00CB0FFD"/>
    <w:rsid w:val="00CB1356"/>
    <w:rsid w:val="00CB1728"/>
    <w:rsid w:val="00CB1A43"/>
    <w:rsid w:val="00CB21ED"/>
    <w:rsid w:val="00CB2565"/>
    <w:rsid w:val="00CB2729"/>
    <w:rsid w:val="00CB3238"/>
    <w:rsid w:val="00CB333C"/>
    <w:rsid w:val="00CB3B19"/>
    <w:rsid w:val="00CB5404"/>
    <w:rsid w:val="00CB55B2"/>
    <w:rsid w:val="00CB57A1"/>
    <w:rsid w:val="00CB57F4"/>
    <w:rsid w:val="00CB5B85"/>
    <w:rsid w:val="00CB629F"/>
    <w:rsid w:val="00CB62C3"/>
    <w:rsid w:val="00CB632C"/>
    <w:rsid w:val="00CB6471"/>
    <w:rsid w:val="00CB67BE"/>
    <w:rsid w:val="00CB70DA"/>
    <w:rsid w:val="00CB72DF"/>
    <w:rsid w:val="00CB7451"/>
    <w:rsid w:val="00CB763B"/>
    <w:rsid w:val="00CB7707"/>
    <w:rsid w:val="00CB7A53"/>
    <w:rsid w:val="00CC0312"/>
    <w:rsid w:val="00CC046A"/>
    <w:rsid w:val="00CC0B3A"/>
    <w:rsid w:val="00CC1AAE"/>
    <w:rsid w:val="00CC1D82"/>
    <w:rsid w:val="00CC21B6"/>
    <w:rsid w:val="00CC23AD"/>
    <w:rsid w:val="00CC25B5"/>
    <w:rsid w:val="00CC260D"/>
    <w:rsid w:val="00CC26FD"/>
    <w:rsid w:val="00CC279E"/>
    <w:rsid w:val="00CC2854"/>
    <w:rsid w:val="00CC2E93"/>
    <w:rsid w:val="00CC2F72"/>
    <w:rsid w:val="00CC3000"/>
    <w:rsid w:val="00CC3752"/>
    <w:rsid w:val="00CC3E25"/>
    <w:rsid w:val="00CC3F3A"/>
    <w:rsid w:val="00CC4471"/>
    <w:rsid w:val="00CC46F3"/>
    <w:rsid w:val="00CC4D16"/>
    <w:rsid w:val="00CC4DD8"/>
    <w:rsid w:val="00CC53A8"/>
    <w:rsid w:val="00CC5B7F"/>
    <w:rsid w:val="00CC5C47"/>
    <w:rsid w:val="00CC5F50"/>
    <w:rsid w:val="00CC5FAD"/>
    <w:rsid w:val="00CC6386"/>
    <w:rsid w:val="00CC688B"/>
    <w:rsid w:val="00CC6DEC"/>
    <w:rsid w:val="00CC7595"/>
    <w:rsid w:val="00CC7764"/>
    <w:rsid w:val="00CD037F"/>
    <w:rsid w:val="00CD0861"/>
    <w:rsid w:val="00CD0916"/>
    <w:rsid w:val="00CD0EEA"/>
    <w:rsid w:val="00CD13DD"/>
    <w:rsid w:val="00CD1E46"/>
    <w:rsid w:val="00CD1EBE"/>
    <w:rsid w:val="00CD21FC"/>
    <w:rsid w:val="00CD222E"/>
    <w:rsid w:val="00CD25EA"/>
    <w:rsid w:val="00CD279A"/>
    <w:rsid w:val="00CD3702"/>
    <w:rsid w:val="00CD3C2A"/>
    <w:rsid w:val="00CD3E66"/>
    <w:rsid w:val="00CD3EAD"/>
    <w:rsid w:val="00CD4046"/>
    <w:rsid w:val="00CD4352"/>
    <w:rsid w:val="00CD4400"/>
    <w:rsid w:val="00CD4403"/>
    <w:rsid w:val="00CD4768"/>
    <w:rsid w:val="00CD47F1"/>
    <w:rsid w:val="00CD5311"/>
    <w:rsid w:val="00CD540A"/>
    <w:rsid w:val="00CD545A"/>
    <w:rsid w:val="00CD5C18"/>
    <w:rsid w:val="00CD5CED"/>
    <w:rsid w:val="00CD621E"/>
    <w:rsid w:val="00CD6608"/>
    <w:rsid w:val="00CD6784"/>
    <w:rsid w:val="00CD6C9C"/>
    <w:rsid w:val="00CD6CAC"/>
    <w:rsid w:val="00CD70E7"/>
    <w:rsid w:val="00CD7288"/>
    <w:rsid w:val="00CD79E0"/>
    <w:rsid w:val="00CE0434"/>
    <w:rsid w:val="00CE0652"/>
    <w:rsid w:val="00CE06DF"/>
    <w:rsid w:val="00CE073D"/>
    <w:rsid w:val="00CE0A3B"/>
    <w:rsid w:val="00CE1380"/>
    <w:rsid w:val="00CE1437"/>
    <w:rsid w:val="00CE167E"/>
    <w:rsid w:val="00CE1C0F"/>
    <w:rsid w:val="00CE2589"/>
    <w:rsid w:val="00CE25D1"/>
    <w:rsid w:val="00CE2B3F"/>
    <w:rsid w:val="00CE2D21"/>
    <w:rsid w:val="00CE2D96"/>
    <w:rsid w:val="00CE3169"/>
    <w:rsid w:val="00CE3562"/>
    <w:rsid w:val="00CE3726"/>
    <w:rsid w:val="00CE3CC8"/>
    <w:rsid w:val="00CE3D69"/>
    <w:rsid w:val="00CE3F10"/>
    <w:rsid w:val="00CE3FC2"/>
    <w:rsid w:val="00CE40A9"/>
    <w:rsid w:val="00CE41AB"/>
    <w:rsid w:val="00CE441A"/>
    <w:rsid w:val="00CE4D1B"/>
    <w:rsid w:val="00CE4E42"/>
    <w:rsid w:val="00CE4FBE"/>
    <w:rsid w:val="00CE52B0"/>
    <w:rsid w:val="00CE54AA"/>
    <w:rsid w:val="00CE64D9"/>
    <w:rsid w:val="00CE6CCE"/>
    <w:rsid w:val="00CE6D9D"/>
    <w:rsid w:val="00CE723A"/>
    <w:rsid w:val="00CE74F5"/>
    <w:rsid w:val="00CE7760"/>
    <w:rsid w:val="00CE7ECA"/>
    <w:rsid w:val="00CE7F76"/>
    <w:rsid w:val="00CF000E"/>
    <w:rsid w:val="00CF0296"/>
    <w:rsid w:val="00CF0309"/>
    <w:rsid w:val="00CF0346"/>
    <w:rsid w:val="00CF0992"/>
    <w:rsid w:val="00CF0CBE"/>
    <w:rsid w:val="00CF0E0C"/>
    <w:rsid w:val="00CF10FD"/>
    <w:rsid w:val="00CF1629"/>
    <w:rsid w:val="00CF180B"/>
    <w:rsid w:val="00CF1834"/>
    <w:rsid w:val="00CF1A07"/>
    <w:rsid w:val="00CF1ECA"/>
    <w:rsid w:val="00CF2187"/>
    <w:rsid w:val="00CF23AE"/>
    <w:rsid w:val="00CF255B"/>
    <w:rsid w:val="00CF2770"/>
    <w:rsid w:val="00CF290C"/>
    <w:rsid w:val="00CF2E61"/>
    <w:rsid w:val="00CF32D1"/>
    <w:rsid w:val="00CF3738"/>
    <w:rsid w:val="00CF3896"/>
    <w:rsid w:val="00CF3E04"/>
    <w:rsid w:val="00CF480C"/>
    <w:rsid w:val="00CF496B"/>
    <w:rsid w:val="00CF4CB1"/>
    <w:rsid w:val="00CF59BE"/>
    <w:rsid w:val="00CF5AC4"/>
    <w:rsid w:val="00CF5ACF"/>
    <w:rsid w:val="00CF5E9F"/>
    <w:rsid w:val="00CF5F1B"/>
    <w:rsid w:val="00CF633F"/>
    <w:rsid w:val="00CF6431"/>
    <w:rsid w:val="00CF64EC"/>
    <w:rsid w:val="00CF6AB2"/>
    <w:rsid w:val="00CF6E9A"/>
    <w:rsid w:val="00CF6EE0"/>
    <w:rsid w:val="00CF7054"/>
    <w:rsid w:val="00CF7147"/>
    <w:rsid w:val="00CF715E"/>
    <w:rsid w:val="00CF7413"/>
    <w:rsid w:val="00CF7BC2"/>
    <w:rsid w:val="00D0005B"/>
    <w:rsid w:val="00D005C9"/>
    <w:rsid w:val="00D00E46"/>
    <w:rsid w:val="00D00FCA"/>
    <w:rsid w:val="00D01069"/>
    <w:rsid w:val="00D010FD"/>
    <w:rsid w:val="00D01A50"/>
    <w:rsid w:val="00D01D3C"/>
    <w:rsid w:val="00D025B3"/>
    <w:rsid w:val="00D028BD"/>
    <w:rsid w:val="00D029DF"/>
    <w:rsid w:val="00D02CA4"/>
    <w:rsid w:val="00D02E03"/>
    <w:rsid w:val="00D034DB"/>
    <w:rsid w:val="00D0379B"/>
    <w:rsid w:val="00D037B6"/>
    <w:rsid w:val="00D038C7"/>
    <w:rsid w:val="00D0489D"/>
    <w:rsid w:val="00D04956"/>
    <w:rsid w:val="00D0502F"/>
    <w:rsid w:val="00D06744"/>
    <w:rsid w:val="00D06BAA"/>
    <w:rsid w:val="00D06BCE"/>
    <w:rsid w:val="00D070DD"/>
    <w:rsid w:val="00D102B7"/>
    <w:rsid w:val="00D10489"/>
    <w:rsid w:val="00D10874"/>
    <w:rsid w:val="00D10917"/>
    <w:rsid w:val="00D10A05"/>
    <w:rsid w:val="00D10D0C"/>
    <w:rsid w:val="00D10F1B"/>
    <w:rsid w:val="00D113C6"/>
    <w:rsid w:val="00D11509"/>
    <w:rsid w:val="00D116FE"/>
    <w:rsid w:val="00D11E23"/>
    <w:rsid w:val="00D12223"/>
    <w:rsid w:val="00D13412"/>
    <w:rsid w:val="00D13422"/>
    <w:rsid w:val="00D13521"/>
    <w:rsid w:val="00D1353C"/>
    <w:rsid w:val="00D135B1"/>
    <w:rsid w:val="00D13A1D"/>
    <w:rsid w:val="00D1463E"/>
    <w:rsid w:val="00D14CF8"/>
    <w:rsid w:val="00D14EA4"/>
    <w:rsid w:val="00D14F9C"/>
    <w:rsid w:val="00D15071"/>
    <w:rsid w:val="00D1515B"/>
    <w:rsid w:val="00D1525C"/>
    <w:rsid w:val="00D153D8"/>
    <w:rsid w:val="00D15429"/>
    <w:rsid w:val="00D154E8"/>
    <w:rsid w:val="00D15CAB"/>
    <w:rsid w:val="00D16518"/>
    <w:rsid w:val="00D1669E"/>
    <w:rsid w:val="00D16B68"/>
    <w:rsid w:val="00D17129"/>
    <w:rsid w:val="00D17770"/>
    <w:rsid w:val="00D1798B"/>
    <w:rsid w:val="00D20227"/>
    <w:rsid w:val="00D20E8F"/>
    <w:rsid w:val="00D20F0D"/>
    <w:rsid w:val="00D21314"/>
    <w:rsid w:val="00D2140A"/>
    <w:rsid w:val="00D21A64"/>
    <w:rsid w:val="00D21BD8"/>
    <w:rsid w:val="00D21D5E"/>
    <w:rsid w:val="00D2256F"/>
    <w:rsid w:val="00D22CFB"/>
    <w:rsid w:val="00D23458"/>
    <w:rsid w:val="00D23759"/>
    <w:rsid w:val="00D239CD"/>
    <w:rsid w:val="00D23CBE"/>
    <w:rsid w:val="00D23D91"/>
    <w:rsid w:val="00D243AD"/>
    <w:rsid w:val="00D24B1F"/>
    <w:rsid w:val="00D24C89"/>
    <w:rsid w:val="00D24CE2"/>
    <w:rsid w:val="00D24FED"/>
    <w:rsid w:val="00D25084"/>
    <w:rsid w:val="00D250C4"/>
    <w:rsid w:val="00D2567E"/>
    <w:rsid w:val="00D25C79"/>
    <w:rsid w:val="00D26073"/>
    <w:rsid w:val="00D26100"/>
    <w:rsid w:val="00D26259"/>
    <w:rsid w:val="00D269AD"/>
    <w:rsid w:val="00D269C0"/>
    <w:rsid w:val="00D26F56"/>
    <w:rsid w:val="00D271B1"/>
    <w:rsid w:val="00D275A4"/>
    <w:rsid w:val="00D276D1"/>
    <w:rsid w:val="00D27788"/>
    <w:rsid w:val="00D27A83"/>
    <w:rsid w:val="00D27CF2"/>
    <w:rsid w:val="00D27EB7"/>
    <w:rsid w:val="00D30612"/>
    <w:rsid w:val="00D3062F"/>
    <w:rsid w:val="00D30A40"/>
    <w:rsid w:val="00D30DB7"/>
    <w:rsid w:val="00D30F2F"/>
    <w:rsid w:val="00D310D1"/>
    <w:rsid w:val="00D3143D"/>
    <w:rsid w:val="00D31638"/>
    <w:rsid w:val="00D319A1"/>
    <w:rsid w:val="00D31D31"/>
    <w:rsid w:val="00D3231A"/>
    <w:rsid w:val="00D3246B"/>
    <w:rsid w:val="00D3283D"/>
    <w:rsid w:val="00D32B11"/>
    <w:rsid w:val="00D330CD"/>
    <w:rsid w:val="00D330D0"/>
    <w:rsid w:val="00D331B5"/>
    <w:rsid w:val="00D33445"/>
    <w:rsid w:val="00D3381D"/>
    <w:rsid w:val="00D33B17"/>
    <w:rsid w:val="00D343E2"/>
    <w:rsid w:val="00D34677"/>
    <w:rsid w:val="00D346CB"/>
    <w:rsid w:val="00D347C5"/>
    <w:rsid w:val="00D369CB"/>
    <w:rsid w:val="00D3708D"/>
    <w:rsid w:val="00D377C5"/>
    <w:rsid w:val="00D37C86"/>
    <w:rsid w:val="00D40232"/>
    <w:rsid w:val="00D402E3"/>
    <w:rsid w:val="00D40402"/>
    <w:rsid w:val="00D40BE6"/>
    <w:rsid w:val="00D41168"/>
    <w:rsid w:val="00D412FD"/>
    <w:rsid w:val="00D413B7"/>
    <w:rsid w:val="00D416AC"/>
    <w:rsid w:val="00D41B2B"/>
    <w:rsid w:val="00D41EEF"/>
    <w:rsid w:val="00D41FD7"/>
    <w:rsid w:val="00D41FE6"/>
    <w:rsid w:val="00D4244A"/>
    <w:rsid w:val="00D424D3"/>
    <w:rsid w:val="00D42F37"/>
    <w:rsid w:val="00D42F65"/>
    <w:rsid w:val="00D43940"/>
    <w:rsid w:val="00D43B58"/>
    <w:rsid w:val="00D43BEA"/>
    <w:rsid w:val="00D43EFA"/>
    <w:rsid w:val="00D43FB0"/>
    <w:rsid w:val="00D4412F"/>
    <w:rsid w:val="00D44465"/>
    <w:rsid w:val="00D4447E"/>
    <w:rsid w:val="00D447E1"/>
    <w:rsid w:val="00D449A0"/>
    <w:rsid w:val="00D44C61"/>
    <w:rsid w:val="00D44E96"/>
    <w:rsid w:val="00D4503C"/>
    <w:rsid w:val="00D4526C"/>
    <w:rsid w:val="00D45385"/>
    <w:rsid w:val="00D4543F"/>
    <w:rsid w:val="00D455A0"/>
    <w:rsid w:val="00D4568B"/>
    <w:rsid w:val="00D45EE2"/>
    <w:rsid w:val="00D461D2"/>
    <w:rsid w:val="00D46646"/>
    <w:rsid w:val="00D46A21"/>
    <w:rsid w:val="00D46BBA"/>
    <w:rsid w:val="00D47093"/>
    <w:rsid w:val="00D470EE"/>
    <w:rsid w:val="00D477CF"/>
    <w:rsid w:val="00D47E00"/>
    <w:rsid w:val="00D47F9C"/>
    <w:rsid w:val="00D5005C"/>
    <w:rsid w:val="00D5033B"/>
    <w:rsid w:val="00D50763"/>
    <w:rsid w:val="00D508BB"/>
    <w:rsid w:val="00D50B64"/>
    <w:rsid w:val="00D51254"/>
    <w:rsid w:val="00D51C57"/>
    <w:rsid w:val="00D521AB"/>
    <w:rsid w:val="00D52217"/>
    <w:rsid w:val="00D525A1"/>
    <w:rsid w:val="00D526DC"/>
    <w:rsid w:val="00D5299A"/>
    <w:rsid w:val="00D52B90"/>
    <w:rsid w:val="00D52E70"/>
    <w:rsid w:val="00D5301A"/>
    <w:rsid w:val="00D53186"/>
    <w:rsid w:val="00D5334B"/>
    <w:rsid w:val="00D53EED"/>
    <w:rsid w:val="00D53F0B"/>
    <w:rsid w:val="00D53F42"/>
    <w:rsid w:val="00D54102"/>
    <w:rsid w:val="00D54838"/>
    <w:rsid w:val="00D54877"/>
    <w:rsid w:val="00D54929"/>
    <w:rsid w:val="00D54A3C"/>
    <w:rsid w:val="00D54E93"/>
    <w:rsid w:val="00D55BE5"/>
    <w:rsid w:val="00D55C3D"/>
    <w:rsid w:val="00D5605B"/>
    <w:rsid w:val="00D56610"/>
    <w:rsid w:val="00D568D5"/>
    <w:rsid w:val="00D56B4D"/>
    <w:rsid w:val="00D57017"/>
    <w:rsid w:val="00D57108"/>
    <w:rsid w:val="00D5729E"/>
    <w:rsid w:val="00D57482"/>
    <w:rsid w:val="00D576C9"/>
    <w:rsid w:val="00D579AF"/>
    <w:rsid w:val="00D6027B"/>
    <w:rsid w:val="00D605C3"/>
    <w:rsid w:val="00D6079C"/>
    <w:rsid w:val="00D60D8A"/>
    <w:rsid w:val="00D610C8"/>
    <w:rsid w:val="00D61177"/>
    <w:rsid w:val="00D61479"/>
    <w:rsid w:val="00D614E5"/>
    <w:rsid w:val="00D61586"/>
    <w:rsid w:val="00D61762"/>
    <w:rsid w:val="00D61835"/>
    <w:rsid w:val="00D61B57"/>
    <w:rsid w:val="00D61EB1"/>
    <w:rsid w:val="00D62270"/>
    <w:rsid w:val="00D6272E"/>
    <w:rsid w:val="00D62977"/>
    <w:rsid w:val="00D630AA"/>
    <w:rsid w:val="00D63664"/>
    <w:rsid w:val="00D636FA"/>
    <w:rsid w:val="00D639E9"/>
    <w:rsid w:val="00D63C4D"/>
    <w:rsid w:val="00D64B3C"/>
    <w:rsid w:val="00D656FA"/>
    <w:rsid w:val="00D6574B"/>
    <w:rsid w:val="00D65BBB"/>
    <w:rsid w:val="00D6634F"/>
    <w:rsid w:val="00D66429"/>
    <w:rsid w:val="00D66BB0"/>
    <w:rsid w:val="00D66C2E"/>
    <w:rsid w:val="00D6714E"/>
    <w:rsid w:val="00D671D4"/>
    <w:rsid w:val="00D67206"/>
    <w:rsid w:val="00D6726C"/>
    <w:rsid w:val="00D677D5"/>
    <w:rsid w:val="00D6786D"/>
    <w:rsid w:val="00D678EB"/>
    <w:rsid w:val="00D67E5C"/>
    <w:rsid w:val="00D67FDE"/>
    <w:rsid w:val="00D707B9"/>
    <w:rsid w:val="00D707DF"/>
    <w:rsid w:val="00D70BA9"/>
    <w:rsid w:val="00D70E60"/>
    <w:rsid w:val="00D7128F"/>
    <w:rsid w:val="00D713B2"/>
    <w:rsid w:val="00D71834"/>
    <w:rsid w:val="00D71DD9"/>
    <w:rsid w:val="00D71E6B"/>
    <w:rsid w:val="00D71F33"/>
    <w:rsid w:val="00D71F66"/>
    <w:rsid w:val="00D721C3"/>
    <w:rsid w:val="00D72BA2"/>
    <w:rsid w:val="00D72FB9"/>
    <w:rsid w:val="00D7305C"/>
    <w:rsid w:val="00D73195"/>
    <w:rsid w:val="00D732FF"/>
    <w:rsid w:val="00D733D5"/>
    <w:rsid w:val="00D735BF"/>
    <w:rsid w:val="00D736B2"/>
    <w:rsid w:val="00D73710"/>
    <w:rsid w:val="00D738C6"/>
    <w:rsid w:val="00D73B2B"/>
    <w:rsid w:val="00D74E2B"/>
    <w:rsid w:val="00D75250"/>
    <w:rsid w:val="00D7555D"/>
    <w:rsid w:val="00D757F0"/>
    <w:rsid w:val="00D75847"/>
    <w:rsid w:val="00D75877"/>
    <w:rsid w:val="00D759E8"/>
    <w:rsid w:val="00D759F4"/>
    <w:rsid w:val="00D76390"/>
    <w:rsid w:val="00D7688B"/>
    <w:rsid w:val="00D769B5"/>
    <w:rsid w:val="00D76DD8"/>
    <w:rsid w:val="00D77070"/>
    <w:rsid w:val="00D7746D"/>
    <w:rsid w:val="00D77541"/>
    <w:rsid w:val="00D7777F"/>
    <w:rsid w:val="00D77810"/>
    <w:rsid w:val="00D7784A"/>
    <w:rsid w:val="00D778DB"/>
    <w:rsid w:val="00D7790F"/>
    <w:rsid w:val="00D77D49"/>
    <w:rsid w:val="00D77EEF"/>
    <w:rsid w:val="00D77FC4"/>
    <w:rsid w:val="00D80A17"/>
    <w:rsid w:val="00D80B62"/>
    <w:rsid w:val="00D80D64"/>
    <w:rsid w:val="00D8102D"/>
    <w:rsid w:val="00D811BD"/>
    <w:rsid w:val="00D81247"/>
    <w:rsid w:val="00D81FA4"/>
    <w:rsid w:val="00D822C4"/>
    <w:rsid w:val="00D82AC3"/>
    <w:rsid w:val="00D82F8B"/>
    <w:rsid w:val="00D8308B"/>
    <w:rsid w:val="00D8344C"/>
    <w:rsid w:val="00D83650"/>
    <w:rsid w:val="00D8384C"/>
    <w:rsid w:val="00D8390A"/>
    <w:rsid w:val="00D83D2D"/>
    <w:rsid w:val="00D84019"/>
    <w:rsid w:val="00D8455F"/>
    <w:rsid w:val="00D845F2"/>
    <w:rsid w:val="00D84800"/>
    <w:rsid w:val="00D848B0"/>
    <w:rsid w:val="00D8503C"/>
    <w:rsid w:val="00D8573D"/>
    <w:rsid w:val="00D85AC2"/>
    <w:rsid w:val="00D85D3E"/>
    <w:rsid w:val="00D86058"/>
    <w:rsid w:val="00D86A39"/>
    <w:rsid w:val="00D86C4D"/>
    <w:rsid w:val="00D86D8F"/>
    <w:rsid w:val="00D86F3D"/>
    <w:rsid w:val="00D86FEC"/>
    <w:rsid w:val="00D870F9"/>
    <w:rsid w:val="00D874AD"/>
    <w:rsid w:val="00D90558"/>
    <w:rsid w:val="00D90997"/>
    <w:rsid w:val="00D909A5"/>
    <w:rsid w:val="00D90A0C"/>
    <w:rsid w:val="00D90DCF"/>
    <w:rsid w:val="00D9106D"/>
    <w:rsid w:val="00D9135A"/>
    <w:rsid w:val="00D9179C"/>
    <w:rsid w:val="00D91878"/>
    <w:rsid w:val="00D918D5"/>
    <w:rsid w:val="00D91936"/>
    <w:rsid w:val="00D919DD"/>
    <w:rsid w:val="00D91EDB"/>
    <w:rsid w:val="00D920C2"/>
    <w:rsid w:val="00D923F8"/>
    <w:rsid w:val="00D92743"/>
    <w:rsid w:val="00D92D5C"/>
    <w:rsid w:val="00D92EEC"/>
    <w:rsid w:val="00D9330C"/>
    <w:rsid w:val="00D93C0B"/>
    <w:rsid w:val="00D93CA7"/>
    <w:rsid w:val="00D93F51"/>
    <w:rsid w:val="00D94357"/>
    <w:rsid w:val="00D947F5"/>
    <w:rsid w:val="00D94EAA"/>
    <w:rsid w:val="00D94EB6"/>
    <w:rsid w:val="00D9506D"/>
    <w:rsid w:val="00D95146"/>
    <w:rsid w:val="00D95A3F"/>
    <w:rsid w:val="00D95AAB"/>
    <w:rsid w:val="00D95C8F"/>
    <w:rsid w:val="00D95F13"/>
    <w:rsid w:val="00D9670A"/>
    <w:rsid w:val="00D9693E"/>
    <w:rsid w:val="00D96C65"/>
    <w:rsid w:val="00D9757B"/>
    <w:rsid w:val="00D97B13"/>
    <w:rsid w:val="00D97B3D"/>
    <w:rsid w:val="00D97EB7"/>
    <w:rsid w:val="00DA025E"/>
    <w:rsid w:val="00DA02CE"/>
    <w:rsid w:val="00DA1433"/>
    <w:rsid w:val="00DA160A"/>
    <w:rsid w:val="00DA1AC6"/>
    <w:rsid w:val="00DA1F63"/>
    <w:rsid w:val="00DA215A"/>
    <w:rsid w:val="00DA25D7"/>
    <w:rsid w:val="00DA3BB9"/>
    <w:rsid w:val="00DA3F66"/>
    <w:rsid w:val="00DA420C"/>
    <w:rsid w:val="00DA4309"/>
    <w:rsid w:val="00DA443E"/>
    <w:rsid w:val="00DA4929"/>
    <w:rsid w:val="00DA4FBB"/>
    <w:rsid w:val="00DA5268"/>
    <w:rsid w:val="00DA53A2"/>
    <w:rsid w:val="00DA55FF"/>
    <w:rsid w:val="00DA6A48"/>
    <w:rsid w:val="00DA6E29"/>
    <w:rsid w:val="00DA6E8B"/>
    <w:rsid w:val="00DA6FFC"/>
    <w:rsid w:val="00DA7814"/>
    <w:rsid w:val="00DA7BF7"/>
    <w:rsid w:val="00DA7D9E"/>
    <w:rsid w:val="00DB0090"/>
    <w:rsid w:val="00DB0354"/>
    <w:rsid w:val="00DB03B0"/>
    <w:rsid w:val="00DB049B"/>
    <w:rsid w:val="00DB0B11"/>
    <w:rsid w:val="00DB12E0"/>
    <w:rsid w:val="00DB1DFF"/>
    <w:rsid w:val="00DB1E72"/>
    <w:rsid w:val="00DB21D5"/>
    <w:rsid w:val="00DB24C2"/>
    <w:rsid w:val="00DB2CBA"/>
    <w:rsid w:val="00DB2D67"/>
    <w:rsid w:val="00DB2DAB"/>
    <w:rsid w:val="00DB2E5A"/>
    <w:rsid w:val="00DB32A9"/>
    <w:rsid w:val="00DB33CE"/>
    <w:rsid w:val="00DB36CA"/>
    <w:rsid w:val="00DB37F6"/>
    <w:rsid w:val="00DB38DC"/>
    <w:rsid w:val="00DB493B"/>
    <w:rsid w:val="00DB4B86"/>
    <w:rsid w:val="00DB4E2E"/>
    <w:rsid w:val="00DB5155"/>
    <w:rsid w:val="00DB59BD"/>
    <w:rsid w:val="00DB59DE"/>
    <w:rsid w:val="00DB605E"/>
    <w:rsid w:val="00DB6201"/>
    <w:rsid w:val="00DB63D3"/>
    <w:rsid w:val="00DB6450"/>
    <w:rsid w:val="00DB6639"/>
    <w:rsid w:val="00DB6750"/>
    <w:rsid w:val="00DB6E48"/>
    <w:rsid w:val="00DB7902"/>
    <w:rsid w:val="00DC09FA"/>
    <w:rsid w:val="00DC0CBB"/>
    <w:rsid w:val="00DC0D25"/>
    <w:rsid w:val="00DC0D76"/>
    <w:rsid w:val="00DC116E"/>
    <w:rsid w:val="00DC13E7"/>
    <w:rsid w:val="00DC176F"/>
    <w:rsid w:val="00DC1878"/>
    <w:rsid w:val="00DC1AB9"/>
    <w:rsid w:val="00DC1D27"/>
    <w:rsid w:val="00DC2409"/>
    <w:rsid w:val="00DC257D"/>
    <w:rsid w:val="00DC2786"/>
    <w:rsid w:val="00DC2895"/>
    <w:rsid w:val="00DC2B5A"/>
    <w:rsid w:val="00DC2C6B"/>
    <w:rsid w:val="00DC2D42"/>
    <w:rsid w:val="00DC2DB1"/>
    <w:rsid w:val="00DC2F2D"/>
    <w:rsid w:val="00DC2F67"/>
    <w:rsid w:val="00DC304D"/>
    <w:rsid w:val="00DC3068"/>
    <w:rsid w:val="00DC3438"/>
    <w:rsid w:val="00DC3675"/>
    <w:rsid w:val="00DC404D"/>
    <w:rsid w:val="00DC41EE"/>
    <w:rsid w:val="00DC449D"/>
    <w:rsid w:val="00DC5599"/>
    <w:rsid w:val="00DC56ED"/>
    <w:rsid w:val="00DC5A15"/>
    <w:rsid w:val="00DC65D3"/>
    <w:rsid w:val="00DC69EB"/>
    <w:rsid w:val="00DC73A1"/>
    <w:rsid w:val="00DC7490"/>
    <w:rsid w:val="00DC76A5"/>
    <w:rsid w:val="00DC784E"/>
    <w:rsid w:val="00DC7CC3"/>
    <w:rsid w:val="00DC7F8F"/>
    <w:rsid w:val="00DD05F7"/>
    <w:rsid w:val="00DD09E5"/>
    <w:rsid w:val="00DD0B51"/>
    <w:rsid w:val="00DD0E95"/>
    <w:rsid w:val="00DD1742"/>
    <w:rsid w:val="00DD1A4B"/>
    <w:rsid w:val="00DD1BD7"/>
    <w:rsid w:val="00DD1DE5"/>
    <w:rsid w:val="00DD1FBD"/>
    <w:rsid w:val="00DD2110"/>
    <w:rsid w:val="00DD241E"/>
    <w:rsid w:val="00DD24BB"/>
    <w:rsid w:val="00DD24E3"/>
    <w:rsid w:val="00DD3251"/>
    <w:rsid w:val="00DD33D1"/>
    <w:rsid w:val="00DD35A2"/>
    <w:rsid w:val="00DD3787"/>
    <w:rsid w:val="00DD3D9E"/>
    <w:rsid w:val="00DD4309"/>
    <w:rsid w:val="00DD467D"/>
    <w:rsid w:val="00DD4AF1"/>
    <w:rsid w:val="00DD500A"/>
    <w:rsid w:val="00DD55A6"/>
    <w:rsid w:val="00DD61E7"/>
    <w:rsid w:val="00DD6892"/>
    <w:rsid w:val="00DD6972"/>
    <w:rsid w:val="00DD77BA"/>
    <w:rsid w:val="00DD79B9"/>
    <w:rsid w:val="00DD7A5D"/>
    <w:rsid w:val="00DD7C1E"/>
    <w:rsid w:val="00DD7D77"/>
    <w:rsid w:val="00DD7EEE"/>
    <w:rsid w:val="00DE091A"/>
    <w:rsid w:val="00DE0F12"/>
    <w:rsid w:val="00DE1E40"/>
    <w:rsid w:val="00DE1EBC"/>
    <w:rsid w:val="00DE21E4"/>
    <w:rsid w:val="00DE337C"/>
    <w:rsid w:val="00DE345E"/>
    <w:rsid w:val="00DE3D74"/>
    <w:rsid w:val="00DE3DDA"/>
    <w:rsid w:val="00DE4072"/>
    <w:rsid w:val="00DE4149"/>
    <w:rsid w:val="00DE42AD"/>
    <w:rsid w:val="00DE4510"/>
    <w:rsid w:val="00DE4A24"/>
    <w:rsid w:val="00DE4ED4"/>
    <w:rsid w:val="00DE5033"/>
    <w:rsid w:val="00DE5055"/>
    <w:rsid w:val="00DE5283"/>
    <w:rsid w:val="00DE529C"/>
    <w:rsid w:val="00DE5B07"/>
    <w:rsid w:val="00DE5CAD"/>
    <w:rsid w:val="00DE5DDD"/>
    <w:rsid w:val="00DE6230"/>
    <w:rsid w:val="00DE6379"/>
    <w:rsid w:val="00DE63F9"/>
    <w:rsid w:val="00DE6513"/>
    <w:rsid w:val="00DE6687"/>
    <w:rsid w:val="00DE668C"/>
    <w:rsid w:val="00DE67DB"/>
    <w:rsid w:val="00DE758A"/>
    <w:rsid w:val="00DE7A71"/>
    <w:rsid w:val="00DE7ECD"/>
    <w:rsid w:val="00DE7EE1"/>
    <w:rsid w:val="00DF05AC"/>
    <w:rsid w:val="00DF09DC"/>
    <w:rsid w:val="00DF13BF"/>
    <w:rsid w:val="00DF1414"/>
    <w:rsid w:val="00DF2093"/>
    <w:rsid w:val="00DF2E8E"/>
    <w:rsid w:val="00DF2EBF"/>
    <w:rsid w:val="00DF3486"/>
    <w:rsid w:val="00DF38D7"/>
    <w:rsid w:val="00DF4515"/>
    <w:rsid w:val="00DF45FB"/>
    <w:rsid w:val="00DF4731"/>
    <w:rsid w:val="00DF4777"/>
    <w:rsid w:val="00DF49F8"/>
    <w:rsid w:val="00DF4BC9"/>
    <w:rsid w:val="00DF4BCB"/>
    <w:rsid w:val="00DF4D23"/>
    <w:rsid w:val="00DF5842"/>
    <w:rsid w:val="00DF5944"/>
    <w:rsid w:val="00DF6189"/>
    <w:rsid w:val="00DF62CC"/>
    <w:rsid w:val="00DF640C"/>
    <w:rsid w:val="00DF65EC"/>
    <w:rsid w:val="00DF689B"/>
    <w:rsid w:val="00DF69BC"/>
    <w:rsid w:val="00DF6C39"/>
    <w:rsid w:val="00DF6DE2"/>
    <w:rsid w:val="00DF702A"/>
    <w:rsid w:val="00DF77A3"/>
    <w:rsid w:val="00DF7BC3"/>
    <w:rsid w:val="00DF7D2C"/>
    <w:rsid w:val="00DF7E1D"/>
    <w:rsid w:val="00E00094"/>
    <w:rsid w:val="00E0013C"/>
    <w:rsid w:val="00E00445"/>
    <w:rsid w:val="00E004F4"/>
    <w:rsid w:val="00E00D31"/>
    <w:rsid w:val="00E00D9B"/>
    <w:rsid w:val="00E0111D"/>
    <w:rsid w:val="00E01333"/>
    <w:rsid w:val="00E016DB"/>
    <w:rsid w:val="00E01BD6"/>
    <w:rsid w:val="00E01D17"/>
    <w:rsid w:val="00E01DCC"/>
    <w:rsid w:val="00E01F57"/>
    <w:rsid w:val="00E02050"/>
    <w:rsid w:val="00E02401"/>
    <w:rsid w:val="00E02605"/>
    <w:rsid w:val="00E02E47"/>
    <w:rsid w:val="00E02F3E"/>
    <w:rsid w:val="00E03A9D"/>
    <w:rsid w:val="00E03E12"/>
    <w:rsid w:val="00E04524"/>
    <w:rsid w:val="00E046A1"/>
    <w:rsid w:val="00E0497F"/>
    <w:rsid w:val="00E04B31"/>
    <w:rsid w:val="00E04BBB"/>
    <w:rsid w:val="00E04CF1"/>
    <w:rsid w:val="00E0509C"/>
    <w:rsid w:val="00E05346"/>
    <w:rsid w:val="00E057DE"/>
    <w:rsid w:val="00E05838"/>
    <w:rsid w:val="00E05A6E"/>
    <w:rsid w:val="00E05BB2"/>
    <w:rsid w:val="00E05CAD"/>
    <w:rsid w:val="00E06014"/>
    <w:rsid w:val="00E0617E"/>
    <w:rsid w:val="00E063A1"/>
    <w:rsid w:val="00E0681B"/>
    <w:rsid w:val="00E06854"/>
    <w:rsid w:val="00E069AF"/>
    <w:rsid w:val="00E06D75"/>
    <w:rsid w:val="00E06EFE"/>
    <w:rsid w:val="00E0789C"/>
    <w:rsid w:val="00E10AB1"/>
    <w:rsid w:val="00E11055"/>
    <w:rsid w:val="00E1183F"/>
    <w:rsid w:val="00E11868"/>
    <w:rsid w:val="00E119F0"/>
    <w:rsid w:val="00E11ACC"/>
    <w:rsid w:val="00E11D3D"/>
    <w:rsid w:val="00E11D9A"/>
    <w:rsid w:val="00E127F3"/>
    <w:rsid w:val="00E12BB8"/>
    <w:rsid w:val="00E12BD3"/>
    <w:rsid w:val="00E12E6E"/>
    <w:rsid w:val="00E13077"/>
    <w:rsid w:val="00E135E9"/>
    <w:rsid w:val="00E136C3"/>
    <w:rsid w:val="00E13BF6"/>
    <w:rsid w:val="00E13D4B"/>
    <w:rsid w:val="00E13DF3"/>
    <w:rsid w:val="00E14BED"/>
    <w:rsid w:val="00E14CF2"/>
    <w:rsid w:val="00E1547A"/>
    <w:rsid w:val="00E1592C"/>
    <w:rsid w:val="00E15DC1"/>
    <w:rsid w:val="00E1623F"/>
    <w:rsid w:val="00E16307"/>
    <w:rsid w:val="00E165E3"/>
    <w:rsid w:val="00E1698A"/>
    <w:rsid w:val="00E16AC7"/>
    <w:rsid w:val="00E176B1"/>
    <w:rsid w:val="00E17EC0"/>
    <w:rsid w:val="00E17FC5"/>
    <w:rsid w:val="00E208F8"/>
    <w:rsid w:val="00E20F4D"/>
    <w:rsid w:val="00E20F97"/>
    <w:rsid w:val="00E21045"/>
    <w:rsid w:val="00E21564"/>
    <w:rsid w:val="00E219FF"/>
    <w:rsid w:val="00E224DA"/>
    <w:rsid w:val="00E22BC0"/>
    <w:rsid w:val="00E22D43"/>
    <w:rsid w:val="00E22D54"/>
    <w:rsid w:val="00E23181"/>
    <w:rsid w:val="00E23264"/>
    <w:rsid w:val="00E23351"/>
    <w:rsid w:val="00E23381"/>
    <w:rsid w:val="00E235FB"/>
    <w:rsid w:val="00E2360C"/>
    <w:rsid w:val="00E2369B"/>
    <w:rsid w:val="00E23875"/>
    <w:rsid w:val="00E23905"/>
    <w:rsid w:val="00E23913"/>
    <w:rsid w:val="00E23C36"/>
    <w:rsid w:val="00E23D6D"/>
    <w:rsid w:val="00E24068"/>
    <w:rsid w:val="00E24231"/>
    <w:rsid w:val="00E242F0"/>
    <w:rsid w:val="00E24500"/>
    <w:rsid w:val="00E24912"/>
    <w:rsid w:val="00E2492C"/>
    <w:rsid w:val="00E24C3A"/>
    <w:rsid w:val="00E24ED8"/>
    <w:rsid w:val="00E25255"/>
    <w:rsid w:val="00E2525A"/>
    <w:rsid w:val="00E254DA"/>
    <w:rsid w:val="00E25C12"/>
    <w:rsid w:val="00E25CCF"/>
    <w:rsid w:val="00E260D7"/>
    <w:rsid w:val="00E2638A"/>
    <w:rsid w:val="00E2638B"/>
    <w:rsid w:val="00E264D4"/>
    <w:rsid w:val="00E2666B"/>
    <w:rsid w:val="00E26877"/>
    <w:rsid w:val="00E26C19"/>
    <w:rsid w:val="00E272E9"/>
    <w:rsid w:val="00E2751F"/>
    <w:rsid w:val="00E275E2"/>
    <w:rsid w:val="00E27636"/>
    <w:rsid w:val="00E277BA"/>
    <w:rsid w:val="00E2799D"/>
    <w:rsid w:val="00E27F30"/>
    <w:rsid w:val="00E30004"/>
    <w:rsid w:val="00E30622"/>
    <w:rsid w:val="00E30B26"/>
    <w:rsid w:val="00E30DD6"/>
    <w:rsid w:val="00E30E27"/>
    <w:rsid w:val="00E30E57"/>
    <w:rsid w:val="00E30EDD"/>
    <w:rsid w:val="00E30FB4"/>
    <w:rsid w:val="00E315BE"/>
    <w:rsid w:val="00E320DA"/>
    <w:rsid w:val="00E32189"/>
    <w:rsid w:val="00E32997"/>
    <w:rsid w:val="00E32A79"/>
    <w:rsid w:val="00E32C5B"/>
    <w:rsid w:val="00E330F6"/>
    <w:rsid w:val="00E333CC"/>
    <w:rsid w:val="00E336CB"/>
    <w:rsid w:val="00E343E0"/>
    <w:rsid w:val="00E3452A"/>
    <w:rsid w:val="00E3468B"/>
    <w:rsid w:val="00E34D00"/>
    <w:rsid w:val="00E350A4"/>
    <w:rsid w:val="00E35292"/>
    <w:rsid w:val="00E352B4"/>
    <w:rsid w:val="00E352F3"/>
    <w:rsid w:val="00E35D24"/>
    <w:rsid w:val="00E35FDD"/>
    <w:rsid w:val="00E3658E"/>
    <w:rsid w:val="00E36763"/>
    <w:rsid w:val="00E36A8B"/>
    <w:rsid w:val="00E36B58"/>
    <w:rsid w:val="00E370CD"/>
    <w:rsid w:val="00E3719E"/>
    <w:rsid w:val="00E37FCB"/>
    <w:rsid w:val="00E401A2"/>
    <w:rsid w:val="00E404D3"/>
    <w:rsid w:val="00E405AC"/>
    <w:rsid w:val="00E417E4"/>
    <w:rsid w:val="00E41B36"/>
    <w:rsid w:val="00E422E4"/>
    <w:rsid w:val="00E423EB"/>
    <w:rsid w:val="00E42617"/>
    <w:rsid w:val="00E43245"/>
    <w:rsid w:val="00E43256"/>
    <w:rsid w:val="00E43685"/>
    <w:rsid w:val="00E437F3"/>
    <w:rsid w:val="00E439CA"/>
    <w:rsid w:val="00E439EE"/>
    <w:rsid w:val="00E43B00"/>
    <w:rsid w:val="00E44BA4"/>
    <w:rsid w:val="00E44EF7"/>
    <w:rsid w:val="00E451C2"/>
    <w:rsid w:val="00E452DC"/>
    <w:rsid w:val="00E4554F"/>
    <w:rsid w:val="00E457F2"/>
    <w:rsid w:val="00E45F1D"/>
    <w:rsid w:val="00E46282"/>
    <w:rsid w:val="00E46D30"/>
    <w:rsid w:val="00E47223"/>
    <w:rsid w:val="00E47C74"/>
    <w:rsid w:val="00E47F99"/>
    <w:rsid w:val="00E502FD"/>
    <w:rsid w:val="00E50302"/>
    <w:rsid w:val="00E505C9"/>
    <w:rsid w:val="00E50702"/>
    <w:rsid w:val="00E50706"/>
    <w:rsid w:val="00E50948"/>
    <w:rsid w:val="00E50996"/>
    <w:rsid w:val="00E50AB7"/>
    <w:rsid w:val="00E50D0B"/>
    <w:rsid w:val="00E512BC"/>
    <w:rsid w:val="00E51833"/>
    <w:rsid w:val="00E51C83"/>
    <w:rsid w:val="00E52089"/>
    <w:rsid w:val="00E527DE"/>
    <w:rsid w:val="00E52B98"/>
    <w:rsid w:val="00E52ED2"/>
    <w:rsid w:val="00E53303"/>
    <w:rsid w:val="00E53B3E"/>
    <w:rsid w:val="00E53F3A"/>
    <w:rsid w:val="00E54820"/>
    <w:rsid w:val="00E54A50"/>
    <w:rsid w:val="00E5514D"/>
    <w:rsid w:val="00E55699"/>
    <w:rsid w:val="00E55701"/>
    <w:rsid w:val="00E5586C"/>
    <w:rsid w:val="00E5592D"/>
    <w:rsid w:val="00E561F5"/>
    <w:rsid w:val="00E56854"/>
    <w:rsid w:val="00E573E5"/>
    <w:rsid w:val="00E578B6"/>
    <w:rsid w:val="00E57B74"/>
    <w:rsid w:val="00E57F58"/>
    <w:rsid w:val="00E6023B"/>
    <w:rsid w:val="00E602CC"/>
    <w:rsid w:val="00E60318"/>
    <w:rsid w:val="00E60828"/>
    <w:rsid w:val="00E60EF6"/>
    <w:rsid w:val="00E61478"/>
    <w:rsid w:val="00E61CD5"/>
    <w:rsid w:val="00E61F10"/>
    <w:rsid w:val="00E621B0"/>
    <w:rsid w:val="00E627EC"/>
    <w:rsid w:val="00E62E20"/>
    <w:rsid w:val="00E62F56"/>
    <w:rsid w:val="00E62F94"/>
    <w:rsid w:val="00E630F2"/>
    <w:rsid w:val="00E63485"/>
    <w:rsid w:val="00E639CC"/>
    <w:rsid w:val="00E63D7E"/>
    <w:rsid w:val="00E63E36"/>
    <w:rsid w:val="00E63ED3"/>
    <w:rsid w:val="00E647C2"/>
    <w:rsid w:val="00E6494F"/>
    <w:rsid w:val="00E64977"/>
    <w:rsid w:val="00E64B19"/>
    <w:rsid w:val="00E65219"/>
    <w:rsid w:val="00E65800"/>
    <w:rsid w:val="00E6592F"/>
    <w:rsid w:val="00E659AA"/>
    <w:rsid w:val="00E65A82"/>
    <w:rsid w:val="00E65B1C"/>
    <w:rsid w:val="00E65ECB"/>
    <w:rsid w:val="00E65F18"/>
    <w:rsid w:val="00E66CF2"/>
    <w:rsid w:val="00E6701D"/>
    <w:rsid w:val="00E674D2"/>
    <w:rsid w:val="00E67857"/>
    <w:rsid w:val="00E67C64"/>
    <w:rsid w:val="00E700D1"/>
    <w:rsid w:val="00E7055F"/>
    <w:rsid w:val="00E7076D"/>
    <w:rsid w:val="00E70991"/>
    <w:rsid w:val="00E70CCC"/>
    <w:rsid w:val="00E70E33"/>
    <w:rsid w:val="00E70F88"/>
    <w:rsid w:val="00E70FDA"/>
    <w:rsid w:val="00E7148A"/>
    <w:rsid w:val="00E726CE"/>
    <w:rsid w:val="00E731DC"/>
    <w:rsid w:val="00E74D75"/>
    <w:rsid w:val="00E7514D"/>
    <w:rsid w:val="00E755E3"/>
    <w:rsid w:val="00E755F5"/>
    <w:rsid w:val="00E75652"/>
    <w:rsid w:val="00E756A6"/>
    <w:rsid w:val="00E7578E"/>
    <w:rsid w:val="00E75CC3"/>
    <w:rsid w:val="00E75EA5"/>
    <w:rsid w:val="00E76226"/>
    <w:rsid w:val="00E76237"/>
    <w:rsid w:val="00E762EE"/>
    <w:rsid w:val="00E763C4"/>
    <w:rsid w:val="00E76832"/>
    <w:rsid w:val="00E769B3"/>
    <w:rsid w:val="00E76C11"/>
    <w:rsid w:val="00E76C52"/>
    <w:rsid w:val="00E76C74"/>
    <w:rsid w:val="00E775E8"/>
    <w:rsid w:val="00E77D83"/>
    <w:rsid w:val="00E80224"/>
    <w:rsid w:val="00E802B4"/>
    <w:rsid w:val="00E80320"/>
    <w:rsid w:val="00E803D0"/>
    <w:rsid w:val="00E80456"/>
    <w:rsid w:val="00E806F7"/>
    <w:rsid w:val="00E807E1"/>
    <w:rsid w:val="00E809B9"/>
    <w:rsid w:val="00E809CC"/>
    <w:rsid w:val="00E80E37"/>
    <w:rsid w:val="00E812A1"/>
    <w:rsid w:val="00E813DF"/>
    <w:rsid w:val="00E815E5"/>
    <w:rsid w:val="00E8185D"/>
    <w:rsid w:val="00E81D32"/>
    <w:rsid w:val="00E81FF6"/>
    <w:rsid w:val="00E820A2"/>
    <w:rsid w:val="00E82599"/>
    <w:rsid w:val="00E82C32"/>
    <w:rsid w:val="00E83019"/>
    <w:rsid w:val="00E838FA"/>
    <w:rsid w:val="00E83B2A"/>
    <w:rsid w:val="00E8411E"/>
    <w:rsid w:val="00E844A5"/>
    <w:rsid w:val="00E84822"/>
    <w:rsid w:val="00E84CA6"/>
    <w:rsid w:val="00E84E2F"/>
    <w:rsid w:val="00E85138"/>
    <w:rsid w:val="00E85AD4"/>
    <w:rsid w:val="00E85B0D"/>
    <w:rsid w:val="00E85BCA"/>
    <w:rsid w:val="00E85F46"/>
    <w:rsid w:val="00E86972"/>
    <w:rsid w:val="00E87211"/>
    <w:rsid w:val="00E8768B"/>
    <w:rsid w:val="00E87AC1"/>
    <w:rsid w:val="00E87E02"/>
    <w:rsid w:val="00E87E4E"/>
    <w:rsid w:val="00E90013"/>
    <w:rsid w:val="00E9062B"/>
    <w:rsid w:val="00E9075C"/>
    <w:rsid w:val="00E908B1"/>
    <w:rsid w:val="00E908F8"/>
    <w:rsid w:val="00E90A2B"/>
    <w:rsid w:val="00E913A6"/>
    <w:rsid w:val="00E918D1"/>
    <w:rsid w:val="00E92265"/>
    <w:rsid w:val="00E92556"/>
    <w:rsid w:val="00E925B3"/>
    <w:rsid w:val="00E926EF"/>
    <w:rsid w:val="00E92709"/>
    <w:rsid w:val="00E929F7"/>
    <w:rsid w:val="00E9611D"/>
    <w:rsid w:val="00E96321"/>
    <w:rsid w:val="00E96523"/>
    <w:rsid w:val="00E96623"/>
    <w:rsid w:val="00E9666F"/>
    <w:rsid w:val="00E96B7A"/>
    <w:rsid w:val="00E96D11"/>
    <w:rsid w:val="00E9716D"/>
    <w:rsid w:val="00E97394"/>
    <w:rsid w:val="00E97743"/>
    <w:rsid w:val="00E9790C"/>
    <w:rsid w:val="00E979BE"/>
    <w:rsid w:val="00E97AB5"/>
    <w:rsid w:val="00E97F51"/>
    <w:rsid w:val="00EA0021"/>
    <w:rsid w:val="00EA0528"/>
    <w:rsid w:val="00EA0E3F"/>
    <w:rsid w:val="00EA1287"/>
    <w:rsid w:val="00EA15D3"/>
    <w:rsid w:val="00EA1C40"/>
    <w:rsid w:val="00EA1D0D"/>
    <w:rsid w:val="00EA1D57"/>
    <w:rsid w:val="00EA1D5E"/>
    <w:rsid w:val="00EA2ABD"/>
    <w:rsid w:val="00EA2DDA"/>
    <w:rsid w:val="00EA34CB"/>
    <w:rsid w:val="00EA45C8"/>
    <w:rsid w:val="00EA49E0"/>
    <w:rsid w:val="00EA4D55"/>
    <w:rsid w:val="00EA4F9E"/>
    <w:rsid w:val="00EA58EB"/>
    <w:rsid w:val="00EA5B84"/>
    <w:rsid w:val="00EA5B89"/>
    <w:rsid w:val="00EA5D0F"/>
    <w:rsid w:val="00EA61B4"/>
    <w:rsid w:val="00EA61F3"/>
    <w:rsid w:val="00EA6371"/>
    <w:rsid w:val="00EA7056"/>
    <w:rsid w:val="00EA731B"/>
    <w:rsid w:val="00EA76CE"/>
    <w:rsid w:val="00EA7823"/>
    <w:rsid w:val="00EA7987"/>
    <w:rsid w:val="00EA7B42"/>
    <w:rsid w:val="00EA7C4A"/>
    <w:rsid w:val="00EA7C63"/>
    <w:rsid w:val="00EA7E11"/>
    <w:rsid w:val="00EA7FEC"/>
    <w:rsid w:val="00EB13F1"/>
    <w:rsid w:val="00EB164A"/>
    <w:rsid w:val="00EB180D"/>
    <w:rsid w:val="00EB1F58"/>
    <w:rsid w:val="00EB1F92"/>
    <w:rsid w:val="00EB1FD2"/>
    <w:rsid w:val="00EB20EF"/>
    <w:rsid w:val="00EB22A0"/>
    <w:rsid w:val="00EB2351"/>
    <w:rsid w:val="00EB2390"/>
    <w:rsid w:val="00EB2578"/>
    <w:rsid w:val="00EB3019"/>
    <w:rsid w:val="00EB30F0"/>
    <w:rsid w:val="00EB31D1"/>
    <w:rsid w:val="00EB325E"/>
    <w:rsid w:val="00EB34B8"/>
    <w:rsid w:val="00EB34E3"/>
    <w:rsid w:val="00EB3C10"/>
    <w:rsid w:val="00EB3D1E"/>
    <w:rsid w:val="00EB4502"/>
    <w:rsid w:val="00EB4991"/>
    <w:rsid w:val="00EB4DC6"/>
    <w:rsid w:val="00EB533C"/>
    <w:rsid w:val="00EB562F"/>
    <w:rsid w:val="00EB5738"/>
    <w:rsid w:val="00EB58B9"/>
    <w:rsid w:val="00EB5AC5"/>
    <w:rsid w:val="00EB5D6D"/>
    <w:rsid w:val="00EB60D3"/>
    <w:rsid w:val="00EB6142"/>
    <w:rsid w:val="00EB65A1"/>
    <w:rsid w:val="00EB66DA"/>
    <w:rsid w:val="00EB7C2F"/>
    <w:rsid w:val="00EB7CB5"/>
    <w:rsid w:val="00EB7E03"/>
    <w:rsid w:val="00EC01B8"/>
    <w:rsid w:val="00EC04A5"/>
    <w:rsid w:val="00EC0628"/>
    <w:rsid w:val="00EC0740"/>
    <w:rsid w:val="00EC082F"/>
    <w:rsid w:val="00EC0BEA"/>
    <w:rsid w:val="00EC0E6B"/>
    <w:rsid w:val="00EC24C4"/>
    <w:rsid w:val="00EC252C"/>
    <w:rsid w:val="00EC2722"/>
    <w:rsid w:val="00EC286E"/>
    <w:rsid w:val="00EC2D75"/>
    <w:rsid w:val="00EC351D"/>
    <w:rsid w:val="00EC35C1"/>
    <w:rsid w:val="00EC3761"/>
    <w:rsid w:val="00EC3FA3"/>
    <w:rsid w:val="00EC403A"/>
    <w:rsid w:val="00EC4891"/>
    <w:rsid w:val="00EC4F47"/>
    <w:rsid w:val="00EC5A60"/>
    <w:rsid w:val="00EC5B77"/>
    <w:rsid w:val="00EC6054"/>
    <w:rsid w:val="00EC626C"/>
    <w:rsid w:val="00EC627E"/>
    <w:rsid w:val="00EC6A2B"/>
    <w:rsid w:val="00EC717C"/>
    <w:rsid w:val="00EC7951"/>
    <w:rsid w:val="00EC7C81"/>
    <w:rsid w:val="00EC7F75"/>
    <w:rsid w:val="00EC7FD6"/>
    <w:rsid w:val="00ED0648"/>
    <w:rsid w:val="00ED0B71"/>
    <w:rsid w:val="00ED0DFA"/>
    <w:rsid w:val="00ED0EDF"/>
    <w:rsid w:val="00ED10C9"/>
    <w:rsid w:val="00ED1117"/>
    <w:rsid w:val="00ED11D3"/>
    <w:rsid w:val="00ED122E"/>
    <w:rsid w:val="00ED2CB1"/>
    <w:rsid w:val="00ED3112"/>
    <w:rsid w:val="00ED355F"/>
    <w:rsid w:val="00ED386D"/>
    <w:rsid w:val="00ED38F4"/>
    <w:rsid w:val="00ED42BA"/>
    <w:rsid w:val="00ED4424"/>
    <w:rsid w:val="00ED458B"/>
    <w:rsid w:val="00ED46AE"/>
    <w:rsid w:val="00ED47BC"/>
    <w:rsid w:val="00ED48D2"/>
    <w:rsid w:val="00ED52AE"/>
    <w:rsid w:val="00ED5769"/>
    <w:rsid w:val="00ED5C0A"/>
    <w:rsid w:val="00ED6741"/>
    <w:rsid w:val="00ED69AA"/>
    <w:rsid w:val="00ED6F2A"/>
    <w:rsid w:val="00ED71A3"/>
    <w:rsid w:val="00ED72EE"/>
    <w:rsid w:val="00ED7813"/>
    <w:rsid w:val="00ED7A02"/>
    <w:rsid w:val="00ED7A63"/>
    <w:rsid w:val="00ED7C26"/>
    <w:rsid w:val="00ED7CC3"/>
    <w:rsid w:val="00ED7E1F"/>
    <w:rsid w:val="00EE0049"/>
    <w:rsid w:val="00EE0089"/>
    <w:rsid w:val="00EE0A30"/>
    <w:rsid w:val="00EE0F91"/>
    <w:rsid w:val="00EE1010"/>
    <w:rsid w:val="00EE1480"/>
    <w:rsid w:val="00EE1A8A"/>
    <w:rsid w:val="00EE1E20"/>
    <w:rsid w:val="00EE1E5E"/>
    <w:rsid w:val="00EE26DD"/>
    <w:rsid w:val="00EE279A"/>
    <w:rsid w:val="00EE2859"/>
    <w:rsid w:val="00EE2B56"/>
    <w:rsid w:val="00EE324E"/>
    <w:rsid w:val="00EE3961"/>
    <w:rsid w:val="00EE39B2"/>
    <w:rsid w:val="00EE3A13"/>
    <w:rsid w:val="00EE3C36"/>
    <w:rsid w:val="00EE3D72"/>
    <w:rsid w:val="00EE4365"/>
    <w:rsid w:val="00EE4647"/>
    <w:rsid w:val="00EE4651"/>
    <w:rsid w:val="00EE4CA8"/>
    <w:rsid w:val="00EE53F6"/>
    <w:rsid w:val="00EE54D2"/>
    <w:rsid w:val="00EE5877"/>
    <w:rsid w:val="00EE5B53"/>
    <w:rsid w:val="00EE5C11"/>
    <w:rsid w:val="00EE61AD"/>
    <w:rsid w:val="00EE6663"/>
    <w:rsid w:val="00EE6782"/>
    <w:rsid w:val="00EE6A88"/>
    <w:rsid w:val="00EE6B6F"/>
    <w:rsid w:val="00EE6D66"/>
    <w:rsid w:val="00EE6DFA"/>
    <w:rsid w:val="00EE6E89"/>
    <w:rsid w:val="00EE7032"/>
    <w:rsid w:val="00EE73CB"/>
    <w:rsid w:val="00EE7AB7"/>
    <w:rsid w:val="00EE7ACB"/>
    <w:rsid w:val="00EF046B"/>
    <w:rsid w:val="00EF0680"/>
    <w:rsid w:val="00EF0B21"/>
    <w:rsid w:val="00EF0BBD"/>
    <w:rsid w:val="00EF1060"/>
    <w:rsid w:val="00EF1281"/>
    <w:rsid w:val="00EF1EA5"/>
    <w:rsid w:val="00EF2D65"/>
    <w:rsid w:val="00EF2DA2"/>
    <w:rsid w:val="00EF3841"/>
    <w:rsid w:val="00EF3EAC"/>
    <w:rsid w:val="00EF3F4A"/>
    <w:rsid w:val="00EF45DF"/>
    <w:rsid w:val="00EF48BA"/>
    <w:rsid w:val="00EF495A"/>
    <w:rsid w:val="00EF4AB3"/>
    <w:rsid w:val="00EF4B9B"/>
    <w:rsid w:val="00EF4CA3"/>
    <w:rsid w:val="00EF5044"/>
    <w:rsid w:val="00EF5206"/>
    <w:rsid w:val="00EF5715"/>
    <w:rsid w:val="00EF5B49"/>
    <w:rsid w:val="00EF5D96"/>
    <w:rsid w:val="00EF63E2"/>
    <w:rsid w:val="00EF69F7"/>
    <w:rsid w:val="00EF7267"/>
    <w:rsid w:val="00EF79C3"/>
    <w:rsid w:val="00EF7FF8"/>
    <w:rsid w:val="00F00295"/>
    <w:rsid w:val="00F00298"/>
    <w:rsid w:val="00F00795"/>
    <w:rsid w:val="00F0086F"/>
    <w:rsid w:val="00F00944"/>
    <w:rsid w:val="00F00A23"/>
    <w:rsid w:val="00F00F53"/>
    <w:rsid w:val="00F015F0"/>
    <w:rsid w:val="00F0167C"/>
    <w:rsid w:val="00F01BD6"/>
    <w:rsid w:val="00F01DA5"/>
    <w:rsid w:val="00F01EE8"/>
    <w:rsid w:val="00F01F9C"/>
    <w:rsid w:val="00F02007"/>
    <w:rsid w:val="00F02421"/>
    <w:rsid w:val="00F02696"/>
    <w:rsid w:val="00F03351"/>
    <w:rsid w:val="00F037C0"/>
    <w:rsid w:val="00F038B1"/>
    <w:rsid w:val="00F042C0"/>
    <w:rsid w:val="00F04423"/>
    <w:rsid w:val="00F0464D"/>
    <w:rsid w:val="00F04816"/>
    <w:rsid w:val="00F04BEF"/>
    <w:rsid w:val="00F05234"/>
    <w:rsid w:val="00F05490"/>
    <w:rsid w:val="00F054B9"/>
    <w:rsid w:val="00F056D5"/>
    <w:rsid w:val="00F05753"/>
    <w:rsid w:val="00F059F2"/>
    <w:rsid w:val="00F05BD7"/>
    <w:rsid w:val="00F05BED"/>
    <w:rsid w:val="00F0658C"/>
    <w:rsid w:val="00F07846"/>
    <w:rsid w:val="00F07865"/>
    <w:rsid w:val="00F07C9E"/>
    <w:rsid w:val="00F10CDB"/>
    <w:rsid w:val="00F11277"/>
    <w:rsid w:val="00F114B3"/>
    <w:rsid w:val="00F1158C"/>
    <w:rsid w:val="00F1182D"/>
    <w:rsid w:val="00F1184D"/>
    <w:rsid w:val="00F11AE7"/>
    <w:rsid w:val="00F11DB7"/>
    <w:rsid w:val="00F13004"/>
    <w:rsid w:val="00F135BA"/>
    <w:rsid w:val="00F139AD"/>
    <w:rsid w:val="00F13A49"/>
    <w:rsid w:val="00F13A5F"/>
    <w:rsid w:val="00F13AFD"/>
    <w:rsid w:val="00F13BDD"/>
    <w:rsid w:val="00F13F8E"/>
    <w:rsid w:val="00F14334"/>
    <w:rsid w:val="00F14376"/>
    <w:rsid w:val="00F146C9"/>
    <w:rsid w:val="00F1473C"/>
    <w:rsid w:val="00F14ADC"/>
    <w:rsid w:val="00F14B09"/>
    <w:rsid w:val="00F14B90"/>
    <w:rsid w:val="00F14E4C"/>
    <w:rsid w:val="00F14EF8"/>
    <w:rsid w:val="00F14FB5"/>
    <w:rsid w:val="00F153C4"/>
    <w:rsid w:val="00F15B30"/>
    <w:rsid w:val="00F15D7A"/>
    <w:rsid w:val="00F15E4D"/>
    <w:rsid w:val="00F15FC2"/>
    <w:rsid w:val="00F1620F"/>
    <w:rsid w:val="00F16B50"/>
    <w:rsid w:val="00F16C57"/>
    <w:rsid w:val="00F17170"/>
    <w:rsid w:val="00F174D9"/>
    <w:rsid w:val="00F174F2"/>
    <w:rsid w:val="00F17CDE"/>
    <w:rsid w:val="00F20F0B"/>
    <w:rsid w:val="00F210CE"/>
    <w:rsid w:val="00F22384"/>
    <w:rsid w:val="00F225FB"/>
    <w:rsid w:val="00F22718"/>
    <w:rsid w:val="00F22C7F"/>
    <w:rsid w:val="00F22D72"/>
    <w:rsid w:val="00F233B1"/>
    <w:rsid w:val="00F235B1"/>
    <w:rsid w:val="00F23826"/>
    <w:rsid w:val="00F244A7"/>
    <w:rsid w:val="00F248C5"/>
    <w:rsid w:val="00F24C01"/>
    <w:rsid w:val="00F250C0"/>
    <w:rsid w:val="00F25196"/>
    <w:rsid w:val="00F253C5"/>
    <w:rsid w:val="00F25571"/>
    <w:rsid w:val="00F255B9"/>
    <w:rsid w:val="00F2577E"/>
    <w:rsid w:val="00F257A8"/>
    <w:rsid w:val="00F25B50"/>
    <w:rsid w:val="00F25F1B"/>
    <w:rsid w:val="00F25F84"/>
    <w:rsid w:val="00F26055"/>
    <w:rsid w:val="00F2615F"/>
    <w:rsid w:val="00F261A9"/>
    <w:rsid w:val="00F2691B"/>
    <w:rsid w:val="00F26D0A"/>
    <w:rsid w:val="00F27088"/>
    <w:rsid w:val="00F270AD"/>
    <w:rsid w:val="00F271A4"/>
    <w:rsid w:val="00F276E3"/>
    <w:rsid w:val="00F27939"/>
    <w:rsid w:val="00F27A92"/>
    <w:rsid w:val="00F27AF7"/>
    <w:rsid w:val="00F27CEA"/>
    <w:rsid w:val="00F30036"/>
    <w:rsid w:val="00F30264"/>
    <w:rsid w:val="00F302C9"/>
    <w:rsid w:val="00F304B2"/>
    <w:rsid w:val="00F3054E"/>
    <w:rsid w:val="00F305AA"/>
    <w:rsid w:val="00F30795"/>
    <w:rsid w:val="00F30ACD"/>
    <w:rsid w:val="00F30C6B"/>
    <w:rsid w:val="00F31540"/>
    <w:rsid w:val="00F31DB8"/>
    <w:rsid w:val="00F31DD5"/>
    <w:rsid w:val="00F31E09"/>
    <w:rsid w:val="00F31F8E"/>
    <w:rsid w:val="00F32394"/>
    <w:rsid w:val="00F328F3"/>
    <w:rsid w:val="00F32BFE"/>
    <w:rsid w:val="00F32C53"/>
    <w:rsid w:val="00F32E3B"/>
    <w:rsid w:val="00F33080"/>
    <w:rsid w:val="00F33415"/>
    <w:rsid w:val="00F3349D"/>
    <w:rsid w:val="00F33644"/>
    <w:rsid w:val="00F33692"/>
    <w:rsid w:val="00F33A02"/>
    <w:rsid w:val="00F33AFB"/>
    <w:rsid w:val="00F33D21"/>
    <w:rsid w:val="00F340AE"/>
    <w:rsid w:val="00F341AD"/>
    <w:rsid w:val="00F3422D"/>
    <w:rsid w:val="00F34546"/>
    <w:rsid w:val="00F3464A"/>
    <w:rsid w:val="00F3481F"/>
    <w:rsid w:val="00F34C19"/>
    <w:rsid w:val="00F34D08"/>
    <w:rsid w:val="00F34DBD"/>
    <w:rsid w:val="00F34DE0"/>
    <w:rsid w:val="00F3504E"/>
    <w:rsid w:val="00F3537B"/>
    <w:rsid w:val="00F356F2"/>
    <w:rsid w:val="00F358F0"/>
    <w:rsid w:val="00F35D09"/>
    <w:rsid w:val="00F35E4D"/>
    <w:rsid w:val="00F35F11"/>
    <w:rsid w:val="00F35FCE"/>
    <w:rsid w:val="00F36366"/>
    <w:rsid w:val="00F3650D"/>
    <w:rsid w:val="00F365B7"/>
    <w:rsid w:val="00F36737"/>
    <w:rsid w:val="00F36DEB"/>
    <w:rsid w:val="00F36F03"/>
    <w:rsid w:val="00F371BC"/>
    <w:rsid w:val="00F3728F"/>
    <w:rsid w:val="00F3730E"/>
    <w:rsid w:val="00F373AB"/>
    <w:rsid w:val="00F378C1"/>
    <w:rsid w:val="00F37F03"/>
    <w:rsid w:val="00F40026"/>
    <w:rsid w:val="00F4015A"/>
    <w:rsid w:val="00F403D1"/>
    <w:rsid w:val="00F40495"/>
    <w:rsid w:val="00F40750"/>
    <w:rsid w:val="00F40828"/>
    <w:rsid w:val="00F409B1"/>
    <w:rsid w:val="00F40A2D"/>
    <w:rsid w:val="00F40CCA"/>
    <w:rsid w:val="00F41323"/>
    <w:rsid w:val="00F413D7"/>
    <w:rsid w:val="00F4174B"/>
    <w:rsid w:val="00F41AF4"/>
    <w:rsid w:val="00F41C4C"/>
    <w:rsid w:val="00F4260D"/>
    <w:rsid w:val="00F4287B"/>
    <w:rsid w:val="00F42E7E"/>
    <w:rsid w:val="00F42F35"/>
    <w:rsid w:val="00F42F8B"/>
    <w:rsid w:val="00F43253"/>
    <w:rsid w:val="00F43266"/>
    <w:rsid w:val="00F4332C"/>
    <w:rsid w:val="00F434BC"/>
    <w:rsid w:val="00F435EF"/>
    <w:rsid w:val="00F4431A"/>
    <w:rsid w:val="00F4444B"/>
    <w:rsid w:val="00F44692"/>
    <w:rsid w:val="00F44B98"/>
    <w:rsid w:val="00F44E1C"/>
    <w:rsid w:val="00F45163"/>
    <w:rsid w:val="00F4566C"/>
    <w:rsid w:val="00F457D0"/>
    <w:rsid w:val="00F45802"/>
    <w:rsid w:val="00F45BF7"/>
    <w:rsid w:val="00F45F7B"/>
    <w:rsid w:val="00F467CF"/>
    <w:rsid w:val="00F46962"/>
    <w:rsid w:val="00F46B36"/>
    <w:rsid w:val="00F47104"/>
    <w:rsid w:val="00F472CF"/>
    <w:rsid w:val="00F47340"/>
    <w:rsid w:val="00F478DA"/>
    <w:rsid w:val="00F47D78"/>
    <w:rsid w:val="00F47DFF"/>
    <w:rsid w:val="00F50365"/>
    <w:rsid w:val="00F508E1"/>
    <w:rsid w:val="00F5091F"/>
    <w:rsid w:val="00F509ED"/>
    <w:rsid w:val="00F5153E"/>
    <w:rsid w:val="00F518F3"/>
    <w:rsid w:val="00F51D9F"/>
    <w:rsid w:val="00F521C2"/>
    <w:rsid w:val="00F521D4"/>
    <w:rsid w:val="00F5249B"/>
    <w:rsid w:val="00F52AEC"/>
    <w:rsid w:val="00F52B36"/>
    <w:rsid w:val="00F52CA3"/>
    <w:rsid w:val="00F52CF6"/>
    <w:rsid w:val="00F52D33"/>
    <w:rsid w:val="00F52DDC"/>
    <w:rsid w:val="00F530E4"/>
    <w:rsid w:val="00F53956"/>
    <w:rsid w:val="00F53973"/>
    <w:rsid w:val="00F539C0"/>
    <w:rsid w:val="00F53C39"/>
    <w:rsid w:val="00F5415D"/>
    <w:rsid w:val="00F54544"/>
    <w:rsid w:val="00F549C9"/>
    <w:rsid w:val="00F54B04"/>
    <w:rsid w:val="00F54C43"/>
    <w:rsid w:val="00F54FC5"/>
    <w:rsid w:val="00F55636"/>
    <w:rsid w:val="00F55E7E"/>
    <w:rsid w:val="00F56351"/>
    <w:rsid w:val="00F56661"/>
    <w:rsid w:val="00F56F05"/>
    <w:rsid w:val="00F5719D"/>
    <w:rsid w:val="00F573BB"/>
    <w:rsid w:val="00F60AAB"/>
    <w:rsid w:val="00F60C55"/>
    <w:rsid w:val="00F60D90"/>
    <w:rsid w:val="00F60F24"/>
    <w:rsid w:val="00F60F98"/>
    <w:rsid w:val="00F611E3"/>
    <w:rsid w:val="00F61701"/>
    <w:rsid w:val="00F61823"/>
    <w:rsid w:val="00F623A1"/>
    <w:rsid w:val="00F6251A"/>
    <w:rsid w:val="00F62A78"/>
    <w:rsid w:val="00F63143"/>
    <w:rsid w:val="00F6347E"/>
    <w:rsid w:val="00F6385B"/>
    <w:rsid w:val="00F63A13"/>
    <w:rsid w:val="00F63C20"/>
    <w:rsid w:val="00F640E8"/>
    <w:rsid w:val="00F641AD"/>
    <w:rsid w:val="00F64331"/>
    <w:rsid w:val="00F643DE"/>
    <w:rsid w:val="00F64B39"/>
    <w:rsid w:val="00F64EC6"/>
    <w:rsid w:val="00F6553D"/>
    <w:rsid w:val="00F660F8"/>
    <w:rsid w:val="00F66316"/>
    <w:rsid w:val="00F66634"/>
    <w:rsid w:val="00F667FA"/>
    <w:rsid w:val="00F66921"/>
    <w:rsid w:val="00F66D05"/>
    <w:rsid w:val="00F672F0"/>
    <w:rsid w:val="00F673DD"/>
    <w:rsid w:val="00F67C76"/>
    <w:rsid w:val="00F67D76"/>
    <w:rsid w:val="00F67D8E"/>
    <w:rsid w:val="00F70369"/>
    <w:rsid w:val="00F70656"/>
    <w:rsid w:val="00F70774"/>
    <w:rsid w:val="00F707F0"/>
    <w:rsid w:val="00F7097D"/>
    <w:rsid w:val="00F70C13"/>
    <w:rsid w:val="00F70D12"/>
    <w:rsid w:val="00F70D26"/>
    <w:rsid w:val="00F70ED1"/>
    <w:rsid w:val="00F70EDB"/>
    <w:rsid w:val="00F72B5D"/>
    <w:rsid w:val="00F72EC0"/>
    <w:rsid w:val="00F72F03"/>
    <w:rsid w:val="00F7310C"/>
    <w:rsid w:val="00F73384"/>
    <w:rsid w:val="00F73FA2"/>
    <w:rsid w:val="00F74414"/>
    <w:rsid w:val="00F74671"/>
    <w:rsid w:val="00F74AC7"/>
    <w:rsid w:val="00F74DC9"/>
    <w:rsid w:val="00F74E2D"/>
    <w:rsid w:val="00F74E57"/>
    <w:rsid w:val="00F7543D"/>
    <w:rsid w:val="00F7556B"/>
    <w:rsid w:val="00F75D6C"/>
    <w:rsid w:val="00F76476"/>
    <w:rsid w:val="00F771A8"/>
    <w:rsid w:val="00F7724F"/>
    <w:rsid w:val="00F777A4"/>
    <w:rsid w:val="00F779D1"/>
    <w:rsid w:val="00F77D3C"/>
    <w:rsid w:val="00F80215"/>
    <w:rsid w:val="00F80B39"/>
    <w:rsid w:val="00F80B3C"/>
    <w:rsid w:val="00F80BB0"/>
    <w:rsid w:val="00F80E71"/>
    <w:rsid w:val="00F810BA"/>
    <w:rsid w:val="00F81C38"/>
    <w:rsid w:val="00F8214B"/>
    <w:rsid w:val="00F82382"/>
    <w:rsid w:val="00F82680"/>
    <w:rsid w:val="00F827CA"/>
    <w:rsid w:val="00F82ABE"/>
    <w:rsid w:val="00F82AF5"/>
    <w:rsid w:val="00F83074"/>
    <w:rsid w:val="00F8336D"/>
    <w:rsid w:val="00F83750"/>
    <w:rsid w:val="00F83D5C"/>
    <w:rsid w:val="00F83F71"/>
    <w:rsid w:val="00F84489"/>
    <w:rsid w:val="00F84C39"/>
    <w:rsid w:val="00F84C5F"/>
    <w:rsid w:val="00F84CB8"/>
    <w:rsid w:val="00F84D64"/>
    <w:rsid w:val="00F854C5"/>
    <w:rsid w:val="00F85765"/>
    <w:rsid w:val="00F85857"/>
    <w:rsid w:val="00F85C61"/>
    <w:rsid w:val="00F85F4C"/>
    <w:rsid w:val="00F85FD7"/>
    <w:rsid w:val="00F861DC"/>
    <w:rsid w:val="00F86552"/>
    <w:rsid w:val="00F867BD"/>
    <w:rsid w:val="00F86D5F"/>
    <w:rsid w:val="00F870CD"/>
    <w:rsid w:val="00F8737B"/>
    <w:rsid w:val="00F87455"/>
    <w:rsid w:val="00F87525"/>
    <w:rsid w:val="00F87677"/>
    <w:rsid w:val="00F87C2A"/>
    <w:rsid w:val="00F87C2D"/>
    <w:rsid w:val="00F87EEC"/>
    <w:rsid w:val="00F901FB"/>
    <w:rsid w:val="00F90247"/>
    <w:rsid w:val="00F902A4"/>
    <w:rsid w:val="00F90587"/>
    <w:rsid w:val="00F9073F"/>
    <w:rsid w:val="00F90779"/>
    <w:rsid w:val="00F9091B"/>
    <w:rsid w:val="00F90AC6"/>
    <w:rsid w:val="00F90CD1"/>
    <w:rsid w:val="00F90E51"/>
    <w:rsid w:val="00F917C2"/>
    <w:rsid w:val="00F91A60"/>
    <w:rsid w:val="00F91B37"/>
    <w:rsid w:val="00F91BE7"/>
    <w:rsid w:val="00F9223E"/>
    <w:rsid w:val="00F923B8"/>
    <w:rsid w:val="00F9268A"/>
    <w:rsid w:val="00F926F6"/>
    <w:rsid w:val="00F927E9"/>
    <w:rsid w:val="00F9296F"/>
    <w:rsid w:val="00F929A4"/>
    <w:rsid w:val="00F92A74"/>
    <w:rsid w:val="00F934E3"/>
    <w:rsid w:val="00F9387C"/>
    <w:rsid w:val="00F939BF"/>
    <w:rsid w:val="00F941E2"/>
    <w:rsid w:val="00F943E0"/>
    <w:rsid w:val="00F9442C"/>
    <w:rsid w:val="00F9457A"/>
    <w:rsid w:val="00F94634"/>
    <w:rsid w:val="00F94CB1"/>
    <w:rsid w:val="00F94D1A"/>
    <w:rsid w:val="00F956A0"/>
    <w:rsid w:val="00F95780"/>
    <w:rsid w:val="00F95860"/>
    <w:rsid w:val="00F95C5E"/>
    <w:rsid w:val="00F974A0"/>
    <w:rsid w:val="00F974F5"/>
    <w:rsid w:val="00F97691"/>
    <w:rsid w:val="00F97872"/>
    <w:rsid w:val="00F97CE1"/>
    <w:rsid w:val="00F97E0D"/>
    <w:rsid w:val="00F97F97"/>
    <w:rsid w:val="00FA046E"/>
    <w:rsid w:val="00FA075F"/>
    <w:rsid w:val="00FA1026"/>
    <w:rsid w:val="00FA1051"/>
    <w:rsid w:val="00FA11F4"/>
    <w:rsid w:val="00FA13FF"/>
    <w:rsid w:val="00FA1576"/>
    <w:rsid w:val="00FA17B9"/>
    <w:rsid w:val="00FA18A6"/>
    <w:rsid w:val="00FA1B34"/>
    <w:rsid w:val="00FA24D1"/>
    <w:rsid w:val="00FA24EB"/>
    <w:rsid w:val="00FA25B8"/>
    <w:rsid w:val="00FA2CBB"/>
    <w:rsid w:val="00FA2D7F"/>
    <w:rsid w:val="00FA2F07"/>
    <w:rsid w:val="00FA3876"/>
    <w:rsid w:val="00FA39FB"/>
    <w:rsid w:val="00FA3D87"/>
    <w:rsid w:val="00FA3EB4"/>
    <w:rsid w:val="00FA418C"/>
    <w:rsid w:val="00FA42AF"/>
    <w:rsid w:val="00FA48C9"/>
    <w:rsid w:val="00FA5381"/>
    <w:rsid w:val="00FA59FF"/>
    <w:rsid w:val="00FA5A58"/>
    <w:rsid w:val="00FA5EF7"/>
    <w:rsid w:val="00FA677C"/>
    <w:rsid w:val="00FA695F"/>
    <w:rsid w:val="00FA6C1E"/>
    <w:rsid w:val="00FA6C59"/>
    <w:rsid w:val="00FA7143"/>
    <w:rsid w:val="00FA71F7"/>
    <w:rsid w:val="00FA7C03"/>
    <w:rsid w:val="00FA7EA7"/>
    <w:rsid w:val="00FB0177"/>
    <w:rsid w:val="00FB094F"/>
    <w:rsid w:val="00FB0C0E"/>
    <w:rsid w:val="00FB17DA"/>
    <w:rsid w:val="00FB20F4"/>
    <w:rsid w:val="00FB2411"/>
    <w:rsid w:val="00FB2520"/>
    <w:rsid w:val="00FB2716"/>
    <w:rsid w:val="00FB2740"/>
    <w:rsid w:val="00FB2E96"/>
    <w:rsid w:val="00FB3498"/>
    <w:rsid w:val="00FB47C1"/>
    <w:rsid w:val="00FB56B5"/>
    <w:rsid w:val="00FB5C35"/>
    <w:rsid w:val="00FB5EF8"/>
    <w:rsid w:val="00FB6146"/>
    <w:rsid w:val="00FB6A07"/>
    <w:rsid w:val="00FB6F0E"/>
    <w:rsid w:val="00FB76C0"/>
    <w:rsid w:val="00FB774E"/>
    <w:rsid w:val="00FB7AC8"/>
    <w:rsid w:val="00FB7CB9"/>
    <w:rsid w:val="00FB7F85"/>
    <w:rsid w:val="00FC0365"/>
    <w:rsid w:val="00FC0EBC"/>
    <w:rsid w:val="00FC1027"/>
    <w:rsid w:val="00FC23E2"/>
    <w:rsid w:val="00FC2547"/>
    <w:rsid w:val="00FC25BA"/>
    <w:rsid w:val="00FC33BD"/>
    <w:rsid w:val="00FC362F"/>
    <w:rsid w:val="00FC3750"/>
    <w:rsid w:val="00FC3EF7"/>
    <w:rsid w:val="00FC4350"/>
    <w:rsid w:val="00FC4592"/>
    <w:rsid w:val="00FC48C3"/>
    <w:rsid w:val="00FC49F8"/>
    <w:rsid w:val="00FC50FB"/>
    <w:rsid w:val="00FC5771"/>
    <w:rsid w:val="00FC5846"/>
    <w:rsid w:val="00FC6211"/>
    <w:rsid w:val="00FC63B4"/>
    <w:rsid w:val="00FC6704"/>
    <w:rsid w:val="00FC6875"/>
    <w:rsid w:val="00FC695E"/>
    <w:rsid w:val="00FC6DD6"/>
    <w:rsid w:val="00FC7451"/>
    <w:rsid w:val="00FC7AC1"/>
    <w:rsid w:val="00FC7CD1"/>
    <w:rsid w:val="00FD03F5"/>
    <w:rsid w:val="00FD048C"/>
    <w:rsid w:val="00FD0791"/>
    <w:rsid w:val="00FD0AAB"/>
    <w:rsid w:val="00FD0AD6"/>
    <w:rsid w:val="00FD1097"/>
    <w:rsid w:val="00FD2721"/>
    <w:rsid w:val="00FD2DA3"/>
    <w:rsid w:val="00FD34FC"/>
    <w:rsid w:val="00FD4120"/>
    <w:rsid w:val="00FD4198"/>
    <w:rsid w:val="00FD41DC"/>
    <w:rsid w:val="00FD4420"/>
    <w:rsid w:val="00FD453F"/>
    <w:rsid w:val="00FD4952"/>
    <w:rsid w:val="00FD49B6"/>
    <w:rsid w:val="00FD4BCC"/>
    <w:rsid w:val="00FD4E7B"/>
    <w:rsid w:val="00FD4F90"/>
    <w:rsid w:val="00FD501C"/>
    <w:rsid w:val="00FD51B0"/>
    <w:rsid w:val="00FD5296"/>
    <w:rsid w:val="00FD551A"/>
    <w:rsid w:val="00FD5521"/>
    <w:rsid w:val="00FD570E"/>
    <w:rsid w:val="00FD5907"/>
    <w:rsid w:val="00FD5B22"/>
    <w:rsid w:val="00FD5D84"/>
    <w:rsid w:val="00FD5D9E"/>
    <w:rsid w:val="00FD5F01"/>
    <w:rsid w:val="00FD5F6D"/>
    <w:rsid w:val="00FD60BC"/>
    <w:rsid w:val="00FD62D6"/>
    <w:rsid w:val="00FD62DF"/>
    <w:rsid w:val="00FD69B6"/>
    <w:rsid w:val="00FD6D0B"/>
    <w:rsid w:val="00FD700C"/>
    <w:rsid w:val="00FD726A"/>
    <w:rsid w:val="00FD7327"/>
    <w:rsid w:val="00FD73EC"/>
    <w:rsid w:val="00FD7BBE"/>
    <w:rsid w:val="00FE09E0"/>
    <w:rsid w:val="00FE0BEE"/>
    <w:rsid w:val="00FE0C07"/>
    <w:rsid w:val="00FE0D9E"/>
    <w:rsid w:val="00FE129D"/>
    <w:rsid w:val="00FE1803"/>
    <w:rsid w:val="00FE1A14"/>
    <w:rsid w:val="00FE1A6A"/>
    <w:rsid w:val="00FE1B37"/>
    <w:rsid w:val="00FE1FD3"/>
    <w:rsid w:val="00FE231C"/>
    <w:rsid w:val="00FE2BBF"/>
    <w:rsid w:val="00FE2C38"/>
    <w:rsid w:val="00FE2D07"/>
    <w:rsid w:val="00FE2E32"/>
    <w:rsid w:val="00FE31FB"/>
    <w:rsid w:val="00FE326E"/>
    <w:rsid w:val="00FE3BDC"/>
    <w:rsid w:val="00FE3D0F"/>
    <w:rsid w:val="00FE4131"/>
    <w:rsid w:val="00FE4EC2"/>
    <w:rsid w:val="00FE4FA1"/>
    <w:rsid w:val="00FE509F"/>
    <w:rsid w:val="00FE56EF"/>
    <w:rsid w:val="00FE5760"/>
    <w:rsid w:val="00FE584E"/>
    <w:rsid w:val="00FE584F"/>
    <w:rsid w:val="00FE5903"/>
    <w:rsid w:val="00FE5B30"/>
    <w:rsid w:val="00FE5D3F"/>
    <w:rsid w:val="00FE6C0B"/>
    <w:rsid w:val="00FE6D05"/>
    <w:rsid w:val="00FE71CD"/>
    <w:rsid w:val="00FE7AAE"/>
    <w:rsid w:val="00FE7D73"/>
    <w:rsid w:val="00FE7DFC"/>
    <w:rsid w:val="00FE7E94"/>
    <w:rsid w:val="00FF0421"/>
    <w:rsid w:val="00FF0782"/>
    <w:rsid w:val="00FF08F5"/>
    <w:rsid w:val="00FF0D68"/>
    <w:rsid w:val="00FF0F46"/>
    <w:rsid w:val="00FF1206"/>
    <w:rsid w:val="00FF1287"/>
    <w:rsid w:val="00FF1599"/>
    <w:rsid w:val="00FF1F64"/>
    <w:rsid w:val="00FF25BC"/>
    <w:rsid w:val="00FF3C7F"/>
    <w:rsid w:val="00FF4012"/>
    <w:rsid w:val="00FF44B0"/>
    <w:rsid w:val="00FF4B77"/>
    <w:rsid w:val="00FF4B83"/>
    <w:rsid w:val="00FF4DB8"/>
    <w:rsid w:val="00FF4EF7"/>
    <w:rsid w:val="00FF53F3"/>
    <w:rsid w:val="00FF5837"/>
    <w:rsid w:val="00FF5B91"/>
    <w:rsid w:val="00FF5CC4"/>
    <w:rsid w:val="00FF63C4"/>
    <w:rsid w:val="00FF6693"/>
    <w:rsid w:val="00FF6B8D"/>
    <w:rsid w:val="00FF6E79"/>
    <w:rsid w:val="00FF7062"/>
    <w:rsid w:val="00FF7106"/>
    <w:rsid w:val="00FF715B"/>
    <w:rsid w:val="00FF7358"/>
    <w:rsid w:val="024E43D4"/>
    <w:rsid w:val="03B31875"/>
    <w:rsid w:val="04CF69F1"/>
    <w:rsid w:val="058C7550"/>
    <w:rsid w:val="063F563B"/>
    <w:rsid w:val="090F5492"/>
    <w:rsid w:val="09C6617B"/>
    <w:rsid w:val="0BB743C6"/>
    <w:rsid w:val="0BE9461C"/>
    <w:rsid w:val="0C8A4EA5"/>
    <w:rsid w:val="0DBE2B48"/>
    <w:rsid w:val="0DFE7B03"/>
    <w:rsid w:val="0E7E0DAE"/>
    <w:rsid w:val="0EC17BAE"/>
    <w:rsid w:val="0F933067"/>
    <w:rsid w:val="0F9B21EC"/>
    <w:rsid w:val="0FD7578D"/>
    <w:rsid w:val="100846A3"/>
    <w:rsid w:val="10432710"/>
    <w:rsid w:val="124A4F17"/>
    <w:rsid w:val="129A7CC0"/>
    <w:rsid w:val="134F4080"/>
    <w:rsid w:val="149E7662"/>
    <w:rsid w:val="14D011CF"/>
    <w:rsid w:val="1538749C"/>
    <w:rsid w:val="154E0BFB"/>
    <w:rsid w:val="15683D5F"/>
    <w:rsid w:val="159F49C6"/>
    <w:rsid w:val="17435337"/>
    <w:rsid w:val="174D6D9B"/>
    <w:rsid w:val="179E64BA"/>
    <w:rsid w:val="17D56E8B"/>
    <w:rsid w:val="1CE871FD"/>
    <w:rsid w:val="1DC51E19"/>
    <w:rsid w:val="1E0C1466"/>
    <w:rsid w:val="1F36477C"/>
    <w:rsid w:val="1F5F2DA9"/>
    <w:rsid w:val="206804EF"/>
    <w:rsid w:val="210F3A4B"/>
    <w:rsid w:val="2198154C"/>
    <w:rsid w:val="219F794A"/>
    <w:rsid w:val="21A53C62"/>
    <w:rsid w:val="22A1067F"/>
    <w:rsid w:val="230044F9"/>
    <w:rsid w:val="23215A99"/>
    <w:rsid w:val="23B85205"/>
    <w:rsid w:val="23D20C12"/>
    <w:rsid w:val="23FD32EE"/>
    <w:rsid w:val="2406762A"/>
    <w:rsid w:val="240D71F7"/>
    <w:rsid w:val="24565019"/>
    <w:rsid w:val="24D13439"/>
    <w:rsid w:val="250670DB"/>
    <w:rsid w:val="26A13C3E"/>
    <w:rsid w:val="27C2034A"/>
    <w:rsid w:val="28C50E71"/>
    <w:rsid w:val="28DC4C77"/>
    <w:rsid w:val="291F0215"/>
    <w:rsid w:val="2E072810"/>
    <w:rsid w:val="2F1558A7"/>
    <w:rsid w:val="2F327365"/>
    <w:rsid w:val="2FB25BCE"/>
    <w:rsid w:val="2FE63114"/>
    <w:rsid w:val="300E7B64"/>
    <w:rsid w:val="30696335"/>
    <w:rsid w:val="30A61B80"/>
    <w:rsid w:val="322A59CF"/>
    <w:rsid w:val="32C35516"/>
    <w:rsid w:val="33503CAA"/>
    <w:rsid w:val="37147441"/>
    <w:rsid w:val="37E72D6F"/>
    <w:rsid w:val="3AE3482A"/>
    <w:rsid w:val="3B114311"/>
    <w:rsid w:val="3D532C63"/>
    <w:rsid w:val="3E322D18"/>
    <w:rsid w:val="3E545316"/>
    <w:rsid w:val="40FE6385"/>
    <w:rsid w:val="42231654"/>
    <w:rsid w:val="42271614"/>
    <w:rsid w:val="43713BB4"/>
    <w:rsid w:val="44F56AD2"/>
    <w:rsid w:val="45792D6E"/>
    <w:rsid w:val="45E412EE"/>
    <w:rsid w:val="462813F8"/>
    <w:rsid w:val="475C24EB"/>
    <w:rsid w:val="47BC6EF6"/>
    <w:rsid w:val="47DA1351"/>
    <w:rsid w:val="49603E81"/>
    <w:rsid w:val="49C168DC"/>
    <w:rsid w:val="4AA72B84"/>
    <w:rsid w:val="4B4A417E"/>
    <w:rsid w:val="4DD318E1"/>
    <w:rsid w:val="4E257042"/>
    <w:rsid w:val="4EEE296E"/>
    <w:rsid w:val="5040774D"/>
    <w:rsid w:val="50D97AAA"/>
    <w:rsid w:val="51AE0978"/>
    <w:rsid w:val="5579463D"/>
    <w:rsid w:val="55860394"/>
    <w:rsid w:val="55B3141F"/>
    <w:rsid w:val="56066950"/>
    <w:rsid w:val="5941447A"/>
    <w:rsid w:val="5BF7C4ED"/>
    <w:rsid w:val="5C094472"/>
    <w:rsid w:val="5C497FC0"/>
    <w:rsid w:val="5C765777"/>
    <w:rsid w:val="5EA3109D"/>
    <w:rsid w:val="5F130D4E"/>
    <w:rsid w:val="5F1363FC"/>
    <w:rsid w:val="612C1D8F"/>
    <w:rsid w:val="612C79B2"/>
    <w:rsid w:val="61B16602"/>
    <w:rsid w:val="62C7181E"/>
    <w:rsid w:val="62D37282"/>
    <w:rsid w:val="631A56D0"/>
    <w:rsid w:val="63C020FF"/>
    <w:rsid w:val="648249E4"/>
    <w:rsid w:val="64E44379"/>
    <w:rsid w:val="681F202B"/>
    <w:rsid w:val="698E1CF9"/>
    <w:rsid w:val="6B4270AF"/>
    <w:rsid w:val="6C3A0A23"/>
    <w:rsid w:val="6E8E2146"/>
    <w:rsid w:val="6F5D3D2C"/>
    <w:rsid w:val="70711D7F"/>
    <w:rsid w:val="70AE4DD3"/>
    <w:rsid w:val="7168618C"/>
    <w:rsid w:val="71BE4155"/>
    <w:rsid w:val="75A23EFD"/>
    <w:rsid w:val="774A37E0"/>
    <w:rsid w:val="7894701F"/>
    <w:rsid w:val="791331BA"/>
    <w:rsid w:val="79362208"/>
    <w:rsid w:val="7A572947"/>
    <w:rsid w:val="7AAC095B"/>
    <w:rsid w:val="7BBB7443"/>
    <w:rsid w:val="7C3C1F2E"/>
    <w:rsid w:val="7C4C26C8"/>
    <w:rsid w:val="7ECF73FD"/>
    <w:rsid w:val="7EFD2037"/>
    <w:rsid w:val="7FE53F57"/>
    <w:rsid w:val="7FF62F7B"/>
    <w:rsid w:val="7FFD2520"/>
    <w:rsid w:val="D7FF527C"/>
    <w:rsid w:val="FAF775C5"/>
    <w:rsid w:val="FFCF32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99" w:semiHidden="0"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99"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0" w:semiHidden="0" w:name="List"/>
    <w:lsdException w:qFormat="1" w:unhideWhenUsed="0" w:uiPriority="99"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qFormat="1"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02"/>
    <w:qFormat/>
    <w:uiPriority w:val="0"/>
    <w:pPr>
      <w:keepNext/>
      <w:keepLines/>
      <w:spacing w:line="700" w:lineRule="exact"/>
      <w:jc w:val="center"/>
      <w:outlineLvl w:val="0"/>
    </w:pPr>
    <w:rPr>
      <w:b/>
      <w:bCs/>
      <w:kern w:val="44"/>
      <w:sz w:val="44"/>
      <w:szCs w:val="44"/>
    </w:rPr>
  </w:style>
  <w:style w:type="paragraph" w:styleId="4">
    <w:name w:val="heading 2"/>
    <w:basedOn w:val="1"/>
    <w:next w:val="1"/>
    <w:link w:val="214"/>
    <w:qFormat/>
    <w:uiPriority w:val="0"/>
    <w:pPr>
      <w:keepNext/>
      <w:keepLines/>
      <w:spacing w:line="600" w:lineRule="exact"/>
      <w:jc w:val="center"/>
      <w:outlineLvl w:val="1"/>
    </w:pPr>
    <w:rPr>
      <w:rFonts w:ascii="Cambria" w:hAnsi="Cambria"/>
      <w:b/>
      <w:bCs/>
      <w:sz w:val="32"/>
      <w:szCs w:val="32"/>
    </w:rPr>
  </w:style>
  <w:style w:type="paragraph" w:styleId="5">
    <w:name w:val="heading 3"/>
    <w:basedOn w:val="1"/>
    <w:next w:val="1"/>
    <w:link w:val="284"/>
    <w:qFormat/>
    <w:uiPriority w:val="0"/>
    <w:pPr>
      <w:keepNext/>
      <w:keepLines/>
      <w:spacing w:before="260" w:after="260" w:line="500" w:lineRule="exact"/>
      <w:outlineLvl w:val="2"/>
    </w:pPr>
    <w:rPr>
      <w:b/>
      <w:bCs/>
      <w:sz w:val="28"/>
      <w:szCs w:val="32"/>
    </w:rPr>
  </w:style>
  <w:style w:type="paragraph" w:styleId="6">
    <w:name w:val="heading 4"/>
    <w:basedOn w:val="1"/>
    <w:next w:val="1"/>
    <w:link w:val="8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23"/>
    <w:qFormat/>
    <w:uiPriority w:val="0"/>
    <w:pPr>
      <w:keepNext/>
      <w:keepLines/>
      <w:widowControl/>
      <w:spacing w:before="280" w:after="290" w:line="376" w:lineRule="auto"/>
      <w:jc w:val="left"/>
      <w:outlineLvl w:val="4"/>
    </w:pPr>
    <w:rPr>
      <w:b/>
      <w:bCs/>
      <w:kern w:val="0"/>
      <w:sz w:val="28"/>
      <w:szCs w:val="28"/>
      <w:lang w:val="zh-CN"/>
    </w:rPr>
  </w:style>
  <w:style w:type="paragraph" w:styleId="8">
    <w:name w:val="heading 6"/>
    <w:basedOn w:val="1"/>
    <w:next w:val="1"/>
    <w:link w:val="238"/>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9">
    <w:name w:val="heading 7"/>
    <w:basedOn w:val="1"/>
    <w:next w:val="1"/>
    <w:link w:val="452"/>
    <w:qFormat/>
    <w:uiPriority w:val="0"/>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10">
    <w:name w:val="heading 8"/>
    <w:basedOn w:val="1"/>
    <w:next w:val="1"/>
    <w:link w:val="205"/>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1">
    <w:name w:val="heading 9"/>
    <w:basedOn w:val="1"/>
    <w:next w:val="1"/>
    <w:link w:val="453"/>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macro"/>
    <w:link w:val="324"/>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12">
    <w:name w:val="List 3"/>
    <w:basedOn w:val="1"/>
    <w:qFormat/>
    <w:uiPriority w:val="0"/>
    <w:pPr>
      <w:ind w:left="100" w:leftChars="400" w:hanging="200" w:hangingChars="200"/>
    </w:pPr>
    <w:rPr>
      <w:szCs w:val="20"/>
    </w:rPr>
  </w:style>
  <w:style w:type="paragraph" w:styleId="13">
    <w:name w:val="toc 7"/>
    <w:basedOn w:val="1"/>
    <w:next w:val="1"/>
    <w:qFormat/>
    <w:uiPriority w:val="39"/>
    <w:pPr>
      <w:ind w:left="2520" w:leftChars="1200"/>
    </w:pPr>
    <w:rPr>
      <w:rFonts w:ascii="Calibri" w:hAnsi="Calibri"/>
    </w:rPr>
  </w:style>
  <w:style w:type="paragraph" w:styleId="14">
    <w:name w:val="table of authorities"/>
    <w:basedOn w:val="1"/>
    <w:next w:val="1"/>
    <w:qFormat/>
    <w:uiPriority w:val="99"/>
    <w:pPr>
      <w:ind w:left="420" w:leftChars="200"/>
    </w:pPr>
    <w:rPr>
      <w:rFonts w:ascii="Calibri" w:hAnsi="Calibri"/>
      <w:szCs w:val="20"/>
    </w:rPr>
  </w:style>
  <w:style w:type="paragraph" w:styleId="15">
    <w:name w:val="Normal Indent"/>
    <w:basedOn w:val="1"/>
    <w:link w:val="448"/>
    <w:qFormat/>
    <w:uiPriority w:val="0"/>
    <w:pPr>
      <w:ind w:firstLine="420" w:firstLineChars="200"/>
    </w:pPr>
    <w:rPr>
      <w:szCs w:val="24"/>
    </w:rPr>
  </w:style>
  <w:style w:type="paragraph" w:styleId="16">
    <w:name w:val="caption"/>
    <w:basedOn w:val="1"/>
    <w:next w:val="1"/>
    <w:qFormat/>
    <w:uiPriority w:val="0"/>
    <w:rPr>
      <w:rFonts w:ascii="Cambria" w:hAnsi="Cambria" w:eastAsia="黑体"/>
      <w:sz w:val="20"/>
      <w:szCs w:val="20"/>
    </w:rPr>
  </w:style>
  <w:style w:type="paragraph" w:styleId="17">
    <w:name w:val="List Bullet"/>
    <w:basedOn w:val="1"/>
    <w:qFormat/>
    <w:uiPriority w:val="99"/>
    <w:pPr>
      <w:tabs>
        <w:tab w:val="left" w:pos="360"/>
        <w:tab w:val="left" w:pos="840"/>
      </w:tabs>
      <w:ind w:left="840" w:hanging="420"/>
    </w:pPr>
    <w:rPr>
      <w:szCs w:val="20"/>
    </w:rPr>
  </w:style>
  <w:style w:type="paragraph" w:styleId="18">
    <w:name w:val="Document Map"/>
    <w:basedOn w:val="1"/>
    <w:link w:val="257"/>
    <w:qFormat/>
    <w:uiPriority w:val="0"/>
    <w:pPr>
      <w:widowControl/>
      <w:jc w:val="left"/>
    </w:pPr>
    <w:rPr>
      <w:rFonts w:ascii="宋体"/>
      <w:kern w:val="0"/>
      <w:sz w:val="18"/>
      <w:szCs w:val="18"/>
    </w:rPr>
  </w:style>
  <w:style w:type="paragraph" w:styleId="19">
    <w:name w:val="toa heading"/>
    <w:basedOn w:val="1"/>
    <w:next w:val="1"/>
    <w:qFormat/>
    <w:uiPriority w:val="99"/>
    <w:pPr>
      <w:autoSpaceDE w:val="0"/>
      <w:autoSpaceDN w:val="0"/>
      <w:adjustRightInd w:val="0"/>
      <w:snapToGrid w:val="0"/>
      <w:spacing w:before="120" w:line="360" w:lineRule="auto"/>
    </w:pPr>
    <w:rPr>
      <w:rFonts w:ascii="Arial" w:hAnsi="Arial"/>
      <w:color w:val="000000"/>
      <w:kern w:val="0"/>
      <w:szCs w:val="20"/>
    </w:rPr>
  </w:style>
  <w:style w:type="paragraph" w:styleId="20">
    <w:name w:val="annotation text"/>
    <w:basedOn w:val="1"/>
    <w:link w:val="388"/>
    <w:qFormat/>
    <w:uiPriority w:val="99"/>
    <w:pPr>
      <w:adjustRightInd w:val="0"/>
      <w:spacing w:line="360" w:lineRule="atLeast"/>
      <w:jc w:val="left"/>
      <w:textAlignment w:val="baseline"/>
    </w:pPr>
    <w:rPr>
      <w:kern w:val="0"/>
      <w:sz w:val="24"/>
      <w:szCs w:val="20"/>
    </w:rPr>
  </w:style>
  <w:style w:type="paragraph" w:styleId="21">
    <w:name w:val="Salutation"/>
    <w:basedOn w:val="1"/>
    <w:next w:val="1"/>
    <w:qFormat/>
    <w:uiPriority w:val="0"/>
    <w:pPr>
      <w:spacing w:line="360" w:lineRule="auto"/>
    </w:pPr>
    <w:rPr>
      <w:rFonts w:ascii="宋体" w:hAnsi="宋体"/>
      <w:sz w:val="24"/>
    </w:rPr>
  </w:style>
  <w:style w:type="paragraph" w:styleId="22">
    <w:name w:val="Body Text 3"/>
    <w:basedOn w:val="1"/>
    <w:link w:val="476"/>
    <w:qFormat/>
    <w:uiPriority w:val="99"/>
    <w:rPr>
      <w:rFonts w:ascii="宋体"/>
      <w:sz w:val="24"/>
      <w:szCs w:val="20"/>
    </w:rPr>
  </w:style>
  <w:style w:type="paragraph" w:styleId="23">
    <w:name w:val="Body Text"/>
    <w:basedOn w:val="1"/>
    <w:link w:val="90"/>
    <w:qFormat/>
    <w:uiPriority w:val="0"/>
    <w:pPr>
      <w:spacing w:after="120"/>
    </w:pPr>
  </w:style>
  <w:style w:type="paragraph" w:styleId="24">
    <w:name w:val="Body Text Indent"/>
    <w:basedOn w:val="1"/>
    <w:link w:val="461"/>
    <w:qFormat/>
    <w:uiPriority w:val="99"/>
    <w:pPr>
      <w:spacing w:after="120"/>
      <w:ind w:left="420" w:leftChars="200"/>
    </w:pPr>
  </w:style>
  <w:style w:type="paragraph" w:styleId="25">
    <w:name w:val="List 2"/>
    <w:basedOn w:val="1"/>
    <w:qFormat/>
    <w:uiPriority w:val="0"/>
    <w:pPr>
      <w:ind w:left="100" w:leftChars="200" w:hanging="200" w:hangingChars="200"/>
    </w:pPr>
    <w:rPr>
      <w:szCs w:val="20"/>
    </w:rPr>
  </w:style>
  <w:style w:type="paragraph" w:styleId="26">
    <w:name w:val="List Continue"/>
    <w:basedOn w:val="1"/>
    <w:qFormat/>
    <w:uiPriority w:val="0"/>
    <w:pPr>
      <w:spacing w:after="120"/>
      <w:ind w:left="420" w:leftChars="200"/>
    </w:pPr>
    <w:rPr>
      <w:szCs w:val="24"/>
    </w:rPr>
  </w:style>
  <w:style w:type="paragraph" w:styleId="27">
    <w:name w:val="Block Text"/>
    <w:basedOn w:val="1"/>
    <w:unhideWhenUsed/>
    <w:qFormat/>
    <w:uiPriority w:val="0"/>
    <w:pPr>
      <w:adjustRightInd w:val="0"/>
      <w:ind w:left="420" w:right="33"/>
      <w:jc w:val="left"/>
    </w:pPr>
    <w:rPr>
      <w:kern w:val="0"/>
      <w:sz w:val="24"/>
      <w:szCs w:val="20"/>
    </w:rPr>
  </w:style>
  <w:style w:type="paragraph" w:styleId="28">
    <w:name w:val="index 4"/>
    <w:basedOn w:val="1"/>
    <w:next w:val="1"/>
    <w:qFormat/>
    <w:uiPriority w:val="0"/>
    <w:pPr>
      <w:ind w:left="600" w:leftChars="600"/>
    </w:pPr>
    <w:rPr>
      <w:szCs w:val="24"/>
    </w:rPr>
  </w:style>
  <w:style w:type="paragraph" w:styleId="29">
    <w:name w:val="toc 5"/>
    <w:basedOn w:val="1"/>
    <w:next w:val="1"/>
    <w:qFormat/>
    <w:uiPriority w:val="39"/>
    <w:pPr>
      <w:tabs>
        <w:tab w:val="right" w:leader="dot" w:pos="8296"/>
      </w:tabs>
      <w:ind w:left="1050" w:leftChars="500"/>
    </w:pPr>
    <w:rPr>
      <w:rFonts w:ascii="Calibri" w:hAnsi="Calibri"/>
    </w:rPr>
  </w:style>
  <w:style w:type="paragraph" w:styleId="30">
    <w:name w:val="toc 3"/>
    <w:basedOn w:val="1"/>
    <w:next w:val="1"/>
    <w:unhideWhenUsed/>
    <w:qFormat/>
    <w:uiPriority w:val="39"/>
    <w:pPr>
      <w:ind w:left="840" w:leftChars="400"/>
    </w:pPr>
  </w:style>
  <w:style w:type="paragraph" w:styleId="31">
    <w:name w:val="Plain Text"/>
    <w:basedOn w:val="1"/>
    <w:link w:val="253"/>
    <w:qFormat/>
    <w:uiPriority w:val="99"/>
    <w:rPr>
      <w:rFonts w:ascii="宋体" w:hAnsi="Courier New"/>
      <w:color w:val="000000"/>
      <w:szCs w:val="20"/>
    </w:rPr>
  </w:style>
  <w:style w:type="paragraph" w:styleId="32">
    <w:name w:val="toc 8"/>
    <w:basedOn w:val="1"/>
    <w:next w:val="1"/>
    <w:qFormat/>
    <w:uiPriority w:val="39"/>
    <w:pPr>
      <w:ind w:left="2940" w:leftChars="1400"/>
    </w:pPr>
  </w:style>
  <w:style w:type="paragraph" w:styleId="33">
    <w:name w:val="index 3"/>
    <w:basedOn w:val="1"/>
    <w:next w:val="1"/>
    <w:qFormat/>
    <w:uiPriority w:val="99"/>
    <w:pPr>
      <w:widowControl/>
      <w:tabs>
        <w:tab w:val="left" w:pos="360"/>
      </w:tabs>
      <w:overflowPunct w:val="0"/>
      <w:snapToGrid w:val="0"/>
      <w:spacing w:after="200" w:line="480" w:lineRule="exact"/>
      <w:ind w:firstLine="200" w:firstLineChars="200"/>
      <w:jc w:val="left"/>
    </w:pPr>
    <w:rPr>
      <w:rFonts w:ascii="Arial" w:hAnsi="Arial" w:eastAsia="仿宋_GB2312"/>
      <w:kern w:val="0"/>
      <w:sz w:val="28"/>
      <w:szCs w:val="20"/>
      <w:lang w:eastAsia="en-US"/>
    </w:rPr>
  </w:style>
  <w:style w:type="paragraph" w:styleId="34">
    <w:name w:val="Date"/>
    <w:basedOn w:val="1"/>
    <w:next w:val="1"/>
    <w:link w:val="444"/>
    <w:unhideWhenUsed/>
    <w:qFormat/>
    <w:uiPriority w:val="0"/>
    <w:pPr>
      <w:ind w:left="100" w:leftChars="2500"/>
    </w:pPr>
  </w:style>
  <w:style w:type="paragraph" w:styleId="35">
    <w:name w:val="Body Text Indent 2"/>
    <w:basedOn w:val="1"/>
    <w:link w:val="196"/>
    <w:qFormat/>
    <w:uiPriority w:val="0"/>
    <w:pPr>
      <w:ind w:firstLine="560" w:firstLineChars="200"/>
    </w:pPr>
    <w:rPr>
      <w:rFonts w:ascii="宋体" w:hAnsi="宋体"/>
      <w:sz w:val="28"/>
      <w:szCs w:val="24"/>
    </w:rPr>
  </w:style>
  <w:style w:type="paragraph" w:styleId="36">
    <w:name w:val="endnote text"/>
    <w:basedOn w:val="1"/>
    <w:link w:val="95"/>
    <w:qFormat/>
    <w:uiPriority w:val="99"/>
    <w:pPr>
      <w:widowControl/>
      <w:snapToGrid w:val="0"/>
      <w:jc w:val="left"/>
    </w:pPr>
    <w:rPr>
      <w:kern w:val="0"/>
      <w:sz w:val="24"/>
      <w:szCs w:val="20"/>
    </w:rPr>
  </w:style>
  <w:style w:type="paragraph" w:styleId="37">
    <w:name w:val="Balloon Text"/>
    <w:basedOn w:val="1"/>
    <w:link w:val="467"/>
    <w:qFormat/>
    <w:uiPriority w:val="0"/>
    <w:rPr>
      <w:sz w:val="18"/>
      <w:szCs w:val="18"/>
    </w:rPr>
  </w:style>
  <w:style w:type="paragraph" w:styleId="38">
    <w:name w:val="footer"/>
    <w:basedOn w:val="1"/>
    <w:link w:val="449"/>
    <w:unhideWhenUsed/>
    <w:qFormat/>
    <w:uiPriority w:val="99"/>
    <w:pPr>
      <w:tabs>
        <w:tab w:val="center" w:pos="4153"/>
        <w:tab w:val="right" w:pos="8306"/>
      </w:tabs>
      <w:snapToGrid w:val="0"/>
      <w:jc w:val="left"/>
    </w:pPr>
    <w:rPr>
      <w:sz w:val="18"/>
      <w:szCs w:val="18"/>
    </w:rPr>
  </w:style>
  <w:style w:type="paragraph" w:styleId="39">
    <w:name w:val="header"/>
    <w:basedOn w:val="1"/>
    <w:link w:val="337"/>
    <w:unhideWhenUsed/>
    <w:qFormat/>
    <w:uiPriority w:val="0"/>
    <w:pPr>
      <w:pBdr>
        <w:bottom w:val="single" w:color="auto" w:sz="6" w:space="1"/>
      </w:pBdr>
      <w:tabs>
        <w:tab w:val="center" w:pos="4153"/>
        <w:tab w:val="right" w:pos="8306"/>
      </w:tabs>
      <w:snapToGrid w:val="0"/>
      <w:jc w:val="center"/>
    </w:pPr>
    <w:rPr>
      <w:sz w:val="18"/>
      <w:szCs w:val="18"/>
    </w:rPr>
  </w:style>
  <w:style w:type="paragraph" w:styleId="40">
    <w:name w:val="toc 1"/>
    <w:basedOn w:val="1"/>
    <w:next w:val="1"/>
    <w:unhideWhenUsed/>
    <w:qFormat/>
    <w:uiPriority w:val="39"/>
  </w:style>
  <w:style w:type="paragraph" w:styleId="41">
    <w:name w:val="List Continue 4"/>
    <w:basedOn w:val="1"/>
    <w:qFormat/>
    <w:uiPriority w:val="0"/>
    <w:pPr>
      <w:spacing w:after="120"/>
      <w:ind w:left="1680" w:leftChars="800"/>
    </w:pPr>
    <w:rPr>
      <w:szCs w:val="20"/>
    </w:rPr>
  </w:style>
  <w:style w:type="paragraph" w:styleId="42">
    <w:name w:val="toc 4"/>
    <w:basedOn w:val="1"/>
    <w:next w:val="1"/>
    <w:unhideWhenUsed/>
    <w:qFormat/>
    <w:uiPriority w:val="39"/>
    <w:pPr>
      <w:ind w:left="1260" w:leftChars="600"/>
    </w:pPr>
  </w:style>
  <w:style w:type="paragraph" w:styleId="43">
    <w:name w:val="Subtitle"/>
    <w:basedOn w:val="1"/>
    <w:next w:val="1"/>
    <w:link w:val="457"/>
    <w:qFormat/>
    <w:uiPriority w:val="0"/>
    <w:pPr>
      <w:spacing w:before="240" w:after="60" w:line="312" w:lineRule="auto"/>
      <w:jc w:val="center"/>
      <w:outlineLvl w:val="1"/>
    </w:pPr>
    <w:rPr>
      <w:rFonts w:ascii="Cambria" w:hAnsi="Cambria"/>
      <w:b/>
      <w:bCs/>
      <w:kern w:val="28"/>
      <w:sz w:val="32"/>
      <w:szCs w:val="32"/>
      <w:lang w:val="zh-CN"/>
    </w:rPr>
  </w:style>
  <w:style w:type="paragraph" w:styleId="44">
    <w:name w:val="List"/>
    <w:basedOn w:val="1"/>
    <w:qFormat/>
    <w:uiPriority w:val="0"/>
    <w:pPr>
      <w:ind w:left="200" w:hanging="200" w:hangingChars="200"/>
    </w:pPr>
    <w:rPr>
      <w:szCs w:val="20"/>
    </w:rPr>
  </w:style>
  <w:style w:type="paragraph" w:styleId="45">
    <w:name w:val="footnote text"/>
    <w:basedOn w:val="1"/>
    <w:link w:val="212"/>
    <w:qFormat/>
    <w:uiPriority w:val="0"/>
    <w:pPr>
      <w:adjustRightInd w:val="0"/>
      <w:spacing w:line="312" w:lineRule="atLeast"/>
      <w:jc w:val="left"/>
      <w:textAlignment w:val="baseline"/>
    </w:pPr>
    <w:rPr>
      <w:kern w:val="0"/>
      <w:sz w:val="18"/>
      <w:szCs w:val="20"/>
    </w:rPr>
  </w:style>
  <w:style w:type="paragraph" w:styleId="46">
    <w:name w:val="toc 6"/>
    <w:basedOn w:val="1"/>
    <w:next w:val="1"/>
    <w:qFormat/>
    <w:uiPriority w:val="39"/>
    <w:pPr>
      <w:ind w:left="2100" w:leftChars="1000"/>
    </w:pPr>
    <w:rPr>
      <w:rFonts w:ascii="Calibri" w:hAnsi="Calibri"/>
    </w:rPr>
  </w:style>
  <w:style w:type="paragraph" w:styleId="47">
    <w:name w:val="List 5"/>
    <w:basedOn w:val="1"/>
    <w:qFormat/>
    <w:uiPriority w:val="0"/>
    <w:pPr>
      <w:ind w:left="100" w:leftChars="800" w:hanging="200" w:hangingChars="200"/>
    </w:pPr>
    <w:rPr>
      <w:szCs w:val="24"/>
    </w:rPr>
  </w:style>
  <w:style w:type="paragraph" w:styleId="48">
    <w:name w:val="Body Text Indent 3"/>
    <w:basedOn w:val="1"/>
    <w:link w:val="336"/>
    <w:qFormat/>
    <w:uiPriority w:val="99"/>
    <w:pPr>
      <w:spacing w:after="120"/>
      <w:ind w:left="420" w:leftChars="200"/>
    </w:pPr>
    <w:rPr>
      <w:sz w:val="16"/>
      <w:szCs w:val="16"/>
    </w:rPr>
  </w:style>
  <w:style w:type="paragraph" w:styleId="49">
    <w:name w:val="toc 2"/>
    <w:basedOn w:val="1"/>
    <w:next w:val="1"/>
    <w:unhideWhenUsed/>
    <w:qFormat/>
    <w:uiPriority w:val="39"/>
    <w:pPr>
      <w:ind w:left="420" w:leftChars="200"/>
    </w:pPr>
  </w:style>
  <w:style w:type="paragraph" w:styleId="50">
    <w:name w:val="toc 9"/>
    <w:basedOn w:val="1"/>
    <w:next w:val="1"/>
    <w:qFormat/>
    <w:uiPriority w:val="39"/>
    <w:pPr>
      <w:ind w:left="3360" w:leftChars="1600"/>
    </w:pPr>
    <w:rPr>
      <w:rFonts w:ascii="Calibri" w:hAnsi="Calibri"/>
    </w:rPr>
  </w:style>
  <w:style w:type="paragraph" w:styleId="51">
    <w:name w:val="Body Text 2"/>
    <w:basedOn w:val="1"/>
    <w:link w:val="477"/>
    <w:qFormat/>
    <w:uiPriority w:val="99"/>
    <w:pPr>
      <w:spacing w:after="120" w:line="480" w:lineRule="auto"/>
    </w:pPr>
  </w:style>
  <w:style w:type="paragraph" w:styleId="52">
    <w:name w:val="List 4"/>
    <w:basedOn w:val="1"/>
    <w:qFormat/>
    <w:uiPriority w:val="0"/>
    <w:pPr>
      <w:ind w:left="100" w:leftChars="600" w:hanging="200" w:hangingChars="200"/>
    </w:pPr>
    <w:rPr>
      <w:szCs w:val="20"/>
    </w:rPr>
  </w:style>
  <w:style w:type="paragraph" w:styleId="53">
    <w:name w:val="List Continue 2"/>
    <w:basedOn w:val="1"/>
    <w:qFormat/>
    <w:uiPriority w:val="0"/>
    <w:pPr>
      <w:spacing w:after="120"/>
      <w:ind w:left="840" w:leftChars="400"/>
    </w:pPr>
    <w:rPr>
      <w:szCs w:val="24"/>
    </w:rPr>
  </w:style>
  <w:style w:type="paragraph" w:styleId="54">
    <w:name w:val="HTML Preformatted"/>
    <w:basedOn w:val="1"/>
    <w:link w:val="383"/>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6">
    <w:name w:val="List Continue 3"/>
    <w:basedOn w:val="1"/>
    <w:qFormat/>
    <w:uiPriority w:val="0"/>
    <w:pPr>
      <w:spacing w:after="120"/>
      <w:ind w:left="1260" w:leftChars="600"/>
    </w:pPr>
    <w:rPr>
      <w:szCs w:val="24"/>
    </w:rPr>
  </w:style>
  <w:style w:type="paragraph" w:styleId="57">
    <w:name w:val="index 1"/>
    <w:basedOn w:val="1"/>
    <w:next w:val="1"/>
    <w:qFormat/>
    <w:uiPriority w:val="0"/>
    <w:pPr>
      <w:snapToGrid w:val="0"/>
      <w:spacing w:line="540" w:lineRule="atLeast"/>
    </w:pPr>
    <w:rPr>
      <w:rFonts w:ascii="宋体" w:hAnsi="宋体"/>
      <w:sz w:val="24"/>
      <w:szCs w:val="24"/>
    </w:rPr>
  </w:style>
  <w:style w:type="paragraph" w:styleId="58">
    <w:name w:val="Title"/>
    <w:basedOn w:val="1"/>
    <w:link w:val="45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9">
    <w:name w:val="annotation subject"/>
    <w:basedOn w:val="20"/>
    <w:next w:val="20"/>
    <w:link w:val="463"/>
    <w:qFormat/>
    <w:uiPriority w:val="0"/>
    <w:pPr>
      <w:adjustRightInd/>
      <w:spacing w:line="240" w:lineRule="auto"/>
      <w:textAlignment w:val="auto"/>
    </w:pPr>
    <w:rPr>
      <w:rFonts w:ascii="Calibri" w:hAnsi="Calibri"/>
      <w:b/>
      <w:bCs/>
      <w:kern w:val="2"/>
      <w:sz w:val="21"/>
      <w:szCs w:val="22"/>
    </w:rPr>
  </w:style>
  <w:style w:type="paragraph" w:styleId="60">
    <w:name w:val="Body Text First Indent"/>
    <w:basedOn w:val="23"/>
    <w:link w:val="487"/>
    <w:qFormat/>
    <w:uiPriority w:val="0"/>
    <w:pPr>
      <w:ind w:firstLine="420" w:firstLineChars="100"/>
    </w:pPr>
    <w:rPr>
      <w:rFonts w:ascii="Calibri" w:hAnsi="Calibri"/>
      <w:kern w:val="0"/>
      <w:sz w:val="20"/>
    </w:rPr>
  </w:style>
  <w:style w:type="paragraph" w:styleId="61">
    <w:name w:val="Body Text First Indent 2"/>
    <w:basedOn w:val="24"/>
    <w:link w:val="480"/>
    <w:qFormat/>
    <w:uiPriority w:val="0"/>
    <w:pPr>
      <w:ind w:firstLine="420" w:firstLineChars="200"/>
    </w:pPr>
    <w:rPr>
      <w:rFonts w:ascii="Calibri"/>
      <w:kern w:val="0"/>
      <w:szCs w:val="20"/>
    </w:rPr>
  </w:style>
  <w:style w:type="table" w:styleId="63">
    <w:name w:val="Table Grid"/>
    <w:basedOn w:val="6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b/>
      <w:bCs/>
    </w:rPr>
  </w:style>
  <w:style w:type="character" w:styleId="66">
    <w:name w:val="endnote reference"/>
    <w:qFormat/>
    <w:uiPriority w:val="99"/>
    <w:rPr>
      <w:rFonts w:ascii="Tahoma" w:hAnsi="Tahoma" w:cs="Times New Roman"/>
      <w:sz w:val="20"/>
      <w:vertAlign w:val="superscript"/>
    </w:rPr>
  </w:style>
  <w:style w:type="character" w:styleId="67">
    <w:name w:val="page number"/>
    <w:basedOn w:val="64"/>
    <w:qFormat/>
    <w:uiPriority w:val="0"/>
  </w:style>
  <w:style w:type="character" w:styleId="68">
    <w:name w:val="FollowedHyperlink"/>
    <w:qFormat/>
    <w:uiPriority w:val="99"/>
    <w:rPr>
      <w:color w:val="2786E4"/>
      <w:u w:val="none"/>
    </w:rPr>
  </w:style>
  <w:style w:type="character" w:styleId="69">
    <w:name w:val="Emphasis"/>
    <w:qFormat/>
    <w:uiPriority w:val="0"/>
    <w:rPr>
      <w:i/>
      <w:iCs/>
    </w:rPr>
  </w:style>
  <w:style w:type="character" w:styleId="70">
    <w:name w:val="line number"/>
    <w:qFormat/>
    <w:uiPriority w:val="99"/>
    <w:rPr>
      <w:rFonts w:ascii="Tahoma" w:hAnsi="Tahoma" w:cs="Times New Roman"/>
      <w:sz w:val="20"/>
    </w:rPr>
  </w:style>
  <w:style w:type="character" w:styleId="71">
    <w:name w:val="Hyperlink"/>
    <w:unhideWhenUsed/>
    <w:qFormat/>
    <w:uiPriority w:val="99"/>
    <w:rPr>
      <w:color w:val="0000FF"/>
      <w:u w:val="single"/>
    </w:rPr>
  </w:style>
  <w:style w:type="character" w:styleId="72">
    <w:name w:val="annotation reference"/>
    <w:qFormat/>
    <w:uiPriority w:val="0"/>
    <w:rPr>
      <w:sz w:val="21"/>
      <w:szCs w:val="21"/>
    </w:rPr>
  </w:style>
  <w:style w:type="character" w:styleId="73">
    <w:name w:val="footnote reference"/>
    <w:qFormat/>
    <w:uiPriority w:val="0"/>
    <w:rPr>
      <w:vertAlign w:val="superscript"/>
    </w:rPr>
  </w:style>
  <w:style w:type="character" w:customStyle="1" w:styleId="74">
    <w:name w:val="引用 Char2"/>
    <w:qFormat/>
    <w:uiPriority w:val="99"/>
    <w:rPr>
      <w:i/>
      <w:iCs/>
      <w:color w:val="000000"/>
      <w:kern w:val="2"/>
      <w:sz w:val="21"/>
      <w:szCs w:val="24"/>
    </w:rPr>
  </w:style>
  <w:style w:type="character" w:customStyle="1" w:styleId="75">
    <w:name w:val="font51"/>
    <w:qFormat/>
    <w:uiPriority w:val="0"/>
    <w:rPr>
      <w:rFonts w:hint="eastAsia" w:ascii="宋体" w:hAnsi="宋体" w:eastAsia="宋体" w:cs="宋体"/>
      <w:color w:val="000000"/>
      <w:sz w:val="18"/>
      <w:szCs w:val="18"/>
      <w:u w:val="none"/>
    </w:rPr>
  </w:style>
  <w:style w:type="character" w:customStyle="1" w:styleId="76">
    <w:name w:val="批注框文本 Char1"/>
    <w:qFormat/>
    <w:uiPriority w:val="0"/>
    <w:rPr>
      <w:kern w:val="2"/>
      <w:sz w:val="18"/>
      <w:szCs w:val="18"/>
    </w:rPr>
  </w:style>
  <w:style w:type="character" w:customStyle="1" w:styleId="77">
    <w:name w:val="Char Char33"/>
    <w:qFormat/>
    <w:uiPriority w:val="0"/>
    <w:rPr>
      <w:rFonts w:eastAsia="宋体"/>
      <w:sz w:val="18"/>
      <w:szCs w:val="18"/>
      <w:lang w:val="en-US" w:eastAsia="zh-CN" w:bidi="ar-SA"/>
    </w:rPr>
  </w:style>
  <w:style w:type="character" w:customStyle="1" w:styleId="78">
    <w:name w:val="Body Text Indent Char Char"/>
    <w:qFormat/>
    <w:locked/>
    <w:uiPriority w:val="99"/>
    <w:rPr>
      <w:rFonts w:ascii="宋体" w:hAnsi="MS Sans Serif"/>
      <w:spacing w:val="12"/>
      <w:sz w:val="24"/>
    </w:rPr>
  </w:style>
  <w:style w:type="character" w:customStyle="1" w:styleId="79">
    <w:name w:val="Default Char Char"/>
    <w:qFormat/>
    <w:uiPriority w:val="99"/>
    <w:rPr>
      <w:rFonts w:ascii="宋体" w:hAnsi="Calibri"/>
      <w:color w:val="000000"/>
      <w:sz w:val="24"/>
      <w:lang w:val="en-US" w:eastAsia="zh-CN"/>
    </w:rPr>
  </w:style>
  <w:style w:type="character" w:customStyle="1" w:styleId="80">
    <w:name w:val="页脚 Char1"/>
    <w:qFormat/>
    <w:uiPriority w:val="99"/>
    <w:rPr>
      <w:kern w:val="2"/>
      <w:sz w:val="18"/>
      <w:szCs w:val="18"/>
    </w:rPr>
  </w:style>
  <w:style w:type="character" w:customStyle="1" w:styleId="81">
    <w:name w:val="正文文本缩进 2 字符"/>
    <w:link w:val="82"/>
    <w:qFormat/>
    <w:uiPriority w:val="0"/>
    <w:rPr>
      <w:kern w:val="2"/>
      <w:sz w:val="21"/>
      <w:szCs w:val="24"/>
    </w:rPr>
  </w:style>
  <w:style w:type="paragraph" w:customStyle="1" w:styleId="82">
    <w:name w:val="正文文本缩进 21"/>
    <w:basedOn w:val="1"/>
    <w:next w:val="35"/>
    <w:link w:val="81"/>
    <w:qFormat/>
    <w:uiPriority w:val="99"/>
    <w:pPr>
      <w:spacing w:after="120" w:line="480" w:lineRule="auto"/>
      <w:ind w:left="200" w:leftChars="200"/>
    </w:pPr>
    <w:rPr>
      <w:szCs w:val="24"/>
    </w:rPr>
  </w:style>
  <w:style w:type="character" w:customStyle="1" w:styleId="83">
    <w:name w:val="不明显参考11"/>
    <w:qFormat/>
    <w:uiPriority w:val="99"/>
    <w:rPr>
      <w:smallCaps/>
      <w:color w:val="C0504D"/>
      <w:u w:val="single"/>
    </w:rPr>
  </w:style>
  <w:style w:type="character" w:customStyle="1" w:styleId="84">
    <w:name w:val="标题 3 字符"/>
    <w:qFormat/>
    <w:uiPriority w:val="0"/>
    <w:rPr>
      <w:rFonts w:eastAsia="黑体"/>
      <w:b/>
      <w:sz w:val="28"/>
    </w:rPr>
  </w:style>
  <w:style w:type="character" w:customStyle="1" w:styleId="85">
    <w:name w:val="标题 4 字符"/>
    <w:link w:val="6"/>
    <w:qFormat/>
    <w:uiPriority w:val="0"/>
    <w:rPr>
      <w:rFonts w:ascii="Arial" w:hAnsi="Arial" w:eastAsia="黑体"/>
      <w:b/>
      <w:bCs/>
      <w:kern w:val="2"/>
      <w:sz w:val="28"/>
      <w:szCs w:val="28"/>
    </w:rPr>
  </w:style>
  <w:style w:type="character" w:customStyle="1" w:styleId="86">
    <w:name w:val="副标题 Char3"/>
    <w:qFormat/>
    <w:uiPriority w:val="99"/>
    <w:rPr>
      <w:rFonts w:ascii="Cambria" w:hAnsi="Cambria"/>
      <w:b/>
    </w:rPr>
  </w:style>
  <w:style w:type="character" w:customStyle="1" w:styleId="87">
    <w:name w:val="日期 Char4"/>
    <w:qFormat/>
    <w:uiPriority w:val="99"/>
  </w:style>
  <w:style w:type="character" w:customStyle="1" w:styleId="88">
    <w:name w:val="标题 Char2"/>
    <w:qFormat/>
    <w:uiPriority w:val="10"/>
    <w:rPr>
      <w:rFonts w:ascii="等线 Light" w:hAnsi="等线 Light" w:cs="Times New Roman"/>
      <w:b/>
      <w:bCs/>
      <w:kern w:val="2"/>
      <w:sz w:val="32"/>
      <w:szCs w:val="32"/>
    </w:rPr>
  </w:style>
  <w:style w:type="character" w:customStyle="1" w:styleId="89">
    <w:name w:val="point_normal"/>
    <w:basedOn w:val="64"/>
    <w:qFormat/>
    <w:uiPriority w:val="0"/>
  </w:style>
  <w:style w:type="character" w:customStyle="1" w:styleId="90">
    <w:name w:val="正文文本 字符"/>
    <w:link w:val="23"/>
    <w:qFormat/>
    <w:uiPriority w:val="0"/>
    <w:rPr>
      <w:kern w:val="2"/>
      <w:sz w:val="21"/>
      <w:szCs w:val="22"/>
    </w:rPr>
  </w:style>
  <w:style w:type="character" w:customStyle="1" w:styleId="91">
    <w:name w:val="副标题 Char8"/>
    <w:qFormat/>
    <w:uiPriority w:val="11"/>
    <w:rPr>
      <w:rFonts w:ascii="等线 Light" w:hAnsi="等线 Light" w:cs="Times New Roman"/>
      <w:b/>
      <w:bCs/>
      <w:kern w:val="28"/>
      <w:sz w:val="32"/>
      <w:szCs w:val="32"/>
    </w:rPr>
  </w:style>
  <w:style w:type="character" w:customStyle="1" w:styleId="92">
    <w:name w:val="明显强调21"/>
    <w:qFormat/>
    <w:uiPriority w:val="99"/>
    <w:rPr>
      <w:b/>
      <w:i/>
      <w:color w:val="4F81BD"/>
    </w:rPr>
  </w:style>
  <w:style w:type="character" w:customStyle="1" w:styleId="93">
    <w:name w:val="正文首行缩进 Char3"/>
    <w:semiHidden/>
    <w:qFormat/>
    <w:uiPriority w:val="99"/>
    <w:rPr>
      <w:rFonts w:cs="Times New Roman"/>
      <w:kern w:val="2"/>
      <w:sz w:val="24"/>
      <w:szCs w:val="24"/>
    </w:rPr>
  </w:style>
  <w:style w:type="character" w:customStyle="1" w:styleId="94">
    <w:name w:val="HTML 预设格式 Char1"/>
    <w:qFormat/>
    <w:uiPriority w:val="99"/>
    <w:rPr>
      <w:rFonts w:ascii="Courier New" w:hAnsi="Courier New" w:eastAsia="宋体" w:cs="Courier New"/>
      <w:sz w:val="20"/>
      <w:szCs w:val="20"/>
    </w:rPr>
  </w:style>
  <w:style w:type="character" w:customStyle="1" w:styleId="95">
    <w:name w:val="尾注文本 字符"/>
    <w:link w:val="36"/>
    <w:qFormat/>
    <w:locked/>
    <w:uiPriority w:val="99"/>
    <w:rPr>
      <w:sz w:val="24"/>
    </w:rPr>
  </w:style>
  <w:style w:type="character" w:customStyle="1" w:styleId="96">
    <w:name w:val="CM104 Char"/>
    <w:qFormat/>
    <w:locked/>
    <w:uiPriority w:val="99"/>
    <w:rPr>
      <w:rFonts w:ascii="宋体" w:hAnsi="Calibri"/>
      <w:color w:val="000000"/>
      <w:sz w:val="24"/>
      <w:lang w:val="en-US" w:eastAsia="zh-CN"/>
    </w:rPr>
  </w:style>
  <w:style w:type="character" w:customStyle="1" w:styleId="97">
    <w:name w:val="Body Text 3 Char"/>
    <w:qFormat/>
    <w:locked/>
    <w:uiPriority w:val="99"/>
    <w:rPr>
      <w:rFonts w:ascii="宋体" w:hAnsi="Times New Roman" w:eastAsia="宋体"/>
      <w:sz w:val="20"/>
    </w:rPr>
  </w:style>
  <w:style w:type="character" w:customStyle="1" w:styleId="98">
    <w:name w:val="批注文字 Char8"/>
    <w:basedOn w:val="64"/>
    <w:semiHidden/>
    <w:qFormat/>
    <w:uiPriority w:val="99"/>
  </w:style>
  <w:style w:type="character" w:customStyle="1" w:styleId="99">
    <w:name w:val="正文文本 Char Char"/>
    <w:qFormat/>
    <w:uiPriority w:val="99"/>
    <w:rPr>
      <w:rFonts w:ascii="Times New Roman" w:hAnsi="Times New Roman"/>
    </w:rPr>
  </w:style>
  <w:style w:type="character" w:customStyle="1" w:styleId="100">
    <w:name w:val="页脚 Char2"/>
    <w:qFormat/>
    <w:uiPriority w:val="99"/>
    <w:rPr>
      <w:kern w:val="2"/>
      <w:sz w:val="18"/>
      <w:szCs w:val="18"/>
    </w:rPr>
  </w:style>
  <w:style w:type="character" w:customStyle="1" w:styleId="101">
    <w:name w:val="副标题 Char2"/>
    <w:qFormat/>
    <w:uiPriority w:val="99"/>
    <w:rPr>
      <w:rFonts w:ascii="Cambria" w:hAnsi="Cambria" w:eastAsia="宋体" w:cs="Times New Roman"/>
      <w:b/>
      <w:bCs/>
      <w:kern w:val="28"/>
      <w:sz w:val="32"/>
      <w:szCs w:val="32"/>
    </w:rPr>
  </w:style>
  <w:style w:type="character" w:customStyle="1" w:styleId="102">
    <w:name w:val="Body Text Indent 3 Char Char"/>
    <w:qFormat/>
    <w:locked/>
    <w:uiPriority w:val="99"/>
    <w:rPr>
      <w:rFonts w:ascii="宋体"/>
      <w:kern w:val="2"/>
      <w:sz w:val="21"/>
    </w:rPr>
  </w:style>
  <w:style w:type="character" w:customStyle="1" w:styleId="103">
    <w:name w:val="Char Char63"/>
    <w:qFormat/>
    <w:uiPriority w:val="0"/>
    <w:rPr>
      <w:rFonts w:ascii="Arial" w:hAnsi="Arial" w:eastAsia="黑体"/>
      <w:b/>
      <w:bCs/>
      <w:sz w:val="32"/>
      <w:szCs w:val="32"/>
      <w:lang w:val="en-US" w:eastAsia="zh-CN" w:bidi="ar-SA"/>
    </w:rPr>
  </w:style>
  <w:style w:type="character" w:customStyle="1" w:styleId="104">
    <w:name w:val="2级标题（前附表） Char Char Char"/>
    <w:link w:val="105"/>
    <w:qFormat/>
    <w:locked/>
    <w:uiPriority w:val="99"/>
    <w:rPr>
      <w:rFonts w:ascii="黑体" w:eastAsia="黑体"/>
      <w:color w:val="000000"/>
      <w:kern w:val="2"/>
      <w:sz w:val="28"/>
    </w:rPr>
  </w:style>
  <w:style w:type="paragraph" w:customStyle="1" w:styleId="105">
    <w:name w:val="2级标题（前附表）"/>
    <w:basedOn w:val="1"/>
    <w:link w:val="104"/>
    <w:qFormat/>
    <w:uiPriority w:val="99"/>
    <w:pPr>
      <w:outlineLvl w:val="1"/>
    </w:pPr>
    <w:rPr>
      <w:rFonts w:ascii="黑体" w:eastAsia="黑体"/>
      <w:color w:val="000000"/>
      <w:sz w:val="28"/>
      <w:szCs w:val="20"/>
    </w:rPr>
  </w:style>
  <w:style w:type="character" w:customStyle="1" w:styleId="106">
    <w:name w:val="标题 2 Char Char"/>
    <w:qFormat/>
    <w:uiPriority w:val="99"/>
    <w:rPr>
      <w:sz w:val="28"/>
    </w:rPr>
  </w:style>
  <w:style w:type="character" w:customStyle="1" w:styleId="107">
    <w:name w:val="引用 Char5"/>
    <w:qFormat/>
    <w:uiPriority w:val="99"/>
    <w:rPr>
      <w:rFonts w:ascii="Calibri" w:hAnsi="Calibri"/>
      <w:i/>
      <w:color w:val="000000"/>
    </w:rPr>
  </w:style>
  <w:style w:type="character" w:customStyle="1" w:styleId="108">
    <w:name w:val="CM104 Char Char"/>
    <w:qFormat/>
    <w:uiPriority w:val="99"/>
    <w:rPr>
      <w:rFonts w:ascii="宋体" w:hAnsi="Calibri" w:cs="宋体"/>
      <w:color w:val="000000"/>
      <w:sz w:val="24"/>
      <w:szCs w:val="24"/>
      <w:lang w:val="en-US" w:eastAsia="zh-CN"/>
    </w:rPr>
  </w:style>
  <w:style w:type="character" w:customStyle="1" w:styleId="109">
    <w:name w:val="纯文本 字符"/>
    <w:qFormat/>
    <w:uiPriority w:val="99"/>
    <w:rPr>
      <w:rFonts w:ascii="宋体"/>
      <w:kern w:val="2"/>
      <w:sz w:val="21"/>
    </w:rPr>
  </w:style>
  <w:style w:type="character" w:customStyle="1" w:styleId="110">
    <w:name w:val="样式3-1 Char Char"/>
    <w:qFormat/>
    <w:uiPriority w:val="99"/>
    <w:rPr>
      <w:rFonts w:ascii="Arial" w:hAnsi="Arial" w:eastAsia="黑体"/>
      <w:b/>
      <w:color w:val="000000"/>
      <w:sz w:val="32"/>
    </w:rPr>
  </w:style>
  <w:style w:type="character" w:customStyle="1" w:styleId="111">
    <w:name w:val="正文文本 3 Char5"/>
    <w:qFormat/>
    <w:uiPriority w:val="99"/>
    <w:rPr>
      <w:rFonts w:ascii="Calibri" w:hAnsi="Calibri"/>
    </w:rPr>
  </w:style>
  <w:style w:type="character" w:customStyle="1" w:styleId="112">
    <w:name w:val="不明显强调11"/>
    <w:qFormat/>
    <w:uiPriority w:val="99"/>
    <w:rPr>
      <w:i/>
      <w:color w:val="808080"/>
    </w:rPr>
  </w:style>
  <w:style w:type="character" w:customStyle="1" w:styleId="113">
    <w:name w:val="Char Char17"/>
    <w:qFormat/>
    <w:locked/>
    <w:uiPriority w:val="0"/>
    <w:rPr>
      <w:rFonts w:ascii="Cambria" w:hAnsi="Cambria" w:eastAsia="宋体"/>
      <w:b/>
      <w:kern w:val="2"/>
      <w:sz w:val="32"/>
    </w:rPr>
  </w:style>
  <w:style w:type="character" w:customStyle="1" w:styleId="114">
    <w:name w:val="Default Char"/>
    <w:qFormat/>
    <w:locked/>
    <w:uiPriority w:val="99"/>
    <w:rPr>
      <w:rFonts w:ascii="宋体" w:hAnsi="Calibri"/>
      <w:color w:val="000000"/>
      <w:sz w:val="22"/>
      <w:lang w:val="en-US" w:eastAsia="zh-CN"/>
    </w:rPr>
  </w:style>
  <w:style w:type="character" w:customStyle="1" w:styleId="115">
    <w:name w:val="Char Char21"/>
    <w:qFormat/>
    <w:uiPriority w:val="0"/>
    <w:rPr>
      <w:rFonts w:ascii="Arial" w:hAnsi="Arial" w:eastAsia="黑体"/>
      <w:b/>
      <w:sz w:val="28"/>
      <w:lang w:val="en-US" w:eastAsia="zh-CN"/>
    </w:rPr>
  </w:style>
  <w:style w:type="character" w:customStyle="1" w:styleId="116">
    <w:name w:val="文章正文 Char Char Char"/>
    <w:link w:val="117"/>
    <w:qFormat/>
    <w:locked/>
    <w:uiPriority w:val="99"/>
    <w:rPr>
      <w:rFonts w:ascii="宋体"/>
      <w:kern w:val="2"/>
      <w:sz w:val="21"/>
    </w:rPr>
  </w:style>
  <w:style w:type="paragraph" w:customStyle="1" w:styleId="117">
    <w:name w:val="文章正文"/>
    <w:basedOn w:val="1"/>
    <w:link w:val="116"/>
    <w:qFormat/>
    <w:uiPriority w:val="99"/>
    <w:pPr>
      <w:spacing w:line="360" w:lineRule="auto"/>
      <w:ind w:firstLine="420" w:firstLineChars="200"/>
    </w:pPr>
    <w:rPr>
      <w:rFonts w:ascii="宋体"/>
      <w:szCs w:val="20"/>
    </w:rPr>
  </w:style>
  <w:style w:type="character" w:customStyle="1" w:styleId="118">
    <w:name w:val="正文文本缩进 2 Char1"/>
    <w:qFormat/>
    <w:uiPriority w:val="99"/>
    <w:rPr>
      <w:rFonts w:ascii="Times New Roman" w:hAnsi="Times New Roman" w:eastAsia="宋体" w:cs="Times New Roman"/>
      <w:szCs w:val="24"/>
    </w:rPr>
  </w:style>
  <w:style w:type="character" w:customStyle="1" w:styleId="119">
    <w:name w:val="日期 Char1"/>
    <w:qFormat/>
    <w:uiPriority w:val="0"/>
    <w:rPr>
      <w:kern w:val="2"/>
      <w:sz w:val="21"/>
      <w:szCs w:val="22"/>
    </w:rPr>
  </w:style>
  <w:style w:type="character" w:customStyle="1" w:styleId="120">
    <w:name w:val="标题 9 Char Char"/>
    <w:qFormat/>
    <w:uiPriority w:val="99"/>
    <w:rPr>
      <w:rFonts w:ascii="Cambria" w:hAnsi="Cambria" w:eastAsia="宋体"/>
      <w:kern w:val="2"/>
      <w:sz w:val="21"/>
    </w:rPr>
  </w:style>
  <w:style w:type="character" w:customStyle="1" w:styleId="121">
    <w:name w:val="p121"/>
    <w:qFormat/>
    <w:uiPriority w:val="99"/>
    <w:rPr>
      <w:sz w:val="24"/>
      <w:u w:val="none"/>
    </w:rPr>
  </w:style>
  <w:style w:type="character" w:customStyle="1" w:styleId="122">
    <w:name w:val="HTML 预设格式 Char2"/>
    <w:semiHidden/>
    <w:qFormat/>
    <w:uiPriority w:val="99"/>
    <w:rPr>
      <w:rFonts w:ascii="Courier New" w:hAnsi="Courier New" w:eastAsia="宋体" w:cs="Courier New"/>
      <w:kern w:val="0"/>
      <w:sz w:val="20"/>
      <w:szCs w:val="20"/>
    </w:rPr>
  </w:style>
  <w:style w:type="character" w:customStyle="1" w:styleId="123">
    <w:name w:val="批注框文本 Char4"/>
    <w:qFormat/>
    <w:uiPriority w:val="99"/>
  </w:style>
  <w:style w:type="character" w:customStyle="1" w:styleId="124">
    <w:name w:val="样式3-2 Char Char Char"/>
    <w:link w:val="125"/>
    <w:qFormat/>
    <w:locked/>
    <w:uiPriority w:val="99"/>
    <w:rPr>
      <w:rFonts w:ascii="黑体" w:eastAsia="黑体"/>
      <w:b/>
      <w:sz w:val="32"/>
    </w:rPr>
  </w:style>
  <w:style w:type="paragraph" w:customStyle="1" w:styleId="125">
    <w:name w:val="样式3-2"/>
    <w:basedOn w:val="126"/>
    <w:link w:val="124"/>
    <w:qFormat/>
    <w:uiPriority w:val="99"/>
    <w:pPr>
      <w:autoSpaceDE w:val="0"/>
      <w:autoSpaceDN w:val="0"/>
      <w:spacing w:beforeLines="100" w:afterLines="100" w:line="240" w:lineRule="auto"/>
    </w:pPr>
    <w:rPr>
      <w:rFonts w:ascii="黑体" w:hAnsi="Times New Roman" w:eastAsia="黑体"/>
      <w:bCs w:val="0"/>
      <w:kern w:val="0"/>
      <w:szCs w:val="20"/>
    </w:rPr>
  </w:style>
  <w:style w:type="paragraph" w:customStyle="1" w:styleId="126">
    <w:name w:val="样式3-1"/>
    <w:basedOn w:val="1"/>
    <w:link w:val="219"/>
    <w:qFormat/>
    <w:uiPriority w:val="0"/>
    <w:pPr>
      <w:adjustRightInd w:val="0"/>
      <w:snapToGrid w:val="0"/>
      <w:spacing w:beforeLines="50" w:line="360" w:lineRule="auto"/>
      <w:jc w:val="center"/>
      <w:outlineLvl w:val="2"/>
    </w:pPr>
    <w:rPr>
      <w:rFonts w:ascii="宋体" w:hAnsi="宋体"/>
      <w:b/>
      <w:bCs/>
      <w:sz w:val="32"/>
      <w:szCs w:val="24"/>
    </w:rPr>
  </w:style>
  <w:style w:type="character" w:customStyle="1" w:styleId="127">
    <w:name w:val="grame"/>
    <w:qFormat/>
    <w:uiPriority w:val="0"/>
  </w:style>
  <w:style w:type="character" w:customStyle="1" w:styleId="128">
    <w:name w:val="正文文本缩进 3 Char6"/>
    <w:semiHidden/>
    <w:qFormat/>
    <w:uiPriority w:val="99"/>
    <w:rPr>
      <w:rFonts w:ascii="Calibri" w:hAnsi="Calibri" w:eastAsia="宋体"/>
      <w:sz w:val="16"/>
    </w:rPr>
  </w:style>
  <w:style w:type="character" w:customStyle="1" w:styleId="129">
    <w:name w:val="Heading 1 Char"/>
    <w:qFormat/>
    <w:uiPriority w:val="99"/>
    <w:rPr>
      <w:b/>
      <w:kern w:val="44"/>
      <w:sz w:val="44"/>
    </w:rPr>
  </w:style>
  <w:style w:type="character" w:customStyle="1" w:styleId="130">
    <w:name w:val="Char Char1"/>
    <w:qFormat/>
    <w:uiPriority w:val="0"/>
    <w:rPr>
      <w:rFonts w:eastAsia="宋体"/>
      <w:sz w:val="18"/>
      <w:szCs w:val="18"/>
      <w:lang w:val="en-US" w:eastAsia="zh-CN" w:bidi="ar-SA"/>
    </w:rPr>
  </w:style>
  <w:style w:type="character" w:customStyle="1" w:styleId="131">
    <w:name w:val="rec-status-desc"/>
    <w:basedOn w:val="64"/>
    <w:qFormat/>
    <w:uiPriority w:val="0"/>
  </w:style>
  <w:style w:type="character" w:customStyle="1" w:styleId="132">
    <w:name w:val="正文文本 Char4"/>
    <w:qFormat/>
    <w:uiPriority w:val="99"/>
  </w:style>
  <w:style w:type="character" w:customStyle="1" w:styleId="133">
    <w:name w:val="标题 2 Char"/>
    <w:qFormat/>
    <w:uiPriority w:val="0"/>
    <w:rPr>
      <w:rFonts w:ascii="Cambria" w:hAnsi="Cambria"/>
      <w:b/>
      <w:bCs/>
      <w:kern w:val="2"/>
      <w:sz w:val="32"/>
      <w:szCs w:val="32"/>
    </w:rPr>
  </w:style>
  <w:style w:type="character" w:customStyle="1" w:styleId="134">
    <w:name w:val="明显参考21"/>
    <w:qFormat/>
    <w:uiPriority w:val="99"/>
    <w:rPr>
      <w:b/>
      <w:smallCaps/>
      <w:color w:val="C0504D"/>
      <w:spacing w:val="5"/>
      <w:u w:val="single"/>
    </w:rPr>
  </w:style>
  <w:style w:type="character" w:customStyle="1" w:styleId="135">
    <w:name w:val="纯文本 Char5"/>
    <w:qFormat/>
    <w:uiPriority w:val="99"/>
    <w:rPr>
      <w:rFonts w:ascii="宋体" w:hAnsi="宋体" w:eastAsia="宋体"/>
    </w:rPr>
  </w:style>
  <w:style w:type="character" w:customStyle="1" w:styleId="136">
    <w:name w:val="文档结构图 Char4"/>
    <w:qFormat/>
    <w:uiPriority w:val="99"/>
    <w:rPr>
      <w:rFonts w:ascii="宋体" w:hAnsi="宋体" w:eastAsia="宋体"/>
    </w:rPr>
  </w:style>
  <w:style w:type="character" w:customStyle="1" w:styleId="137">
    <w:name w:val="正文文本 2 Char3"/>
    <w:basedOn w:val="64"/>
    <w:semiHidden/>
    <w:qFormat/>
    <w:uiPriority w:val="99"/>
  </w:style>
  <w:style w:type="character" w:customStyle="1" w:styleId="138">
    <w:name w:val="正文文本 3 Char2"/>
    <w:qFormat/>
    <w:uiPriority w:val="99"/>
    <w:rPr>
      <w:kern w:val="2"/>
      <w:sz w:val="16"/>
      <w:szCs w:val="16"/>
    </w:rPr>
  </w:style>
  <w:style w:type="character" w:customStyle="1" w:styleId="139">
    <w:name w:val="批注文字 Char7"/>
    <w:qFormat/>
    <w:uiPriority w:val="99"/>
    <w:rPr>
      <w:rFonts w:ascii="Times New Roman" w:hAnsi="Times New Roman" w:eastAsia="宋体" w:cs="Times New Roman"/>
      <w:kern w:val="0"/>
      <w:sz w:val="20"/>
      <w:szCs w:val="20"/>
    </w:rPr>
  </w:style>
  <w:style w:type="character" w:customStyle="1" w:styleId="140">
    <w:name w:val="Char Char15"/>
    <w:qFormat/>
    <w:locked/>
    <w:uiPriority w:val="0"/>
    <w:rPr>
      <w:rFonts w:ascii="Cambria" w:hAnsi="Cambria" w:eastAsia="宋体"/>
      <w:b/>
      <w:kern w:val="2"/>
      <w:sz w:val="28"/>
    </w:rPr>
  </w:style>
  <w:style w:type="character" w:customStyle="1" w:styleId="141">
    <w:name w:val="标题 Char1"/>
    <w:qFormat/>
    <w:uiPriority w:val="0"/>
    <w:rPr>
      <w:rFonts w:ascii="Cambria" w:hAnsi="Cambria" w:cs="Times New Roman"/>
      <w:b/>
      <w:bCs/>
      <w:sz w:val="32"/>
      <w:szCs w:val="32"/>
    </w:rPr>
  </w:style>
  <w:style w:type="character" w:customStyle="1" w:styleId="142">
    <w:name w:val="Body Text 2 Char Char"/>
    <w:qFormat/>
    <w:locked/>
    <w:uiPriority w:val="99"/>
    <w:rPr>
      <w:rFonts w:eastAsia="楷体_GB2312"/>
      <w:sz w:val="28"/>
    </w:rPr>
  </w:style>
  <w:style w:type="character" w:customStyle="1" w:styleId="143">
    <w:name w:val="标题 3 Char2"/>
    <w:qFormat/>
    <w:uiPriority w:val="99"/>
    <w:rPr>
      <w:rFonts w:ascii="仿宋_GB2312" w:eastAsia="仿宋_GB2312"/>
      <w:b/>
      <w:sz w:val="28"/>
    </w:rPr>
  </w:style>
  <w:style w:type="character" w:customStyle="1" w:styleId="144">
    <w:name w:val="明显引用 Char6"/>
    <w:qFormat/>
    <w:uiPriority w:val="99"/>
    <w:rPr>
      <w:b/>
      <w:i/>
      <w:color w:val="4F81BD"/>
    </w:rPr>
  </w:style>
  <w:style w:type="character" w:customStyle="1" w:styleId="145">
    <w:name w:val="正文文本 2 Char2"/>
    <w:semiHidden/>
    <w:qFormat/>
    <w:uiPriority w:val="99"/>
    <w:rPr>
      <w:kern w:val="2"/>
      <w:sz w:val="21"/>
      <w:szCs w:val="24"/>
    </w:rPr>
  </w:style>
  <w:style w:type="character" w:customStyle="1" w:styleId="146">
    <w:name w:val="正文文本 2 Char1"/>
    <w:qFormat/>
    <w:uiPriority w:val="99"/>
    <w:rPr>
      <w:rFonts w:ascii="Times New Roman" w:hAnsi="Times New Roman" w:eastAsia="宋体" w:cs="Times New Roman"/>
      <w:szCs w:val="24"/>
    </w:rPr>
  </w:style>
  <w:style w:type="character" w:customStyle="1" w:styleId="147">
    <w:name w:val="样式正文-2 Char Char"/>
    <w:qFormat/>
    <w:uiPriority w:val="99"/>
    <w:rPr>
      <w:rFonts w:ascii="Arial" w:hAnsi="Arial" w:eastAsia="宋体"/>
      <w:color w:val="000000"/>
      <w:sz w:val="24"/>
      <w:lang w:val="en-US" w:eastAsia="zh-CN"/>
    </w:rPr>
  </w:style>
  <w:style w:type="character" w:customStyle="1" w:styleId="148">
    <w:name w:val="Comment Subject Char"/>
    <w:qFormat/>
    <w:uiPriority w:val="99"/>
    <w:rPr>
      <w:rFonts w:ascii="宋体" w:hAnsi="Times New Roman" w:eastAsia="宋体"/>
      <w:b/>
      <w:kern w:val="2"/>
      <w:sz w:val="24"/>
      <w:lang w:val="en-US" w:eastAsia="zh-CN"/>
    </w:rPr>
  </w:style>
  <w:style w:type="character" w:customStyle="1" w:styleId="149">
    <w:name w:val="样式正文-2 Char Char Char"/>
    <w:link w:val="150"/>
    <w:qFormat/>
    <w:locked/>
    <w:uiPriority w:val="99"/>
    <w:rPr>
      <w:rFonts w:ascii="Arial" w:hAnsi="Arial"/>
      <w:color w:val="000000"/>
      <w:sz w:val="24"/>
    </w:rPr>
  </w:style>
  <w:style w:type="paragraph" w:customStyle="1" w:styleId="150">
    <w:name w:val="样式正文-2"/>
    <w:basedOn w:val="151"/>
    <w:link w:val="149"/>
    <w:qFormat/>
    <w:uiPriority w:val="99"/>
    <w:pPr>
      <w:snapToGrid w:val="0"/>
      <w:spacing w:beforeLines="50" w:line="360" w:lineRule="auto"/>
      <w:ind w:firstLine="480" w:firstLineChars="200"/>
    </w:pPr>
    <w:rPr>
      <w:rFonts w:ascii="Arial" w:hAnsi="Arial"/>
    </w:rPr>
  </w:style>
  <w:style w:type="paragraph" w:customStyle="1" w:styleId="151">
    <w:name w:val="Default"/>
    <w:link w:val="292"/>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52">
    <w:name w:val="纯文本 Char4"/>
    <w:qFormat/>
    <w:uiPriority w:val="99"/>
    <w:rPr>
      <w:rFonts w:ascii="宋体" w:hAnsi="宋体" w:eastAsia="宋体"/>
    </w:rPr>
  </w:style>
  <w:style w:type="character" w:customStyle="1" w:styleId="153">
    <w:name w:val="明显强调11"/>
    <w:qFormat/>
    <w:uiPriority w:val="99"/>
    <w:rPr>
      <w:b/>
      <w:i/>
      <w:color w:val="4F81BD"/>
    </w:rPr>
  </w:style>
  <w:style w:type="character" w:customStyle="1" w:styleId="154">
    <w:name w:val="江建权 Char"/>
    <w:link w:val="155"/>
    <w:qFormat/>
    <w:locked/>
    <w:uiPriority w:val="99"/>
    <w:rPr>
      <w:kern w:val="2"/>
      <w:sz w:val="24"/>
    </w:rPr>
  </w:style>
  <w:style w:type="paragraph" w:customStyle="1" w:styleId="155">
    <w:name w:val="江建权"/>
    <w:basedOn w:val="1"/>
    <w:link w:val="154"/>
    <w:qFormat/>
    <w:uiPriority w:val="99"/>
    <w:pPr>
      <w:spacing w:line="440" w:lineRule="exact"/>
      <w:ind w:firstLine="200" w:firstLineChars="200"/>
    </w:pPr>
    <w:rPr>
      <w:sz w:val="24"/>
      <w:szCs w:val="20"/>
    </w:rPr>
  </w:style>
  <w:style w:type="character" w:customStyle="1" w:styleId="156">
    <w:name w:val="fontstyle01"/>
    <w:qFormat/>
    <w:uiPriority w:val="99"/>
    <w:rPr>
      <w:rFonts w:hint="eastAsia" w:ascii="宋体" w:hAnsi="宋体" w:eastAsia="宋体"/>
      <w:color w:val="000000"/>
      <w:sz w:val="24"/>
      <w:szCs w:val="24"/>
    </w:rPr>
  </w:style>
  <w:style w:type="character" w:customStyle="1" w:styleId="157">
    <w:name w:val="Quote Char"/>
    <w:link w:val="158"/>
    <w:qFormat/>
    <w:locked/>
    <w:uiPriority w:val="0"/>
    <w:rPr>
      <w:i/>
      <w:color w:val="000000"/>
      <w:sz w:val="22"/>
    </w:rPr>
  </w:style>
  <w:style w:type="paragraph" w:customStyle="1" w:styleId="158">
    <w:name w:val="引用1"/>
    <w:basedOn w:val="1"/>
    <w:next w:val="1"/>
    <w:link w:val="157"/>
    <w:qFormat/>
    <w:uiPriority w:val="0"/>
    <w:rPr>
      <w:i/>
      <w:color w:val="000000"/>
      <w:kern w:val="0"/>
      <w:sz w:val="22"/>
      <w:szCs w:val="20"/>
    </w:rPr>
  </w:style>
  <w:style w:type="character" w:customStyle="1" w:styleId="159">
    <w:name w:val="批注框文本 字符"/>
    <w:link w:val="160"/>
    <w:qFormat/>
    <w:uiPriority w:val="99"/>
    <w:rPr>
      <w:kern w:val="2"/>
      <w:sz w:val="18"/>
      <w:szCs w:val="18"/>
    </w:rPr>
  </w:style>
  <w:style w:type="paragraph" w:customStyle="1" w:styleId="160">
    <w:name w:val="批注框文本1"/>
    <w:basedOn w:val="1"/>
    <w:next w:val="37"/>
    <w:link w:val="159"/>
    <w:qFormat/>
    <w:uiPriority w:val="99"/>
    <w:rPr>
      <w:sz w:val="18"/>
      <w:szCs w:val="18"/>
    </w:rPr>
  </w:style>
  <w:style w:type="character" w:customStyle="1" w:styleId="161">
    <w:name w:val="标题 3 Char"/>
    <w:qFormat/>
    <w:uiPriority w:val="0"/>
    <w:rPr>
      <w:b/>
      <w:bCs/>
      <w:kern w:val="2"/>
      <w:sz w:val="28"/>
      <w:szCs w:val="32"/>
    </w:rPr>
  </w:style>
  <w:style w:type="character" w:customStyle="1" w:styleId="162">
    <w:name w:val="批注主题 Char Char"/>
    <w:qFormat/>
    <w:uiPriority w:val="99"/>
    <w:rPr>
      <w:rFonts w:ascii="宋体" w:hAnsi="Times New Roman"/>
      <w:b/>
      <w:sz w:val="28"/>
    </w:rPr>
  </w:style>
  <w:style w:type="character" w:customStyle="1" w:styleId="163">
    <w:name w:val="CM104 Char Char Char"/>
    <w:link w:val="164"/>
    <w:qFormat/>
    <w:locked/>
    <w:uiPriority w:val="99"/>
    <w:rPr>
      <w:rFonts w:ascii="宋体"/>
      <w:color w:val="000000"/>
      <w:sz w:val="24"/>
    </w:rPr>
  </w:style>
  <w:style w:type="paragraph" w:customStyle="1" w:styleId="164">
    <w:name w:val="CM104"/>
    <w:basedOn w:val="151"/>
    <w:next w:val="151"/>
    <w:link w:val="163"/>
    <w:qFormat/>
    <w:uiPriority w:val="99"/>
  </w:style>
  <w:style w:type="character" w:customStyle="1" w:styleId="165">
    <w:name w:val="日期 Char Char"/>
    <w:qFormat/>
    <w:uiPriority w:val="99"/>
    <w:rPr>
      <w:rFonts w:ascii="宋体" w:hAnsi="Times New Roman"/>
      <w:sz w:val="28"/>
    </w:rPr>
  </w:style>
  <w:style w:type="character" w:customStyle="1" w:styleId="166">
    <w:name w:val="样式4-2 Char Char Char"/>
    <w:link w:val="167"/>
    <w:qFormat/>
    <w:locked/>
    <w:uiPriority w:val="99"/>
    <w:rPr>
      <w:b/>
      <w:kern w:val="2"/>
      <w:sz w:val="22"/>
    </w:rPr>
  </w:style>
  <w:style w:type="paragraph" w:customStyle="1" w:styleId="167">
    <w:name w:val="样式4-2"/>
    <w:basedOn w:val="168"/>
    <w:link w:val="166"/>
    <w:qFormat/>
    <w:uiPriority w:val="99"/>
    <w:pPr>
      <w:adjustRightInd w:val="0"/>
      <w:snapToGrid w:val="0"/>
      <w:spacing w:beforeLines="100" w:afterLines="100" w:line="240" w:lineRule="auto"/>
      <w:ind w:firstLine="0" w:firstLineChars="0"/>
      <w:jc w:val="center"/>
    </w:pPr>
    <w:rPr>
      <w:rFonts w:ascii="Times New Roman" w:hAnsi="Times New Roman"/>
      <w:sz w:val="22"/>
      <w:szCs w:val="20"/>
    </w:rPr>
  </w:style>
  <w:style w:type="paragraph" w:customStyle="1" w:styleId="168">
    <w:name w:val="样式4-1"/>
    <w:basedOn w:val="1"/>
    <w:link w:val="464"/>
    <w:qFormat/>
    <w:uiPriority w:val="0"/>
    <w:pPr>
      <w:spacing w:line="360" w:lineRule="auto"/>
      <w:ind w:firstLine="420" w:firstLineChars="200"/>
      <w:outlineLvl w:val="3"/>
    </w:pPr>
    <w:rPr>
      <w:rFonts w:ascii="宋体" w:hAnsi="宋体"/>
      <w:b/>
      <w:szCs w:val="21"/>
    </w:rPr>
  </w:style>
  <w:style w:type="character" w:customStyle="1" w:styleId="169">
    <w:name w:val="文档结构图 字符1"/>
    <w:semiHidden/>
    <w:qFormat/>
    <w:uiPriority w:val="99"/>
    <w:rPr>
      <w:rFonts w:ascii="Microsoft YaHei UI" w:eastAsia="Microsoft YaHei UI"/>
      <w:kern w:val="2"/>
      <w:sz w:val="18"/>
      <w:szCs w:val="18"/>
    </w:rPr>
  </w:style>
  <w:style w:type="character" w:customStyle="1" w:styleId="170">
    <w:name w:val="文章正文 Char Char"/>
    <w:qFormat/>
    <w:uiPriority w:val="99"/>
    <w:rPr>
      <w:rFonts w:ascii="宋体" w:hAnsi="宋体" w:eastAsia="宋体"/>
      <w:kern w:val="2"/>
      <w:sz w:val="21"/>
      <w:lang w:val="en-US" w:eastAsia="zh-CN"/>
    </w:rPr>
  </w:style>
  <w:style w:type="character" w:customStyle="1" w:styleId="171">
    <w:name w:val="Char Char27"/>
    <w:qFormat/>
    <w:uiPriority w:val="99"/>
    <w:rPr>
      <w:b/>
      <w:sz w:val="32"/>
    </w:rPr>
  </w:style>
  <w:style w:type="character" w:customStyle="1" w:styleId="172">
    <w:name w:val="正文文本 Char7"/>
    <w:semiHidden/>
    <w:qFormat/>
    <w:uiPriority w:val="99"/>
    <w:rPr>
      <w:rFonts w:ascii="Times New Roman" w:hAnsi="Times New Roman" w:eastAsia="宋体" w:cs="Times New Roman"/>
      <w:kern w:val="0"/>
      <w:sz w:val="20"/>
      <w:szCs w:val="20"/>
    </w:rPr>
  </w:style>
  <w:style w:type="character" w:customStyle="1" w:styleId="173">
    <w:name w:val="Char Char9"/>
    <w:qFormat/>
    <w:locked/>
    <w:uiPriority w:val="0"/>
    <w:rPr>
      <w:kern w:val="2"/>
      <w:sz w:val="22"/>
    </w:rPr>
  </w:style>
  <w:style w:type="character" w:customStyle="1" w:styleId="174">
    <w:name w:val="标题 1 Char1"/>
    <w:qFormat/>
    <w:uiPriority w:val="99"/>
    <w:rPr>
      <w:rFonts w:ascii="宋体"/>
      <w:b/>
      <w:kern w:val="44"/>
      <w:sz w:val="30"/>
    </w:rPr>
  </w:style>
  <w:style w:type="character" w:customStyle="1" w:styleId="175">
    <w:name w:val="样式3-3 Char"/>
    <w:qFormat/>
    <w:locked/>
    <w:uiPriority w:val="99"/>
    <w:rPr>
      <w:rFonts w:ascii="黑体" w:hAnsi="华文中宋" w:eastAsia="黑体"/>
      <w:b/>
      <w:color w:val="000000"/>
      <w:sz w:val="32"/>
      <w:lang w:val="en-US" w:eastAsia="zh-CN"/>
    </w:rPr>
  </w:style>
  <w:style w:type="character" w:customStyle="1" w:styleId="176">
    <w:name w:val="样式4 Char Char"/>
    <w:qFormat/>
    <w:locked/>
    <w:uiPriority w:val="99"/>
    <w:rPr>
      <w:rFonts w:ascii="宋体"/>
      <w:b/>
      <w:kern w:val="2"/>
      <w:sz w:val="24"/>
    </w:rPr>
  </w:style>
  <w:style w:type="character" w:customStyle="1" w:styleId="177">
    <w:name w:val="标题 Char4"/>
    <w:qFormat/>
    <w:uiPriority w:val="99"/>
    <w:rPr>
      <w:rFonts w:ascii="Cambria" w:hAnsi="Cambria"/>
      <w:b/>
    </w:rPr>
  </w:style>
  <w:style w:type="character" w:customStyle="1" w:styleId="178">
    <w:name w:val="style11"/>
    <w:qFormat/>
    <w:uiPriority w:val="99"/>
    <w:rPr>
      <w:b/>
    </w:rPr>
  </w:style>
  <w:style w:type="character" w:customStyle="1" w:styleId="179">
    <w:name w:val="纯文本 Char"/>
    <w:link w:val="180"/>
    <w:qFormat/>
    <w:uiPriority w:val="0"/>
    <w:rPr>
      <w:rFonts w:ascii="宋体" w:hAnsi="Courier New"/>
      <w:color w:val="000000"/>
      <w:kern w:val="2"/>
      <w:sz w:val="21"/>
    </w:rPr>
  </w:style>
  <w:style w:type="paragraph" w:customStyle="1" w:styleId="180">
    <w:name w:val="纯文本1"/>
    <w:basedOn w:val="1"/>
    <w:link w:val="179"/>
    <w:qFormat/>
    <w:uiPriority w:val="99"/>
    <w:rPr>
      <w:rFonts w:ascii="宋体" w:hAnsi="Courier New"/>
      <w:color w:val="000000"/>
      <w:szCs w:val="20"/>
    </w:rPr>
  </w:style>
  <w:style w:type="character" w:customStyle="1" w:styleId="181">
    <w:name w:val="页眉 Char Char"/>
    <w:qFormat/>
    <w:uiPriority w:val="99"/>
    <w:rPr>
      <w:kern w:val="2"/>
      <w:sz w:val="18"/>
    </w:rPr>
  </w:style>
  <w:style w:type="character" w:customStyle="1" w:styleId="182">
    <w:name w:val="Title Header2 Char Char"/>
    <w:qFormat/>
    <w:uiPriority w:val="0"/>
    <w:rPr>
      <w:rFonts w:ascii="Arial" w:hAnsi="Arial" w:eastAsia="黑体"/>
      <w:b/>
      <w:bCs/>
      <w:sz w:val="32"/>
      <w:szCs w:val="32"/>
      <w:lang w:val="en-US" w:eastAsia="zh-CN" w:bidi="ar-SA"/>
    </w:rPr>
  </w:style>
  <w:style w:type="character" w:customStyle="1" w:styleId="183">
    <w:name w:val="px12h161"/>
    <w:qFormat/>
    <w:uiPriority w:val="0"/>
    <w:rPr>
      <w:sz w:val="14"/>
      <w:szCs w:val="14"/>
    </w:rPr>
  </w:style>
  <w:style w:type="character" w:customStyle="1" w:styleId="184">
    <w:name w:val="apple-converted-space"/>
    <w:basedOn w:val="64"/>
    <w:qFormat/>
    <w:uiPriority w:val="0"/>
  </w:style>
  <w:style w:type="character" w:customStyle="1" w:styleId="185">
    <w:name w:val="批注主题 Char5"/>
    <w:qFormat/>
    <w:uiPriority w:val="99"/>
    <w:rPr>
      <w:rFonts w:ascii="Calibri" w:hAnsi="Calibri"/>
      <w:b/>
    </w:rPr>
  </w:style>
  <w:style w:type="character" w:customStyle="1" w:styleId="186">
    <w:name w:val="引用 Char3"/>
    <w:qFormat/>
    <w:uiPriority w:val="99"/>
    <w:rPr>
      <w:i/>
      <w:color w:val="000000"/>
    </w:rPr>
  </w:style>
  <w:style w:type="character" w:customStyle="1" w:styleId="187">
    <w:name w:val="样式1-1 Char Char"/>
    <w:link w:val="188"/>
    <w:qFormat/>
    <w:locked/>
    <w:uiPriority w:val="99"/>
    <w:rPr>
      <w:rFonts w:ascii="华文中宋" w:hAnsi="华文中宋" w:eastAsia="华文中宋"/>
      <w:b/>
      <w:color w:val="000000"/>
      <w:sz w:val="52"/>
    </w:rPr>
  </w:style>
  <w:style w:type="paragraph" w:customStyle="1" w:styleId="188">
    <w:name w:val="样式1-1"/>
    <w:basedOn w:val="1"/>
    <w:link w:val="187"/>
    <w:qFormat/>
    <w:uiPriority w:val="99"/>
    <w:pPr>
      <w:jc w:val="center"/>
      <w:outlineLvl w:val="0"/>
    </w:pPr>
    <w:rPr>
      <w:rFonts w:ascii="华文中宋" w:hAnsi="华文中宋" w:eastAsia="华文中宋"/>
      <w:b/>
      <w:color w:val="000000"/>
      <w:kern w:val="0"/>
      <w:sz w:val="52"/>
      <w:szCs w:val="20"/>
    </w:rPr>
  </w:style>
  <w:style w:type="character" w:customStyle="1" w:styleId="189">
    <w:name w:val="HTML 预设格式 字符"/>
    <w:link w:val="190"/>
    <w:qFormat/>
    <w:uiPriority w:val="0"/>
    <w:rPr>
      <w:rFonts w:ascii="宋体" w:hAnsi="宋体"/>
      <w:kern w:val="2"/>
      <w:sz w:val="24"/>
      <w:szCs w:val="24"/>
    </w:rPr>
  </w:style>
  <w:style w:type="paragraph" w:customStyle="1" w:styleId="190">
    <w:name w:val="HTML 预设格式1"/>
    <w:basedOn w:val="1"/>
    <w:next w:val="54"/>
    <w:link w:val="1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character" w:customStyle="1" w:styleId="191">
    <w:name w:val="批注框文本 Char2"/>
    <w:qFormat/>
    <w:uiPriority w:val="99"/>
    <w:rPr>
      <w:kern w:val="2"/>
      <w:sz w:val="18"/>
      <w:szCs w:val="18"/>
    </w:rPr>
  </w:style>
  <w:style w:type="character" w:customStyle="1" w:styleId="192">
    <w:name w:val="批注文字 Char"/>
    <w:qFormat/>
    <w:uiPriority w:val="0"/>
    <w:rPr>
      <w:sz w:val="24"/>
      <w:szCs w:val="24"/>
    </w:rPr>
  </w:style>
  <w:style w:type="character" w:customStyle="1" w:styleId="193">
    <w:name w:val="Body Text First Indent Char"/>
    <w:qFormat/>
    <w:locked/>
    <w:uiPriority w:val="99"/>
    <w:rPr>
      <w:rFonts w:eastAsia="宋体"/>
      <w:kern w:val="2"/>
      <w:sz w:val="24"/>
      <w:lang w:val="en-US" w:eastAsia="zh-CN"/>
    </w:rPr>
  </w:style>
  <w:style w:type="character" w:customStyle="1" w:styleId="194">
    <w:name w:val="样式3-2 Char"/>
    <w:qFormat/>
    <w:locked/>
    <w:uiPriority w:val="99"/>
    <w:rPr>
      <w:rFonts w:ascii="黑体" w:eastAsia="黑体"/>
      <w:b/>
      <w:sz w:val="32"/>
      <w:lang w:val="en-US" w:eastAsia="zh-CN"/>
    </w:rPr>
  </w:style>
  <w:style w:type="character" w:customStyle="1" w:styleId="195">
    <w:name w:val="访问过的超链接1"/>
    <w:unhideWhenUsed/>
    <w:qFormat/>
    <w:uiPriority w:val="99"/>
    <w:rPr>
      <w:color w:val="800080"/>
      <w:u w:val="single"/>
    </w:rPr>
  </w:style>
  <w:style w:type="character" w:customStyle="1" w:styleId="196">
    <w:name w:val="正文文本缩进 2 字符1"/>
    <w:link w:val="35"/>
    <w:qFormat/>
    <w:uiPriority w:val="0"/>
    <w:rPr>
      <w:rFonts w:ascii="宋体" w:hAnsi="宋体"/>
      <w:kern w:val="2"/>
      <w:sz w:val="28"/>
      <w:szCs w:val="24"/>
    </w:rPr>
  </w:style>
  <w:style w:type="character" w:customStyle="1" w:styleId="197">
    <w:name w:val="表标题 Char Char"/>
    <w:link w:val="198"/>
    <w:qFormat/>
    <w:uiPriority w:val="0"/>
    <w:rPr>
      <w:rFonts w:ascii="Calibri" w:hAnsi="Calibri" w:eastAsia="黑体"/>
      <w:sz w:val="24"/>
      <w:szCs w:val="24"/>
      <w:lang w:val="zh-CN" w:eastAsia="zh-CN"/>
    </w:rPr>
  </w:style>
  <w:style w:type="paragraph" w:customStyle="1" w:styleId="198">
    <w:name w:val="表标题"/>
    <w:basedOn w:val="1"/>
    <w:link w:val="197"/>
    <w:qFormat/>
    <w:uiPriority w:val="0"/>
    <w:pPr>
      <w:widowControl/>
      <w:spacing w:beforeLines="100" w:line="280" w:lineRule="exact"/>
      <w:ind w:firstLine="50" w:firstLineChars="50"/>
      <w:jc w:val="left"/>
    </w:pPr>
    <w:rPr>
      <w:rFonts w:ascii="Calibri" w:hAnsi="Calibri" w:eastAsia="黑体"/>
      <w:kern w:val="0"/>
      <w:sz w:val="24"/>
      <w:szCs w:val="24"/>
      <w:lang w:val="zh-CN"/>
    </w:rPr>
  </w:style>
  <w:style w:type="character" w:customStyle="1" w:styleId="199">
    <w:name w:val="Body Text 3 Char Char"/>
    <w:qFormat/>
    <w:locked/>
    <w:uiPriority w:val="99"/>
    <w:rPr>
      <w:rFonts w:ascii="宋体"/>
      <w:color w:val="0000FF"/>
      <w:kern w:val="2"/>
      <w:sz w:val="24"/>
    </w:rPr>
  </w:style>
  <w:style w:type="character" w:customStyle="1" w:styleId="200">
    <w:name w:val="样式 正文文本缩进 + 首行缩进:  2 字符 Char Char Char Char"/>
    <w:link w:val="201"/>
    <w:qFormat/>
    <w:locked/>
    <w:uiPriority w:val="99"/>
    <w:rPr>
      <w:sz w:val="24"/>
    </w:rPr>
  </w:style>
  <w:style w:type="paragraph" w:customStyle="1" w:styleId="201">
    <w:name w:val="样式 正文文本缩进 + 首行缩进:  2 字符 Char"/>
    <w:basedOn w:val="202"/>
    <w:link w:val="200"/>
    <w:qFormat/>
    <w:uiPriority w:val="99"/>
    <w:pPr>
      <w:tabs>
        <w:tab w:val="left" w:pos="9016"/>
      </w:tabs>
      <w:overflowPunct w:val="0"/>
      <w:autoSpaceDE w:val="0"/>
      <w:autoSpaceDN w:val="0"/>
      <w:spacing w:line="500" w:lineRule="exact"/>
      <w:ind w:firstLine="480" w:firstLineChars="200"/>
      <w:jc w:val="left"/>
    </w:pPr>
    <w:rPr>
      <w:rFonts w:ascii="Times New Roman"/>
      <w:spacing w:val="0"/>
      <w:kern w:val="0"/>
      <w:sz w:val="24"/>
      <w:szCs w:val="20"/>
    </w:rPr>
  </w:style>
  <w:style w:type="paragraph" w:customStyle="1" w:styleId="202">
    <w:name w:val="正文文本缩进1"/>
    <w:basedOn w:val="1"/>
    <w:next w:val="24"/>
    <w:link w:val="503"/>
    <w:qFormat/>
    <w:uiPriority w:val="99"/>
    <w:pPr>
      <w:spacing w:line="200" w:lineRule="exact"/>
      <w:ind w:firstLine="301"/>
    </w:pPr>
    <w:rPr>
      <w:rFonts w:ascii="宋体"/>
      <w:spacing w:val="-4"/>
      <w:sz w:val="18"/>
    </w:rPr>
  </w:style>
  <w:style w:type="character" w:customStyle="1" w:styleId="203">
    <w:name w:val="Intense Quote Char1"/>
    <w:qFormat/>
    <w:uiPriority w:val="30"/>
    <w:rPr>
      <w:b/>
      <w:bCs/>
      <w:i/>
      <w:iCs/>
      <w:color w:val="4F81BD"/>
    </w:rPr>
  </w:style>
  <w:style w:type="character" w:customStyle="1" w:styleId="204">
    <w:name w:val="Char Char2"/>
    <w:qFormat/>
    <w:uiPriority w:val="0"/>
    <w:rPr>
      <w:rFonts w:eastAsia="宋体"/>
      <w:kern w:val="2"/>
      <w:sz w:val="18"/>
      <w:szCs w:val="18"/>
      <w:lang w:val="en-US" w:eastAsia="zh-CN" w:bidi="ar-SA"/>
    </w:rPr>
  </w:style>
  <w:style w:type="character" w:customStyle="1" w:styleId="205">
    <w:name w:val="标题 8 字符"/>
    <w:link w:val="10"/>
    <w:qFormat/>
    <w:uiPriority w:val="0"/>
    <w:rPr>
      <w:rFonts w:ascii="Arial" w:hAnsi="Arial" w:eastAsia="黑体"/>
      <w:sz w:val="24"/>
      <w:szCs w:val="24"/>
    </w:rPr>
  </w:style>
  <w:style w:type="character" w:customStyle="1" w:styleId="206">
    <w:name w:val="批注框文本 Char Char Char Char"/>
    <w:semiHidden/>
    <w:qFormat/>
    <w:uiPriority w:val="99"/>
    <w:rPr>
      <w:kern w:val="0"/>
      <w:sz w:val="2"/>
    </w:rPr>
  </w:style>
  <w:style w:type="character" w:customStyle="1" w:styleId="207">
    <w:name w:val="yinying"/>
    <w:qFormat/>
    <w:uiPriority w:val="99"/>
    <w:rPr>
      <w:rFonts w:ascii="Tahoma" w:hAnsi="Tahoma"/>
      <w:sz w:val="20"/>
    </w:rPr>
  </w:style>
  <w:style w:type="character" w:customStyle="1" w:styleId="208">
    <w:name w:val="彩色列表 - 着色 1 Char"/>
    <w:link w:val="209"/>
    <w:qFormat/>
    <w:locked/>
    <w:uiPriority w:val="0"/>
    <w:rPr>
      <w:szCs w:val="21"/>
    </w:rPr>
  </w:style>
  <w:style w:type="paragraph" w:customStyle="1" w:styleId="209">
    <w:name w:val="彩色列表 - 着色 11"/>
    <w:basedOn w:val="1"/>
    <w:link w:val="208"/>
    <w:qFormat/>
    <w:uiPriority w:val="0"/>
    <w:pPr>
      <w:ind w:firstLine="420" w:firstLineChars="200"/>
    </w:pPr>
    <w:rPr>
      <w:kern w:val="0"/>
      <w:sz w:val="20"/>
      <w:szCs w:val="21"/>
    </w:rPr>
  </w:style>
  <w:style w:type="character" w:customStyle="1" w:styleId="210">
    <w:name w:val="样式2-1 Char Char"/>
    <w:qFormat/>
    <w:uiPriority w:val="99"/>
    <w:rPr>
      <w:rFonts w:ascii="华文中宋" w:hAnsi="华文中宋" w:eastAsia="华文中宋"/>
      <w:b/>
      <w:color w:val="000000"/>
      <w:kern w:val="2"/>
      <w:sz w:val="44"/>
      <w:lang w:val="en-US" w:eastAsia="zh-CN"/>
    </w:rPr>
  </w:style>
  <w:style w:type="character" w:customStyle="1" w:styleId="211">
    <w:name w:val="正文文本 3 Char3"/>
    <w:qFormat/>
    <w:uiPriority w:val="99"/>
  </w:style>
  <w:style w:type="character" w:customStyle="1" w:styleId="212">
    <w:name w:val="脚注文本 字符"/>
    <w:link w:val="45"/>
    <w:qFormat/>
    <w:uiPriority w:val="0"/>
    <w:rPr>
      <w:sz w:val="18"/>
    </w:rPr>
  </w:style>
  <w:style w:type="character" w:customStyle="1" w:styleId="213">
    <w:name w:val="正文首行缩进 2 Char"/>
    <w:qFormat/>
    <w:uiPriority w:val="0"/>
    <w:rPr>
      <w:kern w:val="2"/>
      <w:sz w:val="21"/>
      <w:szCs w:val="22"/>
    </w:rPr>
  </w:style>
  <w:style w:type="character" w:customStyle="1" w:styleId="214">
    <w:name w:val="标题 2 字符2"/>
    <w:link w:val="4"/>
    <w:qFormat/>
    <w:uiPriority w:val="99"/>
    <w:rPr>
      <w:rFonts w:ascii="Cambria" w:hAnsi="Cambria"/>
      <w:b/>
      <w:bCs/>
      <w:kern w:val="2"/>
      <w:sz w:val="32"/>
      <w:szCs w:val="32"/>
    </w:rPr>
  </w:style>
  <w:style w:type="character" w:customStyle="1" w:styleId="215">
    <w:name w:val="标题 3 Char1"/>
    <w:qFormat/>
    <w:uiPriority w:val="99"/>
    <w:rPr>
      <w:b/>
      <w:sz w:val="20"/>
    </w:rPr>
  </w:style>
  <w:style w:type="character" w:customStyle="1" w:styleId="216">
    <w:name w:val="正文文本缩进 Char4"/>
    <w:qFormat/>
    <w:uiPriority w:val="99"/>
  </w:style>
  <w:style w:type="character" w:customStyle="1" w:styleId="217">
    <w:name w:val="Title Char1"/>
    <w:qFormat/>
    <w:uiPriority w:val="10"/>
    <w:rPr>
      <w:rFonts w:ascii="Cambria" w:hAnsi="Cambria" w:cs="Times New Roman"/>
      <w:b/>
      <w:bCs/>
      <w:sz w:val="32"/>
      <w:szCs w:val="32"/>
    </w:rPr>
  </w:style>
  <w:style w:type="character" w:customStyle="1" w:styleId="218">
    <w:name w:val="宏文本 Char1"/>
    <w:semiHidden/>
    <w:qFormat/>
    <w:uiPriority w:val="99"/>
    <w:rPr>
      <w:rFonts w:ascii="Courier New" w:hAnsi="Courier New" w:cs="Courier New"/>
      <w:kern w:val="2"/>
      <w:sz w:val="24"/>
      <w:szCs w:val="24"/>
    </w:rPr>
  </w:style>
  <w:style w:type="character" w:customStyle="1" w:styleId="219">
    <w:name w:val="样式3-1 Char"/>
    <w:link w:val="126"/>
    <w:qFormat/>
    <w:uiPriority w:val="0"/>
    <w:rPr>
      <w:rFonts w:ascii="宋体" w:hAnsi="宋体"/>
      <w:b/>
      <w:bCs/>
      <w:kern w:val="2"/>
      <w:sz w:val="32"/>
      <w:szCs w:val="24"/>
    </w:rPr>
  </w:style>
  <w:style w:type="character" w:customStyle="1" w:styleId="220">
    <w:name w:val="页脚 Char5"/>
    <w:semiHidden/>
    <w:qFormat/>
    <w:uiPriority w:val="99"/>
    <w:rPr>
      <w:sz w:val="18"/>
      <w:szCs w:val="18"/>
    </w:rPr>
  </w:style>
  <w:style w:type="character" w:customStyle="1" w:styleId="221">
    <w:name w:val="样式1-1 Char"/>
    <w:qFormat/>
    <w:locked/>
    <w:uiPriority w:val="99"/>
    <w:rPr>
      <w:rFonts w:ascii="华文中宋" w:hAnsi="华文中宋" w:eastAsia="华文中宋"/>
      <w:b/>
      <w:color w:val="000000"/>
      <w:sz w:val="52"/>
      <w:lang w:val="en-US" w:eastAsia="zh-CN"/>
    </w:rPr>
  </w:style>
  <w:style w:type="character" w:customStyle="1" w:styleId="222">
    <w:name w:val="Comment Subject Char2"/>
    <w:link w:val="223"/>
    <w:qFormat/>
    <w:locked/>
    <w:uiPriority w:val="99"/>
    <w:rPr>
      <w:rFonts w:ascii="Calibri" w:hAnsi="Calibri"/>
      <w:b/>
      <w:bCs/>
      <w:szCs w:val="24"/>
    </w:rPr>
  </w:style>
  <w:style w:type="paragraph" w:customStyle="1" w:styleId="223">
    <w:name w:val="批注主题1"/>
    <w:basedOn w:val="20"/>
    <w:next w:val="20"/>
    <w:link w:val="222"/>
    <w:unhideWhenUsed/>
    <w:qFormat/>
    <w:uiPriority w:val="99"/>
    <w:pPr>
      <w:adjustRightInd/>
      <w:spacing w:line="240" w:lineRule="auto"/>
      <w:textAlignment w:val="auto"/>
    </w:pPr>
    <w:rPr>
      <w:rFonts w:ascii="Calibri" w:hAnsi="Calibri"/>
      <w:b/>
      <w:bCs/>
      <w:sz w:val="20"/>
      <w:szCs w:val="24"/>
    </w:rPr>
  </w:style>
  <w:style w:type="character" w:customStyle="1" w:styleId="224">
    <w:name w:val="4级标题（1.1项目概况) Char Char Char"/>
    <w:link w:val="225"/>
    <w:qFormat/>
    <w:locked/>
    <w:uiPriority w:val="99"/>
    <w:rPr>
      <w:rFonts w:ascii="宋体"/>
      <w:b/>
      <w:kern w:val="2"/>
      <w:sz w:val="24"/>
    </w:rPr>
  </w:style>
  <w:style w:type="paragraph" w:customStyle="1" w:styleId="225">
    <w:name w:val="4级标题（1.1项目概况)"/>
    <w:basedOn w:val="1"/>
    <w:link w:val="224"/>
    <w:qFormat/>
    <w:uiPriority w:val="99"/>
    <w:pPr>
      <w:spacing w:line="360" w:lineRule="auto"/>
      <w:outlineLvl w:val="3"/>
    </w:pPr>
    <w:rPr>
      <w:rFonts w:ascii="宋体"/>
      <w:b/>
      <w:sz w:val="24"/>
      <w:szCs w:val="20"/>
    </w:rPr>
  </w:style>
  <w:style w:type="character" w:customStyle="1" w:styleId="226">
    <w:name w:val="纯文本 Char9"/>
    <w:semiHidden/>
    <w:qFormat/>
    <w:uiPriority w:val="99"/>
    <w:rPr>
      <w:rFonts w:ascii="宋体" w:hAnsi="Courier New" w:cs="Courier New"/>
      <w:sz w:val="21"/>
      <w:szCs w:val="21"/>
    </w:rPr>
  </w:style>
  <w:style w:type="character" w:customStyle="1" w:styleId="227">
    <w:name w:val="Char Char31"/>
    <w:qFormat/>
    <w:uiPriority w:val="0"/>
    <w:rPr>
      <w:rFonts w:eastAsia="宋体"/>
      <w:sz w:val="18"/>
      <w:lang w:val="en-US" w:eastAsia="zh-CN"/>
    </w:rPr>
  </w:style>
  <w:style w:type="character" w:customStyle="1" w:styleId="228">
    <w:name w:val="批注主题 Char3"/>
    <w:qFormat/>
    <w:uiPriority w:val="99"/>
    <w:rPr>
      <w:b/>
      <w:bCs/>
      <w:kern w:val="2"/>
      <w:sz w:val="21"/>
      <w:szCs w:val="24"/>
    </w:rPr>
  </w:style>
  <w:style w:type="character" w:customStyle="1" w:styleId="229">
    <w:name w:val="font111"/>
    <w:qFormat/>
    <w:uiPriority w:val="0"/>
    <w:rPr>
      <w:rFonts w:hint="eastAsia" w:ascii="宋体" w:hAnsi="宋体" w:eastAsia="宋体" w:cs="宋体"/>
      <w:color w:val="FF0000"/>
      <w:sz w:val="18"/>
      <w:szCs w:val="18"/>
      <w:u w:val="none"/>
    </w:rPr>
  </w:style>
  <w:style w:type="character" w:customStyle="1" w:styleId="230">
    <w:name w:val="Document Map Char2"/>
    <w:qFormat/>
    <w:locked/>
    <w:uiPriority w:val="99"/>
    <w:rPr>
      <w:sz w:val="2"/>
      <w:shd w:val="clear" w:color="auto" w:fill="000080"/>
    </w:rPr>
  </w:style>
  <w:style w:type="character" w:customStyle="1" w:styleId="231">
    <w:name w:val="4级标题（1.1项目概况) Char"/>
    <w:qFormat/>
    <w:locked/>
    <w:uiPriority w:val="99"/>
    <w:rPr>
      <w:rFonts w:ascii="宋体" w:hAnsi="宋体" w:eastAsia="宋体"/>
      <w:b/>
      <w:kern w:val="2"/>
      <w:sz w:val="24"/>
      <w:lang w:val="en-US" w:eastAsia="zh-CN"/>
    </w:rPr>
  </w:style>
  <w:style w:type="character" w:customStyle="1" w:styleId="232">
    <w:name w:val="尾注文本 Char"/>
    <w:qFormat/>
    <w:uiPriority w:val="99"/>
    <w:rPr>
      <w:rFonts w:cs="Times New Roman"/>
    </w:rPr>
  </w:style>
  <w:style w:type="character" w:customStyle="1" w:styleId="233">
    <w:name w:val="样式4-2 Char Char"/>
    <w:qFormat/>
    <w:uiPriority w:val="99"/>
    <w:rPr>
      <w:rFonts w:ascii="Calibri" w:hAnsi="Calibri" w:eastAsia="宋体"/>
      <w:b/>
      <w:kern w:val="2"/>
      <w:sz w:val="22"/>
      <w:lang w:val="en-US" w:eastAsia="zh-CN"/>
    </w:rPr>
  </w:style>
  <w:style w:type="character" w:customStyle="1" w:styleId="234">
    <w:name w:val="Char Char24"/>
    <w:qFormat/>
    <w:uiPriority w:val="99"/>
    <w:rPr>
      <w:rFonts w:ascii="Times New Roman" w:eastAsia="宋体"/>
      <w:b/>
      <w:kern w:val="44"/>
      <w:sz w:val="44"/>
    </w:rPr>
  </w:style>
  <w:style w:type="character" w:customStyle="1" w:styleId="235">
    <w:name w:val="通用web正文1"/>
    <w:qFormat/>
    <w:uiPriority w:val="0"/>
    <w:rPr>
      <w:rFonts w:hint="eastAsia" w:ascii="宋体" w:hAnsi="宋体" w:eastAsia="宋体"/>
      <w:sz w:val="18"/>
    </w:rPr>
  </w:style>
  <w:style w:type="character" w:customStyle="1" w:styleId="236">
    <w:name w:val="正文文本缩进 3 Char5"/>
    <w:qFormat/>
    <w:uiPriority w:val="99"/>
    <w:rPr>
      <w:rFonts w:ascii="Calibri" w:hAnsi="Calibri"/>
    </w:rPr>
  </w:style>
  <w:style w:type="character" w:customStyle="1" w:styleId="237">
    <w:name w:val="3级标题（总则） Char"/>
    <w:qFormat/>
    <w:locked/>
    <w:uiPriority w:val="99"/>
    <w:rPr>
      <w:rFonts w:ascii="宋体" w:hAnsi="宋体" w:eastAsia="宋体"/>
      <w:b/>
      <w:kern w:val="2"/>
      <w:sz w:val="24"/>
      <w:lang w:val="en-US" w:eastAsia="zh-CN"/>
    </w:rPr>
  </w:style>
  <w:style w:type="character" w:customStyle="1" w:styleId="238">
    <w:name w:val="标题 6 字符"/>
    <w:link w:val="8"/>
    <w:qFormat/>
    <w:uiPriority w:val="0"/>
    <w:rPr>
      <w:rFonts w:ascii="Arial" w:hAnsi="Arial" w:eastAsia="黑体"/>
      <w:b/>
      <w:bCs/>
      <w:sz w:val="24"/>
      <w:szCs w:val="24"/>
    </w:rPr>
  </w:style>
  <w:style w:type="character" w:customStyle="1" w:styleId="239">
    <w:name w:val="正文文本 3 Char4"/>
    <w:qFormat/>
    <w:uiPriority w:val="99"/>
  </w:style>
  <w:style w:type="character" w:customStyle="1" w:styleId="240">
    <w:name w:val="Body Text 2 Char"/>
    <w:qFormat/>
    <w:locked/>
    <w:uiPriority w:val="99"/>
    <w:rPr>
      <w:rFonts w:ascii="Times New Roman" w:hAnsi="Times New Roman" w:eastAsia="宋体"/>
      <w:sz w:val="24"/>
    </w:rPr>
  </w:style>
  <w:style w:type="character" w:customStyle="1" w:styleId="241">
    <w:name w:val="文档结构图 Char3"/>
    <w:qFormat/>
    <w:uiPriority w:val="99"/>
    <w:rPr>
      <w:rFonts w:ascii="宋体"/>
      <w:kern w:val="2"/>
      <w:sz w:val="18"/>
      <w:szCs w:val="18"/>
    </w:rPr>
  </w:style>
  <w:style w:type="character" w:customStyle="1" w:styleId="242">
    <w:name w:val="font71"/>
    <w:qFormat/>
    <w:uiPriority w:val="0"/>
    <w:rPr>
      <w:rFonts w:ascii="Wingdings 2" w:hAnsi="Wingdings 2" w:eastAsia="Wingdings 2" w:cs="Wingdings 2"/>
      <w:color w:val="000000"/>
      <w:sz w:val="18"/>
      <w:szCs w:val="18"/>
      <w:u w:val="none"/>
    </w:rPr>
  </w:style>
  <w:style w:type="character" w:customStyle="1" w:styleId="243">
    <w:name w:val="明显参考1"/>
    <w:qFormat/>
    <w:uiPriority w:val="99"/>
    <w:rPr>
      <w:b/>
      <w:bCs/>
      <w:smallCaps/>
      <w:color w:val="C0504D"/>
      <w:spacing w:val="5"/>
      <w:u w:val="single"/>
    </w:rPr>
  </w:style>
  <w:style w:type="character" w:customStyle="1" w:styleId="244">
    <w:name w:val="批注文字 Char5"/>
    <w:semiHidden/>
    <w:qFormat/>
    <w:uiPriority w:val="99"/>
    <w:rPr>
      <w:sz w:val="21"/>
    </w:rPr>
  </w:style>
  <w:style w:type="character" w:customStyle="1" w:styleId="245">
    <w:name w:val="页脚 Char Char"/>
    <w:qFormat/>
    <w:uiPriority w:val="99"/>
    <w:rPr>
      <w:kern w:val="2"/>
      <w:sz w:val="18"/>
    </w:rPr>
  </w:style>
  <w:style w:type="character" w:customStyle="1" w:styleId="246">
    <w:name w:val="Subtitle Char1"/>
    <w:qFormat/>
    <w:uiPriority w:val="11"/>
    <w:rPr>
      <w:rFonts w:ascii="Cambria" w:hAnsi="Cambria" w:cs="Times New Roman"/>
      <w:b/>
      <w:bCs/>
      <w:kern w:val="28"/>
      <w:sz w:val="32"/>
      <w:szCs w:val="32"/>
    </w:rPr>
  </w:style>
  <w:style w:type="character" w:customStyle="1" w:styleId="247">
    <w:name w:val="明显引用 字符"/>
    <w:link w:val="248"/>
    <w:qFormat/>
    <w:uiPriority w:val="0"/>
    <w:rPr>
      <w:b/>
      <w:bCs/>
      <w:i/>
      <w:iCs/>
      <w:color w:val="4F81BD"/>
      <w:kern w:val="2"/>
      <w:sz w:val="21"/>
      <w:szCs w:val="22"/>
    </w:rPr>
  </w:style>
  <w:style w:type="paragraph" w:styleId="248">
    <w:name w:val="Intense Quote"/>
    <w:basedOn w:val="1"/>
    <w:next w:val="1"/>
    <w:link w:val="247"/>
    <w:qFormat/>
    <w:uiPriority w:val="0"/>
    <w:pPr>
      <w:pBdr>
        <w:bottom w:val="single" w:color="4F81BD" w:sz="4" w:space="4"/>
      </w:pBdr>
      <w:spacing w:before="200" w:after="280"/>
      <w:ind w:left="936" w:right="936"/>
    </w:pPr>
    <w:rPr>
      <w:b/>
      <w:bCs/>
      <w:i/>
      <w:iCs/>
      <w:color w:val="4F81BD"/>
    </w:rPr>
  </w:style>
  <w:style w:type="character" w:customStyle="1" w:styleId="249">
    <w:name w:val="副标题 Char7"/>
    <w:qFormat/>
    <w:uiPriority w:val="99"/>
    <w:rPr>
      <w:rFonts w:ascii="Cambria" w:hAnsi="Cambria" w:eastAsia="宋体" w:cs="Times New Roman"/>
      <w:b/>
      <w:bCs/>
      <w:kern w:val="28"/>
      <w:sz w:val="32"/>
      <w:szCs w:val="32"/>
    </w:rPr>
  </w:style>
  <w:style w:type="character" w:customStyle="1" w:styleId="250">
    <w:name w:val="正文文本缩进 Char6"/>
    <w:semiHidden/>
    <w:qFormat/>
    <w:uiPriority w:val="99"/>
    <w:rPr>
      <w:rFonts w:ascii="Calibri" w:hAnsi="Calibri" w:eastAsia="宋体"/>
    </w:rPr>
  </w:style>
  <w:style w:type="character" w:customStyle="1" w:styleId="251">
    <w:name w:val="Char Char61"/>
    <w:qFormat/>
    <w:uiPriority w:val="99"/>
    <w:rPr>
      <w:rFonts w:ascii="Arial" w:hAnsi="Arial" w:eastAsia="黑体"/>
      <w:b/>
      <w:sz w:val="32"/>
      <w:lang w:val="en-US" w:eastAsia="zh-CN"/>
    </w:rPr>
  </w:style>
  <w:style w:type="character" w:customStyle="1" w:styleId="252">
    <w:name w:val="样式1 Char"/>
    <w:qFormat/>
    <w:uiPriority w:val="0"/>
    <w:rPr>
      <w:rFonts w:ascii="华文仿宋" w:hAnsi="华文仿宋" w:eastAsia="华文仿宋"/>
      <w:b/>
      <w:color w:val="000000"/>
      <w:kern w:val="2"/>
      <w:sz w:val="30"/>
      <w:szCs w:val="30"/>
      <w:u w:val="single"/>
    </w:rPr>
  </w:style>
  <w:style w:type="character" w:customStyle="1" w:styleId="253">
    <w:name w:val="纯文本 字符4"/>
    <w:link w:val="31"/>
    <w:qFormat/>
    <w:uiPriority w:val="0"/>
    <w:rPr>
      <w:rFonts w:ascii="宋体" w:hAnsi="Courier New" w:eastAsia="宋体"/>
      <w:color w:val="000000"/>
      <w:kern w:val="2"/>
      <w:sz w:val="21"/>
      <w:lang w:val="en-US" w:eastAsia="zh-CN" w:bidi="ar-SA"/>
    </w:rPr>
  </w:style>
  <w:style w:type="character" w:customStyle="1" w:styleId="254">
    <w:name w:val="22"/>
    <w:qFormat/>
    <w:uiPriority w:val="99"/>
    <w:rPr>
      <w:rFonts w:ascii="宋体" w:hAnsi="宋体" w:eastAsia="宋体"/>
      <w:b/>
      <w:color w:val="000000"/>
      <w:spacing w:val="0"/>
      <w:sz w:val="20"/>
    </w:rPr>
  </w:style>
  <w:style w:type="character" w:customStyle="1" w:styleId="255">
    <w:name w:val="正文文本 Char3"/>
    <w:qFormat/>
    <w:uiPriority w:val="99"/>
    <w:rPr>
      <w:kern w:val="2"/>
      <w:sz w:val="21"/>
      <w:szCs w:val="24"/>
    </w:rPr>
  </w:style>
  <w:style w:type="character" w:customStyle="1" w:styleId="256">
    <w:name w:val="正文文本缩进 Char1"/>
    <w:qFormat/>
    <w:uiPriority w:val="99"/>
    <w:rPr>
      <w:rFonts w:ascii="Times New Roman" w:hAnsi="Times New Roman" w:eastAsia="宋体" w:cs="Times New Roman"/>
      <w:szCs w:val="24"/>
    </w:rPr>
  </w:style>
  <w:style w:type="character" w:customStyle="1" w:styleId="257">
    <w:name w:val="文档结构图 字符2"/>
    <w:link w:val="18"/>
    <w:qFormat/>
    <w:uiPriority w:val="0"/>
    <w:rPr>
      <w:rFonts w:ascii="宋体"/>
      <w:sz w:val="18"/>
      <w:szCs w:val="18"/>
    </w:rPr>
  </w:style>
  <w:style w:type="character" w:customStyle="1" w:styleId="258">
    <w:name w:val="正文文本 3 Char8"/>
    <w:semiHidden/>
    <w:qFormat/>
    <w:uiPriority w:val="99"/>
    <w:rPr>
      <w:sz w:val="16"/>
      <w:szCs w:val="16"/>
    </w:rPr>
  </w:style>
  <w:style w:type="character" w:customStyle="1" w:styleId="259">
    <w:name w:val="纯文本 Char8"/>
    <w:qFormat/>
    <w:locked/>
    <w:uiPriority w:val="99"/>
    <w:rPr>
      <w:rFonts w:ascii="宋体" w:hAnsi="Courier New"/>
      <w:kern w:val="2"/>
      <w:sz w:val="21"/>
    </w:rPr>
  </w:style>
  <w:style w:type="character" w:customStyle="1" w:styleId="260">
    <w:name w:val="样式5 Char Char"/>
    <w:qFormat/>
    <w:locked/>
    <w:uiPriority w:val="99"/>
    <w:rPr>
      <w:rFonts w:ascii="黑体" w:eastAsia="黑体"/>
      <w:b/>
      <w:kern w:val="2"/>
      <w:sz w:val="32"/>
    </w:rPr>
  </w:style>
  <w:style w:type="character" w:customStyle="1" w:styleId="261">
    <w:name w:val="明显引用 Char4"/>
    <w:qFormat/>
    <w:uiPriority w:val="99"/>
    <w:rPr>
      <w:b/>
      <w:i/>
      <w:color w:val="4F81BD"/>
    </w:rPr>
  </w:style>
  <w:style w:type="character" w:customStyle="1" w:styleId="262">
    <w:name w:val="书籍标题2"/>
    <w:qFormat/>
    <w:uiPriority w:val="0"/>
    <w:rPr>
      <w:b/>
      <w:bCs/>
      <w:smallCaps/>
      <w:spacing w:val="5"/>
    </w:rPr>
  </w:style>
  <w:style w:type="character" w:customStyle="1" w:styleId="263">
    <w:name w:val="样式 段落编号 + (中文) 黑体 两端对齐 Char Char Char Char Char"/>
    <w:qFormat/>
    <w:locked/>
    <w:uiPriority w:val="99"/>
    <w:rPr>
      <w:rFonts w:ascii="宋体" w:hAnsi="宋体" w:eastAsia="黑体"/>
      <w:kern w:val="2"/>
      <w:sz w:val="24"/>
      <w:lang w:val="en-US" w:eastAsia="zh-CN"/>
    </w:rPr>
  </w:style>
  <w:style w:type="character" w:customStyle="1" w:styleId="264">
    <w:name w:val="纯文本 字符1"/>
    <w:qFormat/>
    <w:uiPriority w:val="0"/>
    <w:rPr>
      <w:rFonts w:ascii="等线" w:hAnsi="Courier New" w:eastAsia="等线" w:cs="Courier New"/>
      <w:kern w:val="2"/>
      <w:sz w:val="21"/>
      <w:szCs w:val="24"/>
    </w:rPr>
  </w:style>
  <w:style w:type="character" w:customStyle="1" w:styleId="265">
    <w:name w:val="HTML 预设格式 Char4"/>
    <w:semiHidden/>
    <w:qFormat/>
    <w:uiPriority w:val="99"/>
    <w:rPr>
      <w:rFonts w:ascii="Courier New" w:hAnsi="Courier New" w:cs="Courier New"/>
    </w:rPr>
  </w:style>
  <w:style w:type="character" w:customStyle="1" w:styleId="266">
    <w:name w:val="尾注文本 Char2"/>
    <w:qFormat/>
    <w:uiPriority w:val="99"/>
    <w:rPr>
      <w:kern w:val="2"/>
      <w:sz w:val="24"/>
    </w:rPr>
  </w:style>
  <w:style w:type="character" w:customStyle="1" w:styleId="267">
    <w:name w:val="批注引用1"/>
    <w:qFormat/>
    <w:uiPriority w:val="99"/>
    <w:rPr>
      <w:sz w:val="21"/>
    </w:rPr>
  </w:style>
  <w:style w:type="character" w:customStyle="1" w:styleId="268">
    <w:name w:val="正文文本 3 字符"/>
    <w:link w:val="269"/>
    <w:qFormat/>
    <w:uiPriority w:val="0"/>
    <w:rPr>
      <w:kern w:val="2"/>
      <w:sz w:val="24"/>
      <w:szCs w:val="24"/>
    </w:rPr>
  </w:style>
  <w:style w:type="paragraph" w:customStyle="1" w:styleId="269">
    <w:name w:val="正文文本 31"/>
    <w:basedOn w:val="1"/>
    <w:next w:val="22"/>
    <w:link w:val="268"/>
    <w:qFormat/>
    <w:uiPriority w:val="99"/>
    <w:rPr>
      <w:sz w:val="24"/>
      <w:szCs w:val="24"/>
    </w:rPr>
  </w:style>
  <w:style w:type="character" w:customStyle="1" w:styleId="270">
    <w:name w:val="页眉 Char1"/>
    <w:qFormat/>
    <w:uiPriority w:val="99"/>
    <w:rPr>
      <w:kern w:val="2"/>
      <w:sz w:val="18"/>
      <w:szCs w:val="18"/>
    </w:rPr>
  </w:style>
  <w:style w:type="character" w:customStyle="1" w:styleId="271">
    <w:name w:val="15"/>
    <w:qFormat/>
    <w:uiPriority w:val="99"/>
    <w:rPr>
      <w:rFonts w:ascii="Times New Roman" w:hAnsi="Times New Roman"/>
      <w:b/>
    </w:rPr>
  </w:style>
  <w:style w:type="character" w:customStyle="1" w:styleId="272">
    <w:name w:val="Balloon Text Char"/>
    <w:link w:val="273"/>
    <w:qFormat/>
    <w:locked/>
    <w:uiPriority w:val="99"/>
    <w:rPr>
      <w:sz w:val="18"/>
    </w:rPr>
  </w:style>
  <w:style w:type="paragraph" w:customStyle="1" w:styleId="273">
    <w:name w:val="批注框文本 Char Char"/>
    <w:basedOn w:val="1"/>
    <w:link w:val="272"/>
    <w:qFormat/>
    <w:uiPriority w:val="99"/>
    <w:pPr>
      <w:widowControl/>
      <w:jc w:val="left"/>
    </w:pPr>
    <w:rPr>
      <w:kern w:val="0"/>
      <w:sz w:val="18"/>
      <w:szCs w:val="20"/>
    </w:rPr>
  </w:style>
  <w:style w:type="character" w:customStyle="1" w:styleId="274">
    <w:name w:val="明显强调2"/>
    <w:qFormat/>
    <w:uiPriority w:val="0"/>
    <w:rPr>
      <w:b/>
      <w:bCs/>
      <w:i/>
      <w:iCs/>
      <w:color w:val="4F81BD"/>
    </w:rPr>
  </w:style>
  <w:style w:type="character" w:customStyle="1" w:styleId="275">
    <w:name w:val="样式5 Char"/>
    <w:link w:val="276"/>
    <w:qFormat/>
    <w:uiPriority w:val="0"/>
    <w:rPr>
      <w:rFonts w:ascii="宋体"/>
      <w:u w:val="single"/>
    </w:rPr>
  </w:style>
  <w:style w:type="paragraph" w:customStyle="1" w:styleId="276">
    <w:name w:val="样式5"/>
    <w:basedOn w:val="31"/>
    <w:link w:val="275"/>
    <w:qFormat/>
    <w:uiPriority w:val="99"/>
    <w:pPr>
      <w:pBdr>
        <w:bottom w:val="thickThinSmallGap" w:color="auto" w:sz="12" w:space="1"/>
      </w:pBdr>
      <w:tabs>
        <w:tab w:val="center" w:pos="4535"/>
      </w:tabs>
      <w:jc w:val="center"/>
    </w:pPr>
    <w:rPr>
      <w:rFonts w:hAnsi="Times New Roman"/>
      <w:color w:val="auto"/>
      <w:kern w:val="0"/>
      <w:sz w:val="20"/>
      <w:u w:val="single"/>
    </w:rPr>
  </w:style>
  <w:style w:type="character" w:customStyle="1" w:styleId="277">
    <w:name w:val="rec-time"/>
    <w:basedOn w:val="64"/>
    <w:qFormat/>
    <w:uiPriority w:val="0"/>
  </w:style>
  <w:style w:type="character" w:customStyle="1" w:styleId="278">
    <w:name w:val="样式2-1 Char Char Char"/>
    <w:link w:val="279"/>
    <w:qFormat/>
    <w:locked/>
    <w:uiPriority w:val="99"/>
    <w:rPr>
      <w:rFonts w:ascii="华文中宋" w:hAnsi="华文中宋" w:eastAsia="华文中宋"/>
      <w:b/>
      <w:color w:val="000000"/>
      <w:kern w:val="2"/>
      <w:sz w:val="44"/>
    </w:rPr>
  </w:style>
  <w:style w:type="paragraph" w:customStyle="1" w:styleId="279">
    <w:name w:val="样式2-1"/>
    <w:basedOn w:val="1"/>
    <w:link w:val="278"/>
    <w:qFormat/>
    <w:uiPriority w:val="99"/>
    <w:pPr>
      <w:adjustRightInd w:val="0"/>
      <w:snapToGrid w:val="0"/>
      <w:spacing w:beforeLines="100" w:afterLines="100"/>
      <w:jc w:val="center"/>
      <w:outlineLvl w:val="1"/>
    </w:pPr>
    <w:rPr>
      <w:rFonts w:ascii="华文中宋" w:hAnsi="华文中宋" w:eastAsia="华文中宋"/>
      <w:b/>
      <w:color w:val="000000"/>
      <w:sz w:val="44"/>
      <w:szCs w:val="20"/>
    </w:rPr>
  </w:style>
  <w:style w:type="character" w:customStyle="1" w:styleId="280">
    <w:name w:val="正文文本缩进 3 字符"/>
    <w:link w:val="281"/>
    <w:qFormat/>
    <w:uiPriority w:val="0"/>
    <w:rPr>
      <w:kern w:val="2"/>
      <w:sz w:val="24"/>
      <w:szCs w:val="24"/>
    </w:rPr>
  </w:style>
  <w:style w:type="paragraph" w:customStyle="1" w:styleId="281">
    <w:name w:val="正文文本缩进 31"/>
    <w:basedOn w:val="1"/>
    <w:next w:val="48"/>
    <w:link w:val="280"/>
    <w:qFormat/>
    <w:uiPriority w:val="99"/>
    <w:pPr>
      <w:spacing w:line="400" w:lineRule="exact"/>
      <w:ind w:left="360"/>
    </w:pPr>
    <w:rPr>
      <w:sz w:val="24"/>
      <w:szCs w:val="24"/>
    </w:rPr>
  </w:style>
  <w:style w:type="character" w:customStyle="1" w:styleId="282">
    <w:name w:val="列出段落 字符"/>
    <w:link w:val="283"/>
    <w:qFormat/>
    <w:locked/>
    <w:uiPriority w:val="34"/>
    <w:rPr>
      <w:rFonts w:ascii="Calibri" w:hAnsi="Calibri"/>
      <w:kern w:val="2"/>
      <w:sz w:val="21"/>
      <w:szCs w:val="22"/>
    </w:rPr>
  </w:style>
  <w:style w:type="paragraph" w:styleId="283">
    <w:name w:val="List Paragraph"/>
    <w:basedOn w:val="1"/>
    <w:link w:val="282"/>
    <w:qFormat/>
    <w:uiPriority w:val="0"/>
    <w:pPr>
      <w:ind w:firstLine="420" w:firstLineChars="200"/>
    </w:pPr>
    <w:rPr>
      <w:rFonts w:ascii="Calibri" w:hAnsi="Calibri"/>
    </w:rPr>
  </w:style>
  <w:style w:type="character" w:customStyle="1" w:styleId="284">
    <w:name w:val="标题 3 字符1"/>
    <w:link w:val="5"/>
    <w:qFormat/>
    <w:uiPriority w:val="0"/>
    <w:rPr>
      <w:b/>
      <w:bCs/>
      <w:kern w:val="2"/>
      <w:sz w:val="28"/>
      <w:szCs w:val="32"/>
    </w:rPr>
  </w:style>
  <w:style w:type="character" w:customStyle="1" w:styleId="285">
    <w:name w:val="样式 正文文本缩进 + 首行缩进:  2 字符 Char Char"/>
    <w:qFormat/>
    <w:locked/>
    <w:uiPriority w:val="99"/>
    <w:rPr>
      <w:rFonts w:eastAsia="宋体"/>
      <w:sz w:val="24"/>
      <w:lang w:val="en-US" w:eastAsia="zh-CN"/>
    </w:rPr>
  </w:style>
  <w:style w:type="character" w:customStyle="1" w:styleId="286">
    <w:name w:val="Plain Text Char Char"/>
    <w:qFormat/>
    <w:locked/>
    <w:uiPriority w:val="99"/>
    <w:rPr>
      <w:rFonts w:ascii="宋体" w:hAnsi="Courier New"/>
      <w:kern w:val="2"/>
      <w:sz w:val="21"/>
    </w:rPr>
  </w:style>
  <w:style w:type="character" w:customStyle="1" w:styleId="287">
    <w:name w:val="标题 8 Char Char"/>
    <w:qFormat/>
    <w:uiPriority w:val="99"/>
    <w:rPr>
      <w:rFonts w:ascii="Cambria" w:hAnsi="Cambria" w:eastAsia="宋体"/>
      <w:kern w:val="2"/>
      <w:sz w:val="24"/>
    </w:rPr>
  </w:style>
  <w:style w:type="character" w:customStyle="1" w:styleId="288">
    <w:name w:val="明显引用 Char2"/>
    <w:qFormat/>
    <w:uiPriority w:val="99"/>
    <w:rPr>
      <w:b/>
      <w:bCs/>
      <w:i/>
      <w:iCs/>
      <w:color w:val="4472C4"/>
      <w:kern w:val="2"/>
      <w:sz w:val="21"/>
      <w:szCs w:val="24"/>
    </w:rPr>
  </w:style>
  <w:style w:type="character" w:customStyle="1" w:styleId="289">
    <w:name w:val="font31"/>
    <w:qFormat/>
    <w:uiPriority w:val="0"/>
    <w:rPr>
      <w:rFonts w:ascii="font-weight : 400" w:hAnsi="font-weight : 400" w:eastAsia="font-weight : 400" w:cs="font-weight : 400"/>
      <w:color w:val="000000"/>
      <w:sz w:val="18"/>
      <w:szCs w:val="18"/>
      <w:u w:val="none"/>
    </w:rPr>
  </w:style>
  <w:style w:type="character" w:customStyle="1" w:styleId="290">
    <w:name w:val="不明显强调1"/>
    <w:qFormat/>
    <w:uiPriority w:val="99"/>
    <w:rPr>
      <w:i/>
      <w:iCs/>
      <w:color w:val="808080"/>
    </w:rPr>
  </w:style>
  <w:style w:type="character" w:customStyle="1" w:styleId="291">
    <w:name w:val="g Char Char"/>
    <w:qFormat/>
    <w:uiPriority w:val="99"/>
    <w:rPr>
      <w:sz w:val="18"/>
    </w:rPr>
  </w:style>
  <w:style w:type="character" w:customStyle="1" w:styleId="292">
    <w:name w:val="Default Char Char Char"/>
    <w:link w:val="151"/>
    <w:qFormat/>
    <w:locked/>
    <w:uiPriority w:val="99"/>
    <w:rPr>
      <w:rFonts w:ascii="宋体"/>
      <w:color w:val="000000"/>
      <w:sz w:val="24"/>
    </w:rPr>
  </w:style>
  <w:style w:type="character" w:customStyle="1" w:styleId="293">
    <w:name w:val="样式5-2 Char"/>
    <w:qFormat/>
    <w:locked/>
    <w:uiPriority w:val="99"/>
    <w:rPr>
      <w:rFonts w:ascii="Calibri" w:hAnsi="Calibri" w:eastAsia="宋体"/>
      <w:b/>
      <w:kern w:val="2"/>
      <w:sz w:val="22"/>
      <w:lang w:val="en-US" w:eastAsia="zh-CN"/>
    </w:rPr>
  </w:style>
  <w:style w:type="character" w:customStyle="1" w:styleId="294">
    <w:name w:val="正文首行缩进 字符"/>
    <w:link w:val="295"/>
    <w:qFormat/>
    <w:uiPriority w:val="0"/>
    <w:rPr>
      <w:szCs w:val="22"/>
    </w:rPr>
  </w:style>
  <w:style w:type="paragraph" w:customStyle="1" w:styleId="295">
    <w:name w:val="正文首行缩进1"/>
    <w:basedOn w:val="23"/>
    <w:next w:val="60"/>
    <w:link w:val="294"/>
    <w:qFormat/>
    <w:uiPriority w:val="0"/>
    <w:pPr>
      <w:ind w:firstLine="420" w:firstLineChars="100"/>
    </w:pPr>
    <w:rPr>
      <w:kern w:val="0"/>
      <w:sz w:val="20"/>
    </w:rPr>
  </w:style>
  <w:style w:type="character" w:customStyle="1" w:styleId="296">
    <w:name w:val="日期 Char2"/>
    <w:qFormat/>
    <w:uiPriority w:val="99"/>
    <w:rPr>
      <w:kern w:val="2"/>
      <w:sz w:val="21"/>
      <w:szCs w:val="22"/>
    </w:rPr>
  </w:style>
  <w:style w:type="character" w:customStyle="1" w:styleId="297">
    <w:name w:val="纯文本 Char1"/>
    <w:qFormat/>
    <w:uiPriority w:val="0"/>
    <w:rPr>
      <w:rFonts w:ascii="宋体" w:hAnsi="Courier New" w:eastAsia="宋体"/>
      <w:color w:val="000000"/>
      <w:kern w:val="2"/>
      <w:sz w:val="21"/>
      <w:lang w:val="en-US" w:eastAsia="zh-CN" w:bidi="ar-SA"/>
    </w:rPr>
  </w:style>
  <w:style w:type="character" w:customStyle="1" w:styleId="298">
    <w:name w:val="standdate1"/>
    <w:qFormat/>
    <w:uiPriority w:val="99"/>
    <w:rPr>
      <w:rFonts w:ascii="黑体" w:hAnsi="Times New Roman" w:eastAsia="黑体"/>
      <w:color w:val="auto"/>
      <w:sz w:val="24"/>
      <w:u w:val="none"/>
    </w:rPr>
  </w:style>
  <w:style w:type="character" w:customStyle="1" w:styleId="299">
    <w:name w:val="正文文本 Char6"/>
    <w:semiHidden/>
    <w:qFormat/>
    <w:uiPriority w:val="99"/>
    <w:rPr>
      <w:rFonts w:ascii="Calibri" w:hAnsi="Calibri" w:eastAsia="宋体"/>
    </w:rPr>
  </w:style>
  <w:style w:type="character" w:customStyle="1" w:styleId="300">
    <w:name w:val="不明显强调2"/>
    <w:qFormat/>
    <w:uiPriority w:val="0"/>
    <w:rPr>
      <w:i/>
      <w:iCs/>
      <w:color w:val="808080"/>
    </w:rPr>
  </w:style>
  <w:style w:type="character" w:customStyle="1" w:styleId="301">
    <w:name w:val="页眉 字符1"/>
    <w:qFormat/>
    <w:uiPriority w:val="99"/>
    <w:rPr>
      <w:kern w:val="2"/>
      <w:sz w:val="18"/>
      <w:szCs w:val="18"/>
    </w:rPr>
  </w:style>
  <w:style w:type="character" w:customStyle="1" w:styleId="302">
    <w:name w:val="标题 1 字符1"/>
    <w:link w:val="3"/>
    <w:qFormat/>
    <w:uiPriority w:val="0"/>
    <w:rPr>
      <w:b/>
      <w:bCs/>
      <w:kern w:val="44"/>
      <w:sz w:val="44"/>
      <w:szCs w:val="44"/>
    </w:rPr>
  </w:style>
  <w:style w:type="character" w:customStyle="1" w:styleId="303">
    <w:name w:val="页脚 Char4"/>
    <w:semiHidden/>
    <w:qFormat/>
    <w:uiPriority w:val="99"/>
    <w:rPr>
      <w:rFonts w:cs="Times New Roman"/>
      <w:sz w:val="18"/>
      <w:szCs w:val="18"/>
    </w:rPr>
  </w:style>
  <w:style w:type="character" w:customStyle="1" w:styleId="304">
    <w:name w:val="标题 Char3"/>
    <w:qFormat/>
    <w:uiPriority w:val="99"/>
    <w:rPr>
      <w:rFonts w:ascii="Cambria" w:hAnsi="Cambria"/>
      <w:b/>
    </w:rPr>
  </w:style>
  <w:style w:type="character" w:customStyle="1" w:styleId="305">
    <w:name w:val="HTML 预设格式 Char3"/>
    <w:semiHidden/>
    <w:qFormat/>
    <w:uiPriority w:val="99"/>
    <w:rPr>
      <w:rFonts w:ascii="Courier New" w:hAnsi="Courier New" w:cs="Courier New"/>
    </w:rPr>
  </w:style>
  <w:style w:type="character" w:customStyle="1" w:styleId="306">
    <w:name w:val="2级标题（前附表） Char"/>
    <w:qFormat/>
    <w:locked/>
    <w:uiPriority w:val="99"/>
    <w:rPr>
      <w:rFonts w:ascii="黑体" w:eastAsia="黑体"/>
      <w:color w:val="000000"/>
      <w:kern w:val="2"/>
      <w:sz w:val="28"/>
      <w:lang w:val="en-US" w:eastAsia="zh-CN"/>
    </w:rPr>
  </w:style>
  <w:style w:type="character" w:customStyle="1" w:styleId="307">
    <w:name w:val="正文文本缩进 2 Char2"/>
    <w:semiHidden/>
    <w:qFormat/>
    <w:uiPriority w:val="99"/>
    <w:rPr>
      <w:kern w:val="2"/>
      <w:sz w:val="21"/>
      <w:szCs w:val="24"/>
    </w:rPr>
  </w:style>
  <w:style w:type="character" w:customStyle="1" w:styleId="308">
    <w:name w:val="正文首行缩进 2 Char2"/>
    <w:semiHidden/>
    <w:qFormat/>
    <w:uiPriority w:val="99"/>
    <w:rPr>
      <w:rFonts w:ascii="Times New Roman" w:hAnsi="Times New Roman" w:eastAsia="宋体" w:cs="Times New Roman"/>
      <w:szCs w:val="24"/>
    </w:rPr>
  </w:style>
  <w:style w:type="character" w:customStyle="1" w:styleId="309">
    <w:name w:val="样式正文-2 Char"/>
    <w:qFormat/>
    <w:locked/>
    <w:uiPriority w:val="99"/>
    <w:rPr>
      <w:rFonts w:ascii="Arial" w:hAnsi="Arial"/>
      <w:color w:val="000000"/>
      <w:sz w:val="24"/>
      <w:lang w:val="en-US" w:eastAsia="zh-CN"/>
    </w:rPr>
  </w:style>
  <w:style w:type="character" w:customStyle="1" w:styleId="310">
    <w:name w:val="Intense Quote Char"/>
    <w:link w:val="311"/>
    <w:qFormat/>
    <w:locked/>
    <w:uiPriority w:val="0"/>
    <w:rPr>
      <w:b/>
      <w:i/>
      <w:color w:val="4F81BD"/>
      <w:sz w:val="22"/>
    </w:rPr>
  </w:style>
  <w:style w:type="paragraph" w:customStyle="1" w:styleId="311">
    <w:name w:val="明显引用1"/>
    <w:basedOn w:val="1"/>
    <w:next w:val="1"/>
    <w:link w:val="310"/>
    <w:qFormat/>
    <w:uiPriority w:val="0"/>
    <w:pPr>
      <w:pBdr>
        <w:bottom w:val="single" w:color="4F81BD" w:sz="4" w:space="4"/>
      </w:pBdr>
      <w:spacing w:before="200" w:after="280"/>
      <w:ind w:left="936" w:right="936"/>
    </w:pPr>
    <w:rPr>
      <w:b/>
      <w:i/>
      <w:color w:val="4F81BD"/>
      <w:kern w:val="0"/>
      <w:sz w:val="22"/>
      <w:szCs w:val="20"/>
    </w:rPr>
  </w:style>
  <w:style w:type="character" w:customStyle="1" w:styleId="312">
    <w:name w:val="Char Char6"/>
    <w:qFormat/>
    <w:uiPriority w:val="0"/>
    <w:rPr>
      <w:rFonts w:hint="default" w:ascii="Arial" w:hAnsi="Arial" w:eastAsia="黑体" w:cs="Arial"/>
      <w:b/>
      <w:bCs/>
      <w:sz w:val="32"/>
      <w:szCs w:val="32"/>
      <w:lang w:val="en-US" w:eastAsia="zh-CN" w:bidi="ar-SA"/>
    </w:rPr>
  </w:style>
  <w:style w:type="character" w:customStyle="1" w:styleId="313">
    <w:name w:val="small1"/>
    <w:qFormat/>
    <w:uiPriority w:val="0"/>
    <w:rPr>
      <w:rFonts w:hint="default" w:ascii="Verdana" w:hAnsi="Verdana"/>
      <w:sz w:val="17"/>
      <w:szCs w:val="17"/>
    </w:rPr>
  </w:style>
  <w:style w:type="character" w:customStyle="1" w:styleId="314">
    <w:name w:val="引用 字符"/>
    <w:link w:val="315"/>
    <w:qFormat/>
    <w:uiPriority w:val="0"/>
    <w:rPr>
      <w:i/>
      <w:iCs/>
      <w:color w:val="000000"/>
      <w:kern w:val="2"/>
      <w:sz w:val="21"/>
      <w:szCs w:val="22"/>
    </w:rPr>
  </w:style>
  <w:style w:type="paragraph" w:styleId="315">
    <w:name w:val="Quote"/>
    <w:basedOn w:val="1"/>
    <w:next w:val="1"/>
    <w:link w:val="314"/>
    <w:qFormat/>
    <w:uiPriority w:val="0"/>
    <w:rPr>
      <w:i/>
      <w:iCs/>
      <w:color w:val="000000"/>
    </w:rPr>
  </w:style>
  <w:style w:type="character" w:customStyle="1" w:styleId="316">
    <w:name w:val="样式正文-1 Char"/>
    <w:qFormat/>
    <w:locked/>
    <w:uiPriority w:val="99"/>
    <w:rPr>
      <w:rFonts w:ascii="Calibri" w:hAnsi="Calibri" w:eastAsia="宋体"/>
      <w:kern w:val="2"/>
      <w:sz w:val="22"/>
      <w:lang w:val="en-US" w:eastAsia="zh-CN"/>
    </w:rPr>
  </w:style>
  <w:style w:type="character" w:customStyle="1" w:styleId="317">
    <w:name w:val="样式4-3 Char Char"/>
    <w:link w:val="318"/>
    <w:qFormat/>
    <w:locked/>
    <w:uiPriority w:val="99"/>
    <w:rPr>
      <w:rFonts w:ascii="黑体" w:hAnsi="华文中宋" w:eastAsia="黑体" w:cs="黑体"/>
      <w:b/>
      <w:bCs/>
      <w:color w:val="000000"/>
      <w:sz w:val="32"/>
      <w:szCs w:val="32"/>
    </w:rPr>
  </w:style>
  <w:style w:type="paragraph" w:customStyle="1" w:styleId="318">
    <w:name w:val="样式4-3"/>
    <w:basedOn w:val="319"/>
    <w:link w:val="317"/>
    <w:qFormat/>
    <w:uiPriority w:val="99"/>
    <w:pPr>
      <w:ind w:firstLine="482" w:firstLineChars="200"/>
      <w:outlineLvl w:val="3"/>
    </w:pPr>
    <w:rPr>
      <w:rFonts w:cs="黑体"/>
      <w:bCs/>
      <w:szCs w:val="32"/>
    </w:rPr>
  </w:style>
  <w:style w:type="paragraph" w:customStyle="1" w:styleId="319">
    <w:name w:val="样式3-3"/>
    <w:basedOn w:val="126"/>
    <w:link w:val="397"/>
    <w:qFormat/>
    <w:uiPriority w:val="99"/>
    <w:pPr>
      <w:autoSpaceDE w:val="0"/>
      <w:autoSpaceDN w:val="0"/>
      <w:spacing w:before="156" w:afterLines="50" w:line="240" w:lineRule="auto"/>
      <w:jc w:val="left"/>
    </w:pPr>
    <w:rPr>
      <w:rFonts w:ascii="黑体" w:hAnsi="华文中宋" w:eastAsia="黑体"/>
      <w:bCs w:val="0"/>
      <w:color w:val="000000"/>
      <w:kern w:val="0"/>
      <w:szCs w:val="20"/>
    </w:rPr>
  </w:style>
  <w:style w:type="character" w:customStyle="1" w:styleId="320">
    <w:name w:val="标题 Char7"/>
    <w:qFormat/>
    <w:uiPriority w:val="99"/>
    <w:rPr>
      <w:rFonts w:ascii="Cambria" w:hAnsi="Cambria" w:eastAsia="宋体" w:cs="Times New Roman"/>
      <w:b/>
      <w:bCs/>
      <w:kern w:val="0"/>
      <w:sz w:val="32"/>
      <w:szCs w:val="32"/>
    </w:rPr>
  </w:style>
  <w:style w:type="character" w:customStyle="1" w:styleId="321">
    <w:name w:val="日期 Char7"/>
    <w:semiHidden/>
    <w:qFormat/>
    <w:uiPriority w:val="99"/>
    <w:rPr>
      <w:rFonts w:ascii="Times New Roman" w:hAnsi="Times New Roman" w:eastAsia="宋体" w:cs="Times New Roman"/>
      <w:kern w:val="0"/>
      <w:sz w:val="20"/>
      <w:szCs w:val="20"/>
    </w:rPr>
  </w:style>
  <w:style w:type="character" w:customStyle="1" w:styleId="322">
    <w:name w:val="明显参考2"/>
    <w:qFormat/>
    <w:uiPriority w:val="0"/>
    <w:rPr>
      <w:b/>
      <w:bCs/>
      <w:smallCaps/>
      <w:color w:val="C0504D"/>
      <w:spacing w:val="5"/>
      <w:u w:val="single"/>
    </w:rPr>
  </w:style>
  <w:style w:type="character" w:customStyle="1" w:styleId="323">
    <w:name w:val="标题 5 字符"/>
    <w:link w:val="7"/>
    <w:qFormat/>
    <w:uiPriority w:val="0"/>
    <w:rPr>
      <w:b/>
      <w:bCs/>
      <w:sz w:val="28"/>
      <w:szCs w:val="28"/>
      <w:lang w:val="zh-CN" w:eastAsia="zh-CN"/>
    </w:rPr>
  </w:style>
  <w:style w:type="character" w:customStyle="1" w:styleId="324">
    <w:name w:val="宏文本 字符"/>
    <w:link w:val="2"/>
    <w:qFormat/>
    <w:uiPriority w:val="99"/>
    <w:rPr>
      <w:rFonts w:ascii="Courier New" w:hAnsi="Courier New"/>
      <w:kern w:val="2"/>
      <w:sz w:val="24"/>
    </w:rPr>
  </w:style>
  <w:style w:type="character" w:customStyle="1" w:styleId="325">
    <w:name w:val="v151"/>
    <w:qFormat/>
    <w:uiPriority w:val="0"/>
    <w:rPr>
      <w:sz w:val="18"/>
      <w:szCs w:val="18"/>
    </w:rPr>
  </w:style>
  <w:style w:type="character" w:customStyle="1" w:styleId="326">
    <w:name w:val="明显引用 Char1"/>
    <w:qFormat/>
    <w:uiPriority w:val="99"/>
    <w:rPr>
      <w:b/>
      <w:bCs/>
      <w:i/>
      <w:iCs/>
      <w:color w:val="4472C4"/>
      <w:kern w:val="2"/>
      <w:sz w:val="21"/>
      <w:szCs w:val="22"/>
    </w:rPr>
  </w:style>
  <w:style w:type="character" w:customStyle="1" w:styleId="327">
    <w:name w:val="Heading 3 Char"/>
    <w:qFormat/>
    <w:uiPriority w:val="99"/>
    <w:rPr>
      <w:b/>
      <w:kern w:val="0"/>
      <w:sz w:val="32"/>
    </w:rPr>
  </w:style>
  <w:style w:type="character" w:customStyle="1" w:styleId="328">
    <w:name w:val="脚注文本 Char1"/>
    <w:qFormat/>
    <w:uiPriority w:val="99"/>
    <w:rPr>
      <w:kern w:val="2"/>
      <w:sz w:val="18"/>
      <w:szCs w:val="18"/>
    </w:rPr>
  </w:style>
  <w:style w:type="character" w:customStyle="1" w:styleId="329">
    <w:name w:val="HTML Markup"/>
    <w:qFormat/>
    <w:uiPriority w:val="0"/>
    <w:rPr>
      <w:vanish/>
      <w:color w:val="FF0000"/>
    </w:rPr>
  </w:style>
  <w:style w:type="character" w:customStyle="1" w:styleId="330">
    <w:name w:val="批注框文本 Char9"/>
    <w:semiHidden/>
    <w:qFormat/>
    <w:uiPriority w:val="99"/>
    <w:rPr>
      <w:sz w:val="18"/>
      <w:szCs w:val="18"/>
    </w:rPr>
  </w:style>
  <w:style w:type="character" w:customStyle="1" w:styleId="331">
    <w:name w:val="样式5-1 Char Char"/>
    <w:link w:val="332"/>
    <w:qFormat/>
    <w:locked/>
    <w:uiPriority w:val="99"/>
    <w:rPr>
      <w:b/>
      <w:kern w:val="2"/>
      <w:sz w:val="22"/>
    </w:rPr>
  </w:style>
  <w:style w:type="paragraph" w:customStyle="1" w:styleId="332">
    <w:name w:val="样式5-1"/>
    <w:basedOn w:val="333"/>
    <w:link w:val="331"/>
    <w:qFormat/>
    <w:uiPriority w:val="99"/>
    <w:pPr>
      <w:spacing w:before="240" w:after="240"/>
      <w:outlineLvl w:val="4"/>
    </w:pPr>
    <w:rPr>
      <w:b/>
    </w:rPr>
  </w:style>
  <w:style w:type="paragraph" w:customStyle="1" w:styleId="333">
    <w:name w:val="样式正文-1"/>
    <w:basedOn w:val="1"/>
    <w:link w:val="554"/>
    <w:qFormat/>
    <w:uiPriority w:val="99"/>
    <w:pPr>
      <w:adjustRightInd w:val="0"/>
      <w:snapToGrid w:val="0"/>
      <w:spacing w:beforeLines="100" w:afterLines="100"/>
    </w:pPr>
    <w:rPr>
      <w:sz w:val="22"/>
      <w:szCs w:val="20"/>
    </w:rPr>
  </w:style>
  <w:style w:type="character" w:customStyle="1" w:styleId="334">
    <w:name w:val="纯文本 Char3"/>
    <w:qFormat/>
    <w:uiPriority w:val="99"/>
    <w:rPr>
      <w:rFonts w:ascii="宋体" w:hAnsi="Courier New" w:eastAsia="宋体" w:cs="Courier New"/>
      <w:szCs w:val="21"/>
    </w:rPr>
  </w:style>
  <w:style w:type="character" w:customStyle="1" w:styleId="335">
    <w:name w:val="日期 字符2"/>
    <w:basedOn w:val="64"/>
    <w:semiHidden/>
    <w:qFormat/>
    <w:uiPriority w:val="99"/>
  </w:style>
  <w:style w:type="character" w:customStyle="1" w:styleId="336">
    <w:name w:val="正文文本缩进 3 字符1"/>
    <w:link w:val="48"/>
    <w:qFormat/>
    <w:uiPriority w:val="99"/>
    <w:rPr>
      <w:kern w:val="2"/>
      <w:sz w:val="16"/>
      <w:szCs w:val="16"/>
    </w:rPr>
  </w:style>
  <w:style w:type="character" w:customStyle="1" w:styleId="337">
    <w:name w:val="页眉 字符"/>
    <w:link w:val="39"/>
    <w:qFormat/>
    <w:uiPriority w:val="0"/>
    <w:rPr>
      <w:kern w:val="2"/>
      <w:sz w:val="18"/>
      <w:szCs w:val="18"/>
    </w:rPr>
  </w:style>
  <w:style w:type="character" w:customStyle="1" w:styleId="338">
    <w:name w:val="文档结构图 Char Char"/>
    <w:qFormat/>
    <w:uiPriority w:val="99"/>
    <w:rPr>
      <w:rFonts w:ascii="Times New Roman" w:hAnsi="Times New Roman"/>
      <w:sz w:val="24"/>
      <w:shd w:val="clear" w:color="auto" w:fill="000080"/>
    </w:rPr>
  </w:style>
  <w:style w:type="character" w:customStyle="1" w:styleId="339">
    <w:name w:val="ft101"/>
    <w:qFormat/>
    <w:uiPriority w:val="99"/>
    <w:rPr>
      <w:spacing w:val="320"/>
      <w:sz w:val="20"/>
    </w:rPr>
  </w:style>
  <w:style w:type="character" w:customStyle="1" w:styleId="340">
    <w:name w:val="样式4 Char"/>
    <w:link w:val="341"/>
    <w:qFormat/>
    <w:uiPriority w:val="0"/>
    <w:rPr>
      <w:bCs/>
      <w:sz w:val="18"/>
      <w:szCs w:val="18"/>
    </w:rPr>
  </w:style>
  <w:style w:type="paragraph" w:customStyle="1" w:styleId="341">
    <w:name w:val="样式4"/>
    <w:basedOn w:val="39"/>
    <w:link w:val="340"/>
    <w:qFormat/>
    <w:uiPriority w:val="99"/>
    <w:pPr>
      <w:pBdr>
        <w:bottom w:val="thickThinSmallGap" w:color="auto" w:sz="12" w:space="1"/>
      </w:pBdr>
      <w:jc w:val="both"/>
    </w:pPr>
    <w:rPr>
      <w:bCs/>
      <w:kern w:val="0"/>
    </w:rPr>
  </w:style>
  <w:style w:type="character" w:customStyle="1" w:styleId="342">
    <w:name w:val="副标题 Char4"/>
    <w:qFormat/>
    <w:uiPriority w:val="99"/>
    <w:rPr>
      <w:rFonts w:ascii="Cambria" w:hAnsi="Cambria"/>
      <w:b/>
    </w:rPr>
  </w:style>
  <w:style w:type="character" w:customStyle="1" w:styleId="343">
    <w:name w:val="正文文本缩进 3 Char3"/>
    <w:qFormat/>
    <w:uiPriority w:val="99"/>
  </w:style>
  <w:style w:type="character" w:customStyle="1" w:styleId="344">
    <w:name w:val="明显引用 Char3"/>
    <w:qFormat/>
    <w:uiPriority w:val="99"/>
    <w:rPr>
      <w:b/>
      <w:i/>
      <w:color w:val="4F81BD"/>
    </w:rPr>
  </w:style>
  <w:style w:type="character" w:customStyle="1" w:styleId="345">
    <w:name w:val="Char Char5"/>
    <w:qFormat/>
    <w:uiPriority w:val="0"/>
    <w:rPr>
      <w:rFonts w:eastAsia="宋体"/>
      <w:kern w:val="2"/>
      <w:sz w:val="21"/>
      <w:szCs w:val="24"/>
      <w:lang w:val="en-US" w:eastAsia="zh-CN" w:bidi="ar-SA"/>
    </w:rPr>
  </w:style>
  <w:style w:type="character" w:customStyle="1" w:styleId="346">
    <w:name w:val="rec-volume"/>
    <w:basedOn w:val="64"/>
    <w:qFormat/>
    <w:uiPriority w:val="0"/>
  </w:style>
  <w:style w:type="character" w:customStyle="1" w:styleId="347">
    <w:name w:val="批注框文本 Char5"/>
    <w:qFormat/>
    <w:uiPriority w:val="99"/>
  </w:style>
  <w:style w:type="character" w:customStyle="1" w:styleId="348">
    <w:name w:val="文章正文 Char"/>
    <w:qFormat/>
    <w:locked/>
    <w:uiPriority w:val="99"/>
    <w:rPr>
      <w:rFonts w:ascii="宋体" w:hAnsi="宋体" w:eastAsia="宋体"/>
      <w:kern w:val="2"/>
      <w:sz w:val="21"/>
      <w:lang w:val="en-US" w:eastAsia="zh-CN"/>
    </w:rPr>
  </w:style>
  <w:style w:type="character" w:customStyle="1" w:styleId="349">
    <w:name w:val="页脚 Char_0"/>
    <w:link w:val="350"/>
    <w:qFormat/>
    <w:uiPriority w:val="99"/>
    <w:rPr>
      <w:rFonts w:ascii="Calibri" w:hAnsi="Calibri"/>
      <w:sz w:val="18"/>
      <w:szCs w:val="18"/>
    </w:rPr>
  </w:style>
  <w:style w:type="paragraph" w:customStyle="1" w:styleId="350">
    <w:name w:val="页脚1"/>
    <w:basedOn w:val="351"/>
    <w:link w:val="349"/>
    <w:unhideWhenUsed/>
    <w:qFormat/>
    <w:uiPriority w:val="99"/>
    <w:pPr>
      <w:tabs>
        <w:tab w:val="center" w:pos="4153"/>
        <w:tab w:val="right" w:pos="8306"/>
      </w:tabs>
      <w:snapToGrid w:val="0"/>
      <w:jc w:val="left"/>
    </w:pPr>
    <w:rPr>
      <w:sz w:val="18"/>
      <w:szCs w:val="18"/>
    </w:rPr>
  </w:style>
  <w:style w:type="paragraph" w:customStyle="1" w:styleId="351">
    <w:name w:val="Normal_1"/>
    <w:qFormat/>
    <w:uiPriority w:val="0"/>
    <w:pPr>
      <w:widowControl w:val="0"/>
      <w:jc w:val="both"/>
    </w:pPr>
    <w:rPr>
      <w:rFonts w:ascii="Calibri" w:hAnsi="Calibri" w:eastAsia="宋体" w:cs="Times New Roman"/>
      <w:lang w:val="en-US" w:eastAsia="zh-CN" w:bidi="ar-SA"/>
    </w:rPr>
  </w:style>
  <w:style w:type="character" w:customStyle="1" w:styleId="352">
    <w:name w:val="不明显参考2"/>
    <w:qFormat/>
    <w:uiPriority w:val="0"/>
    <w:rPr>
      <w:smallCaps/>
      <w:color w:val="C0504D"/>
      <w:u w:val="single"/>
    </w:rPr>
  </w:style>
  <w:style w:type="character" w:customStyle="1" w:styleId="353">
    <w:name w:val="文档结构图 Char7"/>
    <w:semiHidden/>
    <w:qFormat/>
    <w:uiPriority w:val="99"/>
    <w:rPr>
      <w:rFonts w:ascii="宋体" w:hAnsi="Times New Roman" w:eastAsia="宋体" w:cs="Times New Roman"/>
      <w:kern w:val="0"/>
      <w:sz w:val="18"/>
      <w:szCs w:val="18"/>
    </w:rPr>
  </w:style>
  <w:style w:type="character" w:customStyle="1" w:styleId="354">
    <w:name w:val="正文缩进2格 Char Char"/>
    <w:link w:val="355"/>
    <w:qFormat/>
    <w:locked/>
    <w:uiPriority w:val="99"/>
    <w:rPr>
      <w:rFonts w:ascii="仿宋_GB2312" w:hAnsi="宋体" w:eastAsia="仿宋_GB2312"/>
      <w:sz w:val="28"/>
    </w:rPr>
  </w:style>
  <w:style w:type="paragraph" w:customStyle="1" w:styleId="355">
    <w:name w:val="正文缩进2格"/>
    <w:basedOn w:val="1"/>
    <w:link w:val="354"/>
    <w:qFormat/>
    <w:uiPriority w:val="99"/>
    <w:pPr>
      <w:spacing w:line="600" w:lineRule="exact"/>
      <w:ind w:firstLine="639" w:firstLineChars="206"/>
    </w:pPr>
    <w:rPr>
      <w:rFonts w:ascii="仿宋_GB2312" w:hAnsi="宋体" w:eastAsia="仿宋_GB2312"/>
      <w:kern w:val="0"/>
      <w:sz w:val="28"/>
      <w:szCs w:val="20"/>
    </w:rPr>
  </w:style>
  <w:style w:type="character" w:customStyle="1" w:styleId="356">
    <w:name w:val="dy_biao_content1"/>
    <w:qFormat/>
    <w:uiPriority w:val="0"/>
    <w:rPr>
      <w:rFonts w:hint="eastAsia" w:ascii="宋体" w:hAnsi="宋体" w:eastAsia="宋体"/>
      <w:sz w:val="24"/>
      <w:szCs w:val="24"/>
    </w:rPr>
  </w:style>
  <w:style w:type="character" w:customStyle="1" w:styleId="357">
    <w:name w:val="正文首行缩进 Char4"/>
    <w:basedOn w:val="358"/>
    <w:semiHidden/>
    <w:qFormat/>
    <w:uiPriority w:val="99"/>
  </w:style>
  <w:style w:type="character" w:customStyle="1" w:styleId="358">
    <w:name w:val="正文文本 Char8"/>
    <w:basedOn w:val="64"/>
    <w:semiHidden/>
    <w:qFormat/>
    <w:uiPriority w:val="99"/>
  </w:style>
  <w:style w:type="character" w:customStyle="1" w:styleId="359">
    <w:name w:val="样式2-1 Char"/>
    <w:qFormat/>
    <w:locked/>
    <w:uiPriority w:val="99"/>
    <w:rPr>
      <w:rFonts w:ascii="华文中宋" w:hAnsi="华文中宋" w:eastAsia="华文中宋"/>
      <w:b/>
      <w:color w:val="000000"/>
      <w:kern w:val="2"/>
      <w:sz w:val="44"/>
      <w:lang w:val="en-US" w:eastAsia="zh-CN"/>
    </w:rPr>
  </w:style>
  <w:style w:type="character" w:customStyle="1" w:styleId="360">
    <w:name w:val="样式 样式 样式 纯文本 + 楷体_GB2312 四号 浅蓝 首行缩进:  1.1 厘米 行距: 1.5 倍行距 + 首行缩进:... Char"/>
    <w:link w:val="361"/>
    <w:qFormat/>
    <w:uiPriority w:val="0"/>
    <w:rPr>
      <w:rFonts w:ascii="宋体" w:hAnsi="宋体" w:cs="宋体"/>
      <w:kern w:val="2"/>
      <w:sz w:val="30"/>
    </w:rPr>
  </w:style>
  <w:style w:type="paragraph" w:customStyle="1" w:styleId="361">
    <w:name w:val="样式 样式 样式 纯文本 + 楷体_GB2312 四号 浅蓝 首行缩进:  1.1 厘米 行距: 1.5 倍行距 + 首行缩进:..."/>
    <w:basedOn w:val="362"/>
    <w:link w:val="360"/>
    <w:qFormat/>
    <w:uiPriority w:val="0"/>
    <w:pPr>
      <w:ind w:firstLine="607" w:firstLineChars="200"/>
      <w:jc w:val="left"/>
    </w:pPr>
    <w:rPr>
      <w:bCs w:val="0"/>
    </w:rPr>
  </w:style>
  <w:style w:type="paragraph" w:customStyle="1" w:styleId="362">
    <w:name w:val="样式 样式 纯文本 + 楷体_GB2312 四号 浅蓝 首行缩进:  1.1 厘米 行距: 1.5 倍行距 + 首行缩进:  4..."/>
    <w:basedOn w:val="1"/>
    <w:link w:val="372"/>
    <w:qFormat/>
    <w:uiPriority w:val="0"/>
    <w:pPr>
      <w:spacing w:line="360" w:lineRule="auto"/>
      <w:ind w:firstLine="300" w:firstLineChars="100"/>
    </w:pPr>
    <w:rPr>
      <w:rFonts w:ascii="宋体" w:hAnsi="宋体" w:cs="宋体"/>
      <w:bCs/>
      <w:sz w:val="30"/>
      <w:szCs w:val="20"/>
    </w:rPr>
  </w:style>
  <w:style w:type="character" w:customStyle="1" w:styleId="363">
    <w:name w:val="正文（山谷网络） Char"/>
    <w:link w:val="364"/>
    <w:qFormat/>
    <w:locked/>
    <w:uiPriority w:val="0"/>
    <w:rPr>
      <w:rFonts w:ascii="Arial" w:hAnsi="Arial"/>
      <w:szCs w:val="21"/>
    </w:rPr>
  </w:style>
  <w:style w:type="paragraph" w:customStyle="1" w:styleId="364">
    <w:name w:val="正文（山谷网络）"/>
    <w:link w:val="363"/>
    <w:qFormat/>
    <w:uiPriority w:val="0"/>
    <w:pPr>
      <w:spacing w:line="300" w:lineRule="auto"/>
    </w:pPr>
    <w:rPr>
      <w:rFonts w:ascii="Arial" w:hAnsi="Arial" w:eastAsia="宋体" w:cs="Times New Roman"/>
      <w:szCs w:val="21"/>
      <w:lang w:val="en-US" w:eastAsia="zh-CN" w:bidi="ar-SA"/>
    </w:rPr>
  </w:style>
  <w:style w:type="character" w:customStyle="1" w:styleId="365">
    <w:name w:val="样式5-2 Char Char"/>
    <w:link w:val="366"/>
    <w:qFormat/>
    <w:locked/>
    <w:uiPriority w:val="99"/>
    <w:rPr>
      <w:b/>
      <w:kern w:val="2"/>
      <w:sz w:val="22"/>
    </w:rPr>
  </w:style>
  <w:style w:type="paragraph" w:customStyle="1" w:styleId="366">
    <w:name w:val="样式5-2"/>
    <w:basedOn w:val="332"/>
    <w:link w:val="365"/>
    <w:qFormat/>
    <w:uiPriority w:val="99"/>
    <w:pPr>
      <w:spacing w:before="312" w:after="312"/>
      <w:ind w:firstLine="482" w:firstLineChars="200"/>
    </w:pPr>
  </w:style>
  <w:style w:type="character" w:customStyle="1" w:styleId="367">
    <w:name w:val="批注主题 Char7"/>
    <w:semiHidden/>
    <w:qFormat/>
    <w:uiPriority w:val="99"/>
    <w:rPr>
      <w:rFonts w:ascii="Times New Roman" w:hAnsi="Times New Roman" w:eastAsia="宋体" w:cs="Times New Roman"/>
      <w:b/>
      <w:bCs/>
      <w:kern w:val="0"/>
      <w:sz w:val="20"/>
      <w:szCs w:val="20"/>
    </w:rPr>
  </w:style>
  <w:style w:type="character" w:customStyle="1" w:styleId="368">
    <w:name w:val="批注主题 Char6"/>
    <w:semiHidden/>
    <w:qFormat/>
    <w:uiPriority w:val="99"/>
    <w:rPr>
      <w:rFonts w:ascii="Calibri" w:hAnsi="Calibri" w:eastAsia="宋体"/>
      <w:b/>
    </w:rPr>
  </w:style>
  <w:style w:type="character" w:customStyle="1" w:styleId="369">
    <w:name w:val="文档结构图 Char1"/>
    <w:qFormat/>
    <w:uiPriority w:val="0"/>
    <w:rPr>
      <w:rFonts w:ascii="宋体"/>
      <w:kern w:val="2"/>
      <w:sz w:val="18"/>
      <w:szCs w:val="18"/>
    </w:rPr>
  </w:style>
  <w:style w:type="character" w:customStyle="1" w:styleId="370">
    <w:name w:val="正文文本缩进 Char8"/>
    <w:basedOn w:val="64"/>
    <w:semiHidden/>
    <w:qFormat/>
    <w:uiPriority w:val="99"/>
  </w:style>
  <w:style w:type="character" w:customStyle="1" w:styleId="371">
    <w:name w:val="批注框文本 Char3"/>
    <w:qFormat/>
    <w:uiPriority w:val="99"/>
    <w:rPr>
      <w:kern w:val="2"/>
      <w:sz w:val="18"/>
      <w:szCs w:val="18"/>
    </w:rPr>
  </w:style>
  <w:style w:type="character" w:customStyle="1" w:styleId="372">
    <w:name w:val="样式 样式 纯文本 + 楷体_GB2312 四号 浅蓝 首行缩进:  1.1 厘米 行距: 1.5 倍行距 + 首行缩进:  4... Char"/>
    <w:link w:val="362"/>
    <w:qFormat/>
    <w:uiPriority w:val="0"/>
    <w:rPr>
      <w:rFonts w:ascii="宋体" w:hAnsi="宋体" w:cs="宋体"/>
      <w:bCs/>
      <w:kern w:val="2"/>
      <w:sz w:val="30"/>
    </w:rPr>
  </w:style>
  <w:style w:type="character" w:customStyle="1" w:styleId="373">
    <w:name w:val="副标题 Char1"/>
    <w:qFormat/>
    <w:uiPriority w:val="0"/>
    <w:rPr>
      <w:rFonts w:ascii="Cambria" w:hAnsi="Cambria" w:cs="Times New Roman"/>
      <w:b/>
      <w:bCs/>
      <w:kern w:val="28"/>
      <w:sz w:val="32"/>
      <w:szCs w:val="32"/>
    </w:rPr>
  </w:style>
  <w:style w:type="character" w:customStyle="1" w:styleId="374">
    <w:name w:val="Char Char62"/>
    <w:qFormat/>
    <w:uiPriority w:val="99"/>
    <w:rPr>
      <w:rFonts w:ascii="Arial" w:hAnsi="Arial" w:eastAsia="黑体"/>
      <w:b/>
      <w:sz w:val="32"/>
      <w:lang w:val="en-US" w:eastAsia="zh-CN"/>
    </w:rPr>
  </w:style>
  <w:style w:type="character" w:customStyle="1" w:styleId="375">
    <w:name w:val="样式4-1 Char Char Char"/>
    <w:qFormat/>
    <w:uiPriority w:val="99"/>
    <w:rPr>
      <w:rFonts w:ascii="Calibri" w:hAnsi="Calibri"/>
      <w:b/>
      <w:kern w:val="2"/>
      <w:sz w:val="22"/>
    </w:rPr>
  </w:style>
  <w:style w:type="character" w:customStyle="1" w:styleId="376">
    <w:name w:val="正文文本缩进 3 Char4"/>
    <w:qFormat/>
    <w:uiPriority w:val="99"/>
  </w:style>
  <w:style w:type="character" w:customStyle="1" w:styleId="377">
    <w:name w:val="日期 Char3"/>
    <w:qFormat/>
    <w:uiPriority w:val="99"/>
    <w:rPr>
      <w:kern w:val="2"/>
      <w:sz w:val="21"/>
      <w:szCs w:val="24"/>
    </w:rPr>
  </w:style>
  <w:style w:type="character" w:customStyle="1" w:styleId="378">
    <w:name w:val="正文文本缩进 3 Char1"/>
    <w:qFormat/>
    <w:uiPriority w:val="99"/>
    <w:rPr>
      <w:rFonts w:ascii="Times New Roman" w:hAnsi="Times New Roman" w:eastAsia="宋体" w:cs="Times New Roman"/>
      <w:sz w:val="16"/>
      <w:szCs w:val="16"/>
    </w:rPr>
  </w:style>
  <w:style w:type="character" w:customStyle="1" w:styleId="379">
    <w:name w:val="明显强调1"/>
    <w:qFormat/>
    <w:uiPriority w:val="99"/>
    <w:rPr>
      <w:b/>
      <w:bCs/>
      <w:i/>
      <w:iCs/>
      <w:color w:val="4F81BD"/>
    </w:rPr>
  </w:style>
  <w:style w:type="character" w:customStyle="1" w:styleId="380">
    <w:name w:val="Body Text Indent 2 Char Char"/>
    <w:qFormat/>
    <w:locked/>
    <w:uiPriority w:val="99"/>
    <w:rPr>
      <w:rFonts w:ascii="宋体"/>
      <w:kern w:val="2"/>
      <w:sz w:val="21"/>
    </w:rPr>
  </w:style>
  <w:style w:type="character" w:customStyle="1" w:styleId="381">
    <w:name w:val="批注框文本 Char8"/>
    <w:semiHidden/>
    <w:qFormat/>
    <w:uiPriority w:val="99"/>
    <w:rPr>
      <w:rFonts w:ascii="Times New Roman" w:hAnsi="Times New Roman" w:eastAsia="宋体" w:cs="Times New Roman"/>
      <w:kern w:val="0"/>
      <w:sz w:val="18"/>
      <w:szCs w:val="18"/>
    </w:rPr>
  </w:style>
  <w:style w:type="character" w:customStyle="1" w:styleId="382">
    <w:name w:val="副标题 字符2"/>
    <w:qFormat/>
    <w:uiPriority w:val="11"/>
    <w:rPr>
      <w:b/>
      <w:bCs/>
      <w:kern w:val="28"/>
      <w:sz w:val="32"/>
      <w:szCs w:val="32"/>
    </w:rPr>
  </w:style>
  <w:style w:type="character" w:customStyle="1" w:styleId="383">
    <w:name w:val="HTML 预设格式 字符1"/>
    <w:link w:val="54"/>
    <w:qFormat/>
    <w:uiPriority w:val="0"/>
    <w:rPr>
      <w:rFonts w:ascii="宋体" w:hAnsi="宋体"/>
      <w:sz w:val="24"/>
      <w:szCs w:val="24"/>
    </w:rPr>
  </w:style>
  <w:style w:type="character" w:customStyle="1" w:styleId="384">
    <w:name w:val="书籍标题21"/>
    <w:qFormat/>
    <w:uiPriority w:val="99"/>
    <w:rPr>
      <w:b/>
      <w:smallCaps/>
      <w:spacing w:val="5"/>
    </w:rPr>
  </w:style>
  <w:style w:type="character" w:customStyle="1" w:styleId="385">
    <w:name w:val="批注文字 Char4"/>
    <w:qFormat/>
    <w:uiPriority w:val="99"/>
  </w:style>
  <w:style w:type="character" w:customStyle="1" w:styleId="386">
    <w:name w:val="标题 4 Char1"/>
    <w:qFormat/>
    <w:uiPriority w:val="99"/>
    <w:rPr>
      <w:rFonts w:ascii="宋体" w:hAnsi="Arial"/>
      <w:b/>
      <w:kern w:val="2"/>
      <w:sz w:val="24"/>
    </w:rPr>
  </w:style>
  <w:style w:type="character" w:customStyle="1" w:styleId="387">
    <w:name w:val="Char Char7"/>
    <w:qFormat/>
    <w:uiPriority w:val="0"/>
    <w:rPr>
      <w:rFonts w:ascii="宋体" w:hAnsi="Courier New" w:eastAsia="宋体"/>
      <w:szCs w:val="21"/>
      <w:lang w:bidi="ar-SA"/>
    </w:rPr>
  </w:style>
  <w:style w:type="character" w:customStyle="1" w:styleId="388">
    <w:name w:val="批注文字 字符"/>
    <w:link w:val="20"/>
    <w:qFormat/>
    <w:uiPriority w:val="0"/>
    <w:rPr>
      <w:rFonts w:eastAsia="宋体"/>
      <w:sz w:val="24"/>
      <w:lang w:val="en-US" w:eastAsia="zh-CN" w:bidi="ar-SA"/>
    </w:rPr>
  </w:style>
  <w:style w:type="character" w:customStyle="1" w:styleId="389">
    <w:name w:val="副标题 Char5"/>
    <w:qFormat/>
    <w:uiPriority w:val="99"/>
    <w:rPr>
      <w:rFonts w:ascii="Cambria" w:hAnsi="Cambria"/>
      <w:b/>
    </w:rPr>
  </w:style>
  <w:style w:type="character" w:customStyle="1" w:styleId="390">
    <w:name w:val="简述正文"/>
    <w:qFormat/>
    <w:uiPriority w:val="99"/>
    <w:rPr>
      <w:sz w:val="23"/>
    </w:rPr>
  </w:style>
  <w:style w:type="character" w:customStyle="1" w:styleId="391">
    <w:name w:val="未处理的提及1"/>
    <w:unhideWhenUsed/>
    <w:qFormat/>
    <w:uiPriority w:val="99"/>
    <w:rPr>
      <w:color w:val="605E5C"/>
      <w:shd w:val="clear" w:color="auto" w:fill="E1DFDD"/>
    </w:rPr>
  </w:style>
  <w:style w:type="character" w:customStyle="1" w:styleId="392">
    <w:name w:val="Char Char"/>
    <w:qFormat/>
    <w:uiPriority w:val="0"/>
    <w:rPr>
      <w:rFonts w:ascii="Century Gothic" w:hAnsi="Century Gothic"/>
      <w:bCs/>
      <w:kern w:val="28"/>
      <w:sz w:val="21"/>
      <w:szCs w:val="32"/>
    </w:rPr>
  </w:style>
  <w:style w:type="character" w:customStyle="1" w:styleId="393">
    <w:name w:val="文档结构图 Char5"/>
    <w:qFormat/>
    <w:uiPriority w:val="99"/>
    <w:rPr>
      <w:rFonts w:ascii="宋体" w:hAnsi="宋体" w:eastAsia="宋体"/>
    </w:rPr>
  </w:style>
  <w:style w:type="character" w:customStyle="1" w:styleId="394">
    <w:name w:val="明显引用 Char5"/>
    <w:qFormat/>
    <w:uiPriority w:val="99"/>
    <w:rPr>
      <w:rFonts w:ascii="Calibri" w:hAnsi="Calibri"/>
      <w:b/>
      <w:i/>
      <w:color w:val="4F81BD"/>
    </w:rPr>
  </w:style>
  <w:style w:type="character" w:customStyle="1" w:styleId="395">
    <w:name w:val="4级标题（1.1项目概况) Char Char"/>
    <w:qFormat/>
    <w:uiPriority w:val="99"/>
    <w:rPr>
      <w:rFonts w:ascii="宋体" w:hAnsi="宋体" w:eastAsia="宋体"/>
      <w:b/>
      <w:kern w:val="2"/>
      <w:sz w:val="24"/>
      <w:lang w:val="en-US" w:eastAsia="zh-CN"/>
    </w:rPr>
  </w:style>
  <w:style w:type="character" w:customStyle="1" w:styleId="396">
    <w:name w:val="批注主题 Char4"/>
    <w:qFormat/>
    <w:uiPriority w:val="99"/>
    <w:rPr>
      <w:b/>
    </w:rPr>
  </w:style>
  <w:style w:type="character" w:customStyle="1" w:styleId="397">
    <w:name w:val="样式3-3 Char Char"/>
    <w:link w:val="319"/>
    <w:qFormat/>
    <w:locked/>
    <w:uiPriority w:val="99"/>
    <w:rPr>
      <w:rFonts w:ascii="黑体" w:hAnsi="华文中宋" w:eastAsia="黑体"/>
      <w:b/>
      <w:color w:val="000000"/>
      <w:sz w:val="32"/>
    </w:rPr>
  </w:style>
  <w:style w:type="character" w:customStyle="1" w:styleId="398">
    <w:name w:val="批注框文本 Char7"/>
    <w:semiHidden/>
    <w:qFormat/>
    <w:uiPriority w:val="99"/>
    <w:rPr>
      <w:rFonts w:ascii="Calibri" w:hAnsi="Calibri" w:eastAsia="宋体"/>
      <w:sz w:val="18"/>
    </w:rPr>
  </w:style>
  <w:style w:type="character" w:customStyle="1" w:styleId="399">
    <w:name w:val="样式5 Char Char Char Char"/>
    <w:qFormat/>
    <w:uiPriority w:val="99"/>
    <w:rPr>
      <w:rFonts w:ascii="黑体" w:eastAsia="黑体"/>
      <w:kern w:val="2"/>
      <w:sz w:val="32"/>
      <w:lang w:val="en-US" w:eastAsia="zh-CN"/>
    </w:rPr>
  </w:style>
  <w:style w:type="character" w:customStyle="1" w:styleId="400">
    <w:name w:val="纯文本 Char6"/>
    <w:semiHidden/>
    <w:qFormat/>
    <w:uiPriority w:val="99"/>
    <w:rPr>
      <w:rFonts w:ascii="宋体" w:hAnsi="Courier New" w:eastAsia="宋体"/>
      <w:sz w:val="21"/>
    </w:rPr>
  </w:style>
  <w:style w:type="character" w:customStyle="1" w:styleId="401">
    <w:name w:val="正文文本缩进 Char5"/>
    <w:qFormat/>
    <w:uiPriority w:val="99"/>
    <w:rPr>
      <w:rFonts w:ascii="Calibri" w:hAnsi="Calibri"/>
    </w:rPr>
  </w:style>
  <w:style w:type="character" w:customStyle="1" w:styleId="402">
    <w:name w:val="Comment Text Char"/>
    <w:qFormat/>
    <w:locked/>
    <w:uiPriority w:val="99"/>
    <w:rPr>
      <w:rFonts w:ascii="Times New Roman" w:hAnsi="Times New Roman" w:eastAsia="宋体"/>
      <w:sz w:val="24"/>
    </w:rPr>
  </w:style>
  <w:style w:type="character" w:customStyle="1" w:styleId="403">
    <w:name w:val="样式3 Char Char Char"/>
    <w:qFormat/>
    <w:locked/>
    <w:uiPriority w:val="99"/>
    <w:rPr>
      <w:rFonts w:eastAsia="黑体"/>
      <w:sz w:val="24"/>
    </w:rPr>
  </w:style>
  <w:style w:type="character" w:customStyle="1" w:styleId="404">
    <w:name w:val="textlabel"/>
    <w:qFormat/>
    <w:uiPriority w:val="99"/>
  </w:style>
  <w:style w:type="character" w:customStyle="1" w:styleId="405">
    <w:name w:val="2级标题（前附表） Char Char"/>
    <w:qFormat/>
    <w:uiPriority w:val="99"/>
    <w:rPr>
      <w:rFonts w:ascii="黑体" w:eastAsia="黑体"/>
      <w:color w:val="000000"/>
      <w:kern w:val="2"/>
      <w:sz w:val="28"/>
      <w:lang w:val="en-US" w:eastAsia="zh-CN"/>
    </w:rPr>
  </w:style>
  <w:style w:type="character" w:customStyle="1" w:styleId="406">
    <w:name w:val="表号 Char"/>
    <w:link w:val="407"/>
    <w:qFormat/>
    <w:locked/>
    <w:uiPriority w:val="99"/>
    <w:rPr>
      <w:sz w:val="28"/>
      <w:lang w:eastAsia="en-US"/>
    </w:rPr>
  </w:style>
  <w:style w:type="paragraph" w:customStyle="1" w:styleId="407">
    <w:name w:val="表号"/>
    <w:basedOn w:val="1"/>
    <w:link w:val="406"/>
    <w:qFormat/>
    <w:uiPriority w:val="99"/>
    <w:pPr>
      <w:keepNext/>
      <w:widowControl/>
      <w:adjustRightInd w:val="0"/>
      <w:snapToGrid w:val="0"/>
      <w:spacing w:after="200" w:line="276" w:lineRule="auto"/>
      <w:ind w:firstLine="200" w:firstLineChars="200"/>
      <w:jc w:val="right"/>
    </w:pPr>
    <w:rPr>
      <w:kern w:val="0"/>
      <w:sz w:val="28"/>
      <w:szCs w:val="20"/>
      <w:lang w:eastAsia="en-US"/>
    </w:rPr>
  </w:style>
  <w:style w:type="character" w:customStyle="1" w:styleId="408">
    <w:name w:val="样式3-2 Char Char"/>
    <w:qFormat/>
    <w:uiPriority w:val="99"/>
    <w:rPr>
      <w:rFonts w:ascii="黑体" w:eastAsia="黑体"/>
      <w:b/>
      <w:sz w:val="32"/>
      <w:lang w:val="en-US" w:eastAsia="zh-CN"/>
    </w:rPr>
  </w:style>
  <w:style w:type="character" w:customStyle="1" w:styleId="409">
    <w:name w:val="批注框文本 Char6"/>
    <w:qFormat/>
    <w:uiPriority w:val="99"/>
    <w:rPr>
      <w:rFonts w:ascii="Calibri" w:hAnsi="Calibri"/>
    </w:rPr>
  </w:style>
  <w:style w:type="character" w:customStyle="1" w:styleId="410">
    <w:name w:val="正文文本 Char5"/>
    <w:qFormat/>
    <w:uiPriority w:val="99"/>
    <w:rPr>
      <w:rFonts w:ascii="Calibri" w:hAnsi="Calibri"/>
    </w:rPr>
  </w:style>
  <w:style w:type="character" w:customStyle="1" w:styleId="411">
    <w:name w:val="文档结构图 Char6"/>
    <w:semiHidden/>
    <w:qFormat/>
    <w:uiPriority w:val="99"/>
    <w:rPr>
      <w:rFonts w:ascii="宋体" w:hAnsi="Calibri" w:eastAsia="宋体"/>
      <w:sz w:val="18"/>
    </w:rPr>
  </w:style>
  <w:style w:type="character" w:customStyle="1" w:styleId="412">
    <w:name w:val="样式正文-1 Char Char"/>
    <w:qFormat/>
    <w:uiPriority w:val="99"/>
    <w:rPr>
      <w:rFonts w:ascii="Calibri" w:hAnsi="Calibri" w:eastAsia="宋体"/>
      <w:kern w:val="2"/>
      <w:sz w:val="22"/>
      <w:lang w:val="en-US" w:eastAsia="zh-CN"/>
    </w:rPr>
  </w:style>
  <w:style w:type="character" w:customStyle="1" w:styleId="413">
    <w:name w:val="纯文本 Char7"/>
    <w:semiHidden/>
    <w:qFormat/>
    <w:uiPriority w:val="99"/>
    <w:rPr>
      <w:rFonts w:ascii="宋体" w:hAnsi="Courier New" w:eastAsia="宋体" w:cs="Courier New"/>
      <w:kern w:val="0"/>
      <w:sz w:val="21"/>
      <w:szCs w:val="21"/>
    </w:rPr>
  </w:style>
  <w:style w:type="character" w:customStyle="1" w:styleId="414">
    <w:name w:val="Heading 4 Char"/>
    <w:qFormat/>
    <w:uiPriority w:val="99"/>
    <w:rPr>
      <w:rFonts w:ascii="Cambria" w:hAnsi="Cambria" w:eastAsia="宋体"/>
      <w:b/>
      <w:kern w:val="0"/>
      <w:sz w:val="28"/>
    </w:rPr>
  </w:style>
  <w:style w:type="character" w:customStyle="1" w:styleId="415">
    <w:name w:val="link1"/>
    <w:qFormat/>
    <w:uiPriority w:val="99"/>
    <w:rPr>
      <w:sz w:val="18"/>
    </w:rPr>
  </w:style>
  <w:style w:type="character" w:customStyle="1" w:styleId="416">
    <w:name w:val="Document Map Char"/>
    <w:qFormat/>
    <w:locked/>
    <w:uiPriority w:val="99"/>
    <w:rPr>
      <w:rFonts w:eastAsia="宋体"/>
      <w:kern w:val="2"/>
      <w:sz w:val="24"/>
      <w:lang w:val="en-US" w:eastAsia="zh-CN"/>
    </w:rPr>
  </w:style>
  <w:style w:type="character" w:customStyle="1" w:styleId="417">
    <w:name w:val="样式4-2 Char"/>
    <w:qFormat/>
    <w:locked/>
    <w:uiPriority w:val="99"/>
    <w:rPr>
      <w:rFonts w:ascii="Calibri" w:hAnsi="Calibri" w:eastAsia="宋体"/>
      <w:b/>
      <w:kern w:val="2"/>
      <w:sz w:val="22"/>
      <w:lang w:val="en-US" w:eastAsia="zh-CN"/>
    </w:rPr>
  </w:style>
  <w:style w:type="character" w:customStyle="1" w:styleId="418">
    <w:name w:val="样式 黑体 小四 自定义颜色(RGB(1500))"/>
    <w:qFormat/>
    <w:uiPriority w:val="99"/>
    <w:rPr>
      <w:rFonts w:ascii="Times New Roman" w:hAnsi="Times New Roman" w:eastAsia="黑体"/>
      <w:color w:val="auto"/>
      <w:kern w:val="0"/>
      <w:sz w:val="24"/>
    </w:rPr>
  </w:style>
  <w:style w:type="character" w:customStyle="1" w:styleId="419">
    <w:name w:val="Body Text Indent 3 Char"/>
    <w:qFormat/>
    <w:locked/>
    <w:uiPriority w:val="99"/>
    <w:rPr>
      <w:rFonts w:ascii="Times New Roman" w:hAnsi="Times New Roman" w:eastAsia="宋体"/>
      <w:color w:val="FF0000"/>
      <w:sz w:val="24"/>
    </w:rPr>
  </w:style>
  <w:style w:type="character" w:customStyle="1" w:styleId="420">
    <w:name w:val="javascript"/>
    <w:qFormat/>
    <w:uiPriority w:val="99"/>
    <w:rPr>
      <w:rFonts w:ascii="Tahoma" w:hAnsi="Tahoma"/>
      <w:sz w:val="20"/>
    </w:rPr>
  </w:style>
  <w:style w:type="character" w:customStyle="1" w:styleId="421">
    <w:name w:val="正文文本 3 Char7"/>
    <w:semiHidden/>
    <w:qFormat/>
    <w:uiPriority w:val="99"/>
    <w:rPr>
      <w:rFonts w:ascii="Times New Roman" w:hAnsi="Times New Roman" w:eastAsia="宋体" w:cs="Times New Roman"/>
      <w:kern w:val="0"/>
      <w:sz w:val="16"/>
      <w:szCs w:val="16"/>
    </w:rPr>
  </w:style>
  <w:style w:type="character" w:customStyle="1" w:styleId="422">
    <w:name w:val="myfont11"/>
    <w:qFormat/>
    <w:uiPriority w:val="99"/>
    <w:rPr>
      <w:rFonts w:ascii="TYPE" w:hAnsi="TYPE"/>
      <w:color w:val="000000"/>
      <w:sz w:val="18"/>
      <w:u w:val="none"/>
    </w:rPr>
  </w:style>
  <w:style w:type="character" w:customStyle="1" w:styleId="423">
    <w:name w:val="不明显参考21"/>
    <w:qFormat/>
    <w:uiPriority w:val="99"/>
    <w:rPr>
      <w:smallCaps/>
      <w:color w:val="C0504D"/>
      <w:u w:val="single"/>
    </w:rPr>
  </w:style>
  <w:style w:type="character" w:customStyle="1" w:styleId="424">
    <w:name w:val="批注文字 Char3"/>
    <w:qFormat/>
    <w:uiPriority w:val="99"/>
  </w:style>
  <w:style w:type="character" w:customStyle="1" w:styleId="425">
    <w:name w:val="页眉 Char2"/>
    <w:qFormat/>
    <w:uiPriority w:val="99"/>
  </w:style>
  <w:style w:type="character" w:customStyle="1" w:styleId="426">
    <w:name w:val="页脚 Char3"/>
    <w:semiHidden/>
    <w:qFormat/>
    <w:uiPriority w:val="99"/>
    <w:rPr>
      <w:kern w:val="2"/>
      <w:sz w:val="18"/>
    </w:rPr>
  </w:style>
  <w:style w:type="character" w:customStyle="1" w:styleId="427">
    <w:name w:val="日期 Char6"/>
    <w:semiHidden/>
    <w:qFormat/>
    <w:uiPriority w:val="99"/>
    <w:rPr>
      <w:rFonts w:ascii="Calibri" w:hAnsi="Calibri" w:eastAsia="宋体"/>
    </w:rPr>
  </w:style>
  <w:style w:type="character" w:customStyle="1" w:styleId="428">
    <w:name w:val="正文文本缩进 3 Char7"/>
    <w:semiHidden/>
    <w:qFormat/>
    <w:uiPriority w:val="99"/>
    <w:rPr>
      <w:rFonts w:ascii="Times New Roman" w:hAnsi="Times New Roman" w:eastAsia="宋体" w:cs="Times New Roman"/>
      <w:kern w:val="0"/>
      <w:sz w:val="16"/>
      <w:szCs w:val="16"/>
    </w:rPr>
  </w:style>
  <w:style w:type="character" w:customStyle="1" w:styleId="429">
    <w:name w:val="Char Char32"/>
    <w:qFormat/>
    <w:uiPriority w:val="99"/>
    <w:rPr>
      <w:rFonts w:eastAsia="宋体"/>
      <w:sz w:val="18"/>
      <w:lang w:val="en-US" w:eastAsia="zh-CN"/>
    </w:rPr>
  </w:style>
  <w:style w:type="character" w:customStyle="1" w:styleId="430">
    <w:name w:val="Document Map Char Char"/>
    <w:semiHidden/>
    <w:qFormat/>
    <w:uiPriority w:val="99"/>
    <w:rPr>
      <w:rFonts w:eastAsia="宋体"/>
      <w:kern w:val="2"/>
      <w:sz w:val="24"/>
      <w:lang w:val="en-US" w:eastAsia="zh-CN"/>
    </w:rPr>
  </w:style>
  <w:style w:type="character" w:customStyle="1" w:styleId="431">
    <w:name w:val="样式 段落编号 + (中文) 黑体 两端对齐 Char Char Char Char Char Char Char"/>
    <w:link w:val="432"/>
    <w:qFormat/>
    <w:locked/>
    <w:uiPriority w:val="99"/>
    <w:rPr>
      <w:rFonts w:ascii="宋体" w:hAnsi="宋体" w:eastAsia="黑体"/>
      <w:kern w:val="2"/>
      <w:sz w:val="24"/>
    </w:rPr>
  </w:style>
  <w:style w:type="paragraph" w:customStyle="1" w:styleId="432">
    <w:name w:val="样式 段落编号 + (中文) 黑体 两端对齐 Char Char Char Char"/>
    <w:basedOn w:val="1"/>
    <w:link w:val="431"/>
    <w:qFormat/>
    <w:uiPriority w:val="99"/>
    <w:pPr>
      <w:adjustRightInd w:val="0"/>
      <w:snapToGrid w:val="0"/>
      <w:spacing w:before="60" w:after="240" w:line="400" w:lineRule="exact"/>
      <w:ind w:left="482"/>
      <w:jc w:val="left"/>
      <w:textAlignment w:val="baseline"/>
    </w:pPr>
    <w:rPr>
      <w:rFonts w:ascii="宋体" w:hAnsi="宋体" w:eastAsia="黑体"/>
      <w:sz w:val="24"/>
      <w:szCs w:val="20"/>
    </w:rPr>
  </w:style>
  <w:style w:type="character" w:customStyle="1" w:styleId="433">
    <w:name w:val="1级标题（第一卷） Char Char"/>
    <w:link w:val="434"/>
    <w:qFormat/>
    <w:locked/>
    <w:uiPriority w:val="99"/>
    <w:rPr>
      <w:rFonts w:ascii="黑体" w:hAnsi="华文中宋" w:eastAsia="黑体"/>
      <w:b/>
      <w:kern w:val="2"/>
      <w:sz w:val="48"/>
    </w:rPr>
  </w:style>
  <w:style w:type="paragraph" w:customStyle="1" w:styleId="434">
    <w:name w:val="1级标题（第一卷）"/>
    <w:basedOn w:val="1"/>
    <w:link w:val="433"/>
    <w:qFormat/>
    <w:uiPriority w:val="99"/>
    <w:pPr>
      <w:adjustRightInd w:val="0"/>
      <w:snapToGrid w:val="0"/>
      <w:spacing w:beforeLines="100" w:afterLines="100"/>
      <w:jc w:val="center"/>
      <w:outlineLvl w:val="0"/>
    </w:pPr>
    <w:rPr>
      <w:rFonts w:ascii="黑体" w:hAnsi="华文中宋" w:eastAsia="黑体"/>
      <w:b/>
      <w:sz w:val="48"/>
      <w:szCs w:val="20"/>
    </w:rPr>
  </w:style>
  <w:style w:type="character" w:customStyle="1" w:styleId="435">
    <w:name w:val="日期 Char8"/>
    <w:basedOn w:val="64"/>
    <w:semiHidden/>
    <w:qFormat/>
    <w:uiPriority w:val="99"/>
  </w:style>
  <w:style w:type="character" w:customStyle="1" w:styleId="436">
    <w:name w:val="页眉 Char5"/>
    <w:semiHidden/>
    <w:qFormat/>
    <w:uiPriority w:val="0"/>
    <w:rPr>
      <w:sz w:val="18"/>
      <w:szCs w:val="18"/>
    </w:rPr>
  </w:style>
  <w:style w:type="character" w:customStyle="1" w:styleId="437">
    <w:name w:val="标题 Char8"/>
    <w:qFormat/>
    <w:uiPriority w:val="10"/>
    <w:rPr>
      <w:rFonts w:ascii="等线 Light" w:hAnsi="等线 Light" w:cs="Times New Roman"/>
      <w:b/>
      <w:bCs/>
      <w:sz w:val="32"/>
      <w:szCs w:val="32"/>
    </w:rPr>
  </w:style>
  <w:style w:type="character" w:customStyle="1" w:styleId="438">
    <w:name w:val="批注主题 Char8"/>
    <w:semiHidden/>
    <w:qFormat/>
    <w:uiPriority w:val="99"/>
    <w:rPr>
      <w:b/>
      <w:bCs/>
    </w:rPr>
  </w:style>
  <w:style w:type="character" w:customStyle="1" w:styleId="439">
    <w:name w:val="文档结构图 Char8"/>
    <w:semiHidden/>
    <w:qFormat/>
    <w:uiPriority w:val="99"/>
    <w:rPr>
      <w:rFonts w:ascii="宋体"/>
      <w:sz w:val="18"/>
      <w:szCs w:val="18"/>
    </w:rPr>
  </w:style>
  <w:style w:type="character" w:customStyle="1" w:styleId="440">
    <w:name w:val="明显引用 Char8"/>
    <w:qFormat/>
    <w:uiPriority w:val="30"/>
    <w:rPr>
      <w:b/>
      <w:bCs/>
      <w:i/>
      <w:iCs/>
      <w:color w:val="4472C4"/>
    </w:rPr>
  </w:style>
  <w:style w:type="character" w:customStyle="1" w:styleId="441">
    <w:name w:val="UserStyle_0"/>
    <w:link w:val="442"/>
    <w:qFormat/>
    <w:locked/>
    <w:uiPriority w:val="0"/>
    <w:rPr>
      <w:rFonts w:cs="Times New Roman"/>
    </w:rPr>
  </w:style>
  <w:style w:type="paragraph" w:customStyle="1" w:styleId="442">
    <w:name w:val="BodyText"/>
    <w:basedOn w:val="1"/>
    <w:link w:val="441"/>
    <w:qFormat/>
    <w:uiPriority w:val="0"/>
    <w:pPr>
      <w:widowControl/>
      <w:spacing w:after="120"/>
      <w:jc w:val="left"/>
      <w:textAlignment w:val="baseline"/>
    </w:pPr>
    <w:rPr>
      <w:kern w:val="0"/>
      <w:sz w:val="20"/>
      <w:szCs w:val="20"/>
    </w:rPr>
  </w:style>
  <w:style w:type="character" w:customStyle="1" w:styleId="443">
    <w:name w:val="未处理的提及"/>
    <w:unhideWhenUsed/>
    <w:qFormat/>
    <w:uiPriority w:val="99"/>
    <w:rPr>
      <w:color w:val="605E5C"/>
      <w:shd w:val="clear" w:color="auto" w:fill="E1DFDD"/>
    </w:rPr>
  </w:style>
  <w:style w:type="character" w:customStyle="1" w:styleId="444">
    <w:name w:val="日期 字符"/>
    <w:basedOn w:val="64"/>
    <w:link w:val="34"/>
    <w:qFormat/>
    <w:uiPriority w:val="0"/>
  </w:style>
  <w:style w:type="character" w:customStyle="1" w:styleId="445">
    <w:name w:val="font161"/>
    <w:qFormat/>
    <w:uiPriority w:val="0"/>
    <w:rPr>
      <w:b/>
      <w:bCs/>
      <w:sz w:val="32"/>
      <w:szCs w:val="32"/>
    </w:rPr>
  </w:style>
  <w:style w:type="character" w:customStyle="1" w:styleId="446">
    <w:name w:val="普通文字1 Char1"/>
    <w:qFormat/>
    <w:uiPriority w:val="0"/>
    <w:rPr>
      <w:rFonts w:ascii="宋体" w:hAnsi="Courier New" w:eastAsia="宋体"/>
      <w:color w:val="000000"/>
      <w:kern w:val="2"/>
      <w:sz w:val="21"/>
      <w:lang w:val="en-US" w:eastAsia="zh-CN" w:bidi="ar-SA"/>
    </w:rPr>
  </w:style>
  <w:style w:type="character" w:customStyle="1" w:styleId="447">
    <w:name w:val="breakword"/>
    <w:basedOn w:val="64"/>
    <w:qFormat/>
    <w:uiPriority w:val="0"/>
  </w:style>
  <w:style w:type="character" w:customStyle="1" w:styleId="448">
    <w:name w:val="正文缩进 字符"/>
    <w:link w:val="15"/>
    <w:qFormat/>
    <w:uiPriority w:val="99"/>
    <w:rPr>
      <w:kern w:val="2"/>
      <w:sz w:val="21"/>
      <w:szCs w:val="24"/>
    </w:rPr>
  </w:style>
  <w:style w:type="character" w:customStyle="1" w:styleId="449">
    <w:name w:val="页脚 字符"/>
    <w:link w:val="38"/>
    <w:qFormat/>
    <w:uiPriority w:val="99"/>
    <w:rPr>
      <w:kern w:val="2"/>
      <w:sz w:val="18"/>
      <w:szCs w:val="18"/>
    </w:rPr>
  </w:style>
  <w:style w:type="character" w:customStyle="1" w:styleId="450">
    <w:name w:val="bigfont"/>
    <w:basedOn w:val="64"/>
    <w:qFormat/>
    <w:uiPriority w:val="0"/>
  </w:style>
  <w:style w:type="character" w:customStyle="1" w:styleId="451">
    <w:name w:val="纯文本 Char2"/>
    <w:qFormat/>
    <w:uiPriority w:val="0"/>
    <w:rPr>
      <w:rFonts w:ascii="宋体"/>
      <w:kern w:val="2"/>
      <w:sz w:val="21"/>
    </w:rPr>
  </w:style>
  <w:style w:type="character" w:customStyle="1" w:styleId="452">
    <w:name w:val="标题 7 字符"/>
    <w:link w:val="9"/>
    <w:qFormat/>
    <w:uiPriority w:val="0"/>
    <w:rPr>
      <w:b/>
      <w:bCs/>
      <w:sz w:val="24"/>
      <w:szCs w:val="24"/>
    </w:rPr>
  </w:style>
  <w:style w:type="character" w:customStyle="1" w:styleId="453">
    <w:name w:val="标题 9 字符"/>
    <w:link w:val="11"/>
    <w:qFormat/>
    <w:uiPriority w:val="0"/>
    <w:rPr>
      <w:rFonts w:ascii="Arial" w:hAnsi="Arial" w:eastAsia="黑体"/>
      <w:sz w:val="21"/>
      <w:szCs w:val="21"/>
    </w:rPr>
  </w:style>
  <w:style w:type="character" w:customStyle="1" w:styleId="454">
    <w:name w:val="书籍标题1"/>
    <w:qFormat/>
    <w:uiPriority w:val="99"/>
    <w:rPr>
      <w:b/>
      <w:bCs/>
      <w:smallCaps/>
      <w:spacing w:val="5"/>
    </w:rPr>
  </w:style>
  <w:style w:type="character" w:customStyle="1" w:styleId="455">
    <w:name w:val="引用 Char1"/>
    <w:qFormat/>
    <w:uiPriority w:val="99"/>
    <w:rPr>
      <w:i/>
      <w:iCs/>
      <w:color w:val="000000"/>
      <w:kern w:val="2"/>
      <w:sz w:val="21"/>
      <w:szCs w:val="22"/>
    </w:rPr>
  </w:style>
  <w:style w:type="character" w:customStyle="1" w:styleId="456">
    <w:name w:val="标题 字符"/>
    <w:link w:val="58"/>
    <w:qFormat/>
    <w:uiPriority w:val="0"/>
    <w:rPr>
      <w:rFonts w:ascii="Arial" w:hAnsi="Arial"/>
      <w:b/>
      <w:sz w:val="32"/>
    </w:rPr>
  </w:style>
  <w:style w:type="character" w:customStyle="1" w:styleId="457">
    <w:name w:val="副标题 字符"/>
    <w:link w:val="43"/>
    <w:qFormat/>
    <w:uiPriority w:val="0"/>
    <w:rPr>
      <w:rFonts w:ascii="Cambria" w:hAnsi="Cambria"/>
      <w:b/>
      <w:bCs/>
      <w:kern w:val="28"/>
      <w:sz w:val="32"/>
      <w:szCs w:val="32"/>
      <w:lang w:val="zh-CN" w:eastAsia="zh-CN"/>
    </w:rPr>
  </w:style>
  <w:style w:type="character" w:customStyle="1" w:styleId="458">
    <w:name w:val="textcontents"/>
    <w:qFormat/>
    <w:uiPriority w:val="0"/>
    <w:rPr>
      <w:rFonts w:cs="Times New Roman"/>
    </w:rPr>
  </w:style>
  <w:style w:type="character" w:customStyle="1" w:styleId="459">
    <w:name w:val="正文文本 Char1"/>
    <w:qFormat/>
    <w:uiPriority w:val="0"/>
    <w:rPr>
      <w:kern w:val="2"/>
      <w:sz w:val="21"/>
      <w:szCs w:val="22"/>
    </w:rPr>
  </w:style>
  <w:style w:type="character" w:customStyle="1" w:styleId="460">
    <w:name w:val="批注主题 Char1"/>
    <w:qFormat/>
    <w:uiPriority w:val="0"/>
    <w:rPr>
      <w:b/>
      <w:bCs/>
      <w:kern w:val="2"/>
      <w:sz w:val="21"/>
      <w:szCs w:val="22"/>
    </w:rPr>
  </w:style>
  <w:style w:type="character" w:customStyle="1" w:styleId="461">
    <w:name w:val="正文文本缩进 字符1"/>
    <w:link w:val="24"/>
    <w:qFormat/>
    <w:uiPriority w:val="99"/>
    <w:rPr>
      <w:kern w:val="2"/>
      <w:sz w:val="21"/>
      <w:szCs w:val="22"/>
    </w:rPr>
  </w:style>
  <w:style w:type="character" w:customStyle="1" w:styleId="462">
    <w:name w:val="Char Char3"/>
    <w:qFormat/>
    <w:uiPriority w:val="0"/>
    <w:rPr>
      <w:rFonts w:eastAsia="宋体"/>
      <w:sz w:val="18"/>
      <w:szCs w:val="18"/>
      <w:lang w:val="en-US" w:eastAsia="zh-CN" w:bidi="ar-SA"/>
    </w:rPr>
  </w:style>
  <w:style w:type="character" w:customStyle="1" w:styleId="463">
    <w:name w:val="批注主题 字符"/>
    <w:link w:val="59"/>
    <w:qFormat/>
    <w:uiPriority w:val="0"/>
    <w:rPr>
      <w:rFonts w:ascii="Calibri" w:hAnsi="Calibri" w:eastAsia="宋体"/>
      <w:b/>
      <w:bCs/>
      <w:kern w:val="2"/>
      <w:sz w:val="21"/>
      <w:szCs w:val="22"/>
      <w:lang w:val="en-US" w:eastAsia="zh-CN" w:bidi="ar-SA"/>
    </w:rPr>
  </w:style>
  <w:style w:type="character" w:customStyle="1" w:styleId="464">
    <w:name w:val="样式4-1 Char"/>
    <w:link w:val="168"/>
    <w:qFormat/>
    <w:uiPriority w:val="0"/>
    <w:rPr>
      <w:rFonts w:ascii="宋体" w:hAnsi="宋体"/>
      <w:b/>
      <w:kern w:val="2"/>
      <w:sz w:val="21"/>
      <w:szCs w:val="21"/>
    </w:rPr>
  </w:style>
  <w:style w:type="character" w:customStyle="1" w:styleId="465">
    <w:name w:val="标题5 Char Char"/>
    <w:link w:val="466"/>
    <w:qFormat/>
    <w:uiPriority w:val="0"/>
    <w:rPr>
      <w:rFonts w:ascii="Arial" w:hAnsi="Arial"/>
      <w:b/>
      <w:bCs/>
      <w:sz w:val="24"/>
      <w:szCs w:val="32"/>
    </w:rPr>
  </w:style>
  <w:style w:type="paragraph" w:customStyle="1" w:styleId="466">
    <w:name w:val="标题5"/>
    <w:basedOn w:val="5"/>
    <w:link w:val="465"/>
    <w:qFormat/>
    <w:uiPriority w:val="0"/>
    <w:pPr>
      <w:spacing w:line="413" w:lineRule="auto"/>
    </w:pPr>
    <w:rPr>
      <w:rFonts w:ascii="Arial" w:hAnsi="Arial"/>
      <w:kern w:val="0"/>
      <w:sz w:val="24"/>
    </w:rPr>
  </w:style>
  <w:style w:type="character" w:customStyle="1" w:styleId="467">
    <w:name w:val="批注框文本 字符1"/>
    <w:link w:val="37"/>
    <w:qFormat/>
    <w:uiPriority w:val="0"/>
    <w:rPr>
      <w:kern w:val="2"/>
      <w:sz w:val="18"/>
      <w:szCs w:val="18"/>
    </w:rPr>
  </w:style>
  <w:style w:type="character" w:customStyle="1" w:styleId="468">
    <w:name w:val="批注文字 Char Char"/>
    <w:qFormat/>
    <w:uiPriority w:val="0"/>
    <w:rPr>
      <w:rFonts w:ascii="宋体" w:hAnsi="Times New Roman" w:eastAsia="宋体" w:cs="Times New Roman"/>
      <w:sz w:val="28"/>
      <w:szCs w:val="20"/>
    </w:rPr>
  </w:style>
  <w:style w:type="character" w:customStyle="1" w:styleId="469">
    <w:name w:val="不明显参考1"/>
    <w:qFormat/>
    <w:uiPriority w:val="99"/>
    <w:rPr>
      <w:smallCaps/>
      <w:color w:val="C0504D"/>
      <w:u w:val="single"/>
    </w:rPr>
  </w:style>
  <w:style w:type="character" w:customStyle="1" w:styleId="470">
    <w:name w:val="标题4 Char Char"/>
    <w:link w:val="471"/>
    <w:qFormat/>
    <w:uiPriority w:val="99"/>
    <w:rPr>
      <w:rFonts w:ascii="黑体" w:eastAsia="黑体"/>
      <w:sz w:val="24"/>
      <w:szCs w:val="30"/>
      <w:lang w:val="zh-CN" w:eastAsia="zh-CN"/>
    </w:rPr>
  </w:style>
  <w:style w:type="paragraph" w:customStyle="1" w:styleId="471">
    <w:name w:val="标题4"/>
    <w:basedOn w:val="1"/>
    <w:next w:val="6"/>
    <w:link w:val="470"/>
    <w:qFormat/>
    <w:uiPriority w:val="99"/>
    <w:pPr>
      <w:widowControl/>
      <w:jc w:val="left"/>
    </w:pPr>
    <w:rPr>
      <w:rFonts w:ascii="黑体" w:eastAsia="黑体"/>
      <w:kern w:val="0"/>
      <w:sz w:val="24"/>
      <w:szCs w:val="30"/>
      <w:lang w:val="zh-CN"/>
    </w:rPr>
  </w:style>
  <w:style w:type="character" w:customStyle="1" w:styleId="472">
    <w:name w:val="文档结构图 Char2"/>
    <w:qFormat/>
    <w:uiPriority w:val="99"/>
    <w:rPr>
      <w:rFonts w:ascii="宋体"/>
      <w:kern w:val="2"/>
      <w:sz w:val="18"/>
      <w:szCs w:val="18"/>
    </w:rPr>
  </w:style>
  <w:style w:type="character" w:customStyle="1" w:styleId="473">
    <w:name w:val="批注文字 Char1"/>
    <w:qFormat/>
    <w:uiPriority w:val="0"/>
    <w:rPr>
      <w:kern w:val="2"/>
      <w:sz w:val="21"/>
      <w:szCs w:val="22"/>
    </w:rPr>
  </w:style>
  <w:style w:type="character" w:customStyle="1" w:styleId="474">
    <w:name w:val="批注主题 Char2"/>
    <w:qFormat/>
    <w:uiPriority w:val="99"/>
    <w:rPr>
      <w:b/>
      <w:bCs/>
      <w:kern w:val="2"/>
      <w:sz w:val="21"/>
      <w:szCs w:val="22"/>
    </w:rPr>
  </w:style>
  <w:style w:type="character" w:customStyle="1" w:styleId="475">
    <w:name w:val="正文文本 Char2"/>
    <w:qFormat/>
    <w:uiPriority w:val="0"/>
    <w:rPr>
      <w:kern w:val="2"/>
      <w:sz w:val="21"/>
      <w:szCs w:val="22"/>
    </w:rPr>
  </w:style>
  <w:style w:type="character" w:customStyle="1" w:styleId="476">
    <w:name w:val="正文文本 3 字符1"/>
    <w:link w:val="22"/>
    <w:qFormat/>
    <w:uiPriority w:val="99"/>
    <w:rPr>
      <w:rFonts w:ascii="宋体"/>
      <w:kern w:val="2"/>
      <w:sz w:val="24"/>
    </w:rPr>
  </w:style>
  <w:style w:type="character" w:customStyle="1" w:styleId="477">
    <w:name w:val="正文文本 2 字符1"/>
    <w:link w:val="51"/>
    <w:qFormat/>
    <w:uiPriority w:val="99"/>
    <w:rPr>
      <w:kern w:val="2"/>
      <w:sz w:val="21"/>
      <w:szCs w:val="22"/>
    </w:rPr>
  </w:style>
  <w:style w:type="character" w:customStyle="1" w:styleId="478">
    <w:name w:val="正文首行缩进 Char"/>
    <w:qFormat/>
    <w:uiPriority w:val="0"/>
    <w:rPr>
      <w:kern w:val="2"/>
      <w:sz w:val="21"/>
      <w:szCs w:val="22"/>
    </w:rPr>
  </w:style>
  <w:style w:type="character" w:customStyle="1" w:styleId="479">
    <w:name w:val="无格式表格 31"/>
    <w:qFormat/>
    <w:uiPriority w:val="0"/>
    <w:rPr>
      <w:rFonts w:eastAsia="仿宋_GB2312"/>
      <w:iCs/>
      <w:color w:val="auto"/>
      <w:sz w:val="24"/>
    </w:rPr>
  </w:style>
  <w:style w:type="character" w:customStyle="1" w:styleId="480">
    <w:name w:val="正文首行缩进 2 字符1"/>
    <w:link w:val="61"/>
    <w:qFormat/>
    <w:uiPriority w:val="99"/>
    <w:rPr>
      <w:rFonts w:ascii="Calibri"/>
      <w:sz w:val="21"/>
    </w:rPr>
  </w:style>
  <w:style w:type="character" w:customStyle="1" w:styleId="481">
    <w:name w:val="日期 字符1"/>
    <w:semiHidden/>
    <w:qFormat/>
    <w:uiPriority w:val="99"/>
    <w:rPr>
      <w:kern w:val="2"/>
      <w:sz w:val="21"/>
      <w:szCs w:val="24"/>
    </w:rPr>
  </w:style>
  <w:style w:type="character" w:customStyle="1" w:styleId="482">
    <w:name w:val="页脚 字符1"/>
    <w:semiHidden/>
    <w:qFormat/>
    <w:uiPriority w:val="99"/>
    <w:rPr>
      <w:kern w:val="2"/>
      <w:sz w:val="18"/>
      <w:szCs w:val="18"/>
    </w:rPr>
  </w:style>
  <w:style w:type="character" w:customStyle="1" w:styleId="483">
    <w:name w:val="标题 2 字符"/>
    <w:link w:val="484"/>
    <w:qFormat/>
    <w:uiPriority w:val="99"/>
    <w:rPr>
      <w:rFonts w:eastAsia="黑体"/>
      <w:b/>
      <w:sz w:val="28"/>
    </w:rPr>
  </w:style>
  <w:style w:type="paragraph" w:customStyle="1" w:styleId="484">
    <w:name w:val="Heading 2_0"/>
    <w:basedOn w:val="1"/>
    <w:next w:val="1"/>
    <w:link w:val="483"/>
    <w:unhideWhenUsed/>
    <w:qFormat/>
    <w:uiPriority w:val="99"/>
    <w:pPr>
      <w:keepNext/>
      <w:keepLines/>
      <w:spacing w:before="260" w:after="260" w:line="415" w:lineRule="auto"/>
      <w:outlineLvl w:val="1"/>
    </w:pPr>
    <w:rPr>
      <w:rFonts w:eastAsia="黑体"/>
      <w:b/>
      <w:kern w:val="0"/>
      <w:sz w:val="28"/>
      <w:szCs w:val="20"/>
    </w:rPr>
  </w:style>
  <w:style w:type="character" w:customStyle="1" w:styleId="485">
    <w:name w:val="title_emph"/>
    <w:basedOn w:val="64"/>
    <w:qFormat/>
    <w:uiPriority w:val="0"/>
  </w:style>
  <w:style w:type="character" w:customStyle="1" w:styleId="486">
    <w:name w:val="标题 2 字符1"/>
    <w:qFormat/>
    <w:uiPriority w:val="0"/>
    <w:rPr>
      <w:rFonts w:eastAsia="黑体"/>
      <w:b/>
      <w:sz w:val="28"/>
    </w:rPr>
  </w:style>
  <w:style w:type="character" w:customStyle="1" w:styleId="487">
    <w:name w:val="正文首行缩进 字符1"/>
    <w:link w:val="60"/>
    <w:qFormat/>
    <w:uiPriority w:val="99"/>
    <w:rPr>
      <w:rFonts w:ascii="Calibri" w:hAnsi="Calibri"/>
      <w:szCs w:val="22"/>
    </w:rPr>
  </w:style>
  <w:style w:type="character" w:customStyle="1" w:styleId="488">
    <w:name w:val="纯文本 字符2"/>
    <w:qFormat/>
    <w:uiPriority w:val="0"/>
    <w:rPr>
      <w:rFonts w:ascii="宋体"/>
      <w:kern w:val="2"/>
      <w:sz w:val="21"/>
    </w:rPr>
  </w:style>
  <w:style w:type="character" w:customStyle="1" w:styleId="489">
    <w:name w:val="样式3 Char"/>
    <w:link w:val="490"/>
    <w:qFormat/>
    <w:uiPriority w:val="99"/>
    <w:rPr>
      <w:rFonts w:ascii="黑体" w:hAnsi="黑体" w:eastAsia="黑体"/>
      <w:bCs/>
      <w:sz w:val="18"/>
      <w:szCs w:val="18"/>
    </w:rPr>
  </w:style>
  <w:style w:type="paragraph" w:customStyle="1" w:styleId="490">
    <w:name w:val="样式3"/>
    <w:basedOn w:val="39"/>
    <w:link w:val="489"/>
    <w:qFormat/>
    <w:uiPriority w:val="99"/>
    <w:pPr>
      <w:pBdr>
        <w:bottom w:val="thickThinSmallGap" w:color="auto" w:sz="12" w:space="1"/>
      </w:pBdr>
      <w:jc w:val="left"/>
    </w:pPr>
    <w:rPr>
      <w:rFonts w:ascii="黑体" w:hAnsi="黑体" w:eastAsia="黑体"/>
      <w:bCs/>
      <w:kern w:val="0"/>
    </w:rPr>
  </w:style>
  <w:style w:type="character" w:customStyle="1" w:styleId="491">
    <w:name w:val="二级条标题 Char Char"/>
    <w:link w:val="492"/>
    <w:qFormat/>
    <w:locked/>
    <w:uiPriority w:val="0"/>
    <w:rPr>
      <w:rFonts w:eastAsia="黑体"/>
    </w:rPr>
  </w:style>
  <w:style w:type="paragraph" w:customStyle="1" w:styleId="492">
    <w:name w:val="二级条标题"/>
    <w:basedOn w:val="1"/>
    <w:next w:val="1"/>
    <w:link w:val="491"/>
    <w:qFormat/>
    <w:uiPriority w:val="0"/>
    <w:pPr>
      <w:widowControl/>
      <w:tabs>
        <w:tab w:val="left" w:pos="360"/>
      </w:tabs>
      <w:jc w:val="left"/>
      <w:outlineLvl w:val="3"/>
    </w:pPr>
    <w:rPr>
      <w:rFonts w:eastAsia="黑体"/>
      <w:kern w:val="0"/>
      <w:sz w:val="20"/>
      <w:szCs w:val="20"/>
    </w:rPr>
  </w:style>
  <w:style w:type="character" w:customStyle="1" w:styleId="493">
    <w:name w:val="标题 1 字符"/>
    <w:link w:val="494"/>
    <w:qFormat/>
    <w:uiPriority w:val="0"/>
    <w:rPr>
      <w:rFonts w:eastAsia="黑体"/>
      <w:b/>
      <w:kern w:val="44"/>
      <w:sz w:val="28"/>
    </w:rPr>
  </w:style>
  <w:style w:type="paragraph" w:customStyle="1" w:styleId="494">
    <w:name w:val="Heading 1_0"/>
    <w:basedOn w:val="1"/>
    <w:next w:val="1"/>
    <w:link w:val="493"/>
    <w:qFormat/>
    <w:uiPriority w:val="0"/>
    <w:pPr>
      <w:keepNext/>
      <w:keepLines/>
      <w:spacing w:before="340" w:after="330" w:line="576" w:lineRule="auto"/>
      <w:outlineLvl w:val="0"/>
    </w:pPr>
    <w:rPr>
      <w:rFonts w:eastAsia="黑体"/>
      <w:b/>
      <w:kern w:val="44"/>
      <w:sz w:val="28"/>
      <w:szCs w:val="20"/>
    </w:rPr>
  </w:style>
  <w:style w:type="character" w:customStyle="1" w:styleId="495">
    <w:name w:val="样式3 Char Char"/>
    <w:qFormat/>
    <w:uiPriority w:val="99"/>
    <w:rPr>
      <w:rFonts w:ascii="Century Gothic" w:hAnsi="Century Gothic" w:eastAsia="宋体"/>
      <w:kern w:val="2"/>
      <w:sz w:val="21"/>
      <w:szCs w:val="21"/>
      <w:lang w:val="en-US" w:eastAsia="zh-CN" w:bidi="ar-SA"/>
    </w:rPr>
  </w:style>
  <w:style w:type="character" w:customStyle="1" w:styleId="496">
    <w:name w:val="副标题 字符1"/>
    <w:qFormat/>
    <w:uiPriority w:val="11"/>
    <w:rPr>
      <w:rFonts w:ascii="等线" w:hAnsi="等线" w:eastAsia="等线" w:cs="Times New Roman"/>
      <w:b/>
      <w:bCs/>
      <w:kern w:val="28"/>
      <w:sz w:val="32"/>
      <w:szCs w:val="32"/>
    </w:rPr>
  </w:style>
  <w:style w:type="character" w:customStyle="1" w:styleId="497">
    <w:name w:val="正文首行缩进 Char2"/>
    <w:semiHidden/>
    <w:qFormat/>
    <w:uiPriority w:val="99"/>
    <w:rPr>
      <w:rFonts w:ascii="Times New Roman" w:hAnsi="Times New Roman" w:eastAsia="宋体" w:cs="Times New Roman"/>
      <w:szCs w:val="24"/>
    </w:rPr>
  </w:style>
  <w:style w:type="character" w:customStyle="1" w:styleId="498">
    <w:name w:val="正文文本 3 Char1"/>
    <w:qFormat/>
    <w:uiPriority w:val="99"/>
    <w:rPr>
      <w:rFonts w:ascii="Times New Roman" w:hAnsi="Times New Roman" w:eastAsia="宋体" w:cs="Times New Roman"/>
      <w:sz w:val="16"/>
      <w:szCs w:val="16"/>
    </w:rPr>
  </w:style>
  <w:style w:type="character" w:customStyle="1" w:styleId="499">
    <w:name w:val="font21"/>
    <w:qFormat/>
    <w:uiPriority w:val="0"/>
    <w:rPr>
      <w:rFonts w:hint="eastAsia" w:ascii="宋体" w:hAnsi="宋体" w:eastAsia="宋体" w:cs="宋体"/>
      <w:color w:val="000000"/>
      <w:sz w:val="18"/>
      <w:szCs w:val="18"/>
      <w:u w:val="none"/>
    </w:rPr>
  </w:style>
  <w:style w:type="character" w:customStyle="1" w:styleId="500">
    <w:name w:val="font81"/>
    <w:qFormat/>
    <w:uiPriority w:val="0"/>
    <w:rPr>
      <w:rFonts w:hint="eastAsia" w:ascii="宋体" w:hAnsi="宋体" w:eastAsia="宋体" w:cs="宋体"/>
      <w:color w:val="000000"/>
      <w:sz w:val="18"/>
      <w:szCs w:val="18"/>
      <w:u w:val="none"/>
    </w:rPr>
  </w:style>
  <w:style w:type="character" w:customStyle="1" w:styleId="501">
    <w:name w:val="正文首行缩进 2 字符"/>
    <w:link w:val="502"/>
    <w:qFormat/>
    <w:uiPriority w:val="0"/>
    <w:rPr>
      <w:sz w:val="21"/>
    </w:rPr>
  </w:style>
  <w:style w:type="paragraph" w:customStyle="1" w:styleId="502">
    <w:name w:val="正文首行缩进 21"/>
    <w:basedOn w:val="24"/>
    <w:next w:val="61"/>
    <w:link w:val="501"/>
    <w:qFormat/>
    <w:uiPriority w:val="99"/>
    <w:pPr>
      <w:ind w:firstLine="420" w:firstLineChars="200"/>
    </w:pPr>
    <w:rPr>
      <w:kern w:val="0"/>
      <w:szCs w:val="20"/>
    </w:rPr>
  </w:style>
  <w:style w:type="character" w:customStyle="1" w:styleId="503">
    <w:name w:val="正文文本缩进 字符"/>
    <w:link w:val="202"/>
    <w:qFormat/>
    <w:uiPriority w:val="0"/>
    <w:rPr>
      <w:rFonts w:ascii="宋体"/>
      <w:spacing w:val="-4"/>
      <w:kern w:val="2"/>
      <w:sz w:val="18"/>
      <w:szCs w:val="22"/>
    </w:rPr>
  </w:style>
  <w:style w:type="character" w:customStyle="1" w:styleId="504">
    <w:name w:val="文档结构图 字符"/>
    <w:link w:val="505"/>
    <w:qFormat/>
    <w:uiPriority w:val="99"/>
    <w:rPr>
      <w:kern w:val="2"/>
      <w:sz w:val="21"/>
      <w:szCs w:val="24"/>
      <w:shd w:val="clear" w:color="auto" w:fill="000080"/>
    </w:rPr>
  </w:style>
  <w:style w:type="paragraph" w:customStyle="1" w:styleId="505">
    <w:name w:val="文档结构图1"/>
    <w:basedOn w:val="1"/>
    <w:next w:val="18"/>
    <w:link w:val="504"/>
    <w:qFormat/>
    <w:uiPriority w:val="99"/>
    <w:pPr>
      <w:shd w:val="clear" w:color="auto" w:fill="000080"/>
    </w:pPr>
    <w:rPr>
      <w:szCs w:val="24"/>
    </w:rPr>
  </w:style>
  <w:style w:type="character" w:customStyle="1" w:styleId="506">
    <w:name w:val="纯文本 字符3"/>
    <w:qFormat/>
    <w:uiPriority w:val="0"/>
    <w:rPr>
      <w:rFonts w:ascii="宋体"/>
    </w:rPr>
  </w:style>
  <w:style w:type="character" w:customStyle="1" w:styleId="507">
    <w:name w:val="正文文本 2 字符"/>
    <w:link w:val="508"/>
    <w:qFormat/>
    <w:uiPriority w:val="0"/>
    <w:rPr>
      <w:rFonts w:ascii="宋体"/>
      <w:kern w:val="2"/>
      <w:sz w:val="13"/>
      <w:szCs w:val="22"/>
    </w:rPr>
  </w:style>
  <w:style w:type="paragraph" w:customStyle="1" w:styleId="508">
    <w:name w:val="正文文本 21"/>
    <w:basedOn w:val="1"/>
    <w:next w:val="51"/>
    <w:link w:val="507"/>
    <w:qFormat/>
    <w:uiPriority w:val="99"/>
    <w:rPr>
      <w:rFonts w:ascii="宋体"/>
      <w:sz w:val="13"/>
    </w:rPr>
  </w:style>
  <w:style w:type="character" w:customStyle="1" w:styleId="509">
    <w:name w:val="批注主题 字符1"/>
    <w:semiHidden/>
    <w:qFormat/>
    <w:uiPriority w:val="99"/>
    <w:rPr>
      <w:rFonts w:ascii="Times New Roman" w:hAnsi="Times New Roman" w:eastAsia="宋体" w:cs="Times New Roman"/>
      <w:b/>
      <w:bCs/>
      <w:szCs w:val="24"/>
    </w:rPr>
  </w:style>
  <w:style w:type="character" w:customStyle="1" w:styleId="510">
    <w:name w:val="tpc_title1"/>
    <w:qFormat/>
    <w:uiPriority w:val="99"/>
    <w:rPr>
      <w:b/>
      <w:sz w:val="24"/>
    </w:rPr>
  </w:style>
  <w:style w:type="character" w:customStyle="1" w:styleId="511">
    <w:name w:val="Quote Char1"/>
    <w:qFormat/>
    <w:uiPriority w:val="29"/>
    <w:rPr>
      <w:i/>
      <w:iCs/>
      <w:color w:val="000000"/>
    </w:rPr>
  </w:style>
  <w:style w:type="character" w:customStyle="1" w:styleId="512">
    <w:name w:val="无间隔 字符"/>
    <w:link w:val="513"/>
    <w:qFormat/>
    <w:uiPriority w:val="0"/>
    <w:rPr>
      <w:rFonts w:ascii="Calibri" w:hAnsi="Calibri"/>
      <w:kern w:val="2"/>
      <w:sz w:val="21"/>
      <w:szCs w:val="22"/>
    </w:rPr>
  </w:style>
  <w:style w:type="paragraph" w:styleId="513">
    <w:name w:val="No Spacing"/>
    <w:link w:val="5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514">
    <w:name w:val="tpc_content1"/>
    <w:qFormat/>
    <w:uiPriority w:val="0"/>
    <w:rPr>
      <w:sz w:val="20"/>
      <w:szCs w:val="20"/>
    </w:rPr>
  </w:style>
  <w:style w:type="character" w:customStyle="1" w:styleId="515">
    <w:name w:val="Blockquote Char"/>
    <w:link w:val="516"/>
    <w:qFormat/>
    <w:locked/>
    <w:uiPriority w:val="0"/>
    <w:rPr>
      <w:sz w:val="24"/>
    </w:rPr>
  </w:style>
  <w:style w:type="paragraph" w:customStyle="1" w:styleId="516">
    <w:name w:val="Blockquote"/>
    <w:basedOn w:val="1"/>
    <w:link w:val="515"/>
    <w:qFormat/>
    <w:uiPriority w:val="0"/>
    <w:pPr>
      <w:autoSpaceDE w:val="0"/>
      <w:autoSpaceDN w:val="0"/>
      <w:adjustRightInd w:val="0"/>
      <w:spacing w:before="100" w:after="100"/>
      <w:ind w:left="360" w:right="360"/>
      <w:jc w:val="left"/>
    </w:pPr>
    <w:rPr>
      <w:kern w:val="0"/>
      <w:sz w:val="24"/>
      <w:szCs w:val="20"/>
    </w:rPr>
  </w:style>
  <w:style w:type="character" w:customStyle="1" w:styleId="517">
    <w:name w:val="正文文本缩进 3 Char2"/>
    <w:qFormat/>
    <w:uiPriority w:val="99"/>
    <w:rPr>
      <w:kern w:val="2"/>
      <w:sz w:val="16"/>
      <w:szCs w:val="16"/>
    </w:rPr>
  </w:style>
  <w:style w:type="character" w:customStyle="1" w:styleId="518">
    <w:name w:val="正文文本缩进 Char2"/>
    <w:qFormat/>
    <w:uiPriority w:val="99"/>
    <w:rPr>
      <w:kern w:val="2"/>
      <w:sz w:val="21"/>
      <w:szCs w:val="24"/>
    </w:rPr>
  </w:style>
  <w:style w:type="character" w:customStyle="1" w:styleId="519">
    <w:name w:val="批注文字 Char2"/>
    <w:qFormat/>
    <w:uiPriority w:val="0"/>
    <w:rPr>
      <w:kern w:val="2"/>
      <w:sz w:val="21"/>
      <w:szCs w:val="24"/>
    </w:rPr>
  </w:style>
  <w:style w:type="character" w:customStyle="1" w:styleId="520">
    <w:name w:val="尾注文本 Char3"/>
    <w:qFormat/>
    <w:uiPriority w:val="99"/>
    <w:rPr>
      <w:rFonts w:cs="Times New Roman"/>
      <w:kern w:val="2"/>
      <w:sz w:val="24"/>
      <w:szCs w:val="24"/>
    </w:rPr>
  </w:style>
  <w:style w:type="character" w:customStyle="1" w:styleId="521">
    <w:name w:val="3级标题（总则） Char Char Char"/>
    <w:link w:val="522"/>
    <w:qFormat/>
    <w:locked/>
    <w:uiPriority w:val="99"/>
    <w:rPr>
      <w:rFonts w:ascii="宋体"/>
      <w:b/>
      <w:kern w:val="2"/>
      <w:sz w:val="24"/>
    </w:rPr>
  </w:style>
  <w:style w:type="paragraph" w:customStyle="1" w:styleId="522">
    <w:name w:val="3级标题（总则）"/>
    <w:basedOn w:val="523"/>
    <w:link w:val="521"/>
    <w:qFormat/>
    <w:uiPriority w:val="99"/>
    <w:pPr>
      <w:keepNext w:val="0"/>
      <w:keepLines w:val="0"/>
      <w:widowControl w:val="0"/>
      <w:spacing w:before="0" w:after="0" w:line="360" w:lineRule="auto"/>
      <w:jc w:val="both"/>
      <w:outlineLvl w:val="2"/>
    </w:pPr>
    <w:rPr>
      <w:rFonts w:ascii="宋体" w:hAnsi="Times New Roman" w:eastAsia="宋体"/>
      <w:bCs w:val="0"/>
      <w:kern w:val="2"/>
      <w:szCs w:val="20"/>
      <w:lang w:val="en-US"/>
    </w:rPr>
  </w:style>
  <w:style w:type="paragraph" w:customStyle="1" w:styleId="523">
    <w:name w:val="样式2"/>
    <w:basedOn w:val="6"/>
    <w:next w:val="6"/>
    <w:qFormat/>
    <w:uiPriority w:val="0"/>
    <w:pPr>
      <w:widowControl/>
      <w:jc w:val="left"/>
    </w:pPr>
    <w:rPr>
      <w:rFonts w:ascii="黑体"/>
      <w:kern w:val="0"/>
      <w:sz w:val="24"/>
      <w:szCs w:val="30"/>
      <w:lang w:val="zh-CN"/>
    </w:rPr>
  </w:style>
  <w:style w:type="character" w:customStyle="1" w:styleId="524">
    <w:name w:val="日期 Char5"/>
    <w:qFormat/>
    <w:uiPriority w:val="99"/>
    <w:rPr>
      <w:rFonts w:ascii="Calibri" w:hAnsi="Calibri"/>
    </w:rPr>
  </w:style>
  <w:style w:type="character" w:customStyle="1" w:styleId="525">
    <w:name w:val="1级标题（第一卷） Char"/>
    <w:qFormat/>
    <w:locked/>
    <w:uiPriority w:val="99"/>
    <w:rPr>
      <w:rFonts w:ascii="黑体" w:hAnsi="华文中宋" w:eastAsia="黑体"/>
      <w:b/>
      <w:kern w:val="2"/>
      <w:sz w:val="48"/>
      <w:lang w:val="en-US" w:eastAsia="zh-CN"/>
    </w:rPr>
  </w:style>
  <w:style w:type="character" w:customStyle="1" w:styleId="526">
    <w:name w:val="正文文本缩进 Char3"/>
    <w:qFormat/>
    <w:uiPriority w:val="99"/>
  </w:style>
  <w:style w:type="character" w:customStyle="1" w:styleId="527">
    <w:name w:val="Body Text Indent Char"/>
    <w:qFormat/>
    <w:locked/>
    <w:uiPriority w:val="99"/>
    <w:rPr>
      <w:rFonts w:ascii="Times New Roman" w:hAnsi="Times New Roman" w:eastAsia="宋体"/>
      <w:sz w:val="24"/>
    </w:rPr>
  </w:style>
  <w:style w:type="character" w:customStyle="1" w:styleId="528">
    <w:name w:val="副标题 Char Char"/>
    <w:qFormat/>
    <w:uiPriority w:val="99"/>
    <w:rPr>
      <w:rFonts w:ascii="Cambria" w:hAnsi="Cambria"/>
      <w:b/>
      <w:kern w:val="28"/>
      <w:sz w:val="32"/>
    </w:rPr>
  </w:style>
  <w:style w:type="character" w:customStyle="1" w:styleId="529">
    <w:name w:val="页码1"/>
    <w:qFormat/>
    <w:uiPriority w:val="99"/>
  </w:style>
  <w:style w:type="character" w:customStyle="1" w:styleId="530">
    <w:name w:val="明显引用 Char7"/>
    <w:qFormat/>
    <w:uiPriority w:val="99"/>
    <w:rPr>
      <w:rFonts w:ascii="Times New Roman" w:hAnsi="Times New Roman" w:eastAsia="宋体" w:cs="Times New Roman"/>
      <w:b/>
      <w:bCs/>
      <w:i/>
      <w:iCs/>
      <w:color w:val="4F81BD"/>
      <w:kern w:val="0"/>
      <w:sz w:val="20"/>
      <w:szCs w:val="20"/>
    </w:rPr>
  </w:style>
  <w:style w:type="character" w:customStyle="1" w:styleId="531">
    <w:name w:val="样式5-1 Char"/>
    <w:qFormat/>
    <w:locked/>
    <w:uiPriority w:val="99"/>
    <w:rPr>
      <w:rFonts w:ascii="Calibri" w:hAnsi="Calibri" w:eastAsia="宋体"/>
      <w:b/>
      <w:kern w:val="2"/>
      <w:sz w:val="22"/>
      <w:lang w:val="en-US" w:eastAsia="zh-CN"/>
    </w:rPr>
  </w:style>
  <w:style w:type="character" w:customStyle="1" w:styleId="532">
    <w:name w:val="标题 6 Char Char"/>
    <w:qFormat/>
    <w:uiPriority w:val="99"/>
    <w:rPr>
      <w:rFonts w:ascii="Cambria" w:hAnsi="Cambria" w:eastAsia="宋体"/>
      <w:b/>
      <w:kern w:val="2"/>
      <w:sz w:val="24"/>
    </w:rPr>
  </w:style>
  <w:style w:type="character" w:customStyle="1" w:styleId="533">
    <w:name w:val="Heading 2 Char"/>
    <w:qFormat/>
    <w:uiPriority w:val="99"/>
    <w:rPr>
      <w:rFonts w:ascii="Cambria" w:hAnsi="Cambria" w:eastAsia="宋体"/>
      <w:b/>
      <w:kern w:val="0"/>
      <w:sz w:val="32"/>
    </w:rPr>
  </w:style>
  <w:style w:type="character" w:customStyle="1" w:styleId="534">
    <w:name w:val="正文文本 3 Char6"/>
    <w:qFormat/>
    <w:uiPriority w:val="99"/>
    <w:rPr>
      <w:sz w:val="16"/>
    </w:rPr>
  </w:style>
  <w:style w:type="character" w:customStyle="1" w:styleId="535">
    <w:name w:val="标题 4 Char Char"/>
    <w:qFormat/>
    <w:uiPriority w:val="99"/>
    <w:rPr>
      <w:rFonts w:ascii="Cambria" w:hAnsi="Cambria" w:eastAsia="宋体"/>
      <w:b/>
      <w:kern w:val="2"/>
      <w:sz w:val="28"/>
    </w:rPr>
  </w:style>
  <w:style w:type="character" w:customStyle="1" w:styleId="536">
    <w:name w:val="页眉 Char3"/>
    <w:semiHidden/>
    <w:qFormat/>
    <w:uiPriority w:val="99"/>
    <w:rPr>
      <w:kern w:val="2"/>
      <w:sz w:val="18"/>
    </w:rPr>
  </w:style>
  <w:style w:type="character" w:customStyle="1" w:styleId="537">
    <w:name w:val="标题 Char6"/>
    <w:qFormat/>
    <w:uiPriority w:val="99"/>
    <w:rPr>
      <w:rFonts w:ascii="Cambria" w:hAnsi="Cambria" w:eastAsia="宋体"/>
      <w:b/>
      <w:sz w:val="32"/>
    </w:rPr>
  </w:style>
  <w:style w:type="character" w:customStyle="1" w:styleId="538">
    <w:name w:val="Header Char"/>
    <w:qFormat/>
    <w:uiPriority w:val="99"/>
    <w:rPr>
      <w:rFonts w:ascii="宋体" w:eastAsia="宋体"/>
      <w:kern w:val="2"/>
      <w:sz w:val="18"/>
      <w:lang w:val="en-US" w:eastAsia="zh-CN"/>
    </w:rPr>
  </w:style>
  <w:style w:type="character" w:customStyle="1" w:styleId="539">
    <w:name w:val="3级标题（总则） Char Char"/>
    <w:qFormat/>
    <w:uiPriority w:val="99"/>
    <w:rPr>
      <w:rFonts w:ascii="宋体" w:hAnsi="宋体" w:eastAsia="宋体"/>
      <w:b/>
      <w:kern w:val="2"/>
      <w:sz w:val="24"/>
      <w:lang w:val="en-US" w:eastAsia="zh-CN"/>
    </w:rPr>
  </w:style>
  <w:style w:type="character" w:customStyle="1" w:styleId="540">
    <w:name w:val="图标题 Char"/>
    <w:link w:val="541"/>
    <w:qFormat/>
    <w:locked/>
    <w:uiPriority w:val="99"/>
    <w:rPr>
      <w:b/>
      <w:sz w:val="28"/>
      <w:lang w:eastAsia="en-US"/>
    </w:rPr>
  </w:style>
  <w:style w:type="paragraph" w:customStyle="1" w:styleId="541">
    <w:name w:val="图标题"/>
    <w:basedOn w:val="1"/>
    <w:link w:val="540"/>
    <w:qFormat/>
    <w:uiPriority w:val="99"/>
    <w:pPr>
      <w:keepNext/>
      <w:widowControl/>
      <w:spacing w:after="200" w:line="276" w:lineRule="auto"/>
      <w:ind w:firstLine="200" w:firstLineChars="200"/>
      <w:jc w:val="center"/>
      <w:textAlignment w:val="baseline"/>
    </w:pPr>
    <w:rPr>
      <w:b/>
      <w:kern w:val="0"/>
      <w:sz w:val="28"/>
      <w:szCs w:val="20"/>
      <w:lang w:eastAsia="en-US"/>
    </w:rPr>
  </w:style>
  <w:style w:type="character" w:customStyle="1" w:styleId="542">
    <w:name w:val="样式4-3 Char"/>
    <w:qFormat/>
    <w:locked/>
    <w:uiPriority w:val="99"/>
    <w:rPr>
      <w:rFonts w:ascii="黑体" w:hAnsi="华文中宋" w:eastAsia="黑体"/>
      <w:b/>
      <w:color w:val="000000"/>
      <w:sz w:val="32"/>
      <w:lang w:val="en-US" w:eastAsia="zh-CN"/>
    </w:rPr>
  </w:style>
  <w:style w:type="character" w:customStyle="1" w:styleId="543">
    <w:name w:val="标题 5 Char Char"/>
    <w:qFormat/>
    <w:uiPriority w:val="99"/>
    <w:rPr>
      <w:b/>
      <w:kern w:val="2"/>
      <w:sz w:val="28"/>
    </w:rPr>
  </w:style>
  <w:style w:type="character" w:customStyle="1" w:styleId="544">
    <w:name w:val="引用 Char6"/>
    <w:qFormat/>
    <w:uiPriority w:val="99"/>
    <w:rPr>
      <w:i/>
      <w:color w:val="000000"/>
    </w:rPr>
  </w:style>
  <w:style w:type="character" w:customStyle="1" w:styleId="545">
    <w:name w:val="脚注文本 Char2"/>
    <w:semiHidden/>
    <w:qFormat/>
    <w:uiPriority w:val="99"/>
    <w:rPr>
      <w:rFonts w:cs="Times New Roman"/>
      <w:sz w:val="18"/>
      <w:szCs w:val="18"/>
    </w:rPr>
  </w:style>
  <w:style w:type="character" w:customStyle="1" w:styleId="546">
    <w:name w:val="Date Char Char"/>
    <w:link w:val="547"/>
    <w:qFormat/>
    <w:locked/>
    <w:uiPriority w:val="99"/>
    <w:rPr>
      <w:rFonts w:ascii="Calibri" w:hAnsi="Calibri"/>
      <w:kern w:val="2"/>
      <w:sz w:val="21"/>
      <w:szCs w:val="24"/>
    </w:rPr>
  </w:style>
  <w:style w:type="paragraph" w:customStyle="1" w:styleId="547">
    <w:name w:val="日期1"/>
    <w:basedOn w:val="1"/>
    <w:next w:val="1"/>
    <w:link w:val="546"/>
    <w:qFormat/>
    <w:uiPriority w:val="99"/>
    <w:pPr>
      <w:ind w:left="100" w:leftChars="2500"/>
    </w:pPr>
    <w:rPr>
      <w:rFonts w:ascii="Calibri" w:hAnsi="Calibri"/>
      <w:szCs w:val="24"/>
    </w:rPr>
  </w:style>
  <w:style w:type="character" w:customStyle="1" w:styleId="548">
    <w:name w:val="Body Text Char"/>
    <w:qFormat/>
    <w:uiPriority w:val="99"/>
    <w:rPr>
      <w:rFonts w:eastAsia="宋体"/>
      <w:kern w:val="2"/>
      <w:sz w:val="24"/>
      <w:lang w:val="en-US" w:eastAsia="zh-CN"/>
    </w:rPr>
  </w:style>
  <w:style w:type="character" w:customStyle="1" w:styleId="549">
    <w:name w:val="明显参考11"/>
    <w:qFormat/>
    <w:uiPriority w:val="99"/>
    <w:rPr>
      <w:b/>
      <w:smallCaps/>
      <w:color w:val="C0504D"/>
      <w:spacing w:val="5"/>
      <w:u w:val="single"/>
    </w:rPr>
  </w:style>
  <w:style w:type="character" w:customStyle="1" w:styleId="550">
    <w:name w:val="书籍标题11"/>
    <w:qFormat/>
    <w:uiPriority w:val="99"/>
    <w:rPr>
      <w:b/>
      <w:smallCaps/>
      <w:spacing w:val="5"/>
    </w:rPr>
  </w:style>
  <w:style w:type="character" w:customStyle="1" w:styleId="551">
    <w:name w:val="引用 Char4"/>
    <w:qFormat/>
    <w:uiPriority w:val="99"/>
    <w:rPr>
      <w:i/>
      <w:color w:val="000000"/>
    </w:rPr>
  </w:style>
  <w:style w:type="character" w:customStyle="1" w:styleId="552">
    <w:name w:val="引用 Char7"/>
    <w:qFormat/>
    <w:uiPriority w:val="99"/>
    <w:rPr>
      <w:rFonts w:ascii="Times New Roman" w:hAnsi="Times New Roman" w:eastAsia="宋体" w:cs="Times New Roman"/>
      <w:i/>
      <w:iCs/>
      <w:color w:val="000000"/>
      <w:kern w:val="0"/>
      <w:sz w:val="20"/>
      <w:szCs w:val="20"/>
    </w:rPr>
  </w:style>
  <w:style w:type="character" w:customStyle="1" w:styleId="553">
    <w:name w:val="正文文本缩进 Char7"/>
    <w:semiHidden/>
    <w:qFormat/>
    <w:uiPriority w:val="99"/>
    <w:rPr>
      <w:rFonts w:ascii="Times New Roman" w:hAnsi="Times New Roman" w:eastAsia="宋体" w:cs="Times New Roman"/>
      <w:kern w:val="0"/>
      <w:sz w:val="20"/>
      <w:szCs w:val="20"/>
    </w:rPr>
  </w:style>
  <w:style w:type="character" w:customStyle="1" w:styleId="554">
    <w:name w:val="样式正文-1 Char Char Char"/>
    <w:link w:val="333"/>
    <w:qFormat/>
    <w:locked/>
    <w:uiPriority w:val="99"/>
    <w:rPr>
      <w:kern w:val="2"/>
      <w:sz w:val="22"/>
    </w:rPr>
  </w:style>
  <w:style w:type="character" w:customStyle="1" w:styleId="555">
    <w:name w:val="msoins"/>
    <w:qFormat/>
    <w:uiPriority w:val="99"/>
  </w:style>
  <w:style w:type="character" w:customStyle="1" w:styleId="556">
    <w:name w:val="样式4-1 Char Char"/>
    <w:qFormat/>
    <w:uiPriority w:val="99"/>
    <w:rPr>
      <w:rFonts w:ascii="Calibri" w:hAnsi="Calibri" w:eastAsia="宋体"/>
      <w:b/>
      <w:kern w:val="2"/>
      <w:sz w:val="22"/>
      <w:lang w:val="en-US" w:eastAsia="zh-CN"/>
    </w:rPr>
  </w:style>
  <w:style w:type="character" w:customStyle="1" w:styleId="557">
    <w:name w:val="Date Char"/>
    <w:qFormat/>
    <w:locked/>
    <w:uiPriority w:val="99"/>
    <w:rPr>
      <w:rFonts w:ascii="Times New Roman" w:hAnsi="Times New Roman" w:eastAsia="宋体"/>
      <w:color w:val="FF0000"/>
      <w:sz w:val="24"/>
    </w:rPr>
  </w:style>
  <w:style w:type="character" w:customStyle="1" w:styleId="558">
    <w:name w:val="Body Text Indent 2 Char"/>
    <w:qFormat/>
    <w:locked/>
    <w:uiPriority w:val="99"/>
    <w:rPr>
      <w:rFonts w:ascii="Times New Roman" w:hAnsi="Times New Roman" w:eastAsia="宋体"/>
      <w:sz w:val="24"/>
    </w:rPr>
  </w:style>
  <w:style w:type="character" w:customStyle="1" w:styleId="559">
    <w:name w:val="标题 2XW Char"/>
    <w:qFormat/>
    <w:uiPriority w:val="99"/>
    <w:rPr>
      <w:rFonts w:ascii="Arial" w:hAnsi="Arial" w:eastAsia="黑体"/>
      <w:b/>
      <w:sz w:val="32"/>
    </w:rPr>
  </w:style>
  <w:style w:type="character" w:customStyle="1" w:styleId="560">
    <w:name w:val="Footer Char"/>
    <w:qFormat/>
    <w:uiPriority w:val="99"/>
    <w:rPr>
      <w:sz w:val="18"/>
    </w:rPr>
  </w:style>
  <w:style w:type="character" w:customStyle="1" w:styleId="561">
    <w:name w:val="标题 7 Char Char"/>
    <w:qFormat/>
    <w:uiPriority w:val="99"/>
    <w:rPr>
      <w:b/>
      <w:kern w:val="2"/>
      <w:sz w:val="24"/>
    </w:rPr>
  </w:style>
  <w:style w:type="character" w:customStyle="1" w:styleId="562">
    <w:name w:val="不明显强调21"/>
    <w:qFormat/>
    <w:uiPriority w:val="99"/>
    <w:rPr>
      <w:i/>
      <w:color w:val="808080"/>
    </w:rPr>
  </w:style>
  <w:style w:type="character" w:customStyle="1" w:styleId="563">
    <w:name w:val="页眉 Char4"/>
    <w:semiHidden/>
    <w:qFormat/>
    <w:uiPriority w:val="99"/>
    <w:rPr>
      <w:rFonts w:cs="Times New Roman"/>
      <w:sz w:val="18"/>
      <w:szCs w:val="18"/>
    </w:rPr>
  </w:style>
  <w:style w:type="character" w:customStyle="1" w:styleId="564">
    <w:name w:val="标题 3 Char Char"/>
    <w:qFormat/>
    <w:uiPriority w:val="99"/>
    <w:rPr>
      <w:b/>
      <w:kern w:val="2"/>
      <w:sz w:val="32"/>
    </w:rPr>
  </w:style>
  <w:style w:type="character" w:customStyle="1" w:styleId="565">
    <w:name w:val="标题 Char Char"/>
    <w:qFormat/>
    <w:uiPriority w:val="99"/>
    <w:rPr>
      <w:rFonts w:ascii="Cambria" w:hAnsi="Cambria"/>
      <w:b/>
      <w:kern w:val="2"/>
      <w:sz w:val="32"/>
    </w:rPr>
  </w:style>
  <w:style w:type="character" w:customStyle="1" w:styleId="566">
    <w:name w:val="标题 Char5"/>
    <w:qFormat/>
    <w:uiPriority w:val="99"/>
    <w:rPr>
      <w:rFonts w:ascii="Cambria" w:hAnsi="Cambria"/>
      <w:b/>
    </w:rPr>
  </w:style>
  <w:style w:type="character" w:customStyle="1" w:styleId="567">
    <w:name w:val="批注文字 Char6"/>
    <w:qFormat/>
    <w:uiPriority w:val="99"/>
    <w:rPr>
      <w:rFonts w:ascii="Calibri" w:hAnsi="Calibri" w:eastAsia="宋体"/>
    </w:rPr>
  </w:style>
  <w:style w:type="character" w:customStyle="1" w:styleId="568">
    <w:name w:val="副标题 Char6"/>
    <w:qFormat/>
    <w:uiPriority w:val="99"/>
    <w:rPr>
      <w:rFonts w:ascii="Cambria" w:hAnsi="Cambria"/>
      <w:b/>
      <w:kern w:val="28"/>
      <w:sz w:val="32"/>
    </w:rPr>
  </w:style>
  <w:style w:type="character" w:customStyle="1" w:styleId="569">
    <w:name w:val="样式4 Char Char Char Char"/>
    <w:qFormat/>
    <w:uiPriority w:val="99"/>
    <w:rPr>
      <w:rFonts w:ascii="宋体" w:eastAsia="宋体"/>
      <w:b/>
      <w:kern w:val="2"/>
      <w:sz w:val="24"/>
      <w:lang w:val="en-US" w:eastAsia="zh-CN"/>
    </w:rPr>
  </w:style>
  <w:style w:type="character" w:customStyle="1" w:styleId="570">
    <w:name w:val="标题 2 Char2"/>
    <w:qFormat/>
    <w:uiPriority w:val="99"/>
    <w:rPr>
      <w:rFonts w:ascii="宋体" w:hAnsi="Arial"/>
      <w:b/>
      <w:kern w:val="2"/>
      <w:sz w:val="24"/>
      <w:lang w:val="zh-CN" w:eastAsia="zh-CN"/>
    </w:rPr>
  </w:style>
  <w:style w:type="character" w:customStyle="1" w:styleId="571">
    <w:name w:val="Body Text First Indent 2 Char Char"/>
    <w:qFormat/>
    <w:locked/>
    <w:uiPriority w:val="99"/>
    <w:rPr>
      <w:rFonts w:ascii="宋体" w:hAnsi="MS Sans Serif"/>
      <w:spacing w:val="12"/>
      <w:kern w:val="2"/>
      <w:sz w:val="21"/>
    </w:rPr>
  </w:style>
  <w:style w:type="character" w:customStyle="1" w:styleId="572">
    <w:name w:val="正文文本缩进 3 Char8"/>
    <w:semiHidden/>
    <w:qFormat/>
    <w:uiPriority w:val="99"/>
    <w:rPr>
      <w:sz w:val="16"/>
      <w:szCs w:val="16"/>
    </w:rPr>
  </w:style>
  <w:style w:type="character" w:customStyle="1" w:styleId="573">
    <w:name w:val="脚注文本 Char3"/>
    <w:semiHidden/>
    <w:qFormat/>
    <w:uiPriority w:val="99"/>
    <w:rPr>
      <w:sz w:val="18"/>
      <w:szCs w:val="18"/>
    </w:rPr>
  </w:style>
  <w:style w:type="character" w:customStyle="1" w:styleId="574">
    <w:name w:val="尾注文本 Char4"/>
    <w:semiHidden/>
    <w:qFormat/>
    <w:uiPriority w:val="99"/>
    <w:rPr>
      <w:kern w:val="2"/>
      <w:sz w:val="21"/>
      <w:szCs w:val="22"/>
    </w:rPr>
  </w:style>
  <w:style w:type="character" w:customStyle="1" w:styleId="575">
    <w:name w:val="引用 Char8"/>
    <w:qFormat/>
    <w:uiPriority w:val="29"/>
    <w:rPr>
      <w:i/>
      <w:iCs/>
      <w:color w:val="000000"/>
    </w:rPr>
  </w:style>
  <w:style w:type="character" w:customStyle="1" w:styleId="576">
    <w:name w:val="NormalCharacter"/>
    <w:qFormat/>
    <w:uiPriority w:val="0"/>
  </w:style>
  <w:style w:type="character" w:customStyle="1" w:styleId="577">
    <w:name w:val="正文文本_"/>
    <w:link w:val="578"/>
    <w:qFormat/>
    <w:uiPriority w:val="0"/>
    <w:rPr>
      <w:rFonts w:ascii="MingLiU" w:hAnsi="MingLiU" w:eastAsia="MingLiU" w:cs="MingLiU"/>
      <w:color w:val="000000"/>
      <w:sz w:val="28"/>
      <w:szCs w:val="28"/>
      <w:shd w:val="clear" w:color="auto" w:fill="FFFFFF"/>
      <w:lang w:val="zh-CN" w:bidi="zh-CN"/>
    </w:rPr>
  </w:style>
  <w:style w:type="paragraph" w:customStyle="1" w:styleId="578">
    <w:name w:val="正文文本1"/>
    <w:basedOn w:val="1"/>
    <w:link w:val="577"/>
    <w:qFormat/>
    <w:uiPriority w:val="0"/>
    <w:pPr>
      <w:shd w:val="clear" w:color="auto" w:fill="FFFFFF"/>
      <w:spacing w:line="401" w:lineRule="auto"/>
      <w:ind w:firstLine="400"/>
      <w:jc w:val="left"/>
    </w:pPr>
    <w:rPr>
      <w:rFonts w:ascii="MingLiU" w:hAnsi="MingLiU" w:eastAsia="MingLiU" w:cs="MingLiU"/>
      <w:color w:val="000000"/>
      <w:kern w:val="0"/>
      <w:sz w:val="28"/>
      <w:szCs w:val="28"/>
      <w:lang w:val="zh-CN" w:bidi="zh-CN"/>
    </w:rPr>
  </w:style>
  <w:style w:type="paragraph" w:customStyle="1" w:styleId="579">
    <w:name w:val="Char Char Char Char Char Char Char Char Char Char Char Char Char Char Char Char Char Char Char Char Char Char Char Char Char Char Char Char1"/>
    <w:basedOn w:val="1"/>
    <w:qFormat/>
    <w:uiPriority w:val="99"/>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580">
    <w:name w:val="样式1"/>
    <w:basedOn w:val="1"/>
    <w:next w:val="6"/>
    <w:qFormat/>
    <w:uiPriority w:val="0"/>
    <w:pPr>
      <w:spacing w:line="360" w:lineRule="auto"/>
      <w:ind w:firstLine="420" w:firstLineChars="200"/>
    </w:pPr>
    <w:rPr>
      <w:rFonts w:ascii="宋体" w:hAnsi="宋体"/>
      <w:szCs w:val="21"/>
    </w:rPr>
  </w:style>
  <w:style w:type="paragraph" w:customStyle="1" w:styleId="581">
    <w:name w:val="Char Char Char Char Char Char Char1"/>
    <w:basedOn w:val="1"/>
    <w:qFormat/>
    <w:uiPriority w:val="99"/>
    <w:pPr>
      <w:widowControl/>
      <w:spacing w:after="160" w:line="240" w:lineRule="exact"/>
      <w:jc w:val="left"/>
    </w:pPr>
    <w:rPr>
      <w:rFonts w:ascii="Calibri" w:hAnsi="Calibri"/>
      <w:szCs w:val="21"/>
    </w:rPr>
  </w:style>
  <w:style w:type="paragraph" w:customStyle="1" w:styleId="582">
    <w:name w:val="大标题"/>
    <w:qFormat/>
    <w:uiPriority w:val="99"/>
    <w:pPr>
      <w:spacing w:after="200" w:line="276" w:lineRule="auto"/>
      <w:ind w:firstLine="200" w:firstLineChars="200"/>
      <w:jc w:val="center"/>
    </w:pPr>
    <w:rPr>
      <w:rFonts w:ascii="Calibri" w:hAnsi="Calibri" w:eastAsia="楷体_GB2312" w:cs="Times New Roman"/>
      <w:b/>
      <w:sz w:val="48"/>
      <w:szCs w:val="22"/>
      <w:lang w:val="en-US" w:eastAsia="en-US" w:bidi="ar-SA"/>
    </w:rPr>
  </w:style>
  <w:style w:type="paragraph" w:customStyle="1" w:styleId="583">
    <w:name w:val="xl30"/>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b/>
      <w:bCs/>
      <w:kern w:val="0"/>
      <w:sz w:val="22"/>
      <w:lang w:eastAsia="en-US"/>
    </w:rPr>
  </w:style>
  <w:style w:type="paragraph" w:customStyle="1" w:styleId="584">
    <w:name w:val="CM24"/>
    <w:basedOn w:val="151"/>
    <w:next w:val="151"/>
    <w:qFormat/>
    <w:uiPriority w:val="99"/>
    <w:pPr>
      <w:spacing w:line="400" w:lineRule="atLeast"/>
    </w:pPr>
    <w:rPr>
      <w:rFonts w:hAnsi="Calibri"/>
      <w:color w:val="auto"/>
      <w:sz w:val="22"/>
      <w:szCs w:val="22"/>
    </w:rPr>
  </w:style>
  <w:style w:type="paragraph" w:customStyle="1" w:styleId="585">
    <w:name w:val="样式 段落编号 + (中文) 黑体 两端对齐 Char Char Char"/>
    <w:basedOn w:val="1"/>
    <w:qFormat/>
    <w:uiPriority w:val="99"/>
    <w:pPr>
      <w:adjustRightInd w:val="0"/>
      <w:snapToGrid w:val="0"/>
      <w:spacing w:before="60" w:after="240" w:line="400" w:lineRule="exact"/>
      <w:ind w:left="482"/>
      <w:jc w:val="left"/>
      <w:textAlignment w:val="baseline"/>
    </w:pPr>
    <w:rPr>
      <w:rFonts w:ascii="宋体" w:hAnsi="宋体" w:eastAsia="黑体" w:cs="宋体"/>
      <w:sz w:val="24"/>
      <w:szCs w:val="24"/>
    </w:rPr>
  </w:style>
  <w:style w:type="paragraph" w:customStyle="1" w:styleId="586">
    <w:name w:val="样式 标题 2 + Times New Roman 四号 非加粗 段前: 5 磅 段后: 0 磅 行距: 固定值 20..."/>
    <w:basedOn w:val="4"/>
    <w:qFormat/>
    <w:uiPriority w:val="0"/>
    <w:pPr>
      <w:spacing w:before="100" w:line="400" w:lineRule="exact"/>
      <w:jc w:val="both"/>
    </w:pPr>
    <w:rPr>
      <w:rFonts w:ascii="Times New Roman" w:hAnsi="Times New Roman" w:eastAsia="黑体" w:cs="宋体"/>
      <w:b w:val="0"/>
      <w:bCs w:val="0"/>
      <w:sz w:val="28"/>
      <w:szCs w:val="20"/>
    </w:rPr>
  </w:style>
  <w:style w:type="paragraph" w:customStyle="1" w:styleId="587">
    <w:name w:val="_Style 329"/>
    <w:qFormat/>
    <w:uiPriority w:val="99"/>
    <w:rPr>
      <w:rFonts w:ascii="Calibri" w:hAnsi="Calibri" w:eastAsia="宋体" w:cs="Times New Roman"/>
      <w:sz w:val="24"/>
      <w:szCs w:val="24"/>
      <w:lang w:val="en-US" w:eastAsia="zh-CN" w:bidi="ar-SA"/>
    </w:rPr>
  </w:style>
  <w:style w:type="paragraph" w:customStyle="1" w:styleId="588">
    <w:name w:val="xl13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89">
    <w:name w:val="Char Char Char Char Char Char Char Char Char Char Char Char"/>
    <w:basedOn w:val="1"/>
    <w:qFormat/>
    <w:uiPriority w:val="99"/>
    <w:pPr>
      <w:tabs>
        <w:tab w:val="right" w:pos="-2120"/>
      </w:tabs>
      <w:snapToGrid w:val="0"/>
    </w:pPr>
    <w:rPr>
      <w:rFonts w:ascii="Tahoma" w:hAnsi="Tahoma"/>
      <w:spacing w:val="6"/>
      <w:sz w:val="24"/>
      <w:szCs w:val="20"/>
    </w:rPr>
  </w:style>
  <w:style w:type="paragraph" w:customStyle="1" w:styleId="590">
    <w:name w:val="_Style 27"/>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91">
    <w:name w:val="默认段落字体 Para Char Char Char Char"/>
    <w:basedOn w:val="1"/>
    <w:qFormat/>
    <w:uiPriority w:val="99"/>
    <w:rPr>
      <w:szCs w:val="24"/>
    </w:rPr>
  </w:style>
  <w:style w:type="paragraph" w:customStyle="1" w:styleId="592">
    <w:name w:val="CM106"/>
    <w:basedOn w:val="151"/>
    <w:next w:val="151"/>
    <w:qFormat/>
    <w:uiPriority w:val="99"/>
    <w:rPr>
      <w:rFonts w:hAnsi="Calibri"/>
      <w:color w:val="auto"/>
      <w:sz w:val="22"/>
      <w:szCs w:val="22"/>
    </w:rPr>
  </w:style>
  <w:style w:type="paragraph" w:customStyle="1" w:styleId="593">
    <w:name w:val="xl92"/>
    <w:basedOn w:val="1"/>
    <w:qFormat/>
    <w:uiPriority w:val="99"/>
    <w:pPr>
      <w:widowControl/>
      <w:pBdr>
        <w:top w:val="single" w:color="auto" w:sz="4" w:space="0"/>
        <w:left w:val="single" w:color="auto" w:sz="4" w:space="0"/>
        <w:right w:val="single" w:color="auto" w:sz="4" w:space="0"/>
      </w:pBdr>
      <w:spacing w:before="100" w:beforeAutospacing="1" w:after="100" w:afterAutospacing="1" w:line="276" w:lineRule="auto"/>
      <w:ind w:firstLine="200" w:firstLineChars="200"/>
      <w:jc w:val="left"/>
    </w:pPr>
    <w:rPr>
      <w:rFonts w:ascii="宋体" w:hAnsi="宋体"/>
      <w:kern w:val="0"/>
      <w:sz w:val="22"/>
      <w:lang w:eastAsia="en-US"/>
    </w:rPr>
  </w:style>
  <w:style w:type="paragraph" w:customStyle="1" w:styleId="594">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kern w:val="0"/>
      <w:sz w:val="22"/>
      <w:lang w:eastAsia="en-US"/>
    </w:rPr>
  </w:style>
  <w:style w:type="paragraph" w:customStyle="1" w:styleId="595">
    <w:name w:val="geshi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6">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7">
    <w:name w:val="不缩进"/>
    <w:basedOn w:val="1"/>
    <w:qFormat/>
    <w:uiPriority w:val="99"/>
    <w:pPr>
      <w:widowControl/>
      <w:spacing w:after="200" w:line="276" w:lineRule="auto"/>
      <w:ind w:firstLine="200" w:firstLineChars="200"/>
      <w:jc w:val="center"/>
    </w:pPr>
    <w:rPr>
      <w:rFonts w:ascii="楷体_GB2312" w:hAnsi="Calibri" w:eastAsia="楷体_GB2312"/>
      <w:spacing w:val="-8"/>
      <w:kern w:val="0"/>
      <w:sz w:val="24"/>
      <w:szCs w:val="20"/>
      <w:lang w:eastAsia="en-US"/>
    </w:rPr>
  </w:style>
  <w:style w:type="paragraph" w:customStyle="1" w:styleId="598">
    <w:name w:val="Char Char1 Char Char"/>
    <w:basedOn w:val="1"/>
    <w:qFormat/>
    <w:uiPriority w:val="0"/>
    <w:pPr>
      <w:tabs>
        <w:tab w:val="left" w:pos="360"/>
      </w:tabs>
    </w:pPr>
    <w:rPr>
      <w:szCs w:val="20"/>
    </w:rPr>
  </w:style>
  <w:style w:type="paragraph" w:customStyle="1" w:styleId="599">
    <w:name w:val="xl78"/>
    <w:basedOn w:val="1"/>
    <w:qFormat/>
    <w:uiPriority w:val="99"/>
    <w:pPr>
      <w:widowControl/>
      <w:spacing w:before="100" w:beforeAutospacing="1" w:after="100" w:afterAutospacing="1" w:line="276" w:lineRule="auto"/>
      <w:ind w:firstLine="200" w:firstLineChars="200"/>
      <w:jc w:val="left"/>
    </w:pPr>
    <w:rPr>
      <w:rFonts w:ascii="Calibri" w:hAnsi="Calibri"/>
      <w:b/>
      <w:bCs/>
      <w:kern w:val="0"/>
      <w:sz w:val="22"/>
      <w:lang w:eastAsia="en-US"/>
    </w:rPr>
  </w:style>
  <w:style w:type="paragraph" w:customStyle="1" w:styleId="600">
    <w:name w:val="juzhong"/>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01">
    <w:name w:val="正文4"/>
    <w:qFormat/>
    <w:uiPriority w:val="99"/>
    <w:pPr>
      <w:jc w:val="both"/>
    </w:pPr>
    <w:rPr>
      <w:rFonts w:ascii="Calibri" w:hAnsi="Calibri" w:eastAsia="宋体" w:cs="Calibri"/>
      <w:szCs w:val="21"/>
      <w:lang w:val="en-US" w:eastAsia="zh-CN" w:bidi="ar-SA"/>
    </w:rPr>
  </w:style>
  <w:style w:type="paragraph" w:customStyle="1" w:styleId="602">
    <w:name w:val="Char Char Char Char Char Char Char Char Char Char Char Char Char Char Char Char Char Char Char Char Char Char Char Char Char Char Char Char"/>
    <w:basedOn w:val="1"/>
    <w:qFormat/>
    <w:uiPriority w:val="99"/>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603">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4">
    <w:name w:val="font6"/>
    <w:basedOn w:val="1"/>
    <w:qFormat/>
    <w:uiPriority w:val="99"/>
    <w:pPr>
      <w:widowControl/>
      <w:spacing w:before="100" w:beforeAutospacing="1" w:after="100" w:afterAutospacing="1"/>
      <w:jc w:val="left"/>
    </w:pPr>
    <w:rPr>
      <w:rFonts w:hint="eastAsia" w:ascii="宋体" w:hAnsi="宋体" w:cs="Arial Unicode MS"/>
      <w:b/>
      <w:bCs/>
      <w:color w:val="000000"/>
      <w:kern w:val="0"/>
      <w:sz w:val="18"/>
      <w:szCs w:val="18"/>
    </w:rPr>
  </w:style>
  <w:style w:type="paragraph" w:customStyle="1" w:styleId="605">
    <w:name w:val="xl4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color w:val="FF0000"/>
      <w:kern w:val="0"/>
      <w:sz w:val="22"/>
      <w:lang w:eastAsia="en-US"/>
    </w:rPr>
  </w:style>
  <w:style w:type="paragraph" w:customStyle="1" w:styleId="606">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7">
    <w:name w:val="中文表内容"/>
    <w:basedOn w:val="1"/>
    <w:next w:val="1"/>
    <w:qFormat/>
    <w:uiPriority w:val="99"/>
    <w:pPr>
      <w:widowControl/>
      <w:overflowPunct w:val="0"/>
      <w:adjustRightInd w:val="0"/>
      <w:snapToGrid w:val="0"/>
      <w:spacing w:after="200" w:line="200" w:lineRule="atLeast"/>
      <w:ind w:left="284" w:firstLine="200" w:firstLineChars="200"/>
      <w:jc w:val="left"/>
      <w:textAlignment w:val="baseline"/>
    </w:pPr>
    <w:rPr>
      <w:rFonts w:ascii="Calibri" w:hAnsi="Calibri" w:eastAsia="仿宋_GB2312"/>
      <w:kern w:val="0"/>
      <w:sz w:val="28"/>
      <w:szCs w:val="20"/>
      <w:lang w:eastAsia="en-US"/>
    </w:rPr>
  </w:style>
  <w:style w:type="paragraph" w:customStyle="1" w:styleId="608">
    <w:name w:val="网格表 31"/>
    <w:basedOn w:val="3"/>
    <w:next w:val="1"/>
    <w:unhideWhenUsed/>
    <w:qFormat/>
    <w:uiPriority w:val="39"/>
    <w:pPr>
      <w:widowControl/>
      <w:tabs>
        <w:tab w:val="left" w:pos="360"/>
        <w:tab w:val="left" w:pos="3054"/>
      </w:tabs>
      <w:spacing w:before="81" w:after="81" w:line="259" w:lineRule="auto"/>
      <w:ind w:firstLine="480"/>
      <w:outlineLvl w:val="9"/>
    </w:pPr>
    <w:rPr>
      <w:rFonts w:ascii="黑体" w:hAnsi="黑体" w:eastAsia="黑体"/>
      <w:bCs w:val="0"/>
      <w:kern w:val="0"/>
      <w:sz w:val="32"/>
      <w:szCs w:val="32"/>
      <w:lang w:val="zh-CN"/>
    </w:rPr>
  </w:style>
  <w:style w:type="paragraph" w:customStyle="1" w:styleId="609">
    <w:name w:val="默认段落字体 Para Char"/>
    <w:basedOn w:val="1"/>
    <w:qFormat/>
    <w:uiPriority w:val="0"/>
    <w:pPr>
      <w:spacing w:line="360" w:lineRule="auto"/>
      <w:jc w:val="left"/>
    </w:pPr>
    <w:rPr>
      <w:szCs w:val="20"/>
    </w:rPr>
  </w:style>
  <w:style w:type="paragraph" w:customStyle="1" w:styleId="610">
    <w:name w:val="CM14"/>
    <w:basedOn w:val="151"/>
    <w:next w:val="151"/>
    <w:qFormat/>
    <w:uiPriority w:val="99"/>
    <w:pPr>
      <w:spacing w:line="400" w:lineRule="atLeast"/>
    </w:pPr>
    <w:rPr>
      <w:rFonts w:hAnsi="Calibri"/>
      <w:color w:val="auto"/>
      <w:sz w:val="22"/>
      <w:szCs w:val="22"/>
    </w:rPr>
  </w:style>
  <w:style w:type="paragraph" w:customStyle="1" w:styleId="611">
    <w:name w:val="文档正文"/>
    <w:basedOn w:val="1"/>
    <w:qFormat/>
    <w:uiPriority w:val="0"/>
    <w:pPr>
      <w:adjustRightInd w:val="0"/>
      <w:snapToGrid w:val="0"/>
      <w:spacing w:line="360" w:lineRule="auto"/>
      <w:ind w:left="13" w:leftChars="-45" w:hanging="107" w:hangingChars="51"/>
    </w:pPr>
    <w:rPr>
      <w:rFonts w:ascii="宋体" w:hAnsi="宋体"/>
      <w:color w:val="FF0000"/>
      <w:kern w:val="0"/>
      <w:szCs w:val="20"/>
    </w:rPr>
  </w:style>
  <w:style w:type="paragraph" w:customStyle="1" w:styleId="612">
    <w:name w:val="CM96"/>
    <w:basedOn w:val="151"/>
    <w:next w:val="151"/>
    <w:qFormat/>
    <w:uiPriority w:val="99"/>
    <w:pPr>
      <w:spacing w:line="626" w:lineRule="atLeast"/>
    </w:pPr>
    <w:rPr>
      <w:rFonts w:hAnsi="Calibri"/>
      <w:color w:val="auto"/>
      <w:sz w:val="22"/>
      <w:szCs w:val="22"/>
    </w:rPr>
  </w:style>
  <w:style w:type="paragraph" w:customStyle="1" w:styleId="613">
    <w:name w:val="纯文本 New New New"/>
    <w:basedOn w:val="614"/>
    <w:qFormat/>
    <w:uiPriority w:val="0"/>
  </w:style>
  <w:style w:type="paragraph" w:customStyle="1" w:styleId="614">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5">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6">
    <w:name w:val="CM45"/>
    <w:basedOn w:val="151"/>
    <w:next w:val="151"/>
    <w:qFormat/>
    <w:uiPriority w:val="99"/>
    <w:pPr>
      <w:spacing w:line="443" w:lineRule="atLeast"/>
    </w:pPr>
    <w:rPr>
      <w:rFonts w:hAnsi="Calibri"/>
      <w:color w:val="auto"/>
      <w:sz w:val="22"/>
      <w:szCs w:val="22"/>
    </w:rPr>
  </w:style>
  <w:style w:type="paragraph" w:customStyle="1" w:styleId="617">
    <w:name w:val="修订1"/>
    <w:qFormat/>
    <w:uiPriority w:val="99"/>
    <w:rPr>
      <w:rFonts w:ascii="Times New Roman" w:hAnsi="Times New Roman" w:eastAsia="宋体" w:cs="Times New Roman"/>
      <w:kern w:val="2"/>
      <w:sz w:val="21"/>
      <w:szCs w:val="24"/>
      <w:lang w:val="en-US" w:eastAsia="zh-CN" w:bidi="ar-SA"/>
    </w:rPr>
  </w:style>
  <w:style w:type="paragraph" w:customStyle="1" w:styleId="618">
    <w:name w:val="CM97"/>
    <w:basedOn w:val="151"/>
    <w:next w:val="151"/>
    <w:qFormat/>
    <w:uiPriority w:val="99"/>
    <w:pPr>
      <w:spacing w:line="440" w:lineRule="atLeast"/>
    </w:pPr>
    <w:rPr>
      <w:rFonts w:hAnsi="Calibri"/>
      <w:color w:val="auto"/>
      <w:sz w:val="22"/>
      <w:szCs w:val="22"/>
    </w:rPr>
  </w:style>
  <w:style w:type="paragraph" w:customStyle="1" w:styleId="619">
    <w:name w:val="xl70"/>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right"/>
    </w:pPr>
    <w:rPr>
      <w:rFonts w:ascii="宋体" w:hAnsi="宋体"/>
      <w:b/>
      <w:bCs/>
      <w:kern w:val="0"/>
      <w:sz w:val="22"/>
      <w:lang w:eastAsia="en-US"/>
    </w:rPr>
  </w:style>
  <w:style w:type="paragraph" w:customStyle="1" w:styleId="620">
    <w:name w:val="Char Char Char Char Char Char Char Char Char Char Char Char Char Char Char Char Char Char Char Char Char Char Char Char1"/>
    <w:basedOn w:val="1"/>
    <w:qFormat/>
    <w:uiPriority w:val="99"/>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621">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Calibri" w:hAnsi="Calibri"/>
      <w:b/>
      <w:bCs/>
      <w:color w:val="FF0000"/>
      <w:kern w:val="0"/>
      <w:sz w:val="22"/>
      <w:lang w:eastAsia="en-US"/>
    </w:rPr>
  </w:style>
  <w:style w:type="paragraph" w:customStyle="1" w:styleId="622">
    <w:name w:val="普通(网站)2"/>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623">
    <w:name w:val="font5"/>
    <w:basedOn w:val="1"/>
    <w:qFormat/>
    <w:uiPriority w:val="99"/>
    <w:pPr>
      <w:widowControl/>
      <w:spacing w:before="100" w:beforeAutospacing="1" w:after="100" w:afterAutospacing="1"/>
      <w:jc w:val="left"/>
    </w:pPr>
    <w:rPr>
      <w:rFonts w:hint="eastAsia" w:ascii="宋体" w:hAnsi="宋体" w:cs="Arial Unicode MS"/>
      <w:kern w:val="0"/>
      <w:sz w:val="18"/>
      <w:szCs w:val="18"/>
    </w:rPr>
  </w:style>
  <w:style w:type="paragraph" w:customStyle="1" w:styleId="624">
    <w:name w:val="电气配置 3"/>
    <w:basedOn w:val="1"/>
    <w:qFormat/>
    <w:uiPriority w:val="0"/>
    <w:pPr>
      <w:numPr>
        <w:ilvl w:val="0"/>
        <w:numId w:val="1"/>
      </w:numPr>
      <w:tabs>
        <w:tab w:val="left" w:pos="839"/>
      </w:tabs>
    </w:pPr>
    <w:rPr>
      <w:rFonts w:ascii="仿宋_GB2312" w:eastAsia="仿宋_GB2312"/>
      <w:b/>
      <w:kern w:val="0"/>
      <w:sz w:val="28"/>
      <w:szCs w:val="28"/>
    </w:rPr>
  </w:style>
  <w:style w:type="paragraph" w:customStyle="1" w:styleId="625">
    <w:name w:val="正文 New New New New New New New New New New New New New New New New New New New New New New New New New New New New New New New New New New New New New New New New"/>
    <w:qFormat/>
    <w:uiPriority w:val="0"/>
    <w:pPr>
      <w:widowControl w:val="0"/>
      <w:spacing w:line="460" w:lineRule="exact"/>
      <w:jc w:val="both"/>
    </w:pPr>
    <w:rPr>
      <w:rFonts w:ascii="Times New Roman" w:hAnsi="Times New Roman" w:eastAsia="宋体" w:cs="Times New Roman"/>
      <w:spacing w:val="6"/>
      <w:kern w:val="2"/>
      <w:sz w:val="24"/>
      <w:szCs w:val="24"/>
      <w:lang w:val="en-US" w:eastAsia="zh-CN" w:bidi="ar-SA"/>
    </w:rPr>
  </w:style>
  <w:style w:type="paragraph" w:customStyle="1" w:styleId="626">
    <w:name w:val="样式 第五行 + 左侧:  -8 字符 段前: 2 行1"/>
    <w:basedOn w:val="627"/>
    <w:qFormat/>
    <w:uiPriority w:val="99"/>
    <w:pPr>
      <w:ind w:left="-300" w:leftChars="-300"/>
    </w:pPr>
  </w:style>
  <w:style w:type="paragraph" w:customStyle="1" w:styleId="627">
    <w:name w:val="第五行"/>
    <w:basedOn w:val="628"/>
    <w:qFormat/>
    <w:uiPriority w:val="99"/>
    <w:pPr>
      <w:ind w:left="-800" w:leftChars="-800"/>
    </w:pPr>
  </w:style>
  <w:style w:type="paragraph" w:customStyle="1" w:styleId="628">
    <w:name w:val="第四行"/>
    <w:basedOn w:val="1"/>
    <w:qFormat/>
    <w:uiPriority w:val="99"/>
    <w:pPr>
      <w:spacing w:beforeLines="200" w:line="360" w:lineRule="auto"/>
      <w:ind w:left="-400" w:leftChars="-400"/>
      <w:jc w:val="center"/>
    </w:pPr>
    <w:rPr>
      <w:rFonts w:ascii="宋体" w:hAnsi="Calibri" w:cs="宋体"/>
      <w:b/>
      <w:bCs/>
      <w:sz w:val="28"/>
      <w:szCs w:val="28"/>
    </w:rPr>
  </w:style>
  <w:style w:type="paragraph" w:customStyle="1" w:styleId="629">
    <w:name w:val="xl28"/>
    <w:basedOn w:val="1"/>
    <w:qFormat/>
    <w:uiPriority w:val="99"/>
    <w:pPr>
      <w:widowControl/>
      <w:pBdr>
        <w:top w:val="double" w:color="auto" w:sz="6"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630">
    <w:name w:val="样式 日期 + 黑体 三号"/>
    <w:basedOn w:val="547"/>
    <w:qFormat/>
    <w:uiPriority w:val="99"/>
    <w:pPr>
      <w:spacing w:line="600" w:lineRule="exact"/>
      <w:ind w:left="0" w:leftChars="0"/>
    </w:pPr>
    <w:rPr>
      <w:rFonts w:ascii="黑体" w:hAnsi="黑体" w:eastAsia="黑体" w:cs="黑体"/>
      <w:sz w:val="32"/>
      <w:szCs w:val="32"/>
    </w:rPr>
  </w:style>
  <w:style w:type="paragraph" w:customStyle="1" w:styleId="63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2">
    <w:name w:val="目录文字"/>
    <w:basedOn w:val="1"/>
    <w:qFormat/>
    <w:uiPriority w:val="0"/>
    <w:pPr>
      <w:widowControl/>
      <w:spacing w:line="480" w:lineRule="auto"/>
      <w:jc w:val="left"/>
    </w:pPr>
    <w:rPr>
      <w:rFonts w:ascii="宋体" w:hAnsi="宋体"/>
      <w:kern w:val="0"/>
      <w:sz w:val="24"/>
      <w:szCs w:val="20"/>
    </w:rPr>
  </w:style>
  <w:style w:type="paragraph" w:customStyle="1" w:styleId="633">
    <w:name w:val="文本内容"/>
    <w:basedOn w:val="1"/>
    <w:qFormat/>
    <w:uiPriority w:val="99"/>
    <w:pPr>
      <w:spacing w:line="360" w:lineRule="auto"/>
      <w:ind w:firstLine="480" w:firstLineChars="200"/>
    </w:pPr>
    <w:rPr>
      <w:rFonts w:ascii="Calibri" w:hAnsi="Calibri"/>
      <w:color w:val="000000"/>
      <w:sz w:val="24"/>
      <w:szCs w:val="24"/>
    </w:rPr>
  </w:style>
  <w:style w:type="paragraph" w:customStyle="1" w:styleId="634">
    <w:name w:val="样式 黑体 居中 首行缩进:  0.35 厘米 行距: 1.5 倍行距"/>
    <w:basedOn w:val="1"/>
    <w:qFormat/>
    <w:uiPriority w:val="0"/>
    <w:pPr>
      <w:widowControl/>
      <w:jc w:val="center"/>
    </w:pPr>
    <w:rPr>
      <w:rFonts w:ascii="黑体" w:hAnsi="黑体" w:eastAsia="黑体"/>
      <w:kern w:val="0"/>
      <w:sz w:val="24"/>
      <w:szCs w:val="20"/>
    </w:rPr>
  </w:style>
  <w:style w:type="paragraph" w:customStyle="1" w:styleId="635">
    <w:name w:val="CM92"/>
    <w:basedOn w:val="151"/>
    <w:next w:val="151"/>
    <w:qFormat/>
    <w:uiPriority w:val="99"/>
    <w:pPr>
      <w:spacing w:line="440" w:lineRule="atLeast"/>
    </w:pPr>
    <w:rPr>
      <w:rFonts w:hAnsi="Calibri"/>
      <w:color w:val="auto"/>
      <w:sz w:val="22"/>
      <w:szCs w:val="22"/>
    </w:rPr>
  </w:style>
  <w:style w:type="paragraph" w:customStyle="1" w:styleId="636">
    <w:name w:val="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38">
    <w:name w:val="正文 New New New New New New New New New New New New New New New New New New New New New New New New New New New New New New New New New New New New New New New"/>
    <w:qFormat/>
    <w:uiPriority w:val="0"/>
    <w:pPr>
      <w:widowControl w:val="0"/>
      <w:spacing w:line="460" w:lineRule="exact"/>
      <w:jc w:val="both"/>
    </w:pPr>
    <w:rPr>
      <w:rFonts w:ascii="Times New Roman" w:hAnsi="Times New Roman" w:eastAsia="宋体" w:cs="Times New Roman"/>
      <w:spacing w:val="6"/>
      <w:kern w:val="2"/>
      <w:sz w:val="24"/>
      <w:szCs w:val="24"/>
      <w:lang w:val="en-US" w:eastAsia="zh-CN" w:bidi="ar-SA"/>
    </w:rPr>
  </w:style>
  <w:style w:type="paragraph" w:customStyle="1" w:styleId="639">
    <w:name w:val="样式 样式 样式 样式 第六行 + 左侧:  -2 字符 段前: 2 行 + 左侧:  -10 字符 段前: 2 行 + 左侧:..."/>
    <w:basedOn w:val="640"/>
    <w:qFormat/>
    <w:uiPriority w:val="99"/>
    <w:pPr>
      <w:ind w:left="-1000" w:leftChars="-1000"/>
    </w:pPr>
  </w:style>
  <w:style w:type="paragraph" w:customStyle="1" w:styleId="640">
    <w:name w:val="样式 样式 样式 第六行 + 左侧:  -2 字符 段前: 2 行 + 左侧:  -10 字符 段前: 2 行 + 左侧:  -..."/>
    <w:basedOn w:val="641"/>
    <w:qFormat/>
    <w:uiPriority w:val="99"/>
    <w:pPr>
      <w:ind w:left="-1200" w:leftChars="-1200"/>
    </w:pPr>
  </w:style>
  <w:style w:type="paragraph" w:customStyle="1" w:styleId="641">
    <w:name w:val="样式 样式 第六行 + 左侧:  -2 字符 段前: 2 行 + 左侧:  -10 字符 段前: 2 行"/>
    <w:basedOn w:val="642"/>
    <w:qFormat/>
    <w:uiPriority w:val="99"/>
    <w:pPr>
      <w:ind w:left="-1100" w:leftChars="-1100"/>
    </w:pPr>
  </w:style>
  <w:style w:type="paragraph" w:customStyle="1" w:styleId="642">
    <w:name w:val="样式 第六行 + 左侧:  -2 字符 段前: 2 行"/>
    <w:basedOn w:val="643"/>
    <w:qFormat/>
    <w:uiPriority w:val="99"/>
    <w:pPr>
      <w:ind w:left="-1000" w:leftChars="-1000"/>
    </w:pPr>
  </w:style>
  <w:style w:type="paragraph" w:customStyle="1" w:styleId="643">
    <w:name w:val="第六行"/>
    <w:basedOn w:val="644"/>
    <w:qFormat/>
    <w:uiPriority w:val="99"/>
    <w:pPr>
      <w:ind w:left="-200" w:leftChars="-200"/>
    </w:pPr>
  </w:style>
  <w:style w:type="paragraph" w:customStyle="1" w:styleId="644">
    <w:name w:val="样式 样式 样式 第五行 + 左侧:  -8 字符 段前: 2 行 + 左侧:  -6 字符 段前: 2 行 + 左侧:  -4..."/>
    <w:basedOn w:val="645"/>
    <w:qFormat/>
    <w:uiPriority w:val="99"/>
  </w:style>
  <w:style w:type="paragraph" w:customStyle="1" w:styleId="645">
    <w:name w:val="样式 样式 第五行 + 左侧:  -8 字符 段前: 2 行 + 左侧:  -6 字符 段前: 2 行"/>
    <w:basedOn w:val="646"/>
    <w:qFormat/>
    <w:uiPriority w:val="99"/>
    <w:pPr>
      <w:ind w:left="-400" w:leftChars="-400"/>
    </w:pPr>
  </w:style>
  <w:style w:type="paragraph" w:customStyle="1" w:styleId="646">
    <w:name w:val="样式 第五行 + 左侧:  -8 字符 段前: 2 行"/>
    <w:basedOn w:val="627"/>
    <w:qFormat/>
    <w:uiPriority w:val="99"/>
    <w:pPr>
      <w:ind w:left="-600" w:leftChars="-600"/>
    </w:pPr>
  </w:style>
  <w:style w:type="paragraph" w:customStyle="1" w:styleId="647">
    <w:name w:val="Char Char Char Char Char Char Char Char Char"/>
    <w:basedOn w:val="1"/>
    <w:qFormat/>
    <w:uiPriority w:val="99"/>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648">
    <w:name w:val="CM85"/>
    <w:basedOn w:val="151"/>
    <w:next w:val="151"/>
    <w:qFormat/>
    <w:uiPriority w:val="99"/>
    <w:pPr>
      <w:spacing w:line="440" w:lineRule="atLeast"/>
    </w:pPr>
    <w:rPr>
      <w:rFonts w:hAnsi="Calibri"/>
      <w:color w:val="auto"/>
      <w:sz w:val="22"/>
      <w:szCs w:val="22"/>
    </w:rPr>
  </w:style>
  <w:style w:type="paragraph" w:customStyle="1" w:styleId="649">
    <w:name w:val="样式 正文文本缩进 + 首行缩进:  2 字符"/>
    <w:basedOn w:val="202"/>
    <w:qFormat/>
    <w:uiPriority w:val="99"/>
    <w:pPr>
      <w:tabs>
        <w:tab w:val="left" w:pos="9016"/>
      </w:tabs>
      <w:overflowPunct w:val="0"/>
      <w:autoSpaceDE w:val="0"/>
      <w:autoSpaceDN w:val="0"/>
      <w:spacing w:line="500" w:lineRule="exact"/>
      <w:ind w:firstLine="480" w:firstLineChars="200"/>
      <w:jc w:val="left"/>
    </w:pPr>
    <w:rPr>
      <w:rFonts w:hAnsi="MS Sans Serif"/>
      <w:spacing w:val="12"/>
      <w:kern w:val="0"/>
      <w:sz w:val="24"/>
      <w:szCs w:val="20"/>
    </w:rPr>
  </w:style>
  <w:style w:type="paragraph" w:customStyle="1" w:styleId="650">
    <w:name w:val="目录"/>
    <w:basedOn w:val="1"/>
    <w:qFormat/>
    <w:uiPriority w:val="0"/>
    <w:pPr>
      <w:widowControl/>
      <w:jc w:val="center"/>
    </w:pPr>
    <w:rPr>
      <w:rFonts w:ascii="宋体"/>
      <w:b/>
      <w:kern w:val="0"/>
      <w:sz w:val="36"/>
      <w:szCs w:val="20"/>
    </w:rPr>
  </w:style>
  <w:style w:type="paragraph" w:customStyle="1" w:styleId="651">
    <w:name w:val="电动配置3"/>
    <w:basedOn w:val="1"/>
    <w:qFormat/>
    <w:uiPriority w:val="0"/>
    <w:pPr>
      <w:numPr>
        <w:ilvl w:val="0"/>
        <w:numId w:val="2"/>
      </w:numPr>
      <w:tabs>
        <w:tab w:val="left" w:pos="839"/>
        <w:tab w:val="clear" w:pos="780"/>
      </w:tabs>
    </w:pPr>
    <w:rPr>
      <w:rFonts w:ascii="仿宋_GB2312" w:eastAsia="仿宋_GB2312"/>
      <w:b/>
      <w:kern w:val="0"/>
      <w:sz w:val="28"/>
      <w:szCs w:val="28"/>
    </w:rPr>
  </w:style>
  <w:style w:type="paragraph" w:customStyle="1" w:styleId="652">
    <w:name w:val="彩色列表 - 强调文字颜色 11"/>
    <w:basedOn w:val="1"/>
    <w:qFormat/>
    <w:uiPriority w:val="99"/>
    <w:pPr>
      <w:spacing w:line="360" w:lineRule="auto"/>
      <w:ind w:firstLine="420" w:firstLineChars="200"/>
    </w:pPr>
    <w:rPr>
      <w:rFonts w:ascii="Calibri" w:hAnsi="Calibri"/>
      <w:szCs w:val="24"/>
    </w:rPr>
  </w:style>
  <w:style w:type="paragraph" w:customStyle="1" w:styleId="653">
    <w:name w:val="Char1"/>
    <w:basedOn w:val="1"/>
    <w:qFormat/>
    <w:uiPriority w:val="0"/>
    <w:rPr>
      <w:rFonts w:ascii="Tahoma" w:hAnsi="Tahoma"/>
      <w:sz w:val="24"/>
      <w:szCs w:val="20"/>
    </w:rPr>
  </w:style>
  <w:style w:type="paragraph" w:customStyle="1" w:styleId="65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5">
    <w:name w:val="List Paragraph1"/>
    <w:basedOn w:val="1"/>
    <w:qFormat/>
    <w:uiPriority w:val="34"/>
    <w:pPr>
      <w:ind w:firstLine="420" w:firstLineChars="200"/>
    </w:pPr>
  </w:style>
  <w:style w:type="paragraph" w:customStyle="1" w:styleId="656">
    <w:name w:val="列出段落11"/>
    <w:basedOn w:val="1"/>
    <w:qFormat/>
    <w:uiPriority w:val="99"/>
    <w:pPr>
      <w:ind w:firstLine="420" w:firstLineChars="200"/>
    </w:pPr>
    <w:rPr>
      <w:rFonts w:ascii="Calibri" w:hAnsi="Calibri"/>
      <w:szCs w:val="21"/>
    </w:rPr>
  </w:style>
  <w:style w:type="paragraph" w:customStyle="1" w:styleId="657">
    <w:name w:val="CM47"/>
    <w:basedOn w:val="151"/>
    <w:next w:val="151"/>
    <w:qFormat/>
    <w:uiPriority w:val="99"/>
    <w:pPr>
      <w:spacing w:line="400" w:lineRule="atLeast"/>
    </w:pPr>
    <w:rPr>
      <w:rFonts w:hAnsi="Calibri"/>
      <w:color w:val="auto"/>
      <w:sz w:val="22"/>
      <w:szCs w:val="22"/>
    </w:rPr>
  </w:style>
  <w:style w:type="paragraph" w:customStyle="1" w:styleId="658">
    <w:name w:val="注"/>
    <w:basedOn w:val="1"/>
    <w:qFormat/>
    <w:uiPriority w:val="99"/>
    <w:pPr>
      <w:spacing w:line="360" w:lineRule="auto"/>
      <w:ind w:left="200" w:hanging="200" w:hangingChars="200"/>
    </w:pPr>
    <w:rPr>
      <w:rFonts w:ascii="宋体"/>
      <w:b/>
      <w:szCs w:val="24"/>
    </w:rPr>
  </w:style>
  <w:style w:type="paragraph" w:customStyle="1" w:styleId="659">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0">
    <w:name w:val="1"/>
    <w:basedOn w:val="1"/>
    <w:next w:val="1"/>
    <w:qFormat/>
    <w:uiPriority w:val="0"/>
    <w:rPr>
      <w:szCs w:val="24"/>
    </w:rPr>
  </w:style>
  <w:style w:type="paragraph" w:customStyle="1" w:styleId="661">
    <w:name w:val="xl35"/>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line="276" w:lineRule="auto"/>
      <w:ind w:firstLine="200" w:firstLineChars="200"/>
      <w:jc w:val="center"/>
    </w:pPr>
    <w:rPr>
      <w:rFonts w:ascii="宋体" w:hAnsi="宋体"/>
      <w:b/>
      <w:bCs/>
      <w:kern w:val="0"/>
      <w:sz w:val="22"/>
      <w:lang w:eastAsia="en-US"/>
    </w:rPr>
  </w:style>
  <w:style w:type="paragraph" w:customStyle="1" w:styleId="662">
    <w:name w:val="sn2"/>
    <w:basedOn w:val="4"/>
    <w:next w:val="31"/>
    <w:qFormat/>
    <w:uiPriority w:val="0"/>
    <w:pPr>
      <w:widowControl/>
      <w:tabs>
        <w:tab w:val="left" w:pos="420"/>
        <w:tab w:val="left" w:pos="1021"/>
        <w:tab w:val="left" w:pos="3054"/>
        <w:tab w:val="left" w:pos="3573"/>
        <w:tab w:val="left" w:pos="3715"/>
      </w:tabs>
      <w:spacing w:before="140" w:after="140" w:line="240" w:lineRule="auto"/>
      <w:ind w:left="358" w:leftChars="358"/>
    </w:pPr>
    <w:rPr>
      <w:rFonts w:ascii="Arial" w:hAnsi="Arial" w:eastAsia="隶书"/>
      <w:bCs w:val="0"/>
      <w:color w:val="000000"/>
      <w:kern w:val="0"/>
      <w:sz w:val="36"/>
      <w:szCs w:val="36"/>
    </w:rPr>
  </w:style>
  <w:style w:type="paragraph" w:customStyle="1" w:styleId="663">
    <w:name w:val="Char Char1 Char Char1"/>
    <w:basedOn w:val="1"/>
    <w:qFormat/>
    <w:uiPriority w:val="0"/>
    <w:pPr>
      <w:tabs>
        <w:tab w:val="left" w:pos="360"/>
      </w:tabs>
    </w:pPr>
    <w:rPr>
      <w:szCs w:val="20"/>
    </w:rPr>
  </w:style>
  <w:style w:type="paragraph" w:customStyle="1" w:styleId="66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65">
    <w:name w:val="Char2"/>
    <w:basedOn w:val="1"/>
    <w:qFormat/>
    <w:uiPriority w:val="99"/>
    <w:rPr>
      <w:rFonts w:ascii="Tahoma" w:hAnsi="Tahoma"/>
      <w:sz w:val="24"/>
      <w:szCs w:val="20"/>
    </w:rPr>
  </w:style>
  <w:style w:type="paragraph" w:customStyle="1" w:styleId="666">
    <w:name w:val="CM52"/>
    <w:basedOn w:val="151"/>
    <w:next w:val="151"/>
    <w:qFormat/>
    <w:uiPriority w:val="99"/>
    <w:pPr>
      <w:spacing w:line="468" w:lineRule="atLeast"/>
    </w:pPr>
    <w:rPr>
      <w:rFonts w:hAnsi="Calibri"/>
      <w:color w:val="auto"/>
      <w:sz w:val="22"/>
      <w:szCs w:val="22"/>
    </w:rPr>
  </w:style>
  <w:style w:type="paragraph" w:customStyle="1" w:styleId="667">
    <w:name w:val="xl94"/>
    <w:basedOn w:val="1"/>
    <w:qFormat/>
    <w:uiPriority w:val="99"/>
    <w:pPr>
      <w:widowControl/>
      <w:pBdr>
        <w:bottom w:val="single" w:color="auto" w:sz="8" w:space="0"/>
      </w:pBdr>
      <w:spacing w:before="100" w:beforeAutospacing="1" w:after="100" w:afterAutospacing="1" w:line="276" w:lineRule="auto"/>
      <w:ind w:firstLine="200" w:firstLineChars="200"/>
      <w:jc w:val="left"/>
    </w:pPr>
    <w:rPr>
      <w:rFonts w:ascii="宋体" w:hAnsi="宋体"/>
      <w:kern w:val="0"/>
      <w:sz w:val="18"/>
      <w:szCs w:val="18"/>
      <w:lang w:eastAsia="en-US"/>
    </w:rPr>
  </w:style>
  <w:style w:type="paragraph" w:customStyle="1" w:styleId="668">
    <w:name w:val="CM86"/>
    <w:basedOn w:val="151"/>
    <w:next w:val="151"/>
    <w:qFormat/>
    <w:uiPriority w:val="99"/>
    <w:pPr>
      <w:spacing w:line="440" w:lineRule="atLeast"/>
    </w:pPr>
    <w:rPr>
      <w:rFonts w:hAnsi="Calibri"/>
      <w:color w:val="auto"/>
      <w:sz w:val="22"/>
      <w:szCs w:val="22"/>
    </w:rPr>
  </w:style>
  <w:style w:type="paragraph" w:customStyle="1" w:styleId="669">
    <w:name w:val="xl29"/>
    <w:basedOn w:val="1"/>
    <w:qFormat/>
    <w:uiPriority w:val="99"/>
    <w:pPr>
      <w:widowControl/>
      <w:pBdr>
        <w:left w:val="single" w:color="auto" w:sz="4" w:space="0"/>
        <w:bottom w:val="single" w:color="auto" w:sz="4" w:space="0"/>
        <w:right w:val="single" w:color="auto" w:sz="4" w:space="0"/>
      </w:pBdr>
      <w:spacing w:before="100" w:after="100" w:line="276" w:lineRule="auto"/>
      <w:ind w:firstLine="200" w:firstLineChars="200"/>
      <w:jc w:val="center"/>
      <w:textAlignment w:val="center"/>
    </w:pPr>
    <w:rPr>
      <w:rFonts w:ascii="Arial Unicode MS" w:hAnsi="Arial Unicode MS"/>
      <w:kern w:val="0"/>
      <w:sz w:val="24"/>
      <w:szCs w:val="20"/>
      <w:lang w:eastAsia="en-US"/>
    </w:rPr>
  </w:style>
  <w:style w:type="paragraph" w:customStyle="1" w:styleId="670">
    <w:name w:val="Normal_2"/>
    <w:qFormat/>
    <w:uiPriority w:val="0"/>
    <w:pPr>
      <w:widowControl w:val="0"/>
      <w:jc w:val="both"/>
    </w:pPr>
    <w:rPr>
      <w:rFonts w:ascii="Calibri" w:hAnsi="Calibri" w:eastAsia="宋体" w:cs="Times New Roman"/>
      <w:lang w:val="en-US" w:eastAsia="zh-CN" w:bidi="ar-SA"/>
    </w:rPr>
  </w:style>
  <w:style w:type="paragraph" w:customStyle="1" w:styleId="671">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2">
    <w:name w:val="CM15"/>
    <w:basedOn w:val="151"/>
    <w:next w:val="151"/>
    <w:qFormat/>
    <w:uiPriority w:val="99"/>
    <w:pPr>
      <w:spacing w:line="400" w:lineRule="atLeast"/>
    </w:pPr>
    <w:rPr>
      <w:rFonts w:hAnsi="Calibri"/>
      <w:color w:val="auto"/>
      <w:sz w:val="22"/>
      <w:szCs w:val="22"/>
    </w:rPr>
  </w:style>
  <w:style w:type="paragraph" w:customStyle="1" w:styleId="673">
    <w:name w:val="列表段落1"/>
    <w:basedOn w:val="1"/>
    <w:qFormat/>
    <w:uiPriority w:val="0"/>
    <w:pPr>
      <w:spacing w:line="360" w:lineRule="auto"/>
      <w:ind w:firstLine="420" w:firstLineChars="200"/>
      <w:jc w:val="left"/>
    </w:pPr>
    <w:rPr>
      <w:sz w:val="24"/>
    </w:rPr>
  </w:style>
  <w:style w:type="paragraph" w:customStyle="1" w:styleId="674">
    <w:name w:val="CM32"/>
    <w:basedOn w:val="151"/>
    <w:next w:val="151"/>
    <w:qFormat/>
    <w:uiPriority w:val="99"/>
    <w:pPr>
      <w:spacing w:line="400" w:lineRule="atLeast"/>
    </w:pPr>
    <w:rPr>
      <w:rFonts w:hAnsi="Calibri"/>
      <w:color w:val="auto"/>
      <w:sz w:val="22"/>
      <w:szCs w:val="22"/>
    </w:rPr>
  </w:style>
  <w:style w:type="paragraph" w:customStyle="1" w:styleId="675">
    <w:name w:val="+标题4"/>
    <w:basedOn w:val="6"/>
    <w:qFormat/>
    <w:uiPriority w:val="99"/>
    <w:pPr>
      <w:tabs>
        <w:tab w:val="left" w:pos="1680"/>
      </w:tabs>
      <w:spacing w:beforeLines="50" w:after="120" w:line="360" w:lineRule="auto"/>
      <w:ind w:left="1680" w:hanging="420"/>
    </w:pPr>
    <w:rPr>
      <w:rFonts w:ascii="Times New Roman" w:hAnsi="Times New Roman" w:eastAsia="宋体"/>
      <w:sz w:val="24"/>
      <w:szCs w:val="24"/>
      <w:lang w:val="zh-CN"/>
    </w:rPr>
  </w:style>
  <w:style w:type="paragraph" w:customStyle="1" w:styleId="676">
    <w:name w:val="xl23"/>
    <w:next w:val="50"/>
    <w:qFormat/>
    <w:uiPriority w:val="99"/>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677">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78">
    <w:name w:val="Char Char Char Char Char Char Char Char Char1 Char1"/>
    <w:basedOn w:val="1"/>
    <w:qFormat/>
    <w:uiPriority w:val="99"/>
    <w:rPr>
      <w:rFonts w:ascii="Tahoma" w:hAnsi="Tahoma"/>
      <w:sz w:val="24"/>
      <w:szCs w:val="20"/>
    </w:rPr>
  </w:style>
  <w:style w:type="paragraph" w:customStyle="1" w:styleId="679">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0">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1">
    <w:name w:val="列出段落1"/>
    <w:basedOn w:val="1"/>
    <w:qFormat/>
    <w:uiPriority w:val="0"/>
    <w:pPr>
      <w:ind w:firstLine="420" w:firstLineChars="200"/>
    </w:pPr>
  </w:style>
  <w:style w:type="paragraph" w:customStyle="1" w:styleId="682">
    <w:name w:val="图片"/>
    <w:qFormat/>
    <w:uiPriority w:val="0"/>
    <w:pPr>
      <w:adjustRightInd w:val="0"/>
      <w:snapToGrid w:val="0"/>
      <w:spacing w:beforeLines="25" w:afterLines="25" w:line="300" w:lineRule="auto"/>
      <w:jc w:val="center"/>
    </w:pPr>
    <w:rPr>
      <w:rFonts w:ascii="Times New Roman" w:hAnsi="Times New Roman" w:eastAsia="宋体" w:cs="Times New Roman"/>
      <w:kern w:val="2"/>
      <w:sz w:val="24"/>
      <w:szCs w:val="22"/>
      <w:lang w:val="en-US" w:eastAsia="zh-CN" w:bidi="ar-SA"/>
    </w:rPr>
  </w:style>
  <w:style w:type="paragraph" w:customStyle="1" w:styleId="683">
    <w:name w:val="Char Char Char Char Char Char Char Char Char Char1"/>
    <w:basedOn w:val="1"/>
    <w:qFormat/>
    <w:uiPriority w:val="0"/>
    <w:pPr>
      <w:tabs>
        <w:tab w:val="left" w:pos="425"/>
      </w:tabs>
      <w:ind w:left="425" w:hanging="425"/>
    </w:pPr>
    <w:rPr>
      <w:rFonts w:ascii="Arial" w:hAnsi="Arial" w:eastAsia="黑体" w:cs="宋体"/>
      <w:b/>
      <w:bCs/>
      <w:sz w:val="32"/>
      <w:szCs w:val="32"/>
    </w:rPr>
  </w:style>
  <w:style w:type="paragraph" w:customStyle="1" w:styleId="684">
    <w:name w:val="CM63"/>
    <w:basedOn w:val="151"/>
    <w:next w:val="151"/>
    <w:qFormat/>
    <w:uiPriority w:val="99"/>
    <w:pPr>
      <w:spacing w:line="468" w:lineRule="atLeast"/>
    </w:pPr>
    <w:rPr>
      <w:rFonts w:hAnsi="Calibri"/>
      <w:color w:val="auto"/>
      <w:sz w:val="22"/>
      <w:szCs w:val="22"/>
    </w:rPr>
  </w:style>
  <w:style w:type="paragraph" w:customStyle="1" w:styleId="685">
    <w:name w:val="p0"/>
    <w:basedOn w:val="1"/>
    <w:qFormat/>
    <w:uiPriority w:val="0"/>
    <w:pPr>
      <w:widowControl/>
      <w:jc w:val="left"/>
    </w:pPr>
    <w:rPr>
      <w:rFonts w:ascii="宋体" w:hAnsi="宋体" w:cs="宋体"/>
      <w:kern w:val="0"/>
      <w:sz w:val="24"/>
      <w:szCs w:val="24"/>
    </w:rPr>
  </w:style>
  <w:style w:type="paragraph" w:customStyle="1" w:styleId="686">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688">
    <w:name w:val="para"/>
    <w:basedOn w:val="1"/>
    <w:qFormat/>
    <w:uiPriority w:val="0"/>
    <w:pPr>
      <w:widowControl/>
      <w:adjustRightInd w:val="0"/>
      <w:spacing w:before="160" w:line="360" w:lineRule="auto"/>
      <w:ind w:firstLine="425"/>
      <w:textAlignment w:val="baseline"/>
    </w:pPr>
    <w:rPr>
      <w:kern w:val="0"/>
      <w:sz w:val="24"/>
      <w:szCs w:val="20"/>
      <w:lang w:eastAsia="en-US"/>
    </w:rPr>
  </w:style>
  <w:style w:type="paragraph" w:customStyle="1" w:styleId="689">
    <w:name w:val="xl73"/>
    <w:basedOn w:val="1"/>
    <w:qFormat/>
    <w:uiPriority w:val="99"/>
    <w:pPr>
      <w:widowControl/>
      <w:pBdr>
        <w:top w:val="single" w:color="auto" w:sz="8" w:space="0"/>
        <w:left w:val="single" w:color="auto" w:sz="4" w:space="0"/>
        <w:bottom w:val="single" w:color="auto" w:sz="4" w:space="0"/>
        <w:right w:val="single" w:color="auto" w:sz="8" w:space="0"/>
      </w:pBdr>
      <w:shd w:val="clear" w:color="auto" w:fill="FFFFFF"/>
      <w:spacing w:before="100" w:beforeAutospacing="1" w:after="100" w:afterAutospacing="1" w:line="276" w:lineRule="auto"/>
      <w:ind w:firstLine="200" w:firstLineChars="200"/>
      <w:jc w:val="center"/>
    </w:pPr>
    <w:rPr>
      <w:rFonts w:ascii="宋体" w:hAnsi="宋体"/>
      <w:b/>
      <w:bCs/>
      <w:kern w:val="0"/>
      <w:sz w:val="22"/>
      <w:lang w:eastAsia="en-US"/>
    </w:rPr>
  </w:style>
  <w:style w:type="paragraph" w:customStyle="1" w:styleId="690">
    <w:name w:val="CM43"/>
    <w:basedOn w:val="151"/>
    <w:next w:val="151"/>
    <w:qFormat/>
    <w:uiPriority w:val="99"/>
    <w:pPr>
      <w:spacing w:line="440" w:lineRule="atLeast"/>
    </w:pPr>
    <w:rPr>
      <w:rFonts w:hAnsi="Calibri"/>
      <w:color w:val="auto"/>
      <w:sz w:val="22"/>
      <w:szCs w:val="22"/>
    </w:rPr>
  </w:style>
  <w:style w:type="paragraph" w:customStyle="1" w:styleId="691">
    <w:name w:val="编号（1）"/>
    <w:basedOn w:val="1"/>
    <w:qFormat/>
    <w:uiPriority w:val="99"/>
    <w:pPr>
      <w:tabs>
        <w:tab w:val="left" w:pos="420"/>
      </w:tabs>
      <w:spacing w:line="360" w:lineRule="auto"/>
      <w:ind w:left="450" w:leftChars="200" w:hanging="200" w:hangingChars="200"/>
    </w:pPr>
    <w:rPr>
      <w:rFonts w:ascii="宋体" w:hAnsi="Calibri" w:cs="宋体"/>
      <w:szCs w:val="21"/>
    </w:rPr>
  </w:style>
  <w:style w:type="paragraph" w:customStyle="1" w:styleId="692">
    <w:name w:val="xl84"/>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line="276" w:lineRule="auto"/>
      <w:ind w:firstLine="200" w:firstLineChars="200"/>
      <w:jc w:val="left"/>
    </w:pPr>
    <w:rPr>
      <w:rFonts w:ascii="宋体" w:hAnsi="宋体"/>
      <w:b/>
      <w:bCs/>
      <w:color w:val="FF0000"/>
      <w:kern w:val="0"/>
      <w:sz w:val="22"/>
      <w:lang w:eastAsia="en-US"/>
    </w:rPr>
  </w:style>
  <w:style w:type="paragraph" w:customStyle="1" w:styleId="693">
    <w:name w:val="纯文本 New New"/>
    <w:basedOn w:val="694"/>
    <w:qFormat/>
    <w:uiPriority w:val="0"/>
    <w:pPr>
      <w:widowControl/>
      <w:spacing w:before="100" w:beforeAutospacing="1" w:after="100" w:afterAutospacing="1"/>
      <w:jc w:val="left"/>
    </w:pPr>
    <w:rPr>
      <w:rFonts w:ascii="宋体" w:hAnsi="宋体" w:cs="宋体"/>
      <w:sz w:val="24"/>
      <w:szCs w:val="24"/>
    </w:rPr>
  </w:style>
  <w:style w:type="paragraph" w:customStyle="1" w:styleId="694">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95">
    <w:name w:val="Char Char Char1"/>
    <w:basedOn w:val="1"/>
    <w:qFormat/>
    <w:uiPriority w:val="99"/>
    <w:rPr>
      <w:bCs/>
      <w:szCs w:val="20"/>
    </w:rPr>
  </w:style>
  <w:style w:type="paragraph" w:customStyle="1" w:styleId="696">
    <w:name w:val="Char Char Char Char Char Char Char Char Char Char Char Char Char Char Char1"/>
    <w:basedOn w:val="1"/>
    <w:qFormat/>
    <w:uiPriority w:val="99"/>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697">
    <w:name w:val="CM17"/>
    <w:basedOn w:val="151"/>
    <w:next w:val="151"/>
    <w:qFormat/>
    <w:uiPriority w:val="99"/>
    <w:rPr>
      <w:rFonts w:hAnsi="Calibri"/>
      <w:color w:val="auto"/>
      <w:sz w:val="22"/>
      <w:szCs w:val="22"/>
    </w:rPr>
  </w:style>
  <w:style w:type="paragraph" w:customStyle="1" w:styleId="698">
    <w:name w:val="xl11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FF0000"/>
      <w:kern w:val="0"/>
      <w:sz w:val="18"/>
      <w:szCs w:val="18"/>
    </w:rPr>
  </w:style>
  <w:style w:type="paragraph" w:customStyle="1" w:styleId="699">
    <w:name w:val="样式 标题 3 + 仿宋_GB2312 小四 段前: 0 磅 段后: 0 磅"/>
    <w:basedOn w:val="5"/>
    <w:qFormat/>
    <w:uiPriority w:val="0"/>
    <w:pPr>
      <w:spacing w:beforeLines="50" w:after="0" w:line="415" w:lineRule="auto"/>
      <w:jc w:val="center"/>
    </w:pPr>
    <w:rPr>
      <w:rFonts w:ascii="仿宋_GB2312" w:eastAsia="仿宋_GB2312" w:cs="宋体"/>
      <w:kern w:val="0"/>
      <w:sz w:val="24"/>
      <w:szCs w:val="20"/>
    </w:rPr>
  </w:style>
  <w:style w:type="paragraph" w:customStyle="1" w:styleId="700">
    <w:name w:val="招标号"/>
    <w:qFormat/>
    <w:uiPriority w:val="99"/>
    <w:pPr>
      <w:spacing w:after="200" w:line="276" w:lineRule="auto"/>
      <w:ind w:firstLine="200" w:firstLineChars="200"/>
      <w:jc w:val="center"/>
    </w:pPr>
    <w:rPr>
      <w:rFonts w:ascii="Calibri" w:hAnsi="Calibri" w:eastAsia="隶书" w:cs="Times New Roman"/>
      <w:b/>
      <w:bCs/>
      <w:sz w:val="28"/>
      <w:szCs w:val="22"/>
      <w:lang w:val="en-US" w:eastAsia="en-US" w:bidi="ar-SA"/>
    </w:rPr>
  </w:style>
  <w:style w:type="paragraph" w:customStyle="1" w:styleId="701">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2">
    <w:name w:val="zjl正文"/>
    <w:basedOn w:val="1"/>
    <w:qFormat/>
    <w:uiPriority w:val="99"/>
    <w:pPr>
      <w:spacing w:line="360" w:lineRule="auto"/>
      <w:ind w:right="210"/>
    </w:pPr>
    <w:rPr>
      <w:rFonts w:ascii="宋体" w:hAnsi="宋体"/>
      <w:b/>
      <w:szCs w:val="21"/>
    </w:rPr>
  </w:style>
  <w:style w:type="paragraph" w:customStyle="1" w:styleId="703">
    <w:name w:val="7"/>
    <w:basedOn w:val="1"/>
    <w:qFormat/>
    <w:uiPriority w:val="99"/>
    <w:pPr>
      <w:widowControl/>
      <w:tabs>
        <w:tab w:val="left" w:pos="425"/>
      </w:tabs>
      <w:spacing w:beforeLines="100" w:after="160" w:line="240" w:lineRule="exact"/>
      <w:ind w:left="425" w:hanging="425"/>
      <w:jc w:val="left"/>
    </w:pPr>
    <w:rPr>
      <w:rFonts w:ascii="Verdana" w:hAnsi="Verdana" w:eastAsia="黑体"/>
      <w:kern w:val="0"/>
      <w:sz w:val="20"/>
      <w:szCs w:val="20"/>
      <w:lang w:eastAsia="en-US"/>
    </w:rPr>
  </w:style>
  <w:style w:type="paragraph" w:customStyle="1" w:styleId="704">
    <w:name w:val="CM59"/>
    <w:basedOn w:val="151"/>
    <w:next w:val="151"/>
    <w:qFormat/>
    <w:uiPriority w:val="99"/>
    <w:rPr>
      <w:rFonts w:hAnsi="Calibri"/>
      <w:color w:val="auto"/>
      <w:sz w:val="22"/>
      <w:szCs w:val="22"/>
    </w:rPr>
  </w:style>
  <w:style w:type="paragraph" w:customStyle="1" w:styleId="705">
    <w:name w:val="样式6"/>
    <w:basedOn w:val="706"/>
    <w:qFormat/>
    <w:uiPriority w:val="99"/>
  </w:style>
  <w:style w:type="paragraph" w:customStyle="1" w:styleId="706">
    <w:name w:val="表格内容"/>
    <w:basedOn w:val="1"/>
    <w:qFormat/>
    <w:uiPriority w:val="99"/>
    <w:pPr>
      <w:widowControl/>
      <w:spacing w:line="260" w:lineRule="exact"/>
      <w:jc w:val="center"/>
    </w:pPr>
    <w:rPr>
      <w:rFonts w:ascii="Calibri" w:hAnsi="Calibri"/>
      <w:kern w:val="0"/>
      <w:sz w:val="20"/>
      <w:szCs w:val="20"/>
    </w:rPr>
  </w:style>
  <w:style w:type="paragraph" w:customStyle="1" w:styleId="707">
    <w:name w:val="xl11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08">
    <w:name w:val="xl98"/>
    <w:basedOn w:val="1"/>
    <w:qFormat/>
    <w:uiPriority w:val="99"/>
    <w:pPr>
      <w:widowControl/>
      <w:pBdr>
        <w:top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b/>
      <w:bCs/>
      <w:kern w:val="0"/>
      <w:sz w:val="22"/>
      <w:lang w:eastAsia="en-US"/>
    </w:rPr>
  </w:style>
  <w:style w:type="paragraph" w:customStyle="1" w:styleId="709">
    <w:name w:val="xl25"/>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textAlignment w:val="center"/>
    </w:pPr>
    <w:rPr>
      <w:rFonts w:ascii="Arial Unicode MS" w:hAnsi="Arial Unicode MS" w:eastAsia="Arial Unicode MS" w:cs="Arial Unicode MS"/>
      <w:kern w:val="0"/>
      <w:sz w:val="18"/>
      <w:szCs w:val="18"/>
    </w:rPr>
  </w:style>
  <w:style w:type="paragraph" w:customStyle="1" w:styleId="71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11">
    <w:name w:val="xl1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712">
    <w:name w:val="CM29"/>
    <w:basedOn w:val="151"/>
    <w:next w:val="151"/>
    <w:qFormat/>
    <w:uiPriority w:val="99"/>
    <w:rPr>
      <w:rFonts w:hAnsi="Calibri"/>
      <w:color w:val="auto"/>
      <w:sz w:val="22"/>
      <w:szCs w:val="22"/>
    </w:rPr>
  </w:style>
  <w:style w:type="paragraph" w:customStyle="1" w:styleId="713">
    <w:name w:val="第一行"/>
    <w:basedOn w:val="1"/>
    <w:qFormat/>
    <w:uiPriority w:val="99"/>
    <w:pPr>
      <w:spacing w:beforeLines="100" w:line="360" w:lineRule="auto"/>
      <w:jc w:val="center"/>
    </w:pPr>
    <w:rPr>
      <w:rFonts w:ascii="宋体" w:hAnsi="Calibri" w:cs="宋体"/>
      <w:b/>
      <w:bCs/>
      <w:sz w:val="32"/>
      <w:szCs w:val="32"/>
    </w:rPr>
  </w:style>
  <w:style w:type="paragraph" w:customStyle="1" w:styleId="714">
    <w:name w:val="_Style 31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715">
    <w:name w:val="副标题1"/>
    <w:basedOn w:val="1"/>
    <w:next w:val="1"/>
    <w:qFormat/>
    <w:uiPriority w:val="0"/>
    <w:pPr>
      <w:tabs>
        <w:tab w:val="left" w:pos="360"/>
      </w:tabs>
      <w:ind w:left="284" w:hanging="284"/>
      <w:jc w:val="left"/>
      <w:outlineLvl w:val="1"/>
    </w:pPr>
    <w:rPr>
      <w:rFonts w:ascii="Century Gothic" w:hAnsi="Century Gothic"/>
      <w:kern w:val="28"/>
      <w:szCs w:val="21"/>
    </w:rPr>
  </w:style>
  <w:style w:type="paragraph" w:customStyle="1" w:styleId="716">
    <w:name w:val="Char Char Char1 Char1"/>
    <w:basedOn w:val="1"/>
    <w:qFormat/>
    <w:uiPriority w:val="99"/>
    <w:pPr>
      <w:widowControl/>
      <w:spacing w:after="200" w:line="276" w:lineRule="auto"/>
      <w:ind w:firstLine="200" w:firstLineChars="200"/>
      <w:jc w:val="left"/>
    </w:pPr>
    <w:rPr>
      <w:rFonts w:ascii="Calibri" w:hAnsi="Calibri"/>
      <w:kern w:val="0"/>
      <w:sz w:val="22"/>
      <w:lang w:eastAsia="en-US"/>
    </w:rPr>
  </w:style>
  <w:style w:type="paragraph" w:customStyle="1" w:styleId="717">
    <w:name w:val="抬头"/>
    <w:basedOn w:val="1"/>
    <w:qFormat/>
    <w:uiPriority w:val="99"/>
    <w:pPr>
      <w:spacing w:beforeLines="50" w:line="360" w:lineRule="auto"/>
    </w:pPr>
    <w:rPr>
      <w:rFonts w:ascii="宋体"/>
      <w:sz w:val="24"/>
      <w:szCs w:val="24"/>
    </w:rPr>
  </w:style>
  <w:style w:type="paragraph" w:customStyle="1" w:styleId="718">
    <w:name w:val="flType"/>
    <w:basedOn w:val="719"/>
    <w:qFormat/>
    <w:uiPriority w:val="99"/>
  </w:style>
  <w:style w:type="paragraph" w:customStyle="1" w:styleId="719">
    <w:name w:val="flName"/>
    <w:basedOn w:val="1"/>
    <w:qFormat/>
    <w:uiPriority w:val="99"/>
    <w:pPr>
      <w:widowControl/>
      <w:adjustRightInd w:val="0"/>
      <w:spacing w:before="320" w:after="160" w:line="360" w:lineRule="atLeast"/>
      <w:ind w:firstLine="200" w:firstLineChars="200"/>
      <w:jc w:val="center"/>
      <w:textAlignment w:val="baseline"/>
    </w:pPr>
    <w:rPr>
      <w:rFonts w:ascii="Arial" w:hAnsi="Calibri" w:eastAsia="黑体"/>
      <w:kern w:val="0"/>
      <w:sz w:val="32"/>
      <w:szCs w:val="20"/>
      <w:lang w:eastAsia="en-US"/>
    </w:rPr>
  </w:style>
  <w:style w:type="paragraph" w:customStyle="1" w:styleId="720">
    <w:name w:val="Absatz2AL"/>
    <w:basedOn w:val="23"/>
    <w:next w:val="1"/>
    <w:qFormat/>
    <w:uiPriority w:val="99"/>
    <w:pPr>
      <w:widowControl/>
      <w:overflowPunct w:val="0"/>
      <w:autoSpaceDE w:val="0"/>
      <w:autoSpaceDN w:val="0"/>
      <w:adjustRightInd w:val="0"/>
      <w:spacing w:after="0"/>
      <w:textAlignment w:val="baseline"/>
    </w:pPr>
    <w:rPr>
      <w:rFonts w:eastAsia="楷体_GB2312"/>
      <w:kern w:val="0"/>
      <w:sz w:val="24"/>
      <w:szCs w:val="20"/>
      <w:lang w:val="de-DE" w:eastAsia="de-DE"/>
    </w:rPr>
  </w:style>
  <w:style w:type="paragraph" w:customStyle="1" w:styleId="721">
    <w:name w:val="表格文字"/>
    <w:basedOn w:val="1"/>
    <w:qFormat/>
    <w:uiPriority w:val="0"/>
    <w:pPr>
      <w:adjustRightInd w:val="0"/>
      <w:spacing w:line="420" w:lineRule="atLeast"/>
      <w:jc w:val="left"/>
      <w:textAlignment w:val="baseline"/>
    </w:pPr>
    <w:rPr>
      <w:kern w:val="0"/>
      <w:szCs w:val="20"/>
    </w:rPr>
  </w:style>
  <w:style w:type="paragraph" w:customStyle="1" w:styleId="722">
    <w:name w:val="xl95"/>
    <w:basedOn w:val="1"/>
    <w:qFormat/>
    <w:uiPriority w:val="99"/>
    <w:pPr>
      <w:widowControl/>
      <w:pBdr>
        <w:top w:val="single" w:color="auto" w:sz="4" w:space="0"/>
        <w:left w:val="single" w:color="auto" w:sz="8" w:space="0"/>
        <w:bottom w:val="single" w:color="auto" w:sz="4" w:space="0"/>
      </w:pBdr>
      <w:shd w:val="clear" w:color="auto" w:fill="FFFFFF"/>
      <w:spacing w:before="100" w:beforeAutospacing="1" w:after="100" w:afterAutospacing="1" w:line="276" w:lineRule="auto"/>
      <w:ind w:firstLine="200" w:firstLineChars="200"/>
      <w:jc w:val="center"/>
    </w:pPr>
    <w:rPr>
      <w:rFonts w:ascii="宋体" w:hAnsi="宋体"/>
      <w:b/>
      <w:bCs/>
      <w:kern w:val="0"/>
      <w:sz w:val="24"/>
      <w:lang w:eastAsia="en-US"/>
    </w:rPr>
  </w:style>
  <w:style w:type="paragraph" w:customStyle="1" w:styleId="723">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b/>
      <w:bCs/>
      <w:kern w:val="0"/>
      <w:sz w:val="22"/>
      <w:lang w:eastAsia="en-US"/>
    </w:rPr>
  </w:style>
  <w:style w:type="paragraph" w:customStyle="1" w:styleId="724">
    <w:name w:val="正文-宋4行25"/>
    <w:basedOn w:val="1"/>
    <w:qFormat/>
    <w:uiPriority w:val="99"/>
    <w:pPr>
      <w:adjustRightInd w:val="0"/>
      <w:snapToGrid w:val="0"/>
      <w:spacing w:line="400" w:lineRule="exact"/>
      <w:ind w:left="406" w:leftChars="169" w:firstLine="480" w:firstLineChars="200"/>
      <w:textAlignment w:val="baseline"/>
    </w:pPr>
    <w:rPr>
      <w:rFonts w:ascii="宋体" w:hAnsi="Calibri" w:cs="宋体"/>
      <w:kern w:val="0"/>
      <w:sz w:val="24"/>
      <w:szCs w:val="24"/>
    </w:rPr>
  </w:style>
  <w:style w:type="paragraph" w:customStyle="1" w:styleId="725">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26">
    <w:name w:val="H2"/>
    <w:basedOn w:val="1"/>
    <w:next w:val="1"/>
    <w:qFormat/>
    <w:uiPriority w:val="99"/>
    <w:pPr>
      <w:keepNext/>
      <w:autoSpaceDE w:val="0"/>
      <w:autoSpaceDN w:val="0"/>
      <w:adjustRightInd w:val="0"/>
      <w:spacing w:before="100" w:after="100"/>
      <w:jc w:val="left"/>
      <w:outlineLvl w:val="2"/>
    </w:pPr>
    <w:rPr>
      <w:rFonts w:ascii="Calibri" w:hAnsi="Calibri"/>
      <w:b/>
      <w:kern w:val="0"/>
      <w:sz w:val="36"/>
      <w:szCs w:val="20"/>
    </w:rPr>
  </w:style>
  <w:style w:type="paragraph" w:customStyle="1" w:styleId="727">
    <w:name w:val="xl42"/>
    <w:basedOn w:val="1"/>
    <w:qFormat/>
    <w:uiPriority w:val="99"/>
    <w:pPr>
      <w:widowControl/>
      <w:pBdr>
        <w:left w:val="single" w:color="auto" w:sz="8" w:space="0"/>
        <w:bottom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kern w:val="0"/>
      <w:sz w:val="22"/>
      <w:lang w:eastAsia="en-US"/>
    </w:rPr>
  </w:style>
  <w:style w:type="paragraph" w:customStyle="1" w:styleId="728">
    <w:name w:val="Report Text"/>
    <w:basedOn w:val="1"/>
    <w:qFormat/>
    <w:uiPriority w:val="0"/>
    <w:pPr>
      <w:widowControl/>
      <w:spacing w:line="450" w:lineRule="exact"/>
      <w:ind w:left="1080" w:firstLine="418" w:firstLineChars="199"/>
      <w:jc w:val="left"/>
    </w:pPr>
    <w:rPr>
      <w:rFonts w:ascii="宋体" w:hAnsi="宋体"/>
      <w:kern w:val="0"/>
      <w:sz w:val="22"/>
      <w:szCs w:val="20"/>
      <w:lang w:val="en-GB" w:eastAsia="zh-TW"/>
    </w:rPr>
  </w:style>
  <w:style w:type="paragraph" w:customStyle="1" w:styleId="729">
    <w:name w:val="CM112"/>
    <w:basedOn w:val="151"/>
    <w:next w:val="151"/>
    <w:qFormat/>
    <w:uiPriority w:val="99"/>
    <w:rPr>
      <w:rFonts w:hAnsi="Calibri"/>
      <w:color w:val="auto"/>
      <w:sz w:val="22"/>
      <w:szCs w:val="22"/>
    </w:rPr>
  </w:style>
  <w:style w:type="paragraph" w:customStyle="1" w:styleId="730">
    <w:name w:val="副标题 New"/>
    <w:basedOn w:val="1"/>
    <w:next w:val="1"/>
    <w:qFormat/>
    <w:uiPriority w:val="0"/>
    <w:pPr>
      <w:tabs>
        <w:tab w:val="left" w:pos="840"/>
      </w:tabs>
      <w:ind w:left="840" w:hanging="420"/>
      <w:jc w:val="left"/>
      <w:outlineLvl w:val="1"/>
    </w:pPr>
    <w:rPr>
      <w:rFonts w:ascii="Century Gothic" w:hAnsi="Century Gothic" w:cs="Century Gothic"/>
      <w:kern w:val="28"/>
      <w:szCs w:val="21"/>
    </w:rPr>
  </w:style>
  <w:style w:type="paragraph" w:customStyle="1" w:styleId="731">
    <w:name w:val="CM122"/>
    <w:basedOn w:val="151"/>
    <w:next w:val="151"/>
    <w:qFormat/>
    <w:uiPriority w:val="99"/>
    <w:rPr>
      <w:rFonts w:hAnsi="Calibri"/>
      <w:color w:val="auto"/>
      <w:sz w:val="22"/>
      <w:szCs w:val="22"/>
    </w:rPr>
  </w:style>
  <w:style w:type="paragraph" w:customStyle="1" w:styleId="732">
    <w:name w:val="Char Char Char Char Char Char Char Char Char Char Char Char Char Char Char Char Char Char Char Char Char Char Char Char2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733">
    <w:name w:val="修订11"/>
    <w:qFormat/>
    <w:uiPriority w:val="99"/>
    <w:rPr>
      <w:rFonts w:ascii="Calibri" w:hAnsi="Calibri" w:eastAsia="宋体" w:cs="Times New Roman"/>
      <w:kern w:val="2"/>
      <w:sz w:val="21"/>
      <w:szCs w:val="24"/>
      <w:lang w:val="en-US" w:eastAsia="zh-CN" w:bidi="ar-SA"/>
    </w:rPr>
  </w:style>
  <w:style w:type="paragraph" w:customStyle="1" w:styleId="734">
    <w:name w:val="p12"/>
    <w:basedOn w:val="1"/>
    <w:qFormat/>
    <w:uiPriority w:val="99"/>
    <w:pPr>
      <w:widowControl/>
      <w:spacing w:line="480" w:lineRule="auto"/>
      <w:jc w:val="left"/>
    </w:pPr>
    <w:rPr>
      <w:rFonts w:ascii="宋体" w:hAnsi="宋体" w:cs="宋体"/>
      <w:kern w:val="0"/>
      <w:szCs w:val="21"/>
    </w:rPr>
  </w:style>
  <w:style w:type="paragraph" w:customStyle="1" w:styleId="735">
    <w:name w:val="xl106"/>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pPr>
    <w:rPr>
      <w:rFonts w:ascii="宋体" w:hAnsi="宋体" w:cs="宋体"/>
      <w:kern w:val="0"/>
      <w:sz w:val="18"/>
      <w:szCs w:val="18"/>
    </w:rPr>
  </w:style>
  <w:style w:type="paragraph" w:customStyle="1" w:styleId="736">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7">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38">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0">
    <w:name w:val="Char1 Char Char Char"/>
    <w:basedOn w:val="1"/>
    <w:qFormat/>
    <w:uiPriority w:val="99"/>
    <w:rPr>
      <w:szCs w:val="24"/>
    </w:rPr>
  </w:style>
  <w:style w:type="paragraph" w:customStyle="1" w:styleId="741">
    <w:name w:val="xl88"/>
    <w:basedOn w:val="1"/>
    <w:qFormat/>
    <w:uiPriority w:val="99"/>
    <w:pPr>
      <w:widowControl/>
      <w:pBdr>
        <w:top w:val="single" w:color="auto" w:sz="4" w:space="0"/>
        <w:left w:val="single" w:color="auto" w:sz="8"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b/>
      <w:bCs/>
      <w:kern w:val="0"/>
      <w:sz w:val="22"/>
      <w:lang w:eastAsia="en-US"/>
    </w:rPr>
  </w:style>
  <w:style w:type="paragraph" w:customStyle="1" w:styleId="742">
    <w:name w:val="Table Paragraph"/>
    <w:basedOn w:val="1"/>
    <w:qFormat/>
    <w:uiPriority w:val="99"/>
    <w:pPr>
      <w:jc w:val="left"/>
    </w:pPr>
    <w:rPr>
      <w:rFonts w:ascii="Calibri" w:hAnsi="Calibri"/>
      <w:kern w:val="0"/>
      <w:sz w:val="22"/>
      <w:lang w:eastAsia="en-US"/>
    </w:rPr>
  </w:style>
  <w:style w:type="paragraph" w:customStyle="1" w:styleId="743">
    <w:name w:val="xl5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color w:val="800000"/>
      <w:kern w:val="0"/>
      <w:sz w:val="22"/>
      <w:lang w:eastAsia="en-US"/>
    </w:rPr>
  </w:style>
  <w:style w:type="paragraph" w:customStyle="1" w:styleId="744">
    <w:name w:val="CM110"/>
    <w:basedOn w:val="151"/>
    <w:next w:val="151"/>
    <w:qFormat/>
    <w:uiPriority w:val="99"/>
    <w:rPr>
      <w:rFonts w:hAnsi="Calibri"/>
      <w:color w:val="auto"/>
      <w:sz w:val="22"/>
      <w:szCs w:val="22"/>
    </w:rPr>
  </w:style>
  <w:style w:type="paragraph" w:customStyle="1" w:styleId="745">
    <w:name w:val="CM95"/>
    <w:basedOn w:val="1"/>
    <w:next w:val="1"/>
    <w:qFormat/>
    <w:uiPriority w:val="0"/>
    <w:pPr>
      <w:autoSpaceDE w:val="0"/>
      <w:autoSpaceDN w:val="0"/>
      <w:adjustRightInd w:val="0"/>
      <w:spacing w:after="115"/>
      <w:jc w:val="left"/>
    </w:pPr>
    <w:rPr>
      <w:rFonts w:ascii="宋体"/>
      <w:kern w:val="0"/>
      <w:sz w:val="24"/>
      <w:szCs w:val="20"/>
    </w:rPr>
  </w:style>
  <w:style w:type="paragraph" w:customStyle="1" w:styleId="746">
    <w:name w:val="+标题2"/>
    <w:basedOn w:val="4"/>
    <w:qFormat/>
    <w:uiPriority w:val="99"/>
    <w:pPr>
      <w:tabs>
        <w:tab w:val="left" w:pos="840"/>
      </w:tabs>
      <w:spacing w:beforeLines="50" w:after="120" w:line="360" w:lineRule="auto"/>
      <w:ind w:left="840" w:hanging="420"/>
      <w:jc w:val="both"/>
    </w:pPr>
    <w:rPr>
      <w:rFonts w:ascii="Times New Roman" w:hAnsi="Times New Roman"/>
      <w:sz w:val="24"/>
      <w:szCs w:val="24"/>
      <w:lang w:val="zh-CN"/>
    </w:rPr>
  </w:style>
  <w:style w:type="paragraph" w:customStyle="1" w:styleId="747">
    <w:name w:val="xl96"/>
    <w:basedOn w:val="1"/>
    <w:qFormat/>
    <w:uiPriority w:val="99"/>
    <w:pPr>
      <w:widowControl/>
      <w:pBdr>
        <w:top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b/>
      <w:bCs/>
      <w:kern w:val="0"/>
      <w:sz w:val="24"/>
      <w:lang w:eastAsia="en-US"/>
    </w:rPr>
  </w:style>
  <w:style w:type="paragraph" w:customStyle="1" w:styleId="748">
    <w:name w:val="Char Char Char1 Char Char Char Char"/>
    <w:basedOn w:val="1"/>
    <w:qFormat/>
    <w:uiPriority w:val="0"/>
    <w:pPr>
      <w:tabs>
        <w:tab w:val="right" w:pos="-2120"/>
      </w:tabs>
      <w:snapToGrid w:val="0"/>
    </w:pPr>
    <w:rPr>
      <w:rFonts w:ascii="Tahoma" w:hAnsi="Tahoma"/>
      <w:spacing w:val="6"/>
      <w:sz w:val="24"/>
      <w:szCs w:val="20"/>
    </w:rPr>
  </w:style>
  <w:style w:type="paragraph" w:customStyle="1" w:styleId="749">
    <w:name w:val="xl102"/>
    <w:basedOn w:val="1"/>
    <w:qFormat/>
    <w:uiPriority w:val="99"/>
    <w:pPr>
      <w:widowControl/>
      <w:spacing w:before="100" w:beforeAutospacing="1" w:after="100" w:afterAutospacing="1"/>
      <w:jc w:val="center"/>
    </w:pPr>
    <w:rPr>
      <w:rFonts w:ascii="宋体" w:hAnsi="宋体" w:cs="宋体"/>
      <w:b/>
      <w:bCs/>
      <w:kern w:val="0"/>
      <w:sz w:val="32"/>
      <w:szCs w:val="32"/>
    </w:rPr>
  </w:style>
  <w:style w:type="paragraph" w:customStyle="1" w:styleId="750">
    <w:name w:val="封面标题"/>
    <w:qFormat/>
    <w:uiPriority w:val="99"/>
    <w:pPr>
      <w:adjustRightInd w:val="0"/>
      <w:snapToGrid w:val="0"/>
      <w:jc w:val="center"/>
    </w:pPr>
    <w:rPr>
      <w:rFonts w:ascii="微软雅黑" w:hAnsi="微软雅黑" w:eastAsia="微软雅黑" w:cs="Times New Roman"/>
      <w:b/>
      <w:kern w:val="2"/>
      <w:sz w:val="52"/>
      <w:szCs w:val="52"/>
      <w:lang w:val="en-US" w:eastAsia="zh-CN" w:bidi="ar-SA"/>
    </w:rPr>
  </w:style>
  <w:style w:type="paragraph" w:customStyle="1" w:styleId="751">
    <w:name w:val="标题 0"/>
    <w:basedOn w:val="3"/>
    <w:qFormat/>
    <w:uiPriority w:val="99"/>
    <w:pPr>
      <w:keepNext w:val="0"/>
      <w:widowControl/>
      <w:tabs>
        <w:tab w:val="left" w:pos="432"/>
      </w:tabs>
      <w:autoSpaceDE w:val="0"/>
      <w:autoSpaceDN w:val="0"/>
      <w:spacing w:before="480" w:line="276" w:lineRule="auto"/>
      <w:ind w:left="425" w:hanging="425" w:firstLineChars="200"/>
      <w:jc w:val="left"/>
    </w:pPr>
    <w:rPr>
      <w:rFonts w:hAnsi="Calibri"/>
      <w:color w:val="000000"/>
      <w:kern w:val="0"/>
      <w:sz w:val="28"/>
      <w:szCs w:val="20"/>
      <w:lang w:val="zh-CN"/>
    </w:rPr>
  </w:style>
  <w:style w:type="paragraph" w:customStyle="1" w:styleId="752">
    <w:name w:val="普通(网站) New"/>
    <w:basedOn w:val="753"/>
    <w:qFormat/>
    <w:uiPriority w:val="0"/>
    <w:pPr>
      <w:widowControl/>
      <w:spacing w:before="100" w:beforeAutospacing="1" w:after="100" w:afterAutospacing="1"/>
      <w:jc w:val="left"/>
    </w:pPr>
    <w:rPr>
      <w:rFonts w:ascii="宋体" w:hAnsi="宋体"/>
      <w:kern w:val="0"/>
      <w:sz w:val="24"/>
      <w:szCs w:val="24"/>
    </w:rPr>
  </w:style>
  <w:style w:type="paragraph" w:customStyle="1" w:styleId="753">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4">
    <w:name w:val="Char Char Char1 Char"/>
    <w:basedOn w:val="1"/>
    <w:qFormat/>
    <w:uiPriority w:val="99"/>
    <w:rPr>
      <w:szCs w:val="20"/>
    </w:rPr>
  </w:style>
  <w:style w:type="paragraph" w:customStyle="1" w:styleId="755">
    <w:name w:val="正文(齐头)"/>
    <w:basedOn w:val="1"/>
    <w:qFormat/>
    <w:uiPriority w:val="99"/>
    <w:pPr>
      <w:widowControl/>
      <w:adjustRightInd w:val="0"/>
      <w:spacing w:after="180" w:line="320" w:lineRule="exact"/>
      <w:ind w:left="1009" w:hanging="1009" w:firstLineChars="200"/>
      <w:jc w:val="left"/>
      <w:textAlignment w:val="bottom"/>
    </w:pPr>
    <w:rPr>
      <w:rFonts w:ascii="Arial" w:hAnsi="Arial"/>
      <w:kern w:val="0"/>
      <w:sz w:val="24"/>
      <w:szCs w:val="20"/>
      <w:lang w:eastAsia="en-US"/>
    </w:rPr>
  </w:style>
  <w:style w:type="paragraph" w:customStyle="1" w:styleId="756">
    <w:name w:val="中文正文"/>
    <w:basedOn w:val="1"/>
    <w:qFormat/>
    <w:uiPriority w:val="99"/>
    <w:pPr>
      <w:widowControl/>
      <w:adjustRightInd w:val="0"/>
      <w:snapToGrid w:val="0"/>
      <w:spacing w:before="120" w:after="120" w:line="300" w:lineRule="auto"/>
      <w:ind w:firstLine="200" w:firstLineChars="200"/>
      <w:jc w:val="left"/>
      <w:textAlignment w:val="baseline"/>
    </w:pPr>
    <w:rPr>
      <w:rFonts w:ascii="Calibri" w:hAnsi="Calibri" w:eastAsia="楷体_GB2312"/>
      <w:kern w:val="0"/>
      <w:sz w:val="28"/>
      <w:szCs w:val="20"/>
      <w:lang w:eastAsia="en-US"/>
    </w:rPr>
  </w:style>
  <w:style w:type="paragraph" w:customStyle="1" w:styleId="757">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textAlignment w:val="center"/>
    </w:pPr>
    <w:rPr>
      <w:rFonts w:eastAsia="Arial Unicode MS"/>
      <w:kern w:val="0"/>
      <w:sz w:val="18"/>
      <w:szCs w:val="18"/>
    </w:rPr>
  </w:style>
  <w:style w:type="paragraph" w:customStyle="1" w:styleId="758">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9">
    <w:name w:val="p13"/>
    <w:basedOn w:val="1"/>
    <w:qFormat/>
    <w:uiPriority w:val="99"/>
    <w:pPr>
      <w:widowControl/>
      <w:spacing w:line="480" w:lineRule="auto"/>
      <w:jc w:val="left"/>
    </w:pPr>
    <w:rPr>
      <w:rFonts w:ascii="宋体" w:hAnsi="宋体" w:cs="宋体"/>
      <w:kern w:val="0"/>
      <w:sz w:val="28"/>
      <w:szCs w:val="28"/>
    </w:rPr>
  </w:style>
  <w:style w:type="paragraph" w:customStyle="1" w:styleId="760">
    <w:name w:val="xl93"/>
    <w:basedOn w:val="1"/>
    <w:qFormat/>
    <w:uiPriority w:val="99"/>
    <w:pPr>
      <w:widowControl/>
      <w:pBdr>
        <w:top w:val="single" w:color="auto" w:sz="4" w:space="0"/>
        <w:left w:val="single" w:color="auto" w:sz="4" w:space="0"/>
        <w:right w:val="single" w:color="auto" w:sz="4" w:space="0"/>
      </w:pBdr>
      <w:shd w:val="clear" w:color="auto" w:fill="FFFFFF"/>
      <w:spacing w:before="100" w:beforeAutospacing="1" w:after="100" w:afterAutospacing="1" w:line="276" w:lineRule="auto"/>
      <w:ind w:firstLine="200" w:firstLineChars="200"/>
      <w:jc w:val="right"/>
    </w:pPr>
    <w:rPr>
      <w:rFonts w:ascii="宋体" w:hAnsi="宋体"/>
      <w:b/>
      <w:bCs/>
      <w:kern w:val="0"/>
      <w:sz w:val="22"/>
      <w:lang w:eastAsia="en-US"/>
    </w:rPr>
  </w:style>
  <w:style w:type="paragraph" w:customStyle="1" w:styleId="761">
    <w:name w:val="Char6 Char Char Char"/>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762">
    <w:name w:val="样式 标题 1 + 黑体 三号 非加粗 居中 段前: 6 磅 段后: 6 磅 行距: 固定值 20 磅"/>
    <w:basedOn w:val="3"/>
    <w:qFormat/>
    <w:uiPriority w:val="0"/>
    <w:pPr>
      <w:spacing w:before="120" w:after="120" w:line="400" w:lineRule="exact"/>
    </w:pPr>
    <w:rPr>
      <w:rFonts w:ascii="黑体" w:hAnsi="黑体" w:eastAsia="黑体" w:cs="宋体"/>
      <w:b w:val="0"/>
      <w:bCs w:val="0"/>
      <w:sz w:val="32"/>
      <w:szCs w:val="20"/>
    </w:rPr>
  </w:style>
  <w:style w:type="paragraph" w:customStyle="1" w:styleId="763">
    <w:name w:val="纯文本 New"/>
    <w:basedOn w:val="677"/>
    <w:qFormat/>
    <w:uiPriority w:val="0"/>
    <w:pPr>
      <w:widowControl/>
      <w:spacing w:before="100" w:beforeAutospacing="1" w:after="100" w:afterAutospacing="1"/>
      <w:jc w:val="left"/>
    </w:pPr>
    <w:rPr>
      <w:rFonts w:ascii="宋体" w:hAnsi="宋体" w:cs="宋体"/>
      <w:sz w:val="24"/>
      <w:szCs w:val="24"/>
    </w:rPr>
  </w:style>
  <w:style w:type="paragraph" w:customStyle="1" w:styleId="764">
    <w:name w:val="g3"/>
    <w:basedOn w:val="1"/>
    <w:qFormat/>
    <w:uiPriority w:val="0"/>
    <w:pPr>
      <w:widowControl/>
      <w:spacing w:before="100" w:beforeAutospacing="1" w:after="100" w:afterAutospacing="1" w:line="675" w:lineRule="atLeast"/>
      <w:jc w:val="left"/>
    </w:pPr>
    <w:rPr>
      <w:rFonts w:ascii="华文中宋" w:hAnsi="华文中宋" w:eastAsia="华文中宋"/>
      <w:kern w:val="0"/>
      <w:sz w:val="42"/>
      <w:szCs w:val="42"/>
    </w:rPr>
  </w:style>
  <w:style w:type="paragraph" w:customStyle="1" w:styleId="765">
    <w:name w:val="题目"/>
    <w:basedOn w:val="1"/>
    <w:qFormat/>
    <w:uiPriority w:val="0"/>
    <w:pPr>
      <w:snapToGrid w:val="0"/>
      <w:spacing w:line="480" w:lineRule="auto"/>
      <w:jc w:val="center"/>
    </w:pPr>
    <w:rPr>
      <w:rFonts w:ascii="方正小标宋_GBK" w:hAnsi="宋体" w:eastAsia="方正小标宋_GBK"/>
      <w:sz w:val="44"/>
      <w:szCs w:val="44"/>
    </w:rPr>
  </w:style>
  <w:style w:type="paragraph" w:customStyle="1" w:styleId="766">
    <w:name w:val="xl90"/>
    <w:basedOn w:val="1"/>
    <w:qFormat/>
    <w:uiPriority w:val="99"/>
    <w:pPr>
      <w:widowControl/>
      <w:pBdr>
        <w:top w:val="single" w:color="auto" w:sz="4" w:space="0"/>
        <w:left w:val="single" w:color="auto" w:sz="4" w:space="0"/>
        <w:right w:val="single" w:color="auto" w:sz="4" w:space="0"/>
      </w:pBdr>
      <w:spacing w:before="100" w:beforeAutospacing="1" w:after="100" w:afterAutospacing="1" w:line="276" w:lineRule="auto"/>
      <w:ind w:firstLine="200" w:firstLineChars="200"/>
      <w:jc w:val="center"/>
    </w:pPr>
    <w:rPr>
      <w:rFonts w:ascii="宋体" w:hAnsi="宋体"/>
      <w:kern w:val="0"/>
      <w:sz w:val="22"/>
      <w:lang w:eastAsia="en-US"/>
    </w:rPr>
  </w:style>
  <w:style w:type="paragraph" w:customStyle="1" w:styleId="767">
    <w:name w:val="xl3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left"/>
    </w:pPr>
    <w:rPr>
      <w:rFonts w:ascii="宋体" w:hAnsi="宋体"/>
      <w:kern w:val="0"/>
      <w:sz w:val="22"/>
      <w:lang w:eastAsia="en-US"/>
    </w:rPr>
  </w:style>
  <w:style w:type="paragraph" w:customStyle="1" w:styleId="768">
    <w:name w:val="Normal_0"/>
    <w:qFormat/>
    <w:uiPriority w:val="0"/>
    <w:pPr>
      <w:widowControl w:val="0"/>
      <w:jc w:val="both"/>
    </w:pPr>
    <w:rPr>
      <w:rFonts w:ascii="Calibri" w:hAnsi="Calibri" w:eastAsia="宋体" w:cs="Times New Roman"/>
      <w:lang w:val="en-US" w:eastAsia="zh-CN" w:bidi="ar-SA"/>
    </w:rPr>
  </w:style>
  <w:style w:type="paragraph" w:customStyle="1" w:styleId="769">
    <w:name w:val="font13"/>
    <w:basedOn w:val="1"/>
    <w:qFormat/>
    <w:uiPriority w:val="99"/>
    <w:pPr>
      <w:widowControl/>
      <w:spacing w:before="100" w:beforeAutospacing="1" w:after="100" w:afterAutospacing="1" w:line="276" w:lineRule="auto"/>
      <w:ind w:firstLine="200" w:firstLineChars="200"/>
      <w:jc w:val="left"/>
    </w:pPr>
    <w:rPr>
      <w:rFonts w:ascii="Calibri" w:hAnsi="Calibri"/>
      <w:b/>
      <w:bCs/>
      <w:kern w:val="0"/>
      <w:sz w:val="20"/>
      <w:szCs w:val="20"/>
      <w:lang w:eastAsia="en-US"/>
    </w:rPr>
  </w:style>
  <w:style w:type="paragraph" w:customStyle="1" w:styleId="770">
    <w:name w:val="xl14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71">
    <w:name w:val="标准"/>
    <w:basedOn w:val="1"/>
    <w:qFormat/>
    <w:uiPriority w:val="99"/>
    <w:pPr>
      <w:widowControl/>
      <w:adjustRightInd w:val="0"/>
      <w:spacing w:after="200" w:line="480" w:lineRule="atLeast"/>
      <w:ind w:firstLine="200" w:firstLineChars="200"/>
      <w:jc w:val="left"/>
    </w:pPr>
    <w:rPr>
      <w:rFonts w:ascii="Calibri" w:hAnsi="Calibri"/>
      <w:kern w:val="0"/>
      <w:sz w:val="28"/>
      <w:szCs w:val="20"/>
      <w:lang w:val="en-GB" w:eastAsia="en-US"/>
    </w:rPr>
  </w:style>
  <w:style w:type="paragraph" w:customStyle="1" w:styleId="772">
    <w:name w:val="简单回函地址"/>
    <w:basedOn w:val="1"/>
    <w:qFormat/>
    <w:uiPriority w:val="0"/>
    <w:rPr>
      <w:szCs w:val="24"/>
    </w:rPr>
  </w:style>
  <w:style w:type="paragraph" w:customStyle="1" w:styleId="773">
    <w:name w:val="xl85"/>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line="276" w:lineRule="auto"/>
      <w:ind w:firstLine="200" w:firstLineChars="200"/>
      <w:jc w:val="left"/>
    </w:pPr>
    <w:rPr>
      <w:rFonts w:ascii="宋体" w:hAnsi="宋体"/>
      <w:color w:val="800000"/>
      <w:kern w:val="0"/>
      <w:sz w:val="22"/>
      <w:lang w:eastAsia="en-US"/>
    </w:rPr>
  </w:style>
  <w:style w:type="paragraph" w:customStyle="1" w:styleId="774">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5">
    <w:name w:val="副标题 New New"/>
    <w:basedOn w:val="1"/>
    <w:next w:val="1"/>
    <w:qFormat/>
    <w:uiPriority w:val="0"/>
    <w:pPr>
      <w:tabs>
        <w:tab w:val="left" w:pos="840"/>
      </w:tabs>
      <w:ind w:left="840" w:hanging="420"/>
      <w:jc w:val="left"/>
      <w:outlineLvl w:val="1"/>
    </w:pPr>
    <w:rPr>
      <w:rFonts w:ascii="Century Gothic" w:hAnsi="Century Gothic" w:cs="Century Gothic"/>
      <w:kern w:val="28"/>
      <w:szCs w:val="21"/>
    </w:rPr>
  </w:style>
  <w:style w:type="paragraph" w:customStyle="1" w:styleId="776">
    <w:name w:val="注1"/>
    <w:basedOn w:val="1"/>
    <w:qFormat/>
    <w:uiPriority w:val="99"/>
    <w:pPr>
      <w:widowControl/>
      <w:spacing w:after="200" w:line="360" w:lineRule="auto"/>
      <w:ind w:left="400" w:leftChars="200" w:hanging="200" w:hangingChars="200"/>
      <w:jc w:val="left"/>
    </w:pPr>
    <w:rPr>
      <w:rFonts w:ascii="宋体" w:hAnsi="Calibri"/>
      <w:b/>
      <w:kern w:val="0"/>
      <w:sz w:val="22"/>
      <w:lang w:eastAsia="en-US"/>
    </w:rPr>
  </w:style>
  <w:style w:type="paragraph" w:customStyle="1" w:styleId="777">
    <w:name w:val="xl81"/>
    <w:basedOn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276" w:lineRule="auto"/>
      <w:ind w:firstLine="200" w:firstLineChars="200"/>
      <w:jc w:val="left"/>
    </w:pPr>
    <w:rPr>
      <w:rFonts w:ascii="宋体" w:hAnsi="宋体"/>
      <w:kern w:val="0"/>
      <w:sz w:val="22"/>
      <w:lang w:eastAsia="en-US"/>
    </w:rPr>
  </w:style>
  <w:style w:type="paragraph" w:customStyle="1" w:styleId="778">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center"/>
      <w:textAlignment w:val="center"/>
    </w:pPr>
    <w:rPr>
      <w:rFonts w:ascii="Arial Unicode MS" w:hAnsi="Arial Unicode MS" w:cs="Arial Unicode MS"/>
      <w:kern w:val="0"/>
      <w:sz w:val="16"/>
      <w:szCs w:val="16"/>
      <w:lang w:eastAsia="en-US"/>
    </w:rPr>
  </w:style>
  <w:style w:type="paragraph" w:customStyle="1" w:styleId="779">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80">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1">
    <w:name w:val="xl24"/>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782">
    <w:name w:val="样式 标题 3 + 首行缩进:  2 字符 行距: 1.5 倍行距"/>
    <w:basedOn w:val="5"/>
    <w:qFormat/>
    <w:uiPriority w:val="99"/>
    <w:pPr>
      <w:widowControl/>
      <w:tabs>
        <w:tab w:val="left" w:pos="432"/>
        <w:tab w:val="left" w:pos="720"/>
      </w:tabs>
      <w:spacing w:before="120" w:after="120" w:line="360" w:lineRule="auto"/>
      <w:ind w:firstLine="200" w:firstLineChars="200"/>
      <w:jc w:val="left"/>
    </w:pPr>
    <w:rPr>
      <w:rFonts w:ascii="宋体" w:hAnsi="宋体" w:cs="宋体"/>
      <w:color w:val="4F81BD"/>
      <w:kern w:val="0"/>
      <w:sz w:val="22"/>
      <w:szCs w:val="20"/>
      <w:lang w:val="zh-CN" w:eastAsia="en-US"/>
    </w:rPr>
  </w:style>
  <w:style w:type="paragraph" w:customStyle="1" w:styleId="783">
    <w:name w:val="标题11"/>
    <w:basedOn w:val="1"/>
    <w:qFormat/>
    <w:uiPriority w:val="99"/>
    <w:pPr>
      <w:widowControl/>
      <w:tabs>
        <w:tab w:val="left" w:pos="0"/>
      </w:tabs>
      <w:spacing w:after="200" w:line="360" w:lineRule="auto"/>
      <w:ind w:left="722" w:firstLine="116" w:firstLineChars="48"/>
      <w:jc w:val="left"/>
      <w:textAlignment w:val="bottom"/>
    </w:pPr>
    <w:rPr>
      <w:rFonts w:ascii="宋体" w:hAnsi="宋体"/>
      <w:b/>
      <w:kern w:val="0"/>
      <w:sz w:val="24"/>
      <w:lang w:eastAsia="en-US"/>
    </w:rPr>
  </w:style>
  <w:style w:type="paragraph" w:customStyle="1" w:styleId="784">
    <w:name w:val="xl62"/>
    <w:basedOn w:val="1"/>
    <w:qFormat/>
    <w:uiPriority w:val="99"/>
    <w:pPr>
      <w:widowControl/>
      <w:pBdr>
        <w:top w:val="single" w:color="auto" w:sz="4" w:space="0"/>
        <w:left w:val="single" w:color="auto" w:sz="4" w:space="0"/>
        <w:right w:val="single" w:color="auto" w:sz="4" w:space="0"/>
      </w:pBdr>
      <w:shd w:val="clear" w:color="auto" w:fill="FFFFFF"/>
      <w:spacing w:before="100" w:beforeAutospacing="1" w:after="100" w:afterAutospacing="1" w:line="276" w:lineRule="auto"/>
      <w:ind w:firstLine="200" w:firstLineChars="200"/>
      <w:jc w:val="right"/>
    </w:pPr>
    <w:rPr>
      <w:rFonts w:ascii="宋体" w:hAnsi="宋体"/>
      <w:color w:val="FF0000"/>
      <w:kern w:val="0"/>
      <w:sz w:val="22"/>
      <w:lang w:eastAsia="en-US"/>
    </w:rPr>
  </w:style>
  <w:style w:type="paragraph" w:customStyle="1" w:styleId="785">
    <w:name w:val="Char Char Char Char"/>
    <w:basedOn w:val="1"/>
    <w:qFormat/>
    <w:uiPriority w:val="0"/>
    <w:rPr>
      <w:rFonts w:ascii="Tahoma" w:hAnsi="Tahoma"/>
      <w:sz w:val="24"/>
      <w:szCs w:val="20"/>
    </w:rPr>
  </w:style>
  <w:style w:type="paragraph" w:customStyle="1" w:styleId="786">
    <w:name w:val="CM116"/>
    <w:basedOn w:val="151"/>
    <w:next w:val="151"/>
    <w:qFormat/>
    <w:uiPriority w:val="99"/>
    <w:rPr>
      <w:rFonts w:hAnsi="Calibri"/>
      <w:color w:val="auto"/>
      <w:sz w:val="22"/>
      <w:szCs w:val="22"/>
    </w:rPr>
  </w:style>
  <w:style w:type="paragraph" w:customStyle="1" w:styleId="78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8">
    <w:name w:val="xl11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18"/>
      <w:szCs w:val="18"/>
    </w:rPr>
  </w:style>
  <w:style w:type="paragraph" w:customStyle="1" w:styleId="789">
    <w:name w:val="p16"/>
    <w:basedOn w:val="1"/>
    <w:qFormat/>
    <w:uiPriority w:val="99"/>
    <w:pPr>
      <w:widowControl/>
    </w:pPr>
    <w:rPr>
      <w:kern w:val="0"/>
      <w:szCs w:val="21"/>
    </w:rPr>
  </w:style>
  <w:style w:type="paragraph" w:customStyle="1" w:styleId="790">
    <w:name w:val="xl10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18"/>
      <w:szCs w:val="18"/>
    </w:rPr>
  </w:style>
  <w:style w:type="paragraph" w:customStyle="1" w:styleId="791">
    <w:name w:val="宋体 初号"/>
    <w:basedOn w:val="1"/>
    <w:qFormat/>
    <w:uiPriority w:val="99"/>
    <w:pPr>
      <w:widowControl/>
      <w:spacing w:after="200" w:line="276" w:lineRule="auto"/>
      <w:ind w:firstLine="200" w:firstLineChars="200"/>
      <w:jc w:val="left"/>
    </w:pPr>
    <w:rPr>
      <w:rFonts w:ascii="Calibri" w:hAnsi="Calibri"/>
      <w:kern w:val="0"/>
      <w:sz w:val="84"/>
      <w:lang w:eastAsia="en-US"/>
    </w:rPr>
  </w:style>
  <w:style w:type="paragraph" w:customStyle="1" w:styleId="792">
    <w:name w:val="Normal_1_0"/>
    <w:qFormat/>
    <w:uiPriority w:val="0"/>
    <w:rPr>
      <w:rFonts w:ascii="Times New Roman" w:hAnsi="Times New Roman" w:eastAsia="宋体" w:cs="Times New Roman"/>
      <w:lang w:val="en-US" w:eastAsia="zh-CN" w:bidi="ar-SA"/>
    </w:rPr>
  </w:style>
  <w:style w:type="paragraph" w:customStyle="1" w:styleId="793">
    <w:name w:val="Char Char Char Char Char Char Char Char Char Char Char Char Char Char Char Char Char Char Char Char Char Char4"/>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94">
    <w:name w:val="默认段落字体 Para Char Char Char Char Char Char Char"/>
    <w:basedOn w:val="1"/>
    <w:qFormat/>
    <w:uiPriority w:val="99"/>
    <w:pPr>
      <w:widowControl/>
      <w:spacing w:after="200" w:line="276" w:lineRule="auto"/>
      <w:ind w:firstLine="200" w:firstLineChars="200"/>
      <w:jc w:val="left"/>
    </w:pPr>
    <w:rPr>
      <w:rFonts w:ascii="Tahoma" w:hAnsi="Tahoma"/>
      <w:b/>
      <w:kern w:val="0"/>
      <w:sz w:val="24"/>
      <w:szCs w:val="20"/>
      <w:lang w:eastAsia="en-US"/>
    </w:rPr>
  </w:style>
  <w:style w:type="paragraph" w:customStyle="1" w:styleId="795">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9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7">
    <w:name w:val="Char Char Char Char Char Char Char Char Char Char Char Char Char Char Char Char Char Char Char Char Char Char Char Char Char Char Char Char2"/>
    <w:basedOn w:val="1"/>
    <w:qFormat/>
    <w:uiPriority w:val="99"/>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798">
    <w:name w:val="xl10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18"/>
      <w:szCs w:val="18"/>
    </w:rPr>
  </w:style>
  <w:style w:type="paragraph" w:customStyle="1" w:styleId="799">
    <w:name w:val="CM67"/>
    <w:basedOn w:val="151"/>
    <w:next w:val="151"/>
    <w:qFormat/>
    <w:uiPriority w:val="99"/>
    <w:pPr>
      <w:spacing w:line="471" w:lineRule="atLeast"/>
    </w:pPr>
    <w:rPr>
      <w:rFonts w:hAnsi="Calibri"/>
      <w:color w:val="auto"/>
      <w:sz w:val="22"/>
      <w:szCs w:val="22"/>
    </w:rPr>
  </w:style>
  <w:style w:type="paragraph" w:customStyle="1" w:styleId="800">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801">
    <w:name w:val="修订3"/>
    <w:qFormat/>
    <w:uiPriority w:val="0"/>
    <w:rPr>
      <w:rFonts w:ascii="Calibri" w:hAnsi="Calibri" w:eastAsia="宋体" w:cs="Times New Roman"/>
      <w:lang w:val="en-US" w:eastAsia="zh-CN" w:bidi="ar-SA"/>
    </w:rPr>
  </w:style>
  <w:style w:type="paragraph" w:customStyle="1" w:styleId="802">
    <w:name w:val="0正文"/>
    <w:basedOn w:val="1"/>
    <w:qFormat/>
    <w:uiPriority w:val="0"/>
    <w:pPr>
      <w:spacing w:beforeLines="50" w:line="360" w:lineRule="auto"/>
      <w:ind w:firstLine="200" w:firstLineChars="200"/>
    </w:pPr>
    <w:rPr>
      <w:kern w:val="0"/>
      <w:sz w:val="20"/>
      <w:szCs w:val="20"/>
      <w:lang w:val="en-GB"/>
    </w:rPr>
  </w:style>
  <w:style w:type="paragraph" w:customStyle="1" w:styleId="803">
    <w:name w:val="font7"/>
    <w:basedOn w:val="1"/>
    <w:qFormat/>
    <w:uiPriority w:val="99"/>
    <w:pPr>
      <w:widowControl/>
      <w:spacing w:before="100" w:beforeAutospacing="1" w:after="100" w:afterAutospacing="1"/>
      <w:jc w:val="left"/>
    </w:pPr>
    <w:rPr>
      <w:rFonts w:hint="eastAsia" w:ascii="宋体" w:hAnsi="宋体" w:cs="Arial Unicode MS"/>
      <w:b/>
      <w:bCs/>
      <w:color w:val="000000"/>
      <w:kern w:val="0"/>
      <w:sz w:val="28"/>
      <w:szCs w:val="28"/>
    </w:rPr>
  </w:style>
  <w:style w:type="paragraph" w:customStyle="1" w:styleId="804">
    <w:name w:val="表格"/>
    <w:basedOn w:val="1"/>
    <w:qFormat/>
    <w:uiPriority w:val="0"/>
    <w:pPr>
      <w:jc w:val="center"/>
      <w:textAlignment w:val="center"/>
    </w:pPr>
    <w:rPr>
      <w:rFonts w:ascii="华文细黑" w:hAnsi="华文细黑"/>
      <w:kern w:val="0"/>
      <w:szCs w:val="20"/>
    </w:rPr>
  </w:style>
  <w:style w:type="paragraph" w:customStyle="1" w:styleId="805">
    <w:name w:val="xl53"/>
    <w:basedOn w:val="1"/>
    <w:qFormat/>
    <w:uiPriority w:val="99"/>
    <w:pPr>
      <w:widowControl/>
      <w:pBdr>
        <w:top w:val="single" w:color="auto" w:sz="4" w:space="0"/>
        <w:left w:val="single" w:color="auto" w:sz="4" w:space="0"/>
        <w:right w:val="single" w:color="auto" w:sz="8" w:space="0"/>
      </w:pBdr>
      <w:shd w:val="clear" w:color="auto" w:fill="FFFFFF"/>
      <w:spacing w:before="100" w:beforeAutospacing="1" w:after="100" w:afterAutospacing="1" w:line="276" w:lineRule="auto"/>
      <w:ind w:firstLine="200" w:firstLineChars="200"/>
      <w:jc w:val="left"/>
    </w:pPr>
    <w:rPr>
      <w:rFonts w:ascii="宋体" w:hAnsi="宋体"/>
      <w:kern w:val="0"/>
      <w:sz w:val="22"/>
      <w:lang w:eastAsia="en-US"/>
    </w:rPr>
  </w:style>
  <w:style w:type="paragraph" w:customStyle="1" w:styleId="806">
    <w:name w:val="xl5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right"/>
    </w:pPr>
    <w:rPr>
      <w:rFonts w:ascii="宋体" w:hAnsi="宋体"/>
      <w:kern w:val="0"/>
      <w:sz w:val="22"/>
      <w:lang w:eastAsia="en-US"/>
    </w:rPr>
  </w:style>
  <w:style w:type="paragraph" w:customStyle="1" w:styleId="807">
    <w:name w:val="font14"/>
    <w:basedOn w:val="1"/>
    <w:qFormat/>
    <w:uiPriority w:val="99"/>
    <w:pPr>
      <w:widowControl/>
      <w:spacing w:before="100" w:beforeAutospacing="1" w:after="100" w:afterAutospacing="1" w:line="276" w:lineRule="auto"/>
      <w:ind w:firstLine="200" w:firstLineChars="200"/>
      <w:jc w:val="left"/>
    </w:pPr>
    <w:rPr>
      <w:rFonts w:ascii="Calibri" w:hAnsi="Calibri"/>
      <w:b/>
      <w:bCs/>
      <w:kern w:val="0"/>
      <w:sz w:val="22"/>
      <w:lang w:eastAsia="en-US"/>
    </w:rPr>
  </w:style>
  <w:style w:type="paragraph" w:customStyle="1" w:styleId="808">
    <w:name w:val="font8"/>
    <w:basedOn w:val="1"/>
    <w:qFormat/>
    <w:uiPriority w:val="99"/>
    <w:pPr>
      <w:widowControl/>
      <w:spacing w:before="100" w:beforeAutospacing="1" w:after="100" w:afterAutospacing="1"/>
      <w:jc w:val="left"/>
    </w:pPr>
    <w:rPr>
      <w:rFonts w:hint="eastAsia" w:ascii="宋体" w:hAnsi="宋体" w:cs="Arial Unicode MS"/>
      <w:b/>
      <w:bCs/>
      <w:color w:val="000000"/>
      <w:kern w:val="0"/>
      <w:sz w:val="24"/>
      <w:szCs w:val="24"/>
    </w:rPr>
  </w:style>
  <w:style w:type="paragraph" w:customStyle="1" w:styleId="809">
    <w:name w:val="xl11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10">
    <w:name w:val="Char Char Char"/>
    <w:basedOn w:val="1"/>
    <w:qFormat/>
    <w:uiPriority w:val="99"/>
    <w:rPr>
      <w:bCs/>
      <w:szCs w:val="20"/>
    </w:rPr>
  </w:style>
  <w:style w:type="paragraph" w:customStyle="1" w:styleId="811">
    <w:name w:val="CM50"/>
    <w:basedOn w:val="151"/>
    <w:next w:val="151"/>
    <w:qFormat/>
    <w:uiPriority w:val="99"/>
    <w:rPr>
      <w:rFonts w:hAnsi="Calibri"/>
      <w:color w:val="auto"/>
      <w:sz w:val="22"/>
      <w:szCs w:val="22"/>
    </w:rPr>
  </w:style>
  <w:style w:type="paragraph" w:customStyle="1" w:styleId="812">
    <w:name w:val="Char Char Char Char Char Char Char Char Char Char Char Char Char Char Char"/>
    <w:basedOn w:val="1"/>
    <w:qFormat/>
    <w:uiPriority w:val="99"/>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813">
    <w:name w:val="xl5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right"/>
    </w:pPr>
    <w:rPr>
      <w:rFonts w:ascii="宋体" w:hAnsi="宋体"/>
      <w:color w:val="FF0000"/>
      <w:kern w:val="0"/>
      <w:sz w:val="22"/>
      <w:lang w:eastAsia="en-US"/>
    </w:rPr>
  </w:style>
  <w:style w:type="paragraph" w:customStyle="1" w:styleId="814">
    <w:name w:val="Char1 Char Char Char Char Char Char"/>
    <w:basedOn w:val="1"/>
    <w:qFormat/>
    <w:uiPriority w:val="99"/>
    <w:rPr>
      <w:szCs w:val="20"/>
    </w:rPr>
  </w:style>
  <w:style w:type="paragraph" w:customStyle="1" w:styleId="815">
    <w:name w:val="CM114"/>
    <w:basedOn w:val="151"/>
    <w:next w:val="151"/>
    <w:qFormat/>
    <w:uiPriority w:val="99"/>
    <w:rPr>
      <w:rFonts w:hAnsi="Calibri"/>
      <w:color w:val="auto"/>
      <w:sz w:val="22"/>
      <w:szCs w:val="22"/>
    </w:rPr>
  </w:style>
  <w:style w:type="paragraph" w:customStyle="1" w:styleId="81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Calibri" w:hAnsi="Calibri"/>
      <w:b/>
      <w:bCs/>
      <w:color w:val="FF0000"/>
      <w:kern w:val="0"/>
      <w:sz w:val="22"/>
      <w:lang w:eastAsia="en-US"/>
    </w:rPr>
  </w:style>
  <w:style w:type="paragraph" w:customStyle="1" w:styleId="817">
    <w:name w:val="标题说明"/>
    <w:qFormat/>
    <w:uiPriority w:val="0"/>
    <w:pPr>
      <w:adjustRightInd w:val="0"/>
      <w:snapToGrid w:val="0"/>
      <w:jc w:val="center"/>
    </w:pPr>
    <w:rPr>
      <w:rFonts w:ascii="微软雅黑" w:hAnsi="微软雅黑" w:eastAsia="微软雅黑" w:cs="Times New Roman"/>
      <w:kern w:val="2"/>
      <w:sz w:val="44"/>
      <w:szCs w:val="44"/>
      <w:lang w:val="en-US" w:eastAsia="zh-CN" w:bidi="ar-SA"/>
    </w:rPr>
  </w:style>
  <w:style w:type="paragraph" w:customStyle="1" w:styleId="818">
    <w:name w:val="缺省文本"/>
    <w:basedOn w:val="1"/>
    <w:qFormat/>
    <w:uiPriority w:val="0"/>
    <w:pPr>
      <w:autoSpaceDE w:val="0"/>
      <w:autoSpaceDN w:val="0"/>
      <w:adjustRightInd w:val="0"/>
      <w:spacing w:line="360" w:lineRule="auto"/>
      <w:jc w:val="left"/>
    </w:pPr>
    <w:rPr>
      <w:kern w:val="0"/>
      <w:sz w:val="24"/>
      <w:szCs w:val="20"/>
    </w:rPr>
  </w:style>
  <w:style w:type="paragraph" w:customStyle="1" w:styleId="819">
    <w:name w:val="Jazzy"/>
    <w:qFormat/>
    <w:uiPriority w:val="99"/>
    <w:pPr>
      <w:overflowPunct w:val="0"/>
      <w:autoSpaceDE w:val="0"/>
      <w:autoSpaceDN w:val="0"/>
      <w:adjustRightInd w:val="0"/>
      <w:spacing w:after="200" w:line="276" w:lineRule="auto"/>
      <w:ind w:firstLine="200" w:firstLineChars="200"/>
      <w:jc w:val="center"/>
      <w:textAlignment w:val="baseline"/>
    </w:pPr>
    <w:rPr>
      <w:rFonts w:ascii="Calibri" w:hAnsi="Calibri" w:eastAsia="宋体" w:cs="Times New Roman"/>
      <w:b/>
      <w:sz w:val="24"/>
      <w:szCs w:val="22"/>
      <w:lang w:val="en-US" w:eastAsia="en-US" w:bidi="ar-SA"/>
    </w:rPr>
  </w:style>
  <w:style w:type="paragraph" w:customStyle="1" w:styleId="820">
    <w:name w:val="样式9"/>
    <w:basedOn w:val="5"/>
    <w:qFormat/>
    <w:uiPriority w:val="99"/>
    <w:pPr>
      <w:widowControl/>
      <w:tabs>
        <w:tab w:val="left" w:pos="432"/>
        <w:tab w:val="left" w:pos="720"/>
        <w:tab w:val="left" w:pos="3660"/>
      </w:tabs>
      <w:spacing w:before="160" w:after="120"/>
      <w:ind w:left="3660" w:firstLine="200" w:firstLineChars="200"/>
      <w:jc w:val="left"/>
    </w:pPr>
    <w:rPr>
      <w:rFonts w:ascii="仿宋_GB2312" w:hAnsi="Calibri" w:eastAsia="黑体"/>
      <w:kern w:val="0"/>
      <w:szCs w:val="28"/>
      <w:lang w:val="zh-CN"/>
    </w:rPr>
  </w:style>
  <w:style w:type="paragraph" w:customStyle="1" w:styleId="821">
    <w:name w:val="设备规范样式2"/>
    <w:basedOn w:val="1"/>
    <w:qFormat/>
    <w:uiPriority w:val="99"/>
    <w:pPr>
      <w:widowControl/>
      <w:tabs>
        <w:tab w:val="left" w:pos="0"/>
      </w:tabs>
      <w:spacing w:after="200" w:line="360" w:lineRule="auto"/>
      <w:ind w:left="510" w:hanging="510" w:firstLineChars="200"/>
      <w:jc w:val="left"/>
      <w:textAlignment w:val="bottom"/>
    </w:pPr>
    <w:rPr>
      <w:rFonts w:ascii="Calibri" w:hAnsi="Calibri" w:eastAsia="楷体_GB2312"/>
      <w:kern w:val="0"/>
      <w:sz w:val="24"/>
      <w:lang w:eastAsia="en-US"/>
    </w:rPr>
  </w:style>
  <w:style w:type="paragraph" w:customStyle="1" w:styleId="822">
    <w:name w:val="xl82"/>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line="276" w:lineRule="auto"/>
      <w:ind w:firstLine="200" w:firstLineChars="200"/>
      <w:jc w:val="left"/>
    </w:pPr>
    <w:rPr>
      <w:rFonts w:ascii="宋体" w:hAnsi="宋体"/>
      <w:kern w:val="0"/>
      <w:sz w:val="22"/>
      <w:lang w:eastAsia="en-US"/>
    </w:rPr>
  </w:style>
  <w:style w:type="paragraph" w:customStyle="1" w:styleId="823">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4">
    <w:name w:val="小标题"/>
    <w:basedOn w:val="1"/>
    <w:qFormat/>
    <w:uiPriority w:val="99"/>
    <w:pPr>
      <w:widowControl/>
      <w:tabs>
        <w:tab w:val="left" w:pos="987"/>
      </w:tabs>
      <w:overflowPunct w:val="0"/>
      <w:snapToGrid w:val="0"/>
      <w:spacing w:after="200" w:line="480" w:lineRule="exact"/>
      <w:ind w:left="987" w:hanging="420" w:firstLineChars="200"/>
      <w:jc w:val="left"/>
    </w:pPr>
    <w:rPr>
      <w:rFonts w:ascii="Arial" w:hAnsi="Arial" w:eastAsia="仿宋_GB2312"/>
      <w:b/>
      <w:kern w:val="0"/>
      <w:sz w:val="28"/>
      <w:szCs w:val="20"/>
      <w:lang w:eastAsia="en-US"/>
    </w:rPr>
  </w:style>
  <w:style w:type="paragraph" w:customStyle="1" w:styleId="825">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right"/>
    </w:pPr>
    <w:rPr>
      <w:rFonts w:ascii="宋体" w:hAnsi="宋体"/>
      <w:b/>
      <w:bCs/>
      <w:kern w:val="0"/>
      <w:sz w:val="22"/>
      <w:lang w:eastAsia="en-US"/>
    </w:rPr>
  </w:style>
  <w:style w:type="paragraph" w:customStyle="1" w:styleId="826">
    <w:name w:val="xl12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18"/>
      <w:szCs w:val="18"/>
    </w:rPr>
  </w:style>
  <w:style w:type="paragraph" w:customStyle="1" w:styleId="827">
    <w:name w:val="xl10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18"/>
      <w:szCs w:val="18"/>
    </w:rPr>
  </w:style>
  <w:style w:type="paragraph" w:customStyle="1" w:styleId="828">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9">
    <w:name w:val="修订21"/>
    <w:qFormat/>
    <w:uiPriority w:val="0"/>
    <w:rPr>
      <w:rFonts w:ascii="Times New Roman" w:hAnsi="Times New Roman" w:eastAsia="宋体" w:cs="Times New Roman"/>
      <w:kern w:val="2"/>
      <w:sz w:val="21"/>
      <w:szCs w:val="24"/>
      <w:lang w:val="en-US" w:eastAsia="zh-CN" w:bidi="ar-SA"/>
    </w:rPr>
  </w:style>
  <w:style w:type="paragraph" w:customStyle="1" w:styleId="830">
    <w:name w:val="xl10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18"/>
      <w:szCs w:val="18"/>
    </w:rPr>
  </w:style>
  <w:style w:type="paragraph" w:customStyle="1" w:styleId="831">
    <w:name w:val="+标题3"/>
    <w:basedOn w:val="5"/>
    <w:qFormat/>
    <w:uiPriority w:val="99"/>
    <w:pPr>
      <w:tabs>
        <w:tab w:val="left" w:pos="432"/>
        <w:tab w:val="left" w:pos="720"/>
        <w:tab w:val="left" w:pos="1260"/>
      </w:tabs>
      <w:spacing w:before="120" w:after="120" w:line="360" w:lineRule="auto"/>
      <w:ind w:left="1260" w:hanging="420"/>
      <w:jc w:val="center"/>
    </w:pPr>
    <w:rPr>
      <w:rFonts w:ascii="仿宋_GB2312" w:hAnsi="Calibri" w:eastAsia="仿宋_GB2312"/>
      <w:kern w:val="0"/>
      <w:szCs w:val="28"/>
      <w:lang w:val="zh-CN"/>
    </w:rPr>
  </w:style>
  <w:style w:type="paragraph" w:customStyle="1" w:styleId="832">
    <w:name w:val="CM60"/>
    <w:basedOn w:val="151"/>
    <w:next w:val="151"/>
    <w:qFormat/>
    <w:uiPriority w:val="99"/>
    <w:rPr>
      <w:rFonts w:hAnsi="Calibri"/>
      <w:sz w:val="22"/>
      <w:szCs w:val="22"/>
    </w:rPr>
  </w:style>
  <w:style w:type="paragraph" w:customStyle="1" w:styleId="833">
    <w:name w:val="CM62"/>
    <w:basedOn w:val="151"/>
    <w:next w:val="151"/>
    <w:qFormat/>
    <w:uiPriority w:val="99"/>
    <w:pPr>
      <w:spacing w:line="468" w:lineRule="atLeast"/>
    </w:pPr>
    <w:rPr>
      <w:rFonts w:hAnsi="Calibri"/>
      <w:color w:val="auto"/>
      <w:sz w:val="22"/>
      <w:szCs w:val="22"/>
    </w:rPr>
  </w:style>
  <w:style w:type="paragraph" w:customStyle="1" w:styleId="834">
    <w:name w:val="安全配置 3"/>
    <w:basedOn w:val="1"/>
    <w:qFormat/>
    <w:uiPriority w:val="0"/>
    <w:pPr>
      <w:numPr>
        <w:ilvl w:val="0"/>
        <w:numId w:val="3"/>
      </w:numPr>
      <w:tabs>
        <w:tab w:val="left" w:pos="839"/>
        <w:tab w:val="clear" w:pos="420"/>
      </w:tabs>
    </w:pPr>
    <w:rPr>
      <w:rFonts w:ascii="宋体" w:hAnsi="宋体" w:eastAsia="仿宋_GB2312"/>
      <w:b/>
      <w:kern w:val="0"/>
      <w:sz w:val="28"/>
      <w:szCs w:val="20"/>
    </w:rPr>
  </w:style>
  <w:style w:type="paragraph" w:customStyle="1" w:styleId="835">
    <w:name w:val="项目符号1"/>
    <w:basedOn w:val="1"/>
    <w:qFormat/>
    <w:uiPriority w:val="99"/>
    <w:pPr>
      <w:widowControl/>
      <w:tabs>
        <w:tab w:val="left" w:pos="900"/>
        <w:tab w:val="left" w:pos="935"/>
      </w:tabs>
      <w:snapToGrid w:val="0"/>
      <w:spacing w:before="120" w:after="120" w:line="312" w:lineRule="auto"/>
      <w:ind w:left="935" w:hanging="420" w:firstLineChars="200"/>
      <w:jc w:val="left"/>
    </w:pPr>
    <w:rPr>
      <w:rFonts w:ascii="Arial" w:hAnsi="Arial" w:eastAsia="楷体_GB2312"/>
      <w:b/>
      <w:kern w:val="0"/>
      <w:sz w:val="28"/>
      <w:szCs w:val="20"/>
      <w:lang w:eastAsia="en-US"/>
    </w:rPr>
  </w:style>
  <w:style w:type="paragraph" w:customStyle="1" w:styleId="836">
    <w:name w:val="Ñ¡§´Ê½2"/>
    <w:basedOn w:val="1"/>
    <w:qFormat/>
    <w:uiPriority w:val="99"/>
    <w:pPr>
      <w:widowControl/>
      <w:overflowPunct w:val="0"/>
      <w:autoSpaceDE w:val="0"/>
      <w:autoSpaceDN w:val="0"/>
      <w:adjustRightInd w:val="0"/>
      <w:spacing w:after="200" w:line="410" w:lineRule="atLeast"/>
      <w:ind w:left="480" w:leftChars="200" w:firstLine="200" w:firstLineChars="200"/>
      <w:jc w:val="left"/>
    </w:pPr>
    <w:rPr>
      <w:rFonts w:ascii="宋体" w:hAnsi="宋体" w:eastAsia="楷体_GB2312"/>
      <w:kern w:val="0"/>
      <w:sz w:val="24"/>
      <w:szCs w:val="20"/>
      <w:lang w:eastAsia="en-US"/>
    </w:rPr>
  </w:style>
  <w:style w:type="paragraph" w:customStyle="1" w:styleId="837">
    <w:name w:val="xl6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right"/>
    </w:pPr>
    <w:rPr>
      <w:rFonts w:ascii="Calibri" w:hAnsi="Calibri"/>
      <w:b/>
      <w:bCs/>
      <w:color w:val="FF0000"/>
      <w:kern w:val="0"/>
      <w:sz w:val="22"/>
      <w:lang w:eastAsia="en-US"/>
    </w:rPr>
  </w:style>
  <w:style w:type="paragraph" w:customStyle="1" w:styleId="838">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39">
    <w:name w:val="xl51"/>
    <w:basedOn w:val="1"/>
    <w:qFormat/>
    <w:uiPriority w:val="99"/>
    <w:pPr>
      <w:widowControl/>
      <w:pBdr>
        <w:bottom w:val="single" w:color="auto" w:sz="4" w:space="0"/>
      </w:pBdr>
      <w:spacing w:beforeAutospacing="1" w:afterAutospacing="1" w:line="360" w:lineRule="auto"/>
      <w:ind w:firstLine="200" w:firstLineChars="200"/>
      <w:jc w:val="center"/>
      <w:textAlignment w:val="center"/>
    </w:pPr>
    <w:rPr>
      <w:rFonts w:ascii="宋体" w:hAnsi="宋体"/>
      <w:b/>
      <w:bCs/>
      <w:kern w:val="0"/>
      <w:sz w:val="32"/>
      <w:szCs w:val="32"/>
    </w:rPr>
  </w:style>
  <w:style w:type="paragraph" w:customStyle="1" w:styleId="840">
    <w:name w:val="正文文字3"/>
    <w:basedOn w:val="23"/>
    <w:qFormat/>
    <w:uiPriority w:val="99"/>
    <w:pPr>
      <w:widowControl/>
      <w:adjustRightInd w:val="0"/>
      <w:spacing w:after="0" w:line="360" w:lineRule="atLeast"/>
      <w:ind w:left="57" w:right="57" w:firstLine="200" w:firstLineChars="200"/>
      <w:jc w:val="left"/>
      <w:textAlignment w:val="baseline"/>
    </w:pPr>
    <w:rPr>
      <w:rFonts w:ascii="Calibri" w:hAnsi="Calibri"/>
      <w:kern w:val="0"/>
      <w:szCs w:val="20"/>
    </w:rPr>
  </w:style>
  <w:style w:type="paragraph" w:customStyle="1" w:styleId="841">
    <w:name w:val="xl137"/>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42">
    <w:name w:val="xl5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right"/>
    </w:pPr>
    <w:rPr>
      <w:rFonts w:ascii="宋体" w:hAnsi="宋体"/>
      <w:b/>
      <w:bCs/>
      <w:color w:val="FF0000"/>
      <w:kern w:val="0"/>
      <w:sz w:val="22"/>
      <w:lang w:eastAsia="en-US"/>
    </w:rPr>
  </w:style>
  <w:style w:type="paragraph" w:customStyle="1" w:styleId="843">
    <w:name w:val="正文文本 22"/>
    <w:basedOn w:val="1"/>
    <w:qFormat/>
    <w:uiPriority w:val="99"/>
    <w:pPr>
      <w:widowControl/>
      <w:adjustRightInd w:val="0"/>
      <w:spacing w:after="200" w:line="276" w:lineRule="auto"/>
      <w:ind w:left="360" w:hanging="360" w:firstLineChars="200"/>
      <w:jc w:val="left"/>
      <w:textAlignment w:val="baseline"/>
    </w:pPr>
    <w:rPr>
      <w:rFonts w:ascii="Calibri" w:hAnsi="Calibri"/>
      <w:kern w:val="0"/>
      <w:sz w:val="24"/>
      <w:szCs w:val="20"/>
      <w:lang w:eastAsia="en-US"/>
    </w:rPr>
  </w:style>
  <w:style w:type="paragraph" w:customStyle="1" w:styleId="84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45">
    <w:name w:val="xl56"/>
    <w:basedOn w:val="1"/>
    <w:qFormat/>
    <w:uiPriority w:val="99"/>
    <w:pPr>
      <w:widowControl/>
      <w:pBdr>
        <w:top w:val="single" w:color="auto" w:sz="4" w:space="0"/>
        <w:left w:val="single" w:color="auto" w:sz="4" w:space="0"/>
        <w:right w:val="single" w:color="auto" w:sz="4" w:space="0"/>
      </w:pBdr>
      <w:shd w:val="clear" w:color="auto" w:fill="FFFFFF"/>
      <w:spacing w:before="100" w:beforeAutospacing="1" w:after="100" w:afterAutospacing="1" w:line="276" w:lineRule="auto"/>
      <w:ind w:firstLine="200" w:firstLineChars="200"/>
      <w:jc w:val="left"/>
    </w:pPr>
    <w:rPr>
      <w:rFonts w:ascii="宋体" w:hAnsi="宋体"/>
      <w:kern w:val="0"/>
      <w:sz w:val="22"/>
      <w:lang w:eastAsia="en-US"/>
    </w:rPr>
  </w:style>
  <w:style w:type="paragraph" w:customStyle="1" w:styleId="846">
    <w:name w:val="样式1-正文-缩进-加粗"/>
    <w:basedOn w:val="1"/>
    <w:qFormat/>
    <w:uiPriority w:val="99"/>
    <w:pPr>
      <w:spacing w:line="360" w:lineRule="auto"/>
      <w:ind w:firstLine="482"/>
    </w:pPr>
    <w:rPr>
      <w:rFonts w:ascii="Calibri" w:hAnsi="Calibri"/>
      <w:b/>
      <w:bCs/>
      <w:sz w:val="24"/>
      <w:szCs w:val="24"/>
    </w:rPr>
  </w:style>
  <w:style w:type="paragraph" w:customStyle="1" w:styleId="847">
    <w:name w:val="xl117"/>
    <w:basedOn w:val="1"/>
    <w:qFormat/>
    <w:uiPriority w:val="99"/>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18"/>
      <w:szCs w:val="18"/>
    </w:rPr>
  </w:style>
  <w:style w:type="paragraph" w:customStyle="1" w:styleId="848">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9">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0">
    <w:name w:val="CM117"/>
    <w:basedOn w:val="151"/>
    <w:next w:val="151"/>
    <w:qFormat/>
    <w:uiPriority w:val="99"/>
    <w:rPr>
      <w:rFonts w:hAnsi="Calibri"/>
      <w:color w:val="auto"/>
      <w:sz w:val="22"/>
      <w:szCs w:val="22"/>
    </w:rPr>
  </w:style>
  <w:style w:type="paragraph" w:customStyle="1" w:styleId="851">
    <w:name w:val="blockquote"/>
    <w:basedOn w:val="1"/>
    <w:qFormat/>
    <w:uiPriority w:val="99"/>
    <w:pPr>
      <w:widowControl/>
      <w:autoSpaceDE w:val="0"/>
      <w:autoSpaceDN w:val="0"/>
      <w:spacing w:before="100" w:after="100"/>
      <w:ind w:left="360" w:right="360"/>
      <w:jc w:val="left"/>
    </w:pPr>
    <w:rPr>
      <w:rFonts w:ascii="Calibri" w:hAnsi="Calibri"/>
      <w:kern w:val="0"/>
      <w:sz w:val="24"/>
      <w:szCs w:val="24"/>
    </w:rPr>
  </w:style>
  <w:style w:type="paragraph" w:customStyle="1" w:styleId="852">
    <w:name w:val="xl91"/>
    <w:basedOn w:val="1"/>
    <w:qFormat/>
    <w:uiPriority w:val="99"/>
    <w:pPr>
      <w:widowControl/>
      <w:pBdr>
        <w:top w:val="single" w:color="auto" w:sz="4" w:space="0"/>
        <w:left w:val="single" w:color="auto" w:sz="4" w:space="0"/>
        <w:right w:val="single" w:color="auto" w:sz="4" w:space="0"/>
      </w:pBdr>
      <w:shd w:val="clear" w:color="auto" w:fill="FFFFFF"/>
      <w:spacing w:before="100" w:beforeAutospacing="1" w:after="100" w:afterAutospacing="1" w:line="276" w:lineRule="auto"/>
      <w:ind w:firstLine="200" w:firstLineChars="200"/>
      <w:jc w:val="right"/>
    </w:pPr>
    <w:rPr>
      <w:rFonts w:ascii="宋体" w:hAnsi="宋体"/>
      <w:b/>
      <w:bCs/>
      <w:color w:val="FF0000"/>
      <w:kern w:val="0"/>
      <w:sz w:val="22"/>
      <w:lang w:eastAsia="en-US"/>
    </w:rPr>
  </w:style>
  <w:style w:type="paragraph" w:customStyle="1" w:styleId="853">
    <w:name w:val="xl39"/>
    <w:basedOn w:val="1"/>
    <w:qFormat/>
    <w:uiPriority w:val="99"/>
    <w:pPr>
      <w:widowControl/>
      <w:pBdr>
        <w:top w:val="single" w:color="auto" w:sz="4" w:space="0"/>
        <w:left w:val="single" w:color="auto" w:sz="8"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kern w:val="0"/>
      <w:sz w:val="22"/>
      <w:lang w:eastAsia="en-US"/>
    </w:rPr>
  </w:style>
  <w:style w:type="paragraph" w:customStyle="1" w:styleId="854">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5">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6">
    <w:name w:val="样式8"/>
    <w:basedOn w:val="5"/>
    <w:qFormat/>
    <w:uiPriority w:val="99"/>
    <w:pPr>
      <w:widowControl/>
      <w:tabs>
        <w:tab w:val="left" w:pos="432"/>
        <w:tab w:val="left" w:pos="720"/>
        <w:tab w:val="left" w:pos="3660"/>
      </w:tabs>
      <w:spacing w:before="160" w:after="240"/>
      <w:ind w:left="3660" w:firstLine="200" w:firstLineChars="200"/>
      <w:jc w:val="left"/>
    </w:pPr>
    <w:rPr>
      <w:rFonts w:ascii="仿宋_GB2312" w:hAnsi="Calibri" w:eastAsia="黑体"/>
      <w:kern w:val="0"/>
      <w:szCs w:val="28"/>
      <w:lang w:val="zh-CN"/>
    </w:rPr>
  </w:style>
  <w:style w:type="paragraph" w:customStyle="1" w:styleId="857">
    <w:name w:val="xl27"/>
    <w:basedOn w:val="1"/>
    <w:qFormat/>
    <w:uiPriority w:val="99"/>
    <w:pPr>
      <w:widowControl/>
      <w:pBdr>
        <w:top w:val="double" w:color="auto" w:sz="6"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b/>
      <w:bCs/>
      <w:kern w:val="0"/>
      <w:sz w:val="22"/>
    </w:rPr>
  </w:style>
  <w:style w:type="paragraph" w:customStyle="1" w:styleId="858">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kern w:val="0"/>
      <w:sz w:val="22"/>
      <w:lang w:eastAsia="en-US"/>
    </w:rPr>
  </w:style>
  <w:style w:type="paragraph" w:customStyle="1" w:styleId="859">
    <w:name w:val="xl13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60">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61">
    <w:name w:val="8"/>
    <w:basedOn w:val="1"/>
    <w:qFormat/>
    <w:uiPriority w:val="99"/>
    <w:pPr>
      <w:widowControl/>
      <w:spacing w:after="200" w:line="360" w:lineRule="auto"/>
      <w:ind w:firstLine="478" w:firstLineChars="199"/>
      <w:jc w:val="left"/>
    </w:pPr>
    <w:rPr>
      <w:rFonts w:ascii="Calibri" w:hAnsi="Calibri"/>
      <w:color w:val="000000"/>
      <w:kern w:val="0"/>
      <w:sz w:val="24"/>
      <w:lang w:eastAsia="en-US"/>
    </w:rPr>
  </w:style>
  <w:style w:type="paragraph" w:customStyle="1" w:styleId="862">
    <w:name w:val="列出段落2"/>
    <w:basedOn w:val="1"/>
    <w:qFormat/>
    <w:uiPriority w:val="99"/>
    <w:pPr>
      <w:ind w:firstLine="420" w:firstLineChars="200"/>
    </w:pPr>
    <w:rPr>
      <w:szCs w:val="20"/>
    </w:rPr>
  </w:style>
  <w:style w:type="paragraph" w:customStyle="1" w:styleId="863">
    <w:name w:val="xl6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right"/>
    </w:pPr>
    <w:rPr>
      <w:rFonts w:ascii="Calibri" w:hAnsi="Calibri"/>
      <w:color w:val="FF0000"/>
      <w:kern w:val="0"/>
      <w:sz w:val="22"/>
      <w:lang w:eastAsia="en-US"/>
    </w:rPr>
  </w:style>
  <w:style w:type="paragraph" w:customStyle="1" w:styleId="864">
    <w:name w:val="xl131"/>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865">
    <w:name w:val="CM1"/>
    <w:basedOn w:val="151"/>
    <w:next w:val="151"/>
    <w:qFormat/>
    <w:uiPriority w:val="99"/>
    <w:rPr>
      <w:rFonts w:hAnsi="Calibri"/>
      <w:color w:val="auto"/>
      <w:sz w:val="22"/>
      <w:szCs w:val="22"/>
    </w:rPr>
  </w:style>
  <w:style w:type="paragraph" w:customStyle="1" w:styleId="866">
    <w:name w:val="Char3"/>
    <w:basedOn w:val="1"/>
    <w:qFormat/>
    <w:uiPriority w:val="0"/>
    <w:pPr>
      <w:widowControl/>
      <w:spacing w:after="160" w:line="240" w:lineRule="exact"/>
      <w:jc w:val="left"/>
    </w:pPr>
    <w:rPr>
      <w:kern w:val="0"/>
      <w:sz w:val="20"/>
      <w:szCs w:val="20"/>
    </w:rPr>
  </w:style>
  <w:style w:type="paragraph" w:customStyle="1" w:styleId="867">
    <w:name w:val="样式 样式 样式 第四行 + 左侧:  -4 字符 段前: 2 行 + 左侧:  -3 字符 段前: 2 行 + 左侧:  -2..."/>
    <w:basedOn w:val="868"/>
    <w:qFormat/>
    <w:uiPriority w:val="99"/>
    <w:pPr>
      <w:ind w:left="0" w:leftChars="0"/>
    </w:pPr>
  </w:style>
  <w:style w:type="paragraph" w:customStyle="1" w:styleId="868">
    <w:name w:val="样式 样式 第四行 + 左侧:  -4 字符 段前: 2 行 + 左侧:  -3 字符 段前: 2 行"/>
    <w:basedOn w:val="869"/>
    <w:qFormat/>
    <w:uiPriority w:val="99"/>
    <w:pPr>
      <w:ind w:left="-200" w:leftChars="-200"/>
    </w:pPr>
  </w:style>
  <w:style w:type="paragraph" w:customStyle="1" w:styleId="869">
    <w:name w:val="样式 第四行 + 左侧:  -4 字符 段前: 2 行"/>
    <w:basedOn w:val="628"/>
    <w:qFormat/>
    <w:uiPriority w:val="99"/>
    <w:pPr>
      <w:ind w:left="-300" w:leftChars="-300"/>
    </w:pPr>
  </w:style>
  <w:style w:type="paragraph" w:customStyle="1" w:styleId="870">
    <w:name w:val="TOC 标题2"/>
    <w:basedOn w:val="3"/>
    <w:next w:val="1"/>
    <w:qFormat/>
    <w:uiPriority w:val="99"/>
    <w:pPr>
      <w:spacing w:before="340" w:after="330" w:line="576" w:lineRule="auto"/>
      <w:jc w:val="both"/>
      <w:outlineLvl w:val="9"/>
    </w:pPr>
    <w:rPr>
      <w:rFonts w:ascii="Calibri" w:hAnsi="Calibri"/>
      <w:lang w:val="zh-CN"/>
    </w:rPr>
  </w:style>
  <w:style w:type="paragraph" w:customStyle="1" w:styleId="871">
    <w:name w:val="CM7"/>
    <w:basedOn w:val="151"/>
    <w:next w:val="151"/>
    <w:qFormat/>
    <w:uiPriority w:val="99"/>
    <w:rPr>
      <w:rFonts w:hAnsi="Calibri"/>
      <w:sz w:val="22"/>
      <w:szCs w:val="22"/>
    </w:rPr>
  </w:style>
  <w:style w:type="paragraph" w:customStyle="1" w:styleId="872">
    <w:name w:val="xl7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76" w:lineRule="auto"/>
      <w:ind w:firstLine="200" w:firstLineChars="200"/>
      <w:jc w:val="center"/>
    </w:pPr>
    <w:rPr>
      <w:rFonts w:ascii="宋体" w:hAnsi="宋体"/>
      <w:kern w:val="0"/>
      <w:sz w:val="22"/>
      <w:lang w:eastAsia="en-US"/>
    </w:rPr>
  </w:style>
  <w:style w:type="paragraph" w:customStyle="1" w:styleId="873">
    <w:name w:val="Char33"/>
    <w:basedOn w:val="1"/>
    <w:qFormat/>
    <w:uiPriority w:val="9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874">
    <w:name w:val="p230"/>
    <w:basedOn w:val="1"/>
    <w:qFormat/>
    <w:uiPriority w:val="0"/>
    <w:pPr>
      <w:widowControl/>
      <w:ind w:firstLine="1575"/>
      <w:jc w:val="left"/>
    </w:pPr>
    <w:rPr>
      <w:rFonts w:ascii="宋体" w:hAnsi="宋体" w:cs="宋体"/>
      <w:kern w:val="0"/>
      <w:szCs w:val="21"/>
    </w:rPr>
  </w:style>
  <w:style w:type="paragraph" w:customStyle="1" w:styleId="875">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center"/>
    </w:pPr>
    <w:rPr>
      <w:rFonts w:ascii="宋体" w:hAnsi="宋体"/>
      <w:kern w:val="0"/>
      <w:sz w:val="22"/>
      <w:lang w:eastAsia="en-US"/>
    </w:rPr>
  </w:style>
  <w:style w:type="paragraph" w:customStyle="1" w:styleId="876">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877">
    <w:name w:val="CM4"/>
    <w:basedOn w:val="151"/>
    <w:next w:val="151"/>
    <w:qFormat/>
    <w:uiPriority w:val="99"/>
    <w:pPr>
      <w:spacing w:line="433" w:lineRule="atLeast"/>
    </w:pPr>
    <w:rPr>
      <w:rFonts w:hAnsi="Calibri"/>
      <w:color w:val="auto"/>
      <w:sz w:val="22"/>
      <w:szCs w:val="22"/>
    </w:rPr>
  </w:style>
  <w:style w:type="paragraph" w:customStyle="1" w:styleId="878">
    <w:name w:val="CM5"/>
    <w:basedOn w:val="151"/>
    <w:next w:val="151"/>
    <w:qFormat/>
    <w:uiPriority w:val="99"/>
    <w:pPr>
      <w:spacing w:line="313" w:lineRule="atLeast"/>
    </w:pPr>
    <w:rPr>
      <w:rFonts w:hAnsi="Calibri"/>
      <w:color w:val="auto"/>
      <w:sz w:val="22"/>
      <w:szCs w:val="22"/>
    </w:rPr>
  </w:style>
  <w:style w:type="paragraph" w:customStyle="1" w:styleId="879">
    <w:name w:val="CM126"/>
    <w:basedOn w:val="151"/>
    <w:next w:val="151"/>
    <w:qFormat/>
    <w:uiPriority w:val="99"/>
    <w:rPr>
      <w:rFonts w:hAnsi="Calibri"/>
      <w:color w:val="auto"/>
      <w:sz w:val="22"/>
      <w:szCs w:val="22"/>
    </w:rPr>
  </w:style>
  <w:style w:type="paragraph" w:customStyle="1" w:styleId="880">
    <w:name w:val="Char13"/>
    <w:basedOn w:val="1"/>
    <w:qFormat/>
    <w:uiPriority w:val="0"/>
    <w:rPr>
      <w:szCs w:val="24"/>
    </w:rPr>
  </w:style>
  <w:style w:type="paragraph" w:customStyle="1" w:styleId="88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2">
    <w:name w:val="正文五号"/>
    <w:basedOn w:val="1"/>
    <w:qFormat/>
    <w:uiPriority w:val="0"/>
    <w:rPr>
      <w:rFonts w:hint="eastAsia" w:ascii="宋体" w:eastAsia="仿宋_GB2312"/>
      <w:szCs w:val="20"/>
    </w:rPr>
  </w:style>
  <w:style w:type="paragraph" w:customStyle="1" w:styleId="883">
    <w:name w:val="样式 标题 2 + 左侧:  0 厘米 首行缩进:  0 厘米"/>
    <w:basedOn w:val="4"/>
    <w:qFormat/>
    <w:uiPriority w:val="99"/>
    <w:pPr>
      <w:tabs>
        <w:tab w:val="left" w:pos="600"/>
      </w:tabs>
      <w:adjustRightInd w:val="0"/>
      <w:snapToGrid w:val="0"/>
      <w:spacing w:beforeLines="50" w:after="160" w:line="240" w:lineRule="auto"/>
      <w:ind w:left="707" w:hanging="707"/>
      <w:jc w:val="left"/>
      <w:textAlignment w:val="baseline"/>
    </w:pPr>
    <w:rPr>
      <w:rFonts w:ascii="宋体" w:hAnsi="宋体" w:eastAsia="黑体"/>
      <w:spacing w:val="4"/>
      <w:sz w:val="28"/>
      <w:szCs w:val="28"/>
      <w:lang w:val="zh-CN"/>
    </w:rPr>
  </w:style>
  <w:style w:type="paragraph" w:customStyle="1" w:styleId="884">
    <w:name w:val="样式 样式 样式 标题 3 + 首行缩进:  2 字符 + 首行缩进:  2 字符 + 首行缩进:  2 字符 Char"/>
    <w:basedOn w:val="1"/>
    <w:qFormat/>
    <w:uiPriority w:val="99"/>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hAnsi="宋体" w:eastAsia="黑体" w:cs="黑体"/>
      <w:kern w:val="0"/>
      <w:sz w:val="24"/>
      <w:szCs w:val="24"/>
    </w:rPr>
  </w:style>
  <w:style w:type="paragraph" w:customStyle="1" w:styleId="885">
    <w:name w:val="xl12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86">
    <w:name w:val="Char Char Char Char Char Char Char Char Char Char Char Char Char Char Char Char"/>
    <w:basedOn w:val="1"/>
    <w:qFormat/>
    <w:uiPriority w:val="99"/>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887">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88">
    <w:name w:val="font10"/>
    <w:basedOn w:val="1"/>
    <w:qFormat/>
    <w:uiPriority w:val="99"/>
    <w:pPr>
      <w:widowControl/>
      <w:spacing w:before="100" w:beforeAutospacing="1" w:after="100" w:afterAutospacing="1"/>
      <w:jc w:val="left"/>
    </w:pPr>
    <w:rPr>
      <w:rFonts w:hint="eastAsia" w:ascii="宋体" w:hAnsi="宋体" w:cs="Arial Unicode MS"/>
      <w:b/>
      <w:bCs/>
      <w:color w:val="000000"/>
      <w:kern w:val="0"/>
      <w:sz w:val="20"/>
      <w:szCs w:val="20"/>
    </w:rPr>
  </w:style>
  <w:style w:type="paragraph" w:customStyle="1" w:styleId="889">
    <w:name w:val="xl1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90">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1">
    <w:name w:val="样式1-正文-缩进"/>
    <w:basedOn w:val="1"/>
    <w:qFormat/>
    <w:uiPriority w:val="99"/>
    <w:pPr>
      <w:spacing w:line="360" w:lineRule="auto"/>
      <w:ind w:firstLine="480" w:firstLineChars="200"/>
    </w:pPr>
    <w:rPr>
      <w:rFonts w:ascii="Calibri" w:hAnsi="Calibri"/>
      <w:sz w:val="24"/>
      <w:szCs w:val="24"/>
    </w:rPr>
  </w:style>
  <w:style w:type="paragraph" w:customStyle="1" w:styleId="892">
    <w:name w:val="Char Char Char Char1 Char Char Char"/>
    <w:basedOn w:val="1"/>
    <w:qFormat/>
    <w:uiPriority w:val="99"/>
    <w:pPr>
      <w:spacing w:line="240" w:lineRule="atLeast"/>
      <w:ind w:left="420" w:firstLine="420"/>
    </w:pPr>
    <w:rPr>
      <w:rFonts w:ascii="Calibri" w:hAnsi="Calibri"/>
      <w:kern w:val="0"/>
      <w:szCs w:val="21"/>
    </w:rPr>
  </w:style>
  <w:style w:type="paragraph" w:customStyle="1" w:styleId="893">
    <w:name w:val="standdate"/>
    <w:basedOn w:val="38"/>
    <w:qFormat/>
    <w:uiPriority w:val="99"/>
    <w:pPr>
      <w:autoSpaceDE w:val="0"/>
      <w:autoSpaceDN w:val="0"/>
      <w:adjustRightInd w:val="0"/>
      <w:snapToGrid/>
      <w:textAlignment w:val="baseline"/>
    </w:pPr>
    <w:rPr>
      <w:rFonts w:ascii="Calibri" w:hAnsi="Calibri"/>
      <w:kern w:val="0"/>
    </w:rPr>
  </w:style>
  <w:style w:type="paragraph" w:customStyle="1" w:styleId="894">
    <w:name w:val="正文1"/>
    <w:basedOn w:val="1"/>
    <w:qFormat/>
    <w:uiPriority w:val="99"/>
    <w:pPr>
      <w:spacing w:line="360" w:lineRule="auto"/>
      <w:ind w:firstLine="200"/>
      <w:jc w:val="left"/>
    </w:pPr>
    <w:rPr>
      <w:rFonts w:eastAsia="Times New Roman" w:cs="宋体"/>
      <w:kern w:val="0"/>
      <w:sz w:val="28"/>
      <w:szCs w:val="20"/>
      <w:lang w:eastAsia="en-US"/>
    </w:rPr>
  </w:style>
  <w:style w:type="paragraph" w:customStyle="1" w:styleId="895">
    <w:name w:val="xl12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96">
    <w:name w:val="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7">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898">
    <w:name w:val="CM23"/>
    <w:basedOn w:val="151"/>
    <w:next w:val="151"/>
    <w:qFormat/>
    <w:uiPriority w:val="99"/>
    <w:pPr>
      <w:spacing w:line="400" w:lineRule="atLeast"/>
    </w:pPr>
    <w:rPr>
      <w:rFonts w:hAnsi="Calibri"/>
      <w:color w:val="auto"/>
      <w:sz w:val="22"/>
      <w:szCs w:val="22"/>
    </w:rPr>
  </w:style>
  <w:style w:type="paragraph" w:customStyle="1" w:styleId="899">
    <w:name w:val="Char Char Char Char Char Char Char Char Char Char Char Char Char Char Char Char Char Char Char1"/>
    <w:basedOn w:val="1"/>
    <w:qFormat/>
    <w:uiPriority w:val="99"/>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900">
    <w:name w:val="font12"/>
    <w:basedOn w:val="1"/>
    <w:qFormat/>
    <w:uiPriority w:val="99"/>
    <w:pPr>
      <w:widowControl/>
      <w:spacing w:before="100" w:beforeAutospacing="1" w:after="100" w:afterAutospacing="1"/>
      <w:jc w:val="left"/>
    </w:pPr>
    <w:rPr>
      <w:rFonts w:eastAsia="Arial Unicode MS"/>
      <w:kern w:val="0"/>
      <w:sz w:val="22"/>
    </w:rPr>
  </w:style>
  <w:style w:type="paragraph" w:customStyle="1" w:styleId="901">
    <w:name w:val="pa-15"/>
    <w:basedOn w:val="1"/>
    <w:qFormat/>
    <w:uiPriority w:val="0"/>
    <w:pPr>
      <w:widowControl/>
      <w:spacing w:line="320" w:lineRule="atLeast"/>
    </w:pPr>
    <w:rPr>
      <w:rFonts w:ascii="宋体" w:hAnsi="宋体" w:cs="宋体"/>
      <w:kern w:val="0"/>
      <w:sz w:val="24"/>
      <w:szCs w:val="24"/>
    </w:rPr>
  </w:style>
  <w:style w:type="paragraph" w:customStyle="1" w:styleId="902">
    <w:name w:val="表格1"/>
    <w:basedOn w:val="1"/>
    <w:next w:val="1"/>
    <w:qFormat/>
    <w:uiPriority w:val="99"/>
    <w:pPr>
      <w:spacing w:line="300" w:lineRule="auto"/>
      <w:jc w:val="center"/>
    </w:pPr>
    <w:rPr>
      <w:rFonts w:ascii="宋体"/>
      <w:szCs w:val="20"/>
    </w:rPr>
  </w:style>
  <w:style w:type="paragraph" w:customStyle="1" w:styleId="903">
    <w:name w:val="Char"/>
    <w:basedOn w:val="1"/>
    <w:qFormat/>
    <w:uiPriority w:val="0"/>
    <w:pPr>
      <w:tabs>
        <w:tab w:val="left" w:pos="360"/>
      </w:tabs>
    </w:pPr>
    <w:rPr>
      <w:sz w:val="24"/>
      <w:szCs w:val="24"/>
    </w:rPr>
  </w:style>
  <w:style w:type="paragraph" w:customStyle="1" w:styleId="904">
    <w:name w:val="xl13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05">
    <w:name w:val="正文首行缩进3"/>
    <w:basedOn w:val="1"/>
    <w:qFormat/>
    <w:uiPriority w:val="99"/>
    <w:pPr>
      <w:widowControl/>
      <w:tabs>
        <w:tab w:val="left" w:pos="425"/>
      </w:tabs>
      <w:spacing w:after="200" w:line="360" w:lineRule="auto"/>
      <w:ind w:left="425" w:hanging="425" w:firstLineChars="200"/>
      <w:jc w:val="left"/>
      <w:textAlignment w:val="bottom"/>
    </w:pPr>
    <w:rPr>
      <w:rFonts w:ascii="宋体" w:hAnsi="宋体"/>
      <w:color w:val="000000"/>
      <w:kern w:val="0"/>
      <w:sz w:val="24"/>
      <w:lang w:eastAsia="en-US"/>
    </w:rPr>
  </w:style>
  <w:style w:type="paragraph" w:customStyle="1" w:styleId="906">
    <w:name w:val="xl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color w:val="FF0000"/>
      <w:kern w:val="0"/>
      <w:sz w:val="22"/>
      <w:lang w:eastAsia="en-US"/>
    </w:rPr>
  </w:style>
  <w:style w:type="paragraph" w:customStyle="1" w:styleId="907">
    <w:name w:val="修订2"/>
    <w:qFormat/>
    <w:uiPriority w:val="0"/>
    <w:rPr>
      <w:rFonts w:ascii="Times New Roman" w:hAnsi="Times New Roman" w:eastAsia="宋体" w:cs="Times New Roman"/>
      <w:kern w:val="2"/>
      <w:sz w:val="21"/>
      <w:szCs w:val="24"/>
      <w:lang w:val="en-US" w:eastAsia="zh-CN" w:bidi="ar-SA"/>
    </w:rPr>
  </w:style>
  <w:style w:type="paragraph" w:customStyle="1" w:styleId="908">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09">
    <w:name w:val="修订4"/>
    <w:qFormat/>
    <w:uiPriority w:val="99"/>
    <w:rPr>
      <w:rFonts w:ascii="Calibri" w:hAnsi="Calibri" w:eastAsia="宋体" w:cs="Times New Roman"/>
      <w:sz w:val="24"/>
      <w:szCs w:val="24"/>
      <w:lang w:val="en-US" w:eastAsia="zh-CN" w:bidi="ar-SA"/>
    </w:rPr>
  </w:style>
  <w:style w:type="paragraph" w:customStyle="1" w:styleId="910">
    <w:name w:val="表文"/>
    <w:basedOn w:val="1"/>
    <w:qFormat/>
    <w:uiPriority w:val="99"/>
    <w:pPr>
      <w:topLinePunct/>
      <w:spacing w:before="40" w:after="40"/>
    </w:pPr>
    <w:rPr>
      <w:rFonts w:ascii="仿宋_GB2312" w:hAnsi="仿宋_GB2312" w:eastAsia="仿宋_GB2312"/>
      <w:sz w:val="18"/>
      <w:szCs w:val="20"/>
    </w:rPr>
  </w:style>
  <w:style w:type="paragraph" w:customStyle="1" w:styleId="911">
    <w:name w:val="p15"/>
    <w:basedOn w:val="1"/>
    <w:qFormat/>
    <w:uiPriority w:val="0"/>
    <w:pPr>
      <w:widowControl/>
      <w:spacing w:line="480" w:lineRule="auto"/>
      <w:ind w:firstLine="420"/>
      <w:jc w:val="left"/>
    </w:pPr>
    <w:rPr>
      <w:rFonts w:ascii="宋体" w:hAnsi="宋体" w:cs="宋体"/>
      <w:kern w:val="0"/>
      <w:szCs w:val="21"/>
    </w:rPr>
  </w:style>
  <w:style w:type="paragraph" w:customStyle="1" w:styleId="912">
    <w:name w:val="font15"/>
    <w:basedOn w:val="1"/>
    <w:qFormat/>
    <w:uiPriority w:val="99"/>
    <w:pPr>
      <w:widowControl/>
      <w:spacing w:before="100" w:beforeAutospacing="1" w:after="100" w:afterAutospacing="1"/>
      <w:jc w:val="left"/>
    </w:pPr>
    <w:rPr>
      <w:rFonts w:ascii="Calibri" w:hAnsi="Calibri"/>
      <w:color w:val="FF0000"/>
      <w:kern w:val="0"/>
      <w:sz w:val="20"/>
      <w:szCs w:val="20"/>
    </w:rPr>
  </w:style>
  <w:style w:type="paragraph" w:customStyle="1" w:styleId="913">
    <w:name w:val="报告-正文"/>
    <w:qFormat/>
    <w:uiPriority w:val="0"/>
    <w:pPr>
      <w:widowControl w:val="0"/>
      <w:spacing w:line="360" w:lineRule="auto"/>
      <w:ind w:firstLine="200" w:firstLineChars="200"/>
    </w:pPr>
    <w:rPr>
      <w:rFonts w:ascii="Times New Roman" w:hAnsi="Times New Roman" w:eastAsia="仿宋_GB2312" w:cs="黑体"/>
      <w:kern w:val="2"/>
      <w:sz w:val="28"/>
      <w:szCs w:val="22"/>
      <w:lang w:val="en-US" w:eastAsia="zh-CN" w:bidi="ar-SA"/>
    </w:rPr>
  </w:style>
  <w:style w:type="paragraph" w:customStyle="1" w:styleId="914">
    <w:name w:val="xl34"/>
    <w:basedOn w:val="1"/>
    <w:qFormat/>
    <w:uiPriority w:val="99"/>
    <w:pPr>
      <w:widowControl/>
      <w:pBdr>
        <w:top w:val="single" w:color="auto" w:sz="4" w:space="0"/>
        <w:left w:val="single" w:color="auto" w:sz="4" w:space="0"/>
        <w:right w:val="single" w:color="auto" w:sz="4" w:space="0"/>
      </w:pBdr>
      <w:spacing w:before="100" w:beforeAutospacing="1" w:after="100" w:afterAutospacing="1" w:line="276" w:lineRule="auto"/>
      <w:ind w:firstLine="200" w:firstLineChars="200"/>
      <w:jc w:val="left"/>
    </w:pPr>
    <w:rPr>
      <w:rFonts w:ascii="宋体" w:hAnsi="宋体"/>
      <w:kern w:val="0"/>
      <w:sz w:val="22"/>
      <w:lang w:eastAsia="en-US"/>
    </w:rPr>
  </w:style>
  <w:style w:type="paragraph" w:customStyle="1" w:styleId="915">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6">
    <w:name w:val="TOC 标题1"/>
    <w:basedOn w:val="3"/>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917">
    <w:name w:val="font1"/>
    <w:basedOn w:val="1"/>
    <w:qFormat/>
    <w:uiPriority w:val="99"/>
    <w:pPr>
      <w:widowControl/>
      <w:spacing w:before="100" w:beforeAutospacing="1" w:after="100" w:afterAutospacing="1" w:line="276" w:lineRule="auto"/>
      <w:ind w:firstLine="200" w:firstLineChars="200"/>
      <w:jc w:val="left"/>
    </w:pPr>
    <w:rPr>
      <w:rFonts w:ascii="宋体" w:hAnsi="宋体"/>
      <w:b/>
      <w:bCs/>
      <w:kern w:val="0"/>
      <w:sz w:val="24"/>
      <w:lang w:eastAsia="en-US"/>
    </w:rPr>
  </w:style>
  <w:style w:type="paragraph" w:customStyle="1" w:styleId="918">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919">
    <w:name w:val="xl87"/>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76" w:lineRule="auto"/>
      <w:ind w:firstLine="200" w:firstLineChars="200"/>
      <w:jc w:val="center"/>
    </w:pPr>
    <w:rPr>
      <w:rFonts w:ascii="宋体" w:hAnsi="宋体"/>
      <w:b/>
      <w:bCs/>
      <w:kern w:val="0"/>
      <w:sz w:val="22"/>
      <w:lang w:eastAsia="en-US"/>
    </w:rPr>
  </w:style>
  <w:style w:type="paragraph" w:customStyle="1" w:styleId="920">
    <w:name w:val="font11"/>
    <w:basedOn w:val="1"/>
    <w:qFormat/>
    <w:uiPriority w:val="99"/>
    <w:pPr>
      <w:widowControl/>
      <w:spacing w:before="100" w:beforeAutospacing="1" w:after="100" w:afterAutospacing="1"/>
      <w:jc w:val="left"/>
    </w:pPr>
    <w:rPr>
      <w:rFonts w:eastAsia="Arial Unicode MS"/>
      <w:kern w:val="0"/>
      <w:sz w:val="18"/>
      <w:szCs w:val="18"/>
    </w:rPr>
  </w:style>
  <w:style w:type="paragraph" w:customStyle="1" w:styleId="921">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2">
    <w:name w:val="Char Char2 Char Char Char Char Char Char Char Char Char Char Char Char Char"/>
    <w:basedOn w:val="1"/>
    <w:qFormat/>
    <w:uiPriority w:val="99"/>
    <w:pPr>
      <w:ind w:firstLine="360" w:firstLineChars="150"/>
    </w:pPr>
    <w:rPr>
      <w:rFonts w:ascii="Tahoma" w:hAnsi="Tahoma" w:cs="Tahoma"/>
      <w:sz w:val="24"/>
      <w:szCs w:val="24"/>
    </w:rPr>
  </w:style>
  <w:style w:type="paragraph" w:customStyle="1" w:styleId="923">
    <w:name w:val="Char Char Char Char Char Char Char Char Char Char Char Char Char Char Char Char Char Char Char Char Char Char6"/>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24">
    <w:name w:val="Normal_3"/>
    <w:qFormat/>
    <w:uiPriority w:val="0"/>
    <w:pPr>
      <w:widowControl w:val="0"/>
      <w:jc w:val="both"/>
    </w:pPr>
    <w:rPr>
      <w:rFonts w:ascii="Calibri" w:hAnsi="Calibri" w:eastAsia="宋体" w:cs="Times New Roman"/>
      <w:lang w:val="en-US" w:eastAsia="zh-CN" w:bidi="ar-SA"/>
    </w:rPr>
  </w:style>
  <w:style w:type="paragraph" w:customStyle="1" w:styleId="925">
    <w:name w:val="opening2"/>
    <w:basedOn w:val="1"/>
    <w:qFormat/>
    <w:uiPriority w:val="99"/>
    <w:pPr>
      <w:widowControl/>
      <w:spacing w:before="100" w:beforeAutospacing="1" w:after="100" w:afterAutospacing="1"/>
      <w:jc w:val="left"/>
    </w:pPr>
    <w:rPr>
      <w:rFonts w:ascii="宋体" w:hAnsi="宋体" w:cs="宋体"/>
      <w:color w:val="000000"/>
      <w:kern w:val="0"/>
      <w:sz w:val="23"/>
      <w:szCs w:val="23"/>
    </w:rPr>
  </w:style>
  <w:style w:type="paragraph" w:customStyle="1" w:styleId="92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27">
    <w:name w:val="Char Char Char Char Char Char Char Char Char Char Char Char Char Char Char Char Char Char Char Char Char Char Char Char Char Char Char Char Char Char Char Char Char Char"/>
    <w:basedOn w:val="1"/>
    <w:qFormat/>
    <w:uiPriority w:val="99"/>
    <w:pPr>
      <w:spacing w:line="360" w:lineRule="auto"/>
      <w:ind w:firstLine="200" w:firstLineChars="200"/>
    </w:pPr>
    <w:rPr>
      <w:rFonts w:ascii="Calibri" w:hAnsi="Calibri"/>
      <w:szCs w:val="24"/>
    </w:rPr>
  </w:style>
  <w:style w:type="paragraph" w:customStyle="1" w:styleId="928">
    <w:name w:val="论文正文"/>
    <w:basedOn w:val="15"/>
    <w:qFormat/>
    <w:uiPriority w:val="0"/>
    <w:pPr>
      <w:adjustRightInd w:val="0"/>
      <w:snapToGrid w:val="0"/>
      <w:spacing w:line="300" w:lineRule="auto"/>
      <w:ind w:firstLine="480"/>
    </w:pPr>
    <w:rPr>
      <w:bCs/>
      <w:sz w:val="24"/>
    </w:rPr>
  </w:style>
  <w:style w:type="paragraph" w:customStyle="1" w:styleId="929">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30">
    <w:name w:val="p2"/>
    <w:basedOn w:val="1"/>
    <w:qFormat/>
    <w:uiPriority w:val="99"/>
    <w:pPr>
      <w:widowControl/>
      <w:spacing w:line="480" w:lineRule="auto"/>
      <w:ind w:firstLine="420"/>
      <w:jc w:val="left"/>
    </w:pPr>
    <w:rPr>
      <w:rFonts w:ascii="宋体" w:hAnsi="宋体" w:cs="宋体"/>
      <w:kern w:val="0"/>
      <w:szCs w:val="21"/>
    </w:rPr>
  </w:style>
  <w:style w:type="paragraph" w:customStyle="1" w:styleId="931">
    <w:name w:val="xl1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18"/>
      <w:szCs w:val="18"/>
    </w:rPr>
  </w:style>
  <w:style w:type="paragraph" w:customStyle="1" w:styleId="932">
    <w:name w:val="Char Char Char Char Char Char Char Char Char Char Char Char Char Char Char Char Char Char"/>
    <w:basedOn w:val="1"/>
    <w:qFormat/>
    <w:uiPriority w:val="99"/>
    <w:pPr>
      <w:widowControl/>
      <w:spacing w:after="160" w:line="240" w:lineRule="exact"/>
      <w:ind w:firstLine="200" w:firstLineChars="200"/>
      <w:jc w:val="left"/>
    </w:pPr>
    <w:rPr>
      <w:rFonts w:ascii="Verdana" w:hAnsi="Verdana" w:eastAsia="仿宋_GB2312" w:cs="Verdana"/>
      <w:kern w:val="0"/>
      <w:sz w:val="24"/>
      <w:lang w:eastAsia="en-US"/>
    </w:rPr>
  </w:style>
  <w:style w:type="paragraph" w:customStyle="1" w:styleId="933">
    <w:name w:val="Normal1"/>
    <w:next w:val="1"/>
    <w:qFormat/>
    <w:uiPriority w:val="99"/>
    <w:pPr>
      <w:overflowPunct w:val="0"/>
      <w:autoSpaceDE w:val="0"/>
      <w:autoSpaceDN w:val="0"/>
      <w:adjustRightInd w:val="0"/>
      <w:spacing w:after="200" w:line="276" w:lineRule="auto"/>
      <w:ind w:firstLine="200" w:firstLineChars="200"/>
      <w:jc w:val="both"/>
      <w:textAlignment w:val="baseline"/>
    </w:pPr>
    <w:rPr>
      <w:rFonts w:ascii="Times" w:hAnsi="Times" w:eastAsia="宋体" w:cs="Times New Roman"/>
      <w:sz w:val="24"/>
      <w:szCs w:val="22"/>
      <w:lang w:val="fr-FR" w:eastAsia="en-US" w:bidi="ar-SA"/>
    </w:rPr>
  </w:style>
  <w:style w:type="paragraph" w:customStyle="1" w:styleId="934">
    <w:name w:val="页眉1"/>
    <w:basedOn w:val="924"/>
    <w:unhideWhenUsed/>
    <w:qFormat/>
    <w:uiPriority w:val="99"/>
    <w:pPr>
      <w:pBdr>
        <w:bottom w:val="single" w:color="auto" w:sz="6" w:space="1"/>
      </w:pBdr>
      <w:tabs>
        <w:tab w:val="center" w:pos="4153"/>
        <w:tab w:val="right" w:pos="8306"/>
      </w:tabs>
      <w:snapToGrid w:val="0"/>
      <w:jc w:val="center"/>
    </w:pPr>
    <w:rPr>
      <w:kern w:val="2"/>
      <w:sz w:val="18"/>
      <w:szCs w:val="18"/>
    </w:rPr>
  </w:style>
  <w:style w:type="paragraph" w:customStyle="1" w:styleId="935">
    <w:name w:val="CM31"/>
    <w:basedOn w:val="151"/>
    <w:next w:val="151"/>
    <w:qFormat/>
    <w:uiPriority w:val="99"/>
    <w:rPr>
      <w:rFonts w:hAnsi="Calibri"/>
      <w:color w:val="auto"/>
      <w:sz w:val="22"/>
      <w:szCs w:val="22"/>
    </w:rPr>
  </w:style>
  <w:style w:type="paragraph" w:customStyle="1" w:styleId="936">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37">
    <w:name w:val="CM107"/>
    <w:basedOn w:val="151"/>
    <w:next w:val="151"/>
    <w:qFormat/>
    <w:uiPriority w:val="99"/>
    <w:rPr>
      <w:rFonts w:hAnsi="Calibri"/>
      <w:color w:val="auto"/>
      <w:sz w:val="22"/>
      <w:szCs w:val="22"/>
    </w:rPr>
  </w:style>
  <w:style w:type="paragraph" w:customStyle="1" w:styleId="938">
    <w:name w:val="font9"/>
    <w:basedOn w:val="1"/>
    <w:qFormat/>
    <w:uiPriority w:val="99"/>
    <w:pPr>
      <w:widowControl/>
      <w:spacing w:before="100" w:beforeAutospacing="1" w:after="100" w:afterAutospacing="1"/>
      <w:jc w:val="left"/>
    </w:pPr>
    <w:rPr>
      <w:rFonts w:hint="eastAsia" w:ascii="宋体" w:hAnsi="宋体" w:cs="Arial Unicode MS"/>
      <w:b/>
      <w:bCs/>
      <w:color w:val="000000"/>
      <w:kern w:val="0"/>
      <w:sz w:val="22"/>
    </w:rPr>
  </w:style>
  <w:style w:type="paragraph" w:customStyle="1" w:styleId="939">
    <w:name w:val="Char2 Char Char Char Char Char Char"/>
    <w:basedOn w:val="18"/>
    <w:qFormat/>
    <w:uiPriority w:val="0"/>
    <w:pPr>
      <w:widowControl w:val="0"/>
      <w:shd w:val="clear" w:color="auto" w:fill="000080"/>
      <w:jc w:val="both"/>
    </w:pPr>
    <w:rPr>
      <w:rFonts w:ascii="Calibri" w:hAnsi="Calibri"/>
      <w:sz w:val="21"/>
      <w:szCs w:val="24"/>
    </w:rPr>
  </w:style>
  <w:style w:type="paragraph" w:customStyle="1" w:styleId="940">
    <w:name w:val="Char Char Char Char Char Char Char Char Char Char Char Char Char Char Char Char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41">
    <w:name w:val="xl13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42">
    <w:name w:val="Char31"/>
    <w:basedOn w:val="1"/>
    <w:qFormat/>
    <w:uiPriority w:val="99"/>
    <w:pPr>
      <w:widowControl/>
      <w:spacing w:after="160" w:line="240" w:lineRule="exact"/>
      <w:jc w:val="left"/>
    </w:pPr>
    <w:rPr>
      <w:rFonts w:ascii="Calibri" w:hAnsi="Calibri"/>
      <w:kern w:val="0"/>
      <w:sz w:val="20"/>
      <w:szCs w:val="20"/>
    </w:rPr>
  </w:style>
  <w:style w:type="paragraph" w:customStyle="1" w:styleId="943">
    <w:name w:val="副标题 New New New"/>
    <w:basedOn w:val="921"/>
    <w:next w:val="921"/>
    <w:qFormat/>
    <w:uiPriority w:val="0"/>
    <w:pPr>
      <w:tabs>
        <w:tab w:val="left" w:pos="779"/>
      </w:tabs>
      <w:ind w:left="779" w:hanging="420"/>
      <w:jc w:val="left"/>
      <w:outlineLvl w:val="1"/>
    </w:pPr>
    <w:rPr>
      <w:rFonts w:ascii="Century Gothic" w:hAnsi="Century Gothic"/>
      <w:bCs/>
      <w:kern w:val="28"/>
      <w:szCs w:val="32"/>
    </w:rPr>
  </w:style>
  <w:style w:type="paragraph" w:customStyle="1" w:styleId="944">
    <w:name w:val="样式 首行缩进:  2 字符2"/>
    <w:basedOn w:val="1"/>
    <w:qFormat/>
    <w:uiPriority w:val="99"/>
    <w:pPr>
      <w:spacing w:line="300" w:lineRule="auto"/>
      <w:ind w:firstLine="200" w:firstLineChars="200"/>
    </w:pPr>
    <w:rPr>
      <w:rFonts w:ascii="Calibri" w:hAnsi="Calibri" w:cs="宋体"/>
      <w:kern w:val="28"/>
      <w:sz w:val="24"/>
      <w:szCs w:val="24"/>
    </w:rPr>
  </w:style>
  <w:style w:type="paragraph" w:customStyle="1" w:styleId="945">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46">
    <w:name w:val="xl79"/>
    <w:basedOn w:val="1"/>
    <w:qFormat/>
    <w:uiPriority w:val="99"/>
    <w:pPr>
      <w:widowControl/>
      <w:spacing w:before="100" w:beforeAutospacing="1" w:after="100" w:afterAutospacing="1" w:line="276" w:lineRule="auto"/>
      <w:ind w:firstLine="200" w:firstLineChars="200"/>
      <w:jc w:val="left"/>
    </w:pPr>
    <w:rPr>
      <w:rFonts w:ascii="宋体" w:hAnsi="宋体"/>
      <w:kern w:val="0"/>
      <w:sz w:val="18"/>
      <w:szCs w:val="18"/>
      <w:lang w:eastAsia="en-US"/>
    </w:rPr>
  </w:style>
  <w:style w:type="paragraph" w:customStyle="1" w:styleId="94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8">
    <w:name w:val="项目符号2"/>
    <w:basedOn w:val="1"/>
    <w:qFormat/>
    <w:uiPriority w:val="99"/>
    <w:pPr>
      <w:widowControl/>
      <w:tabs>
        <w:tab w:val="left" w:pos="900"/>
        <w:tab w:val="left" w:pos="1405"/>
      </w:tabs>
      <w:overflowPunct w:val="0"/>
      <w:snapToGrid w:val="0"/>
      <w:spacing w:after="200" w:line="480" w:lineRule="exact"/>
      <w:ind w:left="1405" w:hanging="425" w:firstLineChars="200"/>
      <w:jc w:val="left"/>
    </w:pPr>
    <w:rPr>
      <w:rFonts w:ascii="Arial" w:hAnsi="Arial" w:eastAsia="仿宋_GB2312"/>
      <w:kern w:val="0"/>
      <w:sz w:val="28"/>
      <w:szCs w:val="20"/>
      <w:lang w:eastAsia="en-US"/>
    </w:rPr>
  </w:style>
  <w:style w:type="paragraph" w:customStyle="1" w:styleId="949">
    <w:name w:val="xl13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50">
    <w:name w:val="3"/>
    <w:basedOn w:val="1"/>
    <w:next w:val="24"/>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customStyle="1" w:styleId="951">
    <w:name w:val="xl75"/>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kern w:val="0"/>
      <w:sz w:val="22"/>
      <w:lang w:eastAsia="en-US"/>
    </w:rPr>
  </w:style>
  <w:style w:type="paragraph" w:customStyle="1" w:styleId="952">
    <w:name w:val="xl86"/>
    <w:basedOn w:val="1"/>
    <w:qFormat/>
    <w:uiPriority w:val="99"/>
    <w:pPr>
      <w:widowControl/>
      <w:pBdr>
        <w:top w:val="single" w:color="auto" w:sz="4" w:space="0"/>
        <w:left w:val="single" w:color="auto" w:sz="4" w:space="0"/>
        <w:bottom w:val="single" w:color="auto" w:sz="8" w:space="0"/>
        <w:right w:val="single" w:color="auto" w:sz="8" w:space="0"/>
      </w:pBdr>
      <w:spacing w:before="100" w:beforeAutospacing="1" w:after="100" w:afterAutospacing="1" w:line="276" w:lineRule="auto"/>
      <w:ind w:firstLine="200" w:firstLineChars="200"/>
      <w:jc w:val="left"/>
    </w:pPr>
    <w:rPr>
      <w:rFonts w:ascii="宋体" w:hAnsi="宋体"/>
      <w:kern w:val="0"/>
      <w:sz w:val="22"/>
      <w:lang w:eastAsia="en-US"/>
    </w:rPr>
  </w:style>
  <w:style w:type="paragraph" w:customStyle="1" w:styleId="95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4">
    <w:name w:val="xl76"/>
    <w:basedOn w:val="1"/>
    <w:qFormat/>
    <w:uiPriority w:val="99"/>
    <w:pPr>
      <w:widowControl/>
      <w:spacing w:before="100" w:beforeAutospacing="1" w:after="100" w:afterAutospacing="1" w:line="276" w:lineRule="auto"/>
      <w:ind w:firstLine="200" w:firstLineChars="200"/>
      <w:jc w:val="left"/>
    </w:pPr>
    <w:rPr>
      <w:rFonts w:ascii="Calibri" w:hAnsi="Calibri"/>
      <w:kern w:val="0"/>
      <w:sz w:val="18"/>
      <w:szCs w:val="18"/>
      <w:lang w:eastAsia="en-US"/>
    </w:rPr>
  </w:style>
  <w:style w:type="paragraph" w:customStyle="1" w:styleId="955">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6">
    <w:name w:val="xl136"/>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957">
    <w:name w:val="msochpdefault"/>
    <w:basedOn w:val="1"/>
    <w:qFormat/>
    <w:uiPriority w:val="99"/>
    <w:pPr>
      <w:widowControl/>
      <w:spacing w:before="100" w:beforeAutospacing="1" w:after="100" w:afterAutospacing="1"/>
      <w:jc w:val="left"/>
    </w:pPr>
    <w:rPr>
      <w:rFonts w:ascii="Calibri" w:hAnsi="Calibri" w:cs="宋体"/>
      <w:kern w:val="0"/>
      <w:sz w:val="24"/>
      <w:szCs w:val="24"/>
    </w:rPr>
  </w:style>
  <w:style w:type="paragraph" w:customStyle="1" w:styleId="958">
    <w:name w:val="xl43"/>
    <w:basedOn w:val="1"/>
    <w:qFormat/>
    <w:uiPriority w:val="99"/>
    <w:pPr>
      <w:widowControl/>
      <w:pBdr>
        <w:top w:val="single" w:color="auto" w:sz="4" w:space="0"/>
        <w:left w:val="single" w:color="auto" w:sz="4" w:space="0"/>
        <w:bottom w:val="single" w:color="auto" w:sz="4" w:space="0"/>
      </w:pBdr>
      <w:spacing w:before="100" w:beforeAutospacing="1" w:after="100" w:afterAutospacing="1" w:line="276" w:lineRule="auto"/>
      <w:ind w:firstLine="200" w:firstLineChars="200"/>
      <w:jc w:val="right"/>
    </w:pPr>
    <w:rPr>
      <w:rFonts w:ascii="宋体" w:hAnsi="宋体"/>
      <w:b/>
      <w:bCs/>
      <w:kern w:val="0"/>
      <w:sz w:val="22"/>
      <w:lang w:eastAsia="en-US"/>
    </w:rPr>
  </w:style>
  <w:style w:type="paragraph" w:customStyle="1" w:styleId="959">
    <w:name w:val="第三行"/>
    <w:basedOn w:val="1"/>
    <w:qFormat/>
    <w:uiPriority w:val="99"/>
    <w:pPr>
      <w:spacing w:beforeLines="200" w:line="360" w:lineRule="auto"/>
      <w:jc w:val="center"/>
    </w:pPr>
    <w:rPr>
      <w:rFonts w:ascii="楷体_GB2312" w:hAnsi="Calibri" w:eastAsia="楷体_GB2312" w:cs="楷体_GB2312"/>
      <w:b/>
      <w:bCs/>
      <w:sz w:val="48"/>
      <w:szCs w:val="48"/>
    </w:rPr>
  </w:style>
  <w:style w:type="paragraph" w:customStyle="1" w:styleId="960">
    <w:name w:val="List Paragraph_11"/>
    <w:basedOn w:val="1"/>
    <w:qFormat/>
    <w:uiPriority w:val="99"/>
    <w:pPr>
      <w:ind w:firstLine="420"/>
    </w:pPr>
    <w:rPr>
      <w:rFonts w:ascii="宋体"/>
      <w:kern w:val="0"/>
      <w:sz w:val="34"/>
      <w:szCs w:val="20"/>
    </w:rPr>
  </w:style>
  <w:style w:type="paragraph" w:customStyle="1" w:styleId="961">
    <w:name w:val="CM99"/>
    <w:basedOn w:val="151"/>
    <w:next w:val="151"/>
    <w:qFormat/>
    <w:uiPriority w:val="99"/>
    <w:rPr>
      <w:rFonts w:hAnsi="Calibri"/>
      <w:color w:val="auto"/>
      <w:sz w:val="22"/>
      <w:szCs w:val="22"/>
    </w:rPr>
  </w:style>
  <w:style w:type="paragraph" w:customStyle="1" w:styleId="962">
    <w:name w:val="附件正文"/>
    <w:qFormat/>
    <w:uiPriority w:val="0"/>
    <w:pPr>
      <w:snapToGrid w:val="0"/>
      <w:spacing w:line="500" w:lineRule="exact"/>
      <w:ind w:firstLine="540" w:firstLineChars="225"/>
    </w:pPr>
    <w:rPr>
      <w:rFonts w:ascii="Times New Roman" w:hAnsi="Times New Roman" w:eastAsia="宋体" w:cs="Times New Roman"/>
      <w:sz w:val="24"/>
      <w:lang w:val="en-US" w:eastAsia="zh-CN" w:bidi="ar-SA"/>
    </w:rPr>
  </w:style>
  <w:style w:type="paragraph" w:customStyle="1" w:styleId="963">
    <w:name w:val="表格内文字"/>
    <w:basedOn w:val="1"/>
    <w:qFormat/>
    <w:uiPriority w:val="99"/>
    <w:pPr>
      <w:adjustRightInd w:val="0"/>
      <w:snapToGrid w:val="0"/>
      <w:spacing w:line="240" w:lineRule="atLeast"/>
      <w:jc w:val="center"/>
    </w:pPr>
    <w:rPr>
      <w:rFonts w:ascii="Calibri" w:hAnsi="Calibri"/>
      <w:kern w:val="28"/>
      <w:sz w:val="24"/>
      <w:szCs w:val="20"/>
    </w:rPr>
  </w:style>
  <w:style w:type="paragraph" w:customStyle="1" w:styleId="964">
    <w:name w:val="Normal_5"/>
    <w:qFormat/>
    <w:uiPriority w:val="0"/>
    <w:pPr>
      <w:widowControl w:val="0"/>
      <w:jc w:val="both"/>
    </w:pPr>
    <w:rPr>
      <w:rFonts w:ascii="Calibri" w:hAnsi="Calibri" w:eastAsia="宋体" w:cs="Times New Roman"/>
      <w:lang w:val="en-US" w:eastAsia="zh-CN" w:bidi="ar-SA"/>
    </w:rPr>
  </w:style>
  <w:style w:type="paragraph" w:customStyle="1" w:styleId="965">
    <w:name w:val="CM121"/>
    <w:basedOn w:val="151"/>
    <w:next w:val="151"/>
    <w:qFormat/>
    <w:uiPriority w:val="99"/>
    <w:rPr>
      <w:rFonts w:hAnsi="Calibri"/>
      <w:color w:val="auto"/>
      <w:sz w:val="22"/>
      <w:szCs w:val="22"/>
    </w:rPr>
  </w:style>
  <w:style w:type="paragraph" w:customStyle="1" w:styleId="966">
    <w:name w:val="CM37"/>
    <w:basedOn w:val="151"/>
    <w:next w:val="151"/>
    <w:qFormat/>
    <w:uiPriority w:val="99"/>
    <w:rPr>
      <w:rFonts w:hAnsi="Calibri"/>
      <w:color w:val="auto"/>
      <w:sz w:val="22"/>
      <w:szCs w:val="22"/>
    </w:rPr>
  </w:style>
  <w:style w:type="paragraph" w:customStyle="1" w:styleId="967">
    <w:name w:val="Normal_4"/>
    <w:qFormat/>
    <w:uiPriority w:val="0"/>
    <w:pPr>
      <w:widowControl w:val="0"/>
      <w:jc w:val="both"/>
    </w:pPr>
    <w:rPr>
      <w:rFonts w:ascii="等线" w:hAnsi="等线" w:eastAsia="等线" w:cs="Times New Roman"/>
      <w:lang w:val="en-US" w:eastAsia="zh-CN" w:bidi="ar-SA"/>
    </w:rPr>
  </w:style>
  <w:style w:type="paragraph" w:customStyle="1" w:styleId="968">
    <w:name w:val="Char Char Char Char Char Char Char Char Char1 Char"/>
    <w:basedOn w:val="1"/>
    <w:qFormat/>
    <w:uiPriority w:val="99"/>
    <w:rPr>
      <w:rFonts w:ascii="Tahoma" w:hAnsi="Tahoma"/>
      <w:sz w:val="24"/>
      <w:szCs w:val="20"/>
    </w:rPr>
  </w:style>
  <w:style w:type="paragraph" w:customStyle="1" w:styleId="969">
    <w:name w:val="+标题1"/>
    <w:basedOn w:val="3"/>
    <w:qFormat/>
    <w:uiPriority w:val="99"/>
    <w:pPr>
      <w:pageBreakBefore/>
      <w:tabs>
        <w:tab w:val="left" w:pos="432"/>
        <w:tab w:val="left" w:pos="927"/>
      </w:tabs>
      <w:spacing w:beforeLines="100" w:afterLines="100" w:line="360" w:lineRule="auto"/>
      <w:ind w:firstLine="567"/>
    </w:pPr>
    <w:rPr>
      <w:rFonts w:hAnsi="Calibri" w:eastAsia="黑体"/>
      <w:kern w:val="32"/>
      <w:sz w:val="32"/>
      <w:szCs w:val="32"/>
      <w:lang w:val="zh-CN"/>
    </w:rPr>
  </w:style>
  <w:style w:type="paragraph" w:customStyle="1" w:styleId="970">
    <w:name w:val="xl40"/>
    <w:basedOn w:val="1"/>
    <w:qFormat/>
    <w:uiPriority w:val="99"/>
    <w:pPr>
      <w:widowControl/>
      <w:pBdr>
        <w:left w:val="single" w:color="auto" w:sz="8"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kern w:val="0"/>
      <w:sz w:val="22"/>
      <w:lang w:eastAsia="en-US"/>
    </w:rPr>
  </w:style>
  <w:style w:type="paragraph" w:customStyle="1" w:styleId="971">
    <w:name w:val="菲页(卷)"/>
    <w:basedOn w:val="3"/>
    <w:next w:val="972"/>
    <w:qFormat/>
    <w:uiPriority w:val="99"/>
    <w:pPr>
      <w:widowControl/>
      <w:tabs>
        <w:tab w:val="left" w:pos="425"/>
      </w:tabs>
      <w:spacing w:beforeLines="100" w:afterLines="100" w:line="240" w:lineRule="auto"/>
      <w:ind w:left="425" w:hanging="425"/>
      <w:outlineLvl w:val="1"/>
    </w:pPr>
    <w:rPr>
      <w:rFonts w:ascii="黑体" w:hAnsi="Calibri" w:eastAsia="黑体" w:cs="黑体"/>
      <w:b w:val="0"/>
      <w:bCs w:val="0"/>
      <w:kern w:val="0"/>
      <w:sz w:val="52"/>
      <w:szCs w:val="52"/>
      <w:lang w:val="zh-CN"/>
    </w:rPr>
  </w:style>
  <w:style w:type="paragraph" w:customStyle="1" w:styleId="972">
    <w:name w:val="正文3"/>
    <w:qFormat/>
    <w:uiPriority w:val="99"/>
    <w:pPr>
      <w:widowControl w:val="0"/>
      <w:adjustRightInd w:val="0"/>
      <w:spacing w:line="312" w:lineRule="atLeast"/>
      <w:jc w:val="both"/>
      <w:textAlignment w:val="baseline"/>
    </w:pPr>
    <w:rPr>
      <w:rFonts w:ascii="宋体" w:hAnsi="Calibri" w:eastAsia="宋体" w:cs="宋体"/>
      <w:sz w:val="34"/>
      <w:szCs w:val="34"/>
      <w:lang w:val="en-US" w:eastAsia="zh-CN" w:bidi="ar-SA"/>
    </w:rPr>
  </w:style>
  <w:style w:type="paragraph" w:customStyle="1" w:styleId="973">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4">
    <w:name w:val="TOC 标题11"/>
    <w:basedOn w:val="3"/>
    <w:next w:val="1"/>
    <w:qFormat/>
    <w:uiPriority w:val="99"/>
    <w:pPr>
      <w:widowControl/>
      <w:tabs>
        <w:tab w:val="left" w:pos="432"/>
      </w:tabs>
      <w:spacing w:before="340" w:after="330" w:line="578" w:lineRule="auto"/>
      <w:jc w:val="left"/>
      <w:outlineLvl w:val="9"/>
    </w:pPr>
    <w:rPr>
      <w:rFonts w:hAnsi="Calibri"/>
      <w:lang w:val="zh-CN"/>
    </w:rPr>
  </w:style>
  <w:style w:type="paragraph" w:customStyle="1" w:styleId="975">
    <w:name w:val="p132"/>
    <w:basedOn w:val="1"/>
    <w:qFormat/>
    <w:uiPriority w:val="0"/>
    <w:pPr>
      <w:widowControl/>
      <w:jc w:val="center"/>
    </w:pPr>
    <w:rPr>
      <w:rFonts w:ascii="黑体" w:hAnsi="黑体" w:eastAsia="黑体" w:cs="宋体"/>
      <w:kern w:val="0"/>
      <w:sz w:val="28"/>
      <w:szCs w:val="28"/>
    </w:rPr>
  </w:style>
  <w:style w:type="paragraph" w:customStyle="1" w:styleId="976">
    <w:name w:val="xl3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kern w:val="0"/>
      <w:sz w:val="22"/>
      <w:lang w:eastAsia="en-US"/>
    </w:rPr>
  </w:style>
  <w:style w:type="paragraph" w:customStyle="1" w:styleId="977">
    <w:name w:val="1级标题（第一章）"/>
    <w:basedOn w:val="1"/>
    <w:qFormat/>
    <w:uiPriority w:val="99"/>
    <w:pPr>
      <w:spacing w:beforeLines="50" w:afterLines="50"/>
      <w:jc w:val="center"/>
      <w:outlineLvl w:val="0"/>
    </w:pPr>
    <w:rPr>
      <w:rFonts w:ascii="黑体" w:hAnsi="宋体" w:eastAsia="黑体" w:cs="黑体"/>
      <w:sz w:val="32"/>
      <w:szCs w:val="32"/>
    </w:rPr>
  </w:style>
  <w:style w:type="paragraph" w:customStyle="1" w:styleId="97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9">
    <w:name w:val="CM91"/>
    <w:basedOn w:val="1"/>
    <w:next w:val="1"/>
    <w:qFormat/>
    <w:uiPriority w:val="0"/>
    <w:pPr>
      <w:autoSpaceDE w:val="0"/>
      <w:autoSpaceDN w:val="0"/>
      <w:adjustRightInd w:val="0"/>
      <w:spacing w:after="160"/>
      <w:jc w:val="left"/>
    </w:pPr>
    <w:rPr>
      <w:rFonts w:ascii="宋体"/>
      <w:kern w:val="0"/>
      <w:sz w:val="24"/>
      <w:szCs w:val="20"/>
    </w:rPr>
  </w:style>
  <w:style w:type="paragraph" w:customStyle="1" w:styleId="980">
    <w:name w:val="赵国俊表栏"/>
    <w:basedOn w:val="1"/>
    <w:next w:val="1"/>
    <w:qFormat/>
    <w:uiPriority w:val="99"/>
    <w:pPr>
      <w:jc w:val="center"/>
    </w:pPr>
    <w:rPr>
      <w:rFonts w:ascii="黑体" w:hAnsi="Calibri" w:eastAsia="黑体"/>
      <w:b/>
      <w:sz w:val="28"/>
      <w:szCs w:val="20"/>
    </w:rPr>
  </w:style>
  <w:style w:type="paragraph" w:customStyle="1" w:styleId="981">
    <w:name w:val="TOC 标题3"/>
    <w:basedOn w:val="3"/>
    <w:next w:val="1"/>
    <w:qFormat/>
    <w:uiPriority w:val="0"/>
    <w:pPr>
      <w:spacing w:before="340" w:after="330" w:line="576" w:lineRule="auto"/>
      <w:jc w:val="both"/>
      <w:outlineLvl w:val="9"/>
    </w:pPr>
    <w:rPr>
      <w:rFonts w:ascii="Calibri" w:hAnsi="Calibri"/>
    </w:rPr>
  </w:style>
  <w:style w:type="paragraph" w:customStyle="1" w:styleId="982">
    <w:name w:val="p6"/>
    <w:basedOn w:val="1"/>
    <w:qFormat/>
    <w:uiPriority w:val="0"/>
    <w:pPr>
      <w:widowControl/>
      <w:spacing w:line="480" w:lineRule="auto"/>
      <w:ind w:firstLine="480"/>
      <w:jc w:val="left"/>
    </w:pPr>
    <w:rPr>
      <w:rFonts w:ascii="宋体" w:hAnsi="宋体" w:cs="宋体"/>
      <w:kern w:val="0"/>
      <w:sz w:val="24"/>
      <w:szCs w:val="20"/>
    </w:rPr>
  </w:style>
  <w:style w:type="paragraph" w:customStyle="1" w:styleId="983">
    <w:name w:val="CM57"/>
    <w:basedOn w:val="151"/>
    <w:next w:val="151"/>
    <w:qFormat/>
    <w:uiPriority w:val="99"/>
    <w:rPr>
      <w:rFonts w:hAnsi="Calibri"/>
      <w:sz w:val="22"/>
      <w:szCs w:val="22"/>
    </w:rPr>
  </w:style>
  <w:style w:type="paragraph" w:customStyle="1" w:styleId="984">
    <w:name w:val="p233"/>
    <w:basedOn w:val="1"/>
    <w:qFormat/>
    <w:uiPriority w:val="0"/>
    <w:pPr>
      <w:widowControl/>
      <w:spacing w:line="480" w:lineRule="auto"/>
      <w:ind w:firstLine="422"/>
      <w:jc w:val="left"/>
    </w:pPr>
    <w:rPr>
      <w:rFonts w:ascii="宋体" w:hAnsi="宋体" w:cs="宋体"/>
      <w:kern w:val="0"/>
      <w:szCs w:val="21"/>
    </w:rPr>
  </w:style>
  <w:style w:type="paragraph" w:customStyle="1" w:styleId="985">
    <w:name w:val="设备规范标题1"/>
    <w:next w:val="986"/>
    <w:qFormat/>
    <w:uiPriority w:val="99"/>
    <w:pPr>
      <w:keepNext/>
      <w:tabs>
        <w:tab w:val="left" w:pos="425"/>
      </w:tabs>
      <w:spacing w:beforeLines="100" w:afterLines="50" w:line="276" w:lineRule="auto"/>
      <w:ind w:left="425" w:hanging="425" w:firstLineChars="200"/>
      <w:jc w:val="both"/>
    </w:pPr>
    <w:rPr>
      <w:rFonts w:ascii="Calibri" w:hAnsi="Calibri" w:eastAsia="楷体_GB2312" w:cs="Times New Roman"/>
      <w:b/>
      <w:sz w:val="24"/>
      <w:szCs w:val="22"/>
      <w:lang w:val="en-US" w:eastAsia="en-US" w:bidi="ar-SA"/>
    </w:rPr>
  </w:style>
  <w:style w:type="paragraph" w:customStyle="1" w:styleId="986">
    <w:name w:val="设备规范标题2"/>
    <w:next w:val="1"/>
    <w:qFormat/>
    <w:uiPriority w:val="99"/>
    <w:pPr>
      <w:tabs>
        <w:tab w:val="left" w:pos="0"/>
        <w:tab w:val="left" w:pos="720"/>
      </w:tabs>
      <w:spacing w:beforeLines="100" w:afterLines="50" w:line="276" w:lineRule="auto"/>
      <w:ind w:hanging="510" w:firstLineChars="200"/>
      <w:jc w:val="both"/>
    </w:pPr>
    <w:rPr>
      <w:rFonts w:ascii="Calibri" w:hAnsi="Calibri" w:eastAsia="楷体_GB2312" w:cs="Times New Roman"/>
      <w:b/>
      <w:bCs/>
      <w:sz w:val="24"/>
      <w:szCs w:val="22"/>
      <w:lang w:val="en-US" w:eastAsia="en-US" w:bidi="ar-SA"/>
    </w:rPr>
  </w:style>
  <w:style w:type="paragraph" w:customStyle="1" w:styleId="987">
    <w:name w:val="+列表1"/>
    <w:basedOn w:val="1"/>
    <w:qFormat/>
    <w:uiPriority w:val="99"/>
    <w:pPr>
      <w:jc w:val="center"/>
    </w:pPr>
    <w:rPr>
      <w:rFonts w:ascii="Calibri" w:hAnsi="Calibri"/>
      <w:szCs w:val="21"/>
    </w:rPr>
  </w:style>
  <w:style w:type="paragraph" w:customStyle="1" w:styleId="988">
    <w:name w:val="p14"/>
    <w:basedOn w:val="1"/>
    <w:qFormat/>
    <w:uiPriority w:val="0"/>
    <w:pPr>
      <w:widowControl/>
      <w:spacing w:line="480" w:lineRule="auto"/>
      <w:jc w:val="left"/>
    </w:pPr>
    <w:rPr>
      <w:rFonts w:ascii="宋体" w:hAnsi="宋体" w:cs="宋体"/>
      <w:kern w:val="0"/>
      <w:szCs w:val="21"/>
    </w:rPr>
  </w:style>
  <w:style w:type="paragraph" w:customStyle="1" w:styleId="989">
    <w:name w:val="Char Char Char Char1"/>
    <w:basedOn w:val="1"/>
    <w:qFormat/>
    <w:uiPriority w:val="99"/>
    <w:rPr>
      <w:szCs w:val="20"/>
    </w:rPr>
  </w:style>
  <w:style w:type="paragraph" w:customStyle="1" w:styleId="990">
    <w:name w:val="Normal (Web)_0"/>
    <w:basedOn w:val="792"/>
    <w:qFormat/>
    <w:uiPriority w:val="99"/>
    <w:pPr>
      <w:spacing w:before="100" w:beforeAutospacing="1" w:after="100" w:afterAutospacing="1"/>
    </w:pPr>
    <w:rPr>
      <w:rFonts w:ascii="宋体" w:hAnsi="宋体"/>
      <w:sz w:val="24"/>
    </w:rPr>
  </w:style>
  <w:style w:type="paragraph" w:customStyle="1" w:styleId="991">
    <w:name w:val="Char Char Char Char Char Char Char Char Char Char Char Char Char Char Char Char1"/>
    <w:basedOn w:val="1"/>
    <w:qFormat/>
    <w:uiPriority w:val="99"/>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992">
    <w:name w:val="_Style 457"/>
    <w:qFormat/>
    <w:uiPriority w:val="99"/>
    <w:rPr>
      <w:rFonts w:ascii="Calibri" w:hAnsi="Calibri" w:eastAsia="宋体" w:cs="Times New Roman"/>
      <w:lang w:val="en-US" w:eastAsia="zh-CN" w:bidi="ar-SA"/>
    </w:rPr>
  </w:style>
  <w:style w:type="paragraph" w:customStyle="1" w:styleId="993">
    <w:name w:val="菲页2"/>
    <w:basedOn w:val="5"/>
    <w:qFormat/>
    <w:uiPriority w:val="99"/>
    <w:pPr>
      <w:widowControl/>
      <w:tabs>
        <w:tab w:val="left" w:pos="425"/>
        <w:tab w:val="left" w:pos="720"/>
      </w:tabs>
      <w:spacing w:before="120" w:after="120" w:line="312" w:lineRule="auto"/>
      <w:ind w:left="425" w:hanging="425" w:firstLineChars="200"/>
      <w:jc w:val="center"/>
    </w:pPr>
    <w:rPr>
      <w:rFonts w:ascii="黑体" w:hAnsi="Calibri" w:eastAsia="黑体" w:cs="黑体"/>
      <w:kern w:val="0"/>
      <w:sz w:val="44"/>
      <w:szCs w:val="44"/>
      <w:lang w:val="zh-CN"/>
    </w:rPr>
  </w:style>
  <w:style w:type="paragraph" w:customStyle="1" w:styleId="994">
    <w:name w:val="样式 表格内容 + 居中"/>
    <w:basedOn w:val="706"/>
    <w:qFormat/>
    <w:uiPriority w:val="99"/>
  </w:style>
  <w:style w:type="paragraph" w:customStyle="1" w:styleId="995">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96">
    <w:name w:val="无间隔1"/>
    <w:basedOn w:val="1"/>
    <w:qFormat/>
    <w:uiPriority w:val="0"/>
    <w:pPr>
      <w:widowControl/>
    </w:pPr>
    <w:rPr>
      <w:rFonts w:ascii="Calibri" w:hAnsi="Calibri" w:cs="宋体"/>
      <w:kern w:val="0"/>
      <w:szCs w:val="21"/>
    </w:rPr>
  </w:style>
  <w:style w:type="paragraph" w:customStyle="1" w:styleId="997">
    <w:name w:val="xl9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18"/>
      <w:szCs w:val="18"/>
    </w:rPr>
  </w:style>
  <w:style w:type="paragraph" w:customStyle="1" w:styleId="998">
    <w:name w:val="xl128"/>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99">
    <w:name w:val="xl134"/>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000">
    <w:name w:val="Char Char Char Char Char Char Char Char Char Char Char Char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01">
    <w:name w:val="带编号的正文"/>
    <w:basedOn w:val="1"/>
    <w:qFormat/>
    <w:uiPriority w:val="99"/>
    <w:pPr>
      <w:widowControl/>
      <w:tabs>
        <w:tab w:val="left" w:pos="0"/>
      </w:tabs>
      <w:spacing w:after="200" w:line="360" w:lineRule="auto"/>
      <w:ind w:left="510" w:leftChars="200" w:hanging="510" w:firstLineChars="200"/>
      <w:jc w:val="left"/>
      <w:textAlignment w:val="bottom"/>
    </w:pPr>
    <w:rPr>
      <w:rFonts w:ascii="宋体" w:hAnsi="宋体" w:eastAsia="楷体_GB2312"/>
      <w:kern w:val="0"/>
      <w:sz w:val="24"/>
      <w:szCs w:val="20"/>
      <w:lang w:eastAsia="en-US"/>
    </w:rPr>
  </w:style>
  <w:style w:type="paragraph" w:customStyle="1" w:styleId="1002">
    <w:name w:val="表格标题"/>
    <w:basedOn w:val="1"/>
    <w:next w:val="706"/>
    <w:qFormat/>
    <w:uiPriority w:val="99"/>
    <w:pPr>
      <w:keepNext/>
      <w:widowControl/>
      <w:overflowPunct w:val="0"/>
      <w:adjustRightInd w:val="0"/>
      <w:snapToGrid w:val="0"/>
      <w:spacing w:before="360" w:after="120" w:line="480" w:lineRule="exact"/>
      <w:ind w:firstLine="200" w:firstLineChars="200"/>
      <w:jc w:val="center"/>
      <w:textAlignment w:val="baseline"/>
    </w:pPr>
    <w:rPr>
      <w:rFonts w:ascii="Arial" w:hAnsi="Arial" w:eastAsia="黑体"/>
      <w:kern w:val="0"/>
      <w:sz w:val="24"/>
      <w:szCs w:val="20"/>
      <w:lang w:eastAsia="en-US"/>
    </w:rPr>
  </w:style>
  <w:style w:type="paragraph" w:customStyle="1" w:styleId="1003">
    <w:name w:val="CM27"/>
    <w:basedOn w:val="1"/>
    <w:next w:val="1"/>
    <w:qFormat/>
    <w:uiPriority w:val="99"/>
    <w:pPr>
      <w:autoSpaceDE w:val="0"/>
      <w:autoSpaceDN w:val="0"/>
      <w:adjustRightInd w:val="0"/>
      <w:spacing w:after="128"/>
      <w:jc w:val="left"/>
    </w:pPr>
    <w:rPr>
      <w:rFonts w:ascii="宋体" w:hAnsi="Calibri" w:cs="宋体"/>
      <w:kern w:val="0"/>
      <w:sz w:val="24"/>
      <w:szCs w:val="24"/>
    </w:rPr>
  </w:style>
  <w:style w:type="paragraph" w:customStyle="1" w:styleId="1004">
    <w:name w:val="a"/>
    <w:basedOn w:val="1"/>
    <w:qFormat/>
    <w:uiPriority w:val="99"/>
    <w:pPr>
      <w:widowControl/>
      <w:spacing w:before="100" w:beforeAutospacing="1" w:after="100" w:afterAutospacing="1"/>
      <w:jc w:val="left"/>
    </w:pPr>
    <w:rPr>
      <w:rFonts w:ascii="宋体" w:hAnsi="宋体"/>
      <w:color w:val="000000"/>
      <w:kern w:val="0"/>
      <w:sz w:val="24"/>
      <w:szCs w:val="24"/>
    </w:rPr>
  </w:style>
  <w:style w:type="paragraph" w:customStyle="1" w:styleId="1005">
    <w:name w:val="CM111"/>
    <w:basedOn w:val="151"/>
    <w:next w:val="151"/>
    <w:qFormat/>
    <w:uiPriority w:val="99"/>
    <w:rPr>
      <w:rFonts w:hAnsi="Calibri"/>
      <w:color w:val="auto"/>
      <w:sz w:val="22"/>
      <w:szCs w:val="22"/>
    </w:rPr>
  </w:style>
  <w:style w:type="paragraph" w:customStyle="1" w:styleId="1006">
    <w:name w:val="表格cacc"/>
    <w:basedOn w:val="1"/>
    <w:qFormat/>
    <w:uiPriority w:val="99"/>
    <w:pPr>
      <w:widowControl/>
      <w:spacing w:after="200" w:line="240" w:lineRule="atLeast"/>
      <w:ind w:firstLine="200" w:firstLineChars="200"/>
      <w:jc w:val="left"/>
    </w:pPr>
    <w:rPr>
      <w:rFonts w:ascii="Calibri" w:hAnsi="Calibri"/>
      <w:kern w:val="0"/>
      <w:sz w:val="22"/>
      <w:szCs w:val="21"/>
      <w:lang w:eastAsia="en-US"/>
    </w:rPr>
  </w:style>
  <w:style w:type="paragraph" w:customStyle="1" w:styleId="1007">
    <w:name w:val="小标题2"/>
    <w:basedOn w:val="1"/>
    <w:qFormat/>
    <w:uiPriority w:val="99"/>
    <w:pPr>
      <w:widowControl/>
      <w:tabs>
        <w:tab w:val="left" w:pos="420"/>
        <w:tab w:val="left" w:pos="980"/>
      </w:tabs>
      <w:overflowPunct w:val="0"/>
      <w:adjustRightInd w:val="0"/>
      <w:snapToGrid w:val="0"/>
      <w:spacing w:beforeLines="50" w:afterLines="50" w:line="300" w:lineRule="auto"/>
      <w:ind w:left="420" w:hanging="420" w:firstLineChars="200"/>
      <w:jc w:val="left"/>
    </w:pPr>
    <w:rPr>
      <w:rFonts w:ascii="Arial" w:hAnsi="Arial" w:eastAsia="仿宋_GB2312"/>
      <w:kern w:val="0"/>
      <w:sz w:val="28"/>
      <w:szCs w:val="20"/>
      <w:lang w:eastAsia="en-US"/>
    </w:rPr>
  </w:style>
  <w:style w:type="paragraph" w:customStyle="1" w:styleId="1008">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b/>
      <w:bCs/>
      <w:kern w:val="0"/>
      <w:sz w:val="22"/>
      <w:lang w:eastAsia="en-US"/>
    </w:rPr>
  </w:style>
  <w:style w:type="paragraph" w:customStyle="1" w:styleId="1009">
    <w:name w:val="xl97"/>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line="276" w:lineRule="auto"/>
      <w:ind w:firstLine="200" w:firstLineChars="200"/>
      <w:jc w:val="center"/>
    </w:pPr>
    <w:rPr>
      <w:rFonts w:ascii="宋体" w:hAnsi="宋体"/>
      <w:b/>
      <w:bCs/>
      <w:kern w:val="0"/>
      <w:sz w:val="22"/>
      <w:lang w:eastAsia="en-US"/>
    </w:rPr>
  </w:style>
  <w:style w:type="paragraph" w:customStyle="1" w:styleId="1010">
    <w:name w:val="菲页1"/>
    <w:basedOn w:val="4"/>
    <w:qFormat/>
    <w:uiPriority w:val="99"/>
    <w:pPr>
      <w:widowControl/>
      <w:tabs>
        <w:tab w:val="left" w:pos="-735"/>
      </w:tabs>
      <w:spacing w:beforeLines="50" w:after="260" w:line="416" w:lineRule="auto"/>
    </w:pPr>
    <w:rPr>
      <w:rFonts w:ascii="黑体" w:hAnsi="宋体" w:eastAsia="黑体" w:cs="黑体"/>
      <w:b w:val="0"/>
      <w:bCs w:val="0"/>
      <w:sz w:val="52"/>
      <w:szCs w:val="52"/>
      <w:lang w:val="zh-CN"/>
    </w:rPr>
  </w:style>
  <w:style w:type="paragraph" w:customStyle="1" w:styleId="1011">
    <w:name w:val="第二行"/>
    <w:basedOn w:val="1"/>
    <w:qFormat/>
    <w:uiPriority w:val="99"/>
    <w:pPr>
      <w:spacing w:beforeLines="100" w:line="360" w:lineRule="auto"/>
      <w:jc w:val="center"/>
    </w:pPr>
    <w:rPr>
      <w:rFonts w:ascii="宋体" w:hAnsi="Calibri" w:cs="宋体"/>
      <w:b/>
      <w:bCs/>
      <w:sz w:val="36"/>
      <w:szCs w:val="36"/>
    </w:rPr>
  </w:style>
  <w:style w:type="paragraph" w:customStyle="1" w:styleId="1012">
    <w:name w:val="xl1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13">
    <w:name w:val="Char Char Char Char Char Char Char Char Char Char11"/>
    <w:basedOn w:val="1"/>
    <w:qFormat/>
    <w:uiPriority w:val="99"/>
    <w:pPr>
      <w:tabs>
        <w:tab w:val="left" w:pos="425"/>
      </w:tabs>
      <w:ind w:left="425" w:hanging="425"/>
    </w:pPr>
    <w:rPr>
      <w:rFonts w:ascii="Arial" w:hAnsi="Arial" w:eastAsia="黑体" w:cs="宋体"/>
      <w:b/>
      <w:bCs/>
      <w:sz w:val="32"/>
      <w:szCs w:val="32"/>
    </w:rPr>
  </w:style>
  <w:style w:type="paragraph" w:customStyle="1" w:styleId="1014">
    <w:name w:val="font0"/>
    <w:basedOn w:val="1"/>
    <w:qFormat/>
    <w:uiPriority w:val="99"/>
    <w:pPr>
      <w:widowControl/>
      <w:spacing w:before="100" w:beforeAutospacing="1" w:after="100" w:afterAutospacing="1" w:line="276" w:lineRule="auto"/>
      <w:ind w:firstLine="200" w:firstLineChars="200"/>
      <w:jc w:val="left"/>
    </w:pPr>
    <w:rPr>
      <w:rFonts w:ascii="宋体" w:hAnsi="宋体"/>
      <w:kern w:val="0"/>
      <w:sz w:val="24"/>
      <w:lang w:eastAsia="en-US"/>
    </w:rPr>
  </w:style>
  <w:style w:type="paragraph" w:customStyle="1" w:styleId="1015">
    <w:name w:val="Char32"/>
    <w:basedOn w:val="1"/>
    <w:qFormat/>
    <w:uiPriority w:val="99"/>
    <w:pPr>
      <w:widowControl/>
      <w:spacing w:after="160" w:line="240" w:lineRule="exact"/>
      <w:jc w:val="left"/>
    </w:pPr>
    <w:rPr>
      <w:rFonts w:ascii="Calibri" w:hAnsi="Calibri"/>
      <w:kern w:val="0"/>
      <w:sz w:val="20"/>
      <w:szCs w:val="20"/>
    </w:rPr>
  </w:style>
  <w:style w:type="paragraph" w:customStyle="1" w:styleId="1016">
    <w:name w:val="样式1-标题1"/>
    <w:basedOn w:val="1"/>
    <w:next w:val="1"/>
    <w:qFormat/>
    <w:uiPriority w:val="99"/>
    <w:pPr>
      <w:spacing w:beforeLines="100" w:afterLines="100"/>
      <w:jc w:val="center"/>
      <w:outlineLvl w:val="0"/>
    </w:pPr>
    <w:rPr>
      <w:rFonts w:ascii="华文中宋" w:hAnsi="华文中宋" w:eastAsia="华文中宋" w:cs="华文中宋"/>
      <w:b/>
      <w:bCs/>
      <w:sz w:val="36"/>
      <w:szCs w:val="36"/>
    </w:rPr>
  </w:style>
  <w:style w:type="paragraph" w:customStyle="1" w:styleId="1017">
    <w:name w:val="横表名"/>
    <w:basedOn w:val="1"/>
    <w:qFormat/>
    <w:uiPriority w:val="99"/>
    <w:pPr>
      <w:spacing w:beforeLines="50" w:line="360" w:lineRule="auto"/>
      <w:jc w:val="center"/>
    </w:pPr>
    <w:rPr>
      <w:rFonts w:ascii="宋体" w:hAnsi="Calibri" w:cs="宋体"/>
      <w:b/>
      <w:bCs/>
      <w:szCs w:val="21"/>
    </w:rPr>
  </w:style>
  <w:style w:type="paragraph" w:customStyle="1" w:styleId="1018">
    <w:name w:val="xl57"/>
    <w:basedOn w:val="1"/>
    <w:qFormat/>
    <w:uiPriority w:val="99"/>
    <w:pPr>
      <w:widowControl/>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b/>
      <w:bCs/>
      <w:color w:val="FF0000"/>
      <w:kern w:val="0"/>
      <w:sz w:val="22"/>
      <w:lang w:eastAsia="en-US"/>
    </w:rPr>
  </w:style>
  <w:style w:type="paragraph" w:customStyle="1" w:styleId="1019">
    <w:name w:val="CM109"/>
    <w:basedOn w:val="151"/>
    <w:next w:val="151"/>
    <w:qFormat/>
    <w:uiPriority w:val="99"/>
    <w:rPr>
      <w:rFonts w:hAnsi="Calibri"/>
      <w:color w:val="auto"/>
      <w:sz w:val="22"/>
      <w:szCs w:val="22"/>
    </w:rPr>
  </w:style>
  <w:style w:type="paragraph" w:customStyle="1" w:styleId="1020">
    <w:name w:val="xl41"/>
    <w:basedOn w:val="1"/>
    <w:qFormat/>
    <w:uiPriority w:val="99"/>
    <w:pPr>
      <w:widowControl/>
      <w:pBdr>
        <w:top w:val="single" w:color="auto" w:sz="4" w:space="0"/>
        <w:left w:val="single" w:color="auto" w:sz="4" w:space="0"/>
        <w:bottom w:val="single" w:color="auto" w:sz="4" w:space="0"/>
      </w:pBdr>
      <w:spacing w:before="100" w:beforeAutospacing="1" w:after="100" w:afterAutospacing="1" w:line="276" w:lineRule="auto"/>
      <w:ind w:firstLine="200" w:firstLineChars="200"/>
      <w:jc w:val="right"/>
    </w:pPr>
    <w:rPr>
      <w:rFonts w:ascii="宋体" w:hAnsi="宋体"/>
      <w:kern w:val="0"/>
      <w:sz w:val="22"/>
      <w:lang w:eastAsia="en-US"/>
    </w:rPr>
  </w:style>
  <w:style w:type="paragraph" w:customStyle="1" w:styleId="1021">
    <w:name w:val="Char Char2 Char Char Char Char Char Char Char Char Char Char Char Char Char1"/>
    <w:basedOn w:val="1"/>
    <w:qFormat/>
    <w:uiPriority w:val="99"/>
    <w:pPr>
      <w:ind w:firstLine="360" w:firstLineChars="150"/>
    </w:pPr>
    <w:rPr>
      <w:rFonts w:ascii="Tahoma" w:hAnsi="Tahoma" w:cs="Tahoma"/>
      <w:sz w:val="24"/>
      <w:szCs w:val="24"/>
    </w:rPr>
  </w:style>
  <w:style w:type="paragraph" w:customStyle="1" w:styleId="1022">
    <w:name w:val="Char11"/>
    <w:basedOn w:val="1"/>
    <w:qFormat/>
    <w:uiPriority w:val="99"/>
    <w:rPr>
      <w:rFonts w:ascii="Calibri" w:hAnsi="Calibri"/>
      <w:szCs w:val="21"/>
    </w:rPr>
  </w:style>
  <w:style w:type="paragraph" w:customStyle="1" w:styleId="1023">
    <w:name w:val="CM46"/>
    <w:basedOn w:val="151"/>
    <w:next w:val="151"/>
    <w:qFormat/>
    <w:uiPriority w:val="99"/>
    <w:pPr>
      <w:spacing w:line="440" w:lineRule="atLeast"/>
    </w:pPr>
    <w:rPr>
      <w:rFonts w:hAnsi="Calibri"/>
      <w:color w:val="auto"/>
      <w:sz w:val="22"/>
      <w:szCs w:val="22"/>
    </w:rPr>
  </w:style>
  <w:style w:type="paragraph" w:customStyle="1" w:styleId="1024">
    <w:name w:val="节标题"/>
    <w:basedOn w:val="1"/>
    <w:qFormat/>
    <w:uiPriority w:val="99"/>
    <w:pPr>
      <w:widowControl/>
      <w:spacing w:after="200" w:line="289" w:lineRule="atLeast"/>
      <w:ind w:firstLine="200" w:firstLineChars="200"/>
      <w:jc w:val="center"/>
      <w:textAlignment w:val="baseline"/>
    </w:pPr>
    <w:rPr>
      <w:rFonts w:ascii="Calibri" w:hAnsi="Calibri"/>
      <w:color w:val="000000"/>
      <w:kern w:val="0"/>
      <w:sz w:val="28"/>
      <w:szCs w:val="20"/>
      <w:u w:color="000000"/>
      <w:lang w:eastAsia="en-US"/>
    </w:rPr>
  </w:style>
  <w:style w:type="paragraph" w:customStyle="1" w:styleId="1025">
    <w:name w:val="样式 样式 样式5 + 首行缩进:  2 字符 + 首行缩进:  2 字符 段前: 0.8 行 段后: 0.6 行"/>
    <w:basedOn w:val="1026"/>
    <w:qFormat/>
    <w:uiPriority w:val="99"/>
    <w:pPr>
      <w:ind w:firstLine="0" w:firstLineChars="0"/>
    </w:pPr>
    <w:rPr>
      <w:rFonts w:ascii="仿宋_GB2312" w:hAnsi="仿宋" w:eastAsia="仿宋_GB2312" w:cs="仿宋_GB2312"/>
      <w:sz w:val="20"/>
      <w:szCs w:val="20"/>
    </w:rPr>
  </w:style>
  <w:style w:type="paragraph" w:customStyle="1" w:styleId="1026">
    <w:name w:val="样式 样式5 + 首行缩进:  2 字符"/>
    <w:qFormat/>
    <w:uiPriority w:val="99"/>
    <w:pPr>
      <w:ind w:firstLine="200" w:firstLineChars="200"/>
      <w:jc w:val="both"/>
    </w:pPr>
    <w:rPr>
      <w:rFonts w:ascii="Calibri" w:hAnsi="Calibri" w:eastAsia="宋体" w:cs="Times New Roman"/>
      <w:sz w:val="24"/>
      <w:szCs w:val="24"/>
      <w:lang w:val="en-US" w:eastAsia="zh-CN" w:bidi="ar-SA"/>
    </w:rPr>
  </w:style>
  <w:style w:type="paragraph" w:customStyle="1" w:styleId="1027">
    <w:name w:val="+正文"/>
    <w:basedOn w:val="1"/>
    <w:qFormat/>
    <w:uiPriority w:val="99"/>
    <w:pPr>
      <w:spacing w:line="360" w:lineRule="auto"/>
      <w:ind w:firstLine="200" w:firstLineChars="200"/>
    </w:pPr>
    <w:rPr>
      <w:rFonts w:ascii="Calibri" w:hAnsi="Calibri"/>
      <w:sz w:val="28"/>
      <w:szCs w:val="28"/>
    </w:rPr>
  </w:style>
  <w:style w:type="paragraph" w:customStyle="1" w:styleId="1028">
    <w:name w:val="xl14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29">
    <w:name w:val="Char Char Char Char Char Char Char"/>
    <w:basedOn w:val="1"/>
    <w:qFormat/>
    <w:uiPriority w:val="99"/>
    <w:pPr>
      <w:widowControl/>
      <w:spacing w:after="160" w:line="240" w:lineRule="exact"/>
      <w:jc w:val="left"/>
    </w:pPr>
    <w:rPr>
      <w:rFonts w:ascii="Calibri" w:hAnsi="Calibri"/>
      <w:szCs w:val="21"/>
    </w:rPr>
  </w:style>
  <w:style w:type="paragraph" w:customStyle="1" w:styleId="1030">
    <w:name w:val="CM54"/>
    <w:basedOn w:val="151"/>
    <w:next w:val="151"/>
    <w:qFormat/>
    <w:uiPriority w:val="99"/>
    <w:pPr>
      <w:spacing w:line="468" w:lineRule="atLeast"/>
    </w:pPr>
    <w:rPr>
      <w:rFonts w:hAnsi="Calibri"/>
      <w:color w:val="auto"/>
      <w:sz w:val="22"/>
      <w:szCs w:val="22"/>
    </w:rPr>
  </w:style>
  <w:style w:type="paragraph" w:customStyle="1" w:styleId="1031">
    <w:name w:val="CM56"/>
    <w:basedOn w:val="151"/>
    <w:next w:val="151"/>
    <w:qFormat/>
    <w:uiPriority w:val="99"/>
    <w:pPr>
      <w:spacing w:line="468" w:lineRule="atLeast"/>
    </w:pPr>
    <w:rPr>
      <w:rFonts w:hAnsi="Calibri"/>
      <w:color w:val="auto"/>
      <w:sz w:val="22"/>
      <w:szCs w:val="22"/>
    </w:rPr>
  </w:style>
  <w:style w:type="paragraph" w:customStyle="1" w:styleId="1032">
    <w:name w:val="CM6"/>
    <w:basedOn w:val="151"/>
    <w:next w:val="151"/>
    <w:qFormat/>
    <w:uiPriority w:val="99"/>
    <w:pPr>
      <w:spacing w:line="313" w:lineRule="atLeast"/>
    </w:pPr>
    <w:rPr>
      <w:rFonts w:hAnsi="Calibri"/>
      <w:color w:val="auto"/>
      <w:sz w:val="22"/>
      <w:szCs w:val="22"/>
    </w:rPr>
  </w:style>
  <w:style w:type="paragraph" w:customStyle="1" w:styleId="1033">
    <w:name w:val="CM44"/>
    <w:basedOn w:val="151"/>
    <w:next w:val="151"/>
    <w:qFormat/>
    <w:uiPriority w:val="99"/>
    <w:rPr>
      <w:rFonts w:hAnsi="Calibri"/>
      <w:color w:val="auto"/>
      <w:sz w:val="22"/>
      <w:szCs w:val="22"/>
    </w:rPr>
  </w:style>
  <w:style w:type="paragraph" w:customStyle="1" w:styleId="1034">
    <w:name w:val="横表格"/>
    <w:basedOn w:val="1017"/>
    <w:qFormat/>
    <w:uiPriority w:val="99"/>
    <w:pPr>
      <w:spacing w:line="240" w:lineRule="auto"/>
    </w:pPr>
    <w:rPr>
      <w:b w:val="0"/>
      <w:bCs w:val="0"/>
    </w:rPr>
  </w:style>
  <w:style w:type="paragraph" w:customStyle="1" w:styleId="1035">
    <w:name w:val="CM87"/>
    <w:basedOn w:val="151"/>
    <w:next w:val="151"/>
    <w:qFormat/>
    <w:uiPriority w:val="99"/>
    <w:pPr>
      <w:spacing w:line="440" w:lineRule="atLeast"/>
    </w:pPr>
    <w:rPr>
      <w:rFonts w:hAnsi="Calibri"/>
      <w:color w:val="auto"/>
      <w:sz w:val="22"/>
      <w:szCs w:val="22"/>
    </w:rPr>
  </w:style>
  <w:style w:type="paragraph" w:customStyle="1" w:styleId="1036">
    <w:name w:val="正文21"/>
    <w:basedOn w:val="1"/>
    <w:qFormat/>
    <w:uiPriority w:val="99"/>
    <w:pPr>
      <w:spacing w:line="360" w:lineRule="auto"/>
      <w:ind w:right="200" w:rightChars="200"/>
      <w:jc w:val="right"/>
    </w:pPr>
    <w:rPr>
      <w:rFonts w:ascii="宋体" w:hAnsi="Calibri" w:cs="宋体"/>
      <w:szCs w:val="21"/>
    </w:rPr>
  </w:style>
  <w:style w:type="paragraph" w:customStyle="1" w:styleId="1037">
    <w:name w:val="CM89"/>
    <w:basedOn w:val="151"/>
    <w:next w:val="151"/>
    <w:qFormat/>
    <w:uiPriority w:val="99"/>
    <w:pPr>
      <w:spacing w:line="440" w:lineRule="atLeast"/>
    </w:pPr>
    <w:rPr>
      <w:rFonts w:hAnsi="Calibri"/>
      <w:color w:val="auto"/>
      <w:sz w:val="22"/>
      <w:szCs w:val="22"/>
    </w:rPr>
  </w:style>
  <w:style w:type="paragraph" w:customStyle="1" w:styleId="1038">
    <w:name w:val="xl71"/>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right"/>
    </w:pPr>
    <w:rPr>
      <w:rFonts w:ascii="宋体" w:hAnsi="宋体"/>
      <w:kern w:val="0"/>
      <w:sz w:val="22"/>
      <w:lang w:eastAsia="en-US"/>
    </w:rPr>
  </w:style>
  <w:style w:type="paragraph" w:customStyle="1" w:styleId="1039">
    <w:name w:val="xl142"/>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040">
    <w:name w:val="CM41"/>
    <w:basedOn w:val="151"/>
    <w:next w:val="151"/>
    <w:qFormat/>
    <w:uiPriority w:val="99"/>
    <w:pPr>
      <w:spacing w:line="400" w:lineRule="atLeast"/>
    </w:pPr>
    <w:rPr>
      <w:rFonts w:hAnsi="Calibri"/>
      <w:color w:val="auto"/>
      <w:sz w:val="22"/>
      <w:szCs w:val="22"/>
    </w:rPr>
  </w:style>
  <w:style w:type="paragraph" w:customStyle="1" w:styleId="1041">
    <w:name w:val="Identation 2"/>
    <w:qFormat/>
    <w:uiPriority w:val="99"/>
    <w:pPr>
      <w:overflowPunct w:val="0"/>
      <w:autoSpaceDE w:val="0"/>
      <w:autoSpaceDN w:val="0"/>
      <w:adjustRightInd w:val="0"/>
      <w:spacing w:before="120" w:after="60" w:line="288" w:lineRule="auto"/>
      <w:ind w:left="432"/>
      <w:jc w:val="both"/>
      <w:textAlignment w:val="baseline"/>
    </w:pPr>
    <w:rPr>
      <w:rFonts w:ascii="Calibri" w:hAnsi="Calibri" w:eastAsia="楷体_GB2312" w:cs="Times New Roman"/>
      <w:color w:val="000000"/>
      <w:sz w:val="24"/>
      <w:szCs w:val="22"/>
      <w:lang w:val="en-US" w:eastAsia="en-US" w:bidi="ar-SA"/>
    </w:rPr>
  </w:style>
  <w:style w:type="paragraph" w:customStyle="1" w:styleId="1042">
    <w:name w:val="CM103"/>
    <w:basedOn w:val="151"/>
    <w:next w:val="151"/>
    <w:qFormat/>
    <w:uiPriority w:val="99"/>
    <w:rPr>
      <w:rFonts w:hAnsi="Calibri"/>
      <w:color w:val="auto"/>
      <w:sz w:val="22"/>
      <w:szCs w:val="22"/>
    </w:rPr>
  </w:style>
  <w:style w:type="paragraph" w:customStyle="1" w:styleId="1043">
    <w:name w:val="正文缩进1"/>
    <w:basedOn w:val="1"/>
    <w:qFormat/>
    <w:uiPriority w:val="99"/>
    <w:pPr>
      <w:widowControl/>
      <w:ind w:firstLine="420"/>
      <w:jc w:val="left"/>
    </w:pPr>
    <w:rPr>
      <w:rFonts w:ascii="Calibri" w:hAnsi="Calibri"/>
      <w:kern w:val="0"/>
      <w:sz w:val="20"/>
      <w:szCs w:val="20"/>
    </w:rPr>
  </w:style>
  <w:style w:type="paragraph" w:customStyle="1" w:styleId="1044">
    <w:name w:val="CM10"/>
    <w:basedOn w:val="151"/>
    <w:next w:val="151"/>
    <w:qFormat/>
    <w:uiPriority w:val="99"/>
    <w:rPr>
      <w:rFonts w:hAnsi="Calibri"/>
      <w:color w:val="auto"/>
      <w:sz w:val="22"/>
      <w:szCs w:val="22"/>
    </w:rPr>
  </w:style>
  <w:style w:type="paragraph" w:customStyle="1" w:styleId="1045">
    <w:name w:val="CM18"/>
    <w:basedOn w:val="151"/>
    <w:next w:val="151"/>
    <w:qFormat/>
    <w:uiPriority w:val="99"/>
    <w:pPr>
      <w:spacing w:line="400" w:lineRule="atLeast"/>
    </w:pPr>
    <w:rPr>
      <w:rFonts w:hAnsi="Calibri"/>
      <w:color w:val="auto"/>
      <w:sz w:val="22"/>
      <w:szCs w:val="22"/>
    </w:rPr>
  </w:style>
  <w:style w:type="paragraph" w:customStyle="1" w:styleId="1046">
    <w:name w:val="CM105"/>
    <w:basedOn w:val="151"/>
    <w:next w:val="151"/>
    <w:qFormat/>
    <w:uiPriority w:val="99"/>
    <w:rPr>
      <w:rFonts w:hAnsi="Calibri"/>
      <w:color w:val="auto"/>
      <w:sz w:val="22"/>
      <w:szCs w:val="22"/>
    </w:rPr>
  </w:style>
  <w:style w:type="paragraph" w:customStyle="1" w:styleId="1047">
    <w:name w:val="xl83"/>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line="276" w:lineRule="auto"/>
      <w:ind w:firstLine="200" w:firstLineChars="200"/>
      <w:jc w:val="left"/>
    </w:pPr>
    <w:rPr>
      <w:rFonts w:ascii="宋体" w:hAnsi="宋体"/>
      <w:color w:val="FF0000"/>
      <w:kern w:val="0"/>
      <w:sz w:val="22"/>
      <w:lang w:eastAsia="en-US"/>
    </w:rPr>
  </w:style>
  <w:style w:type="paragraph" w:customStyle="1" w:styleId="1048">
    <w:name w:val="Char Char Char Char Char Char Char Char Char Char Char Char Char Char Char Char Char Char Char Char Char Char5"/>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049">
    <w:name w:val="xl12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050">
    <w:name w:val="xl121"/>
    <w:basedOn w:val="1"/>
    <w:qFormat/>
    <w:uiPriority w:val="99"/>
    <w:pPr>
      <w:widowControl/>
      <w:spacing w:before="100" w:beforeAutospacing="1" w:after="100" w:afterAutospacing="1"/>
      <w:jc w:val="center"/>
    </w:pPr>
    <w:rPr>
      <w:rFonts w:ascii="宋体" w:hAnsi="宋体" w:cs="宋体"/>
      <w:b/>
      <w:bCs/>
      <w:kern w:val="0"/>
      <w:sz w:val="32"/>
      <w:szCs w:val="32"/>
    </w:rPr>
  </w:style>
  <w:style w:type="paragraph" w:customStyle="1" w:styleId="1051">
    <w:name w:val="xl89"/>
    <w:basedOn w:val="1"/>
    <w:qFormat/>
    <w:uiPriority w:val="99"/>
    <w:pPr>
      <w:widowControl/>
      <w:pBdr>
        <w:top w:val="single" w:color="auto" w:sz="4" w:space="0"/>
        <w:left w:val="single" w:color="auto" w:sz="4" w:space="0"/>
        <w:right w:val="single" w:color="auto" w:sz="4" w:space="0"/>
      </w:pBdr>
      <w:shd w:val="clear" w:color="auto" w:fill="FFFFFF"/>
      <w:spacing w:before="100" w:beforeAutospacing="1" w:after="100" w:afterAutospacing="1" w:line="276" w:lineRule="auto"/>
      <w:ind w:firstLine="200" w:firstLineChars="200"/>
      <w:jc w:val="left"/>
    </w:pPr>
    <w:rPr>
      <w:rFonts w:ascii="宋体" w:hAnsi="宋体"/>
      <w:b/>
      <w:bCs/>
      <w:kern w:val="0"/>
      <w:sz w:val="22"/>
      <w:lang w:eastAsia="en-US"/>
    </w:rPr>
  </w:style>
  <w:style w:type="paragraph" w:customStyle="1" w:styleId="1052">
    <w:name w:val="样式7"/>
    <w:basedOn w:val="706"/>
    <w:qFormat/>
    <w:uiPriority w:val="99"/>
  </w:style>
  <w:style w:type="paragraph" w:customStyle="1" w:styleId="1053">
    <w:name w:val="标题10"/>
    <w:basedOn w:val="9"/>
    <w:qFormat/>
    <w:uiPriority w:val="99"/>
    <w:pPr>
      <w:tabs>
        <w:tab w:val="left" w:pos="425"/>
        <w:tab w:val="left" w:pos="720"/>
        <w:tab w:val="clear" w:pos="2520"/>
      </w:tabs>
      <w:spacing w:line="320" w:lineRule="atLeast"/>
      <w:ind w:left="901" w:leftChars="300" w:hanging="181" w:firstLineChars="200"/>
      <w:jc w:val="both"/>
    </w:pPr>
    <w:rPr>
      <w:rFonts w:ascii="Calibri" w:hAnsi="Calibri" w:eastAsia="楷体_GB2312"/>
      <w:bCs w:val="0"/>
      <w:i/>
      <w:iCs/>
      <w:color w:val="404040"/>
      <w:lang w:val="zh-CN" w:eastAsia="en-US"/>
    </w:rPr>
  </w:style>
  <w:style w:type="paragraph" w:customStyle="1" w:styleId="1054">
    <w:name w:val="表格内字体字号"/>
    <w:basedOn w:val="1"/>
    <w:qFormat/>
    <w:uiPriority w:val="99"/>
    <w:pPr>
      <w:topLinePunct/>
      <w:snapToGrid w:val="0"/>
      <w:spacing w:beforeLines="20" w:afterLines="20"/>
      <w:ind w:left="30" w:leftChars="30" w:right="30" w:rightChars="30"/>
      <w:jc w:val="center"/>
    </w:pPr>
    <w:rPr>
      <w:rFonts w:ascii="Calibri" w:hAnsi="Calibri"/>
      <w:sz w:val="18"/>
      <w:szCs w:val="18"/>
    </w:rPr>
  </w:style>
  <w:style w:type="paragraph" w:customStyle="1" w:styleId="105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b/>
      <w:bCs/>
      <w:color w:val="FF0000"/>
      <w:kern w:val="0"/>
      <w:sz w:val="22"/>
      <w:lang w:eastAsia="en-US"/>
    </w:rPr>
  </w:style>
  <w:style w:type="paragraph" w:customStyle="1" w:styleId="1056">
    <w:name w:val="xl50"/>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kern w:val="0"/>
      <w:sz w:val="22"/>
      <w:lang w:eastAsia="en-US"/>
    </w:rPr>
  </w:style>
  <w:style w:type="paragraph" w:customStyle="1" w:styleId="1057">
    <w:name w:val="普通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58">
    <w:name w:val="xl44"/>
    <w:basedOn w:val="1"/>
    <w:qFormat/>
    <w:uiPriority w:val="99"/>
    <w:pPr>
      <w:widowControl/>
      <w:pBdr>
        <w:top w:val="single" w:color="auto" w:sz="4" w:space="0"/>
        <w:left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kern w:val="0"/>
      <w:sz w:val="22"/>
      <w:lang w:eastAsia="en-US"/>
    </w:rPr>
  </w:style>
  <w:style w:type="paragraph" w:customStyle="1" w:styleId="1059">
    <w:name w:val="第1行"/>
    <w:basedOn w:val="1"/>
    <w:qFormat/>
    <w:uiPriority w:val="99"/>
    <w:pPr>
      <w:tabs>
        <w:tab w:val="left" w:pos="927"/>
      </w:tabs>
      <w:snapToGrid w:val="0"/>
      <w:spacing w:line="460" w:lineRule="exact"/>
      <w:ind w:firstLine="567"/>
    </w:pPr>
    <w:rPr>
      <w:rFonts w:ascii="宋体" w:hAnsi="宋体" w:cs="宋体"/>
      <w:szCs w:val="21"/>
    </w:rPr>
  </w:style>
  <w:style w:type="paragraph" w:customStyle="1" w:styleId="1060">
    <w:name w:val="CM21"/>
    <w:basedOn w:val="151"/>
    <w:next w:val="151"/>
    <w:qFormat/>
    <w:uiPriority w:val="99"/>
    <w:pPr>
      <w:spacing w:line="400" w:lineRule="atLeast"/>
    </w:pPr>
    <w:rPr>
      <w:rFonts w:hAnsi="Calibri"/>
      <w:color w:val="auto"/>
      <w:sz w:val="22"/>
      <w:szCs w:val="22"/>
    </w:rPr>
  </w:style>
  <w:style w:type="paragraph" w:customStyle="1" w:styleId="1061">
    <w:name w:val="xl77"/>
    <w:basedOn w:val="1"/>
    <w:qFormat/>
    <w:uiPriority w:val="99"/>
    <w:pPr>
      <w:widowControl/>
      <w:spacing w:before="100" w:beforeAutospacing="1" w:after="100" w:afterAutospacing="1" w:line="276" w:lineRule="auto"/>
      <w:ind w:firstLine="200" w:firstLineChars="200"/>
      <w:jc w:val="left"/>
    </w:pPr>
    <w:rPr>
      <w:rFonts w:ascii="Calibri" w:hAnsi="Calibri"/>
      <w:b/>
      <w:bCs/>
      <w:kern w:val="0"/>
      <w:sz w:val="18"/>
      <w:szCs w:val="18"/>
      <w:lang w:eastAsia="en-US"/>
    </w:rPr>
  </w:style>
  <w:style w:type="paragraph" w:customStyle="1" w:styleId="1062">
    <w:name w:val="xl49"/>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76" w:lineRule="auto"/>
      <w:ind w:firstLine="200" w:firstLineChars="200"/>
      <w:jc w:val="left"/>
    </w:pPr>
    <w:rPr>
      <w:rFonts w:ascii="宋体" w:hAnsi="宋体"/>
      <w:kern w:val="0"/>
      <w:sz w:val="22"/>
      <w:lang w:eastAsia="en-US"/>
    </w:rPr>
  </w:style>
  <w:style w:type="paragraph" w:customStyle="1" w:styleId="1063">
    <w:name w:val="xl10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18"/>
      <w:szCs w:val="18"/>
    </w:rPr>
  </w:style>
  <w:style w:type="paragraph" w:customStyle="1" w:styleId="1064">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065">
    <w:name w:val="CM16"/>
    <w:basedOn w:val="151"/>
    <w:next w:val="151"/>
    <w:qFormat/>
    <w:uiPriority w:val="99"/>
    <w:pPr>
      <w:spacing w:line="440" w:lineRule="atLeast"/>
    </w:pPr>
    <w:rPr>
      <w:rFonts w:hAnsi="Calibri"/>
      <w:color w:val="auto"/>
      <w:sz w:val="22"/>
      <w:szCs w:val="22"/>
    </w:rPr>
  </w:style>
  <w:style w:type="paragraph" w:customStyle="1" w:styleId="1066">
    <w:name w:val="Char Char Char Char Char Char Char Char Char Char"/>
    <w:qFormat/>
    <w:uiPriority w:val="99"/>
    <w:pPr>
      <w:spacing w:before="240" w:after="240" w:line="360" w:lineRule="auto"/>
      <w:ind w:firstLine="200" w:firstLineChars="200"/>
      <w:jc w:val="both"/>
    </w:pPr>
    <w:rPr>
      <w:rFonts w:ascii="Calibri" w:hAnsi="Calibri" w:eastAsia="仿宋_GB2312" w:cs="宋体"/>
      <w:kern w:val="2"/>
      <w:sz w:val="24"/>
      <w:szCs w:val="24"/>
      <w:lang w:val="en-US" w:eastAsia="zh-CN" w:bidi="ar-SA"/>
    </w:rPr>
  </w:style>
  <w:style w:type="paragraph" w:customStyle="1" w:styleId="1067">
    <w:name w:val="CM3"/>
    <w:basedOn w:val="151"/>
    <w:next w:val="151"/>
    <w:qFormat/>
    <w:uiPriority w:val="99"/>
    <w:pPr>
      <w:spacing w:line="433" w:lineRule="atLeast"/>
    </w:pPr>
    <w:rPr>
      <w:rFonts w:hAnsi="Calibri"/>
      <w:color w:val="auto"/>
      <w:sz w:val="22"/>
      <w:szCs w:val="22"/>
    </w:rPr>
  </w:style>
  <w:style w:type="paragraph" w:customStyle="1" w:styleId="1068">
    <w:name w:val="CM11"/>
    <w:basedOn w:val="151"/>
    <w:next w:val="151"/>
    <w:qFormat/>
    <w:uiPriority w:val="99"/>
    <w:pPr>
      <w:spacing w:line="403" w:lineRule="atLeast"/>
    </w:pPr>
    <w:rPr>
      <w:rFonts w:hAnsi="Calibri"/>
      <w:color w:val="auto"/>
      <w:sz w:val="22"/>
      <w:szCs w:val="22"/>
    </w:rPr>
  </w:style>
  <w:style w:type="paragraph" w:customStyle="1" w:styleId="1069">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kern w:val="0"/>
      <w:sz w:val="22"/>
      <w:lang w:eastAsia="en-US"/>
    </w:rPr>
  </w:style>
  <w:style w:type="paragraph" w:customStyle="1" w:styleId="1070">
    <w:name w:val="xl12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71">
    <w:name w:val="CM71"/>
    <w:basedOn w:val="151"/>
    <w:next w:val="151"/>
    <w:qFormat/>
    <w:uiPriority w:val="99"/>
    <w:pPr>
      <w:spacing w:line="468" w:lineRule="atLeast"/>
    </w:pPr>
    <w:rPr>
      <w:rFonts w:hAnsi="Calibri"/>
      <w:color w:val="auto"/>
      <w:sz w:val="22"/>
      <w:szCs w:val="22"/>
    </w:rPr>
  </w:style>
  <w:style w:type="paragraph" w:customStyle="1" w:styleId="1072">
    <w:name w:val="xl80"/>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76" w:lineRule="auto"/>
      <w:ind w:firstLine="200" w:firstLineChars="200"/>
      <w:jc w:val="left"/>
    </w:pPr>
    <w:rPr>
      <w:rFonts w:ascii="Calibri" w:hAnsi="Calibri"/>
      <w:kern w:val="0"/>
      <w:sz w:val="22"/>
      <w:lang w:eastAsia="en-US"/>
    </w:rPr>
  </w:style>
  <w:style w:type="paragraph" w:customStyle="1" w:styleId="1073">
    <w:name w:val="CM36"/>
    <w:basedOn w:val="151"/>
    <w:next w:val="151"/>
    <w:qFormat/>
    <w:uiPriority w:val="99"/>
    <w:pPr>
      <w:spacing w:line="400" w:lineRule="atLeast"/>
    </w:pPr>
    <w:rPr>
      <w:rFonts w:hAnsi="Calibri"/>
      <w:color w:val="auto"/>
      <w:sz w:val="22"/>
      <w:szCs w:val="22"/>
    </w:rPr>
  </w:style>
  <w:style w:type="paragraph" w:customStyle="1" w:styleId="1074">
    <w:name w:val="xl36"/>
    <w:basedOn w:val="1"/>
    <w:qFormat/>
    <w:uiPriority w:val="99"/>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kern w:val="0"/>
      <w:sz w:val="22"/>
      <w:lang w:eastAsia="en-US"/>
    </w:rPr>
  </w:style>
  <w:style w:type="paragraph" w:customStyle="1" w:styleId="1075">
    <w:name w:val="CM51"/>
    <w:basedOn w:val="151"/>
    <w:next w:val="151"/>
    <w:qFormat/>
    <w:uiPriority w:val="99"/>
    <w:rPr>
      <w:rFonts w:hAnsi="Calibri"/>
      <w:color w:val="auto"/>
      <w:sz w:val="22"/>
      <w:szCs w:val="22"/>
    </w:rPr>
  </w:style>
  <w:style w:type="paragraph" w:customStyle="1" w:styleId="1076">
    <w:name w:val="文本块1"/>
    <w:basedOn w:val="1"/>
    <w:qFormat/>
    <w:uiPriority w:val="99"/>
    <w:pPr>
      <w:adjustRightInd w:val="0"/>
      <w:ind w:left="420" w:right="33"/>
      <w:jc w:val="left"/>
      <w:textAlignment w:val="baseline"/>
    </w:pPr>
    <w:rPr>
      <w:rFonts w:ascii="Calibri" w:hAnsi="Calibri"/>
      <w:kern w:val="0"/>
      <w:sz w:val="24"/>
      <w:szCs w:val="24"/>
    </w:rPr>
  </w:style>
  <w:style w:type="paragraph" w:customStyle="1" w:styleId="1077">
    <w:name w:val="CM113"/>
    <w:basedOn w:val="151"/>
    <w:next w:val="151"/>
    <w:qFormat/>
    <w:uiPriority w:val="99"/>
    <w:rPr>
      <w:rFonts w:hAnsi="Calibri"/>
      <w:color w:val="auto"/>
      <w:sz w:val="22"/>
      <w:szCs w:val="22"/>
    </w:rPr>
  </w:style>
  <w:style w:type="paragraph" w:customStyle="1" w:styleId="1078">
    <w:name w:val="正文2"/>
    <w:basedOn w:val="1"/>
    <w:qFormat/>
    <w:uiPriority w:val="99"/>
    <w:pPr>
      <w:spacing w:line="360" w:lineRule="auto"/>
      <w:ind w:right="200" w:rightChars="200"/>
      <w:jc w:val="right"/>
    </w:pPr>
    <w:rPr>
      <w:rFonts w:ascii="宋体" w:hAnsi="Calibri" w:cs="宋体"/>
      <w:szCs w:val="21"/>
    </w:rPr>
  </w:style>
  <w:style w:type="paragraph" w:customStyle="1" w:styleId="1079">
    <w:name w:val="Char Char Char Char Char Char Char Char Char Char Char Char Char Char Char Char Char Char Char Char Char Char Char Char"/>
    <w:basedOn w:val="1"/>
    <w:qFormat/>
    <w:uiPriority w:val="99"/>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1080">
    <w:name w:val="p17"/>
    <w:basedOn w:val="1"/>
    <w:qFormat/>
    <w:uiPriority w:val="99"/>
    <w:pPr>
      <w:widowControl/>
      <w:jc w:val="center"/>
    </w:pPr>
    <w:rPr>
      <w:rFonts w:ascii="黑体" w:hAnsi="宋体" w:eastAsia="黑体" w:cs="宋体"/>
      <w:kern w:val="0"/>
      <w:sz w:val="28"/>
      <w:szCs w:val="28"/>
    </w:rPr>
  </w:style>
  <w:style w:type="paragraph" w:customStyle="1" w:styleId="1081">
    <w:name w:val="CM108"/>
    <w:basedOn w:val="151"/>
    <w:next w:val="151"/>
    <w:qFormat/>
    <w:uiPriority w:val="99"/>
    <w:rPr>
      <w:rFonts w:hAnsi="Calibri"/>
      <w:color w:val="auto"/>
      <w:sz w:val="22"/>
      <w:szCs w:val="22"/>
    </w:rPr>
  </w:style>
  <w:style w:type="paragraph" w:customStyle="1" w:styleId="1082">
    <w:name w:val="(1)"/>
    <w:basedOn w:val="1"/>
    <w:qFormat/>
    <w:uiPriority w:val="99"/>
    <w:pPr>
      <w:widowControl/>
      <w:tabs>
        <w:tab w:val="left" w:pos="573"/>
      </w:tabs>
      <w:adjustRightInd w:val="0"/>
      <w:snapToGrid w:val="0"/>
      <w:spacing w:before="80" w:after="100" w:line="240" w:lineRule="atLeast"/>
      <w:ind w:firstLine="200" w:firstLineChars="200"/>
      <w:jc w:val="left"/>
      <w:textAlignment w:val="baseline"/>
    </w:pPr>
    <w:rPr>
      <w:rFonts w:ascii="Arial" w:hAnsi="Arial"/>
      <w:kern w:val="44"/>
      <w:sz w:val="24"/>
      <w:lang w:eastAsia="en-US"/>
    </w:rPr>
  </w:style>
  <w:style w:type="paragraph" w:customStyle="1" w:styleId="1083">
    <w:name w:val="xl13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84">
    <w:name w:val=".."/>
    <w:basedOn w:val="151"/>
    <w:next w:val="151"/>
    <w:qFormat/>
    <w:uiPriority w:val="99"/>
    <w:rPr>
      <w:rFonts w:hAnsi="Calibri"/>
      <w:sz w:val="22"/>
      <w:szCs w:val="22"/>
    </w:rPr>
  </w:style>
  <w:style w:type="paragraph" w:customStyle="1" w:styleId="1085">
    <w:name w:val="xl52"/>
    <w:basedOn w:val="1"/>
    <w:qFormat/>
    <w:uiPriority w:val="99"/>
    <w:pPr>
      <w:widowControl/>
      <w:pBdr>
        <w:top w:val="single" w:color="auto" w:sz="4" w:space="0"/>
        <w:left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kern w:val="0"/>
      <w:sz w:val="22"/>
      <w:lang w:eastAsia="en-US"/>
    </w:rPr>
  </w:style>
  <w:style w:type="paragraph" w:customStyle="1" w:styleId="1086">
    <w:name w:val="Char Char Char Char Char Char Char Char Char Char Char Char Char Char Char Char Char Char Char"/>
    <w:basedOn w:val="1"/>
    <w:qFormat/>
    <w:uiPriority w:val="99"/>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1087">
    <w:name w:val="Char Char Char Char Char Char Char Char Char1"/>
    <w:basedOn w:val="1"/>
    <w:qFormat/>
    <w:uiPriority w:val="99"/>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1088">
    <w:name w:val="样式 首行缩进:  0.99 厘米"/>
    <w:basedOn w:val="1"/>
    <w:qFormat/>
    <w:uiPriority w:val="99"/>
    <w:pPr>
      <w:spacing w:line="360" w:lineRule="auto"/>
      <w:ind w:firstLine="561"/>
    </w:pPr>
    <w:rPr>
      <w:rFonts w:ascii="Calibri" w:hAnsi="Calibri" w:cs="宋体"/>
      <w:sz w:val="28"/>
      <w:szCs w:val="20"/>
    </w:rPr>
  </w:style>
  <w:style w:type="paragraph" w:customStyle="1" w:styleId="1089">
    <w:name w:val="Body"/>
    <w:qFormat/>
    <w:uiPriority w:val="99"/>
    <w:pPr>
      <w:tabs>
        <w:tab w:val="left" w:pos="720"/>
        <w:tab w:val="left" w:pos="1152"/>
        <w:tab w:val="left" w:pos="1584"/>
        <w:tab w:val="left" w:pos="2016"/>
      </w:tabs>
      <w:overflowPunct w:val="0"/>
      <w:autoSpaceDE w:val="0"/>
      <w:autoSpaceDN w:val="0"/>
      <w:adjustRightInd w:val="0"/>
      <w:spacing w:before="180" w:after="200" w:line="276" w:lineRule="auto"/>
      <w:ind w:left="720" w:firstLine="200" w:firstLineChars="200"/>
      <w:jc w:val="both"/>
      <w:textAlignment w:val="baseline"/>
    </w:pPr>
    <w:rPr>
      <w:rFonts w:ascii="Calibri" w:hAnsi="Calibri" w:eastAsia="宋体" w:cs="Times New Roman"/>
      <w:sz w:val="22"/>
      <w:szCs w:val="22"/>
      <w:lang w:val="en-US" w:eastAsia="en-US" w:bidi="ar-SA"/>
    </w:rPr>
  </w:style>
  <w:style w:type="paragraph" w:customStyle="1" w:styleId="1090">
    <w:name w:val="Char Char Char Char Char Char Char Char"/>
    <w:basedOn w:val="1"/>
    <w:qFormat/>
    <w:uiPriority w:val="99"/>
    <w:pPr>
      <w:widowControl/>
      <w:spacing w:after="160" w:line="240" w:lineRule="exact"/>
      <w:ind w:firstLine="200" w:firstLineChars="200"/>
      <w:jc w:val="left"/>
    </w:pPr>
    <w:rPr>
      <w:rFonts w:ascii="Verdana" w:hAnsi="Verdana"/>
      <w:kern w:val="0"/>
      <w:sz w:val="20"/>
      <w:szCs w:val="20"/>
      <w:lang w:eastAsia="en-US"/>
    </w:rPr>
  </w:style>
  <w:style w:type="paragraph" w:customStyle="1" w:styleId="1091">
    <w:name w:val="CM2"/>
    <w:basedOn w:val="151"/>
    <w:next w:val="151"/>
    <w:qFormat/>
    <w:uiPriority w:val="99"/>
    <w:pPr>
      <w:spacing w:line="500" w:lineRule="atLeast"/>
    </w:pPr>
    <w:rPr>
      <w:rFonts w:hAnsi="Calibri"/>
      <w:color w:val="auto"/>
      <w:sz w:val="22"/>
      <w:szCs w:val="22"/>
    </w:rPr>
  </w:style>
  <w:style w:type="paragraph" w:customStyle="1" w:styleId="1092">
    <w:name w:val="CM9"/>
    <w:basedOn w:val="151"/>
    <w:next w:val="151"/>
    <w:qFormat/>
    <w:uiPriority w:val="99"/>
    <w:pPr>
      <w:spacing w:line="400" w:lineRule="atLeast"/>
    </w:pPr>
    <w:rPr>
      <w:rFonts w:hAnsi="Calibri"/>
      <w:color w:val="auto"/>
      <w:sz w:val="22"/>
      <w:szCs w:val="22"/>
    </w:rPr>
  </w:style>
  <w:style w:type="paragraph" w:customStyle="1" w:styleId="1093">
    <w:name w:val="CM102"/>
    <w:basedOn w:val="151"/>
    <w:next w:val="151"/>
    <w:qFormat/>
    <w:uiPriority w:val="99"/>
    <w:rPr>
      <w:rFonts w:hAnsi="Calibri"/>
      <w:color w:val="auto"/>
      <w:sz w:val="22"/>
      <w:szCs w:val="22"/>
    </w:rPr>
  </w:style>
  <w:style w:type="paragraph" w:customStyle="1" w:styleId="1094">
    <w:name w:val="xl60"/>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line="276" w:lineRule="auto"/>
      <w:ind w:firstLine="200" w:firstLineChars="200"/>
      <w:jc w:val="right"/>
    </w:pPr>
    <w:rPr>
      <w:rFonts w:ascii="宋体" w:hAnsi="宋体"/>
      <w:color w:val="FF0000"/>
      <w:kern w:val="0"/>
      <w:sz w:val="22"/>
      <w:lang w:eastAsia="en-US"/>
    </w:rPr>
  </w:style>
  <w:style w:type="paragraph" w:customStyle="1" w:styleId="1095">
    <w:name w:val="CM66"/>
    <w:basedOn w:val="151"/>
    <w:next w:val="151"/>
    <w:qFormat/>
    <w:uiPriority w:val="99"/>
    <w:rPr>
      <w:rFonts w:hAnsi="Calibri"/>
      <w:color w:val="auto"/>
      <w:sz w:val="22"/>
      <w:szCs w:val="22"/>
    </w:rPr>
  </w:style>
  <w:style w:type="paragraph" w:customStyle="1" w:styleId="1096">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color w:val="FF0000"/>
      <w:kern w:val="0"/>
      <w:sz w:val="22"/>
      <w:lang w:eastAsia="en-US"/>
    </w:rPr>
  </w:style>
  <w:style w:type="paragraph" w:customStyle="1" w:styleId="1097">
    <w:name w:val="scc"/>
    <w:basedOn w:val="1"/>
    <w:qFormat/>
    <w:uiPriority w:val="99"/>
    <w:pPr>
      <w:adjustRightInd w:val="0"/>
      <w:spacing w:line="400" w:lineRule="atLeast"/>
      <w:jc w:val="center"/>
      <w:textAlignment w:val="baseline"/>
    </w:pPr>
    <w:rPr>
      <w:rFonts w:ascii="Calibri" w:hAnsi="Calibri" w:eastAsia="楷体_GB2312"/>
      <w:b/>
      <w:bCs/>
      <w:kern w:val="0"/>
      <w:sz w:val="24"/>
      <w:szCs w:val="24"/>
    </w:rPr>
  </w:style>
  <w:style w:type="paragraph" w:customStyle="1" w:styleId="1098">
    <w:name w:val="样式 样式 样式 宋体 小四 黑色 两端对齐 + 首行缩进:  2 字符 + 五号 首行缩进:  2 字符"/>
    <w:basedOn w:val="1"/>
    <w:qFormat/>
    <w:uiPriority w:val="99"/>
    <w:pPr>
      <w:widowControl/>
      <w:spacing w:line="340" w:lineRule="exact"/>
      <w:ind w:firstLine="200" w:firstLineChars="200"/>
    </w:pPr>
    <w:rPr>
      <w:rFonts w:ascii="宋体" w:hAnsi="宋体"/>
      <w:color w:val="000000"/>
      <w:kern w:val="0"/>
      <w:szCs w:val="20"/>
    </w:rPr>
  </w:style>
  <w:style w:type="paragraph" w:customStyle="1" w:styleId="1099">
    <w:name w:val="Char21"/>
    <w:basedOn w:val="1"/>
    <w:qFormat/>
    <w:uiPriority w:val="99"/>
    <w:pPr>
      <w:spacing w:after="160" w:line="240" w:lineRule="exact"/>
      <w:ind w:firstLine="584"/>
    </w:pPr>
    <w:rPr>
      <w:rFonts w:ascii="Verdana" w:hAnsi="Verdana" w:eastAsia="仿宋_GB2312"/>
      <w:sz w:val="28"/>
      <w:szCs w:val="20"/>
      <w:lang w:eastAsia="en-US"/>
    </w:rPr>
  </w:style>
  <w:style w:type="paragraph" w:customStyle="1" w:styleId="1100">
    <w:name w:val="Char Char Char Char Char Char Char Char Char1 Char2"/>
    <w:basedOn w:val="1"/>
    <w:qFormat/>
    <w:uiPriority w:val="0"/>
    <w:rPr>
      <w:rFonts w:ascii="Tahoma" w:hAnsi="Tahoma"/>
      <w:sz w:val="24"/>
      <w:szCs w:val="20"/>
    </w:rPr>
  </w:style>
  <w:style w:type="paragraph" w:customStyle="1" w:styleId="1101">
    <w:name w:val="Char34"/>
    <w:basedOn w:val="1"/>
    <w:qFormat/>
    <w:uiPriority w:val="0"/>
    <w:pPr>
      <w:widowControl/>
      <w:spacing w:after="160" w:line="240" w:lineRule="exact"/>
      <w:jc w:val="left"/>
    </w:pPr>
    <w:rPr>
      <w:kern w:val="0"/>
      <w:sz w:val="20"/>
      <w:szCs w:val="20"/>
    </w:rPr>
  </w:style>
  <w:style w:type="paragraph" w:customStyle="1" w:styleId="11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103">
    <w:name w:val="引用2"/>
    <w:basedOn w:val="1"/>
    <w:next w:val="1"/>
    <w:qFormat/>
    <w:uiPriority w:val="99"/>
    <w:rPr>
      <w:i/>
      <w:color w:val="000000"/>
      <w:sz w:val="22"/>
      <w:szCs w:val="20"/>
      <w:lang w:val="zh-CN"/>
    </w:rPr>
  </w:style>
  <w:style w:type="paragraph" w:customStyle="1" w:styleId="1104">
    <w:name w:val="明显引用2"/>
    <w:basedOn w:val="1"/>
    <w:next w:val="1"/>
    <w:qFormat/>
    <w:uiPriority w:val="99"/>
    <w:pPr>
      <w:pBdr>
        <w:bottom w:val="single" w:color="4F81BD" w:sz="4" w:space="4"/>
      </w:pBdr>
      <w:spacing w:before="200" w:after="280"/>
      <w:ind w:left="936" w:right="936"/>
    </w:pPr>
    <w:rPr>
      <w:b/>
      <w:i/>
      <w:color w:val="4F81BD"/>
      <w:sz w:val="22"/>
      <w:szCs w:val="20"/>
      <w:lang w:val="zh-CN"/>
    </w:rPr>
  </w:style>
  <w:style w:type="paragraph" w:customStyle="1" w:styleId="1105">
    <w:name w:val="纯文本2"/>
    <w:basedOn w:val="1"/>
    <w:qFormat/>
    <w:uiPriority w:val="0"/>
    <w:rPr>
      <w:rFonts w:ascii="宋体" w:hAnsi="Courier New"/>
      <w:color w:val="000000"/>
      <w:szCs w:val="20"/>
    </w:rPr>
  </w:style>
  <w:style w:type="paragraph" w:customStyle="1" w:styleId="1106">
    <w:name w:val="tableparagraph"/>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1107">
    <w:name w:val="Table Normal"/>
    <w:unhideWhenUsed/>
    <w:qFormat/>
    <w:uiPriority w:val="0"/>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1108">
    <w:name w:val="网格型1"/>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09">
    <w:name w:val="Table Normal1"/>
    <w:qFormat/>
    <w:uiPriority w:val="99"/>
    <w:pPr>
      <w:widowControl w:val="0"/>
    </w:pPr>
    <w:rPr>
      <w:rFonts w:ascii="Calibri" w:hAnsi="Calibri"/>
      <w:sz w:val="22"/>
      <w:lang w:eastAsia="en-US"/>
    </w:rPr>
    <w:tblPr>
      <w:tblCellMar>
        <w:top w:w="0" w:type="dxa"/>
        <w:left w:w="0" w:type="dxa"/>
        <w:bottom w:w="0" w:type="dxa"/>
        <w:right w:w="0" w:type="dxa"/>
      </w:tblCellMar>
    </w:tblPr>
  </w:style>
  <w:style w:type="paragraph" w:customStyle="1" w:styleId="1110">
    <w:name w:val="z正文首行缩进"/>
    <w:basedOn w:val="23"/>
    <w:qFormat/>
    <w:uiPriority w:val="0"/>
    <w:pPr>
      <w:widowControl/>
      <w:tabs>
        <w:tab w:val="right" w:leader="dot" w:pos="9060"/>
      </w:tabs>
      <w:spacing w:after="0" w:line="312" w:lineRule="auto"/>
      <w:ind w:firstLine="200" w:firstLineChars="200"/>
      <w:jc w:val="left"/>
    </w:pPr>
    <w:rPr>
      <w:rFonts w:ascii="金山简黑体" w:hAnsi="Courier New"/>
      <w:spacing w:val="-8"/>
      <w:kern w:val="0"/>
      <w:sz w:val="24"/>
      <w:szCs w:val="20"/>
      <w:lang w:val="zh-CN"/>
    </w:rPr>
  </w:style>
  <w:style w:type="character" w:customStyle="1" w:styleId="1111">
    <w:name w:val="标题 4 Char"/>
    <w:qFormat/>
    <w:uiPriority w:val="0"/>
    <w:rPr>
      <w:rFonts w:ascii="Arial" w:hAnsi="Arial" w:eastAsia="黑体"/>
      <w:b/>
      <w:bCs/>
      <w:kern w:val="2"/>
      <w:sz w:val="28"/>
      <w:szCs w:val="28"/>
    </w:rPr>
  </w:style>
  <w:style w:type="paragraph" w:customStyle="1" w:styleId="1112">
    <w:name w:val="Normal Indent1"/>
    <w:basedOn w:val="1"/>
    <w:qFormat/>
    <w:uiPriority w:val="0"/>
    <w:pPr>
      <w:spacing w:line="360" w:lineRule="auto"/>
      <w:ind w:firstLine="420" w:firstLineChars="200"/>
    </w:pPr>
    <w:rPr>
      <w:rFonts w:ascii="Lucida Sans Unicode" w:hAnsi="Lucida Sans Unicode" w:cs="Lucida Sans Unicode"/>
      <w:sz w:val="24"/>
      <w:szCs w:val="20"/>
    </w:rPr>
  </w:style>
  <w:style w:type="paragraph" w:customStyle="1" w:styleId="1113">
    <w:name w:val="样式 首行缩进:  2 字符"/>
    <w:basedOn w:val="1"/>
    <w:qFormat/>
    <w:uiPriority w:val="0"/>
    <w:pPr>
      <w:spacing w:line="400" w:lineRule="exact"/>
      <w:ind w:firstLine="200" w:firstLineChars="200"/>
    </w:pPr>
    <w:rPr>
      <w:rFonts w:ascii="Lucida Sans Unicode" w:hAnsi="Lucida Sans Unicode" w:cs="宋体"/>
      <w:sz w:val="24"/>
      <w:szCs w:val="24"/>
    </w:rPr>
  </w:style>
  <w:style w:type="paragraph" w:customStyle="1" w:styleId="1114">
    <w:name w:val="UserStyle_24"/>
    <w:basedOn w:val="1"/>
    <w:qFormat/>
    <w:uiPriority w:val="0"/>
    <w:pPr>
      <w:spacing w:line="400" w:lineRule="exact"/>
      <w:ind w:firstLine="200" w:firstLineChars="200"/>
    </w:pPr>
    <w:rPr>
      <w:rFonts w:ascii="Lucida Sans Unicode" w:hAnsi="Lucida Sans Unicode" w:cs="Lucida Sans Unicode"/>
      <w:sz w:val="24"/>
      <w:szCs w:val="24"/>
    </w:rPr>
  </w:style>
  <w:style w:type="paragraph" w:customStyle="1" w:styleId="1115">
    <w:name w:val="Body Text First Indent 21"/>
    <w:basedOn w:val="1"/>
    <w:qFormat/>
    <w:uiPriority w:val="0"/>
    <w:pPr>
      <w:adjustRightInd w:val="0"/>
      <w:spacing w:after="120" w:line="360" w:lineRule="atLeast"/>
      <w:ind w:left="420" w:leftChars="200" w:firstLine="420" w:firstLineChars="200"/>
      <w:jc w:val="left"/>
    </w:pPr>
    <w:rPr>
      <w:rFonts w:cs="Lucida Sans Unicode"/>
      <w:kern w:val="0"/>
      <w:sz w:val="24"/>
      <w:szCs w:val="20"/>
    </w:rPr>
  </w:style>
  <w:style w:type="paragraph" w:customStyle="1" w:styleId="1116">
    <w:name w:val="Table Text"/>
    <w:basedOn w:val="1"/>
    <w:qFormat/>
    <w:uiPriority w:val="0"/>
    <w:pPr>
      <w:widowControl/>
      <w:kinsoku w:val="0"/>
      <w:autoSpaceDE w:val="0"/>
      <w:autoSpaceDN w:val="0"/>
      <w:adjustRightInd w:val="0"/>
      <w:snapToGrid w:val="0"/>
      <w:jc w:val="left"/>
    </w:pPr>
    <w:rPr>
      <w:rFonts w:ascii="宋体" w:hAnsi="宋体" w:cs="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68</Pages>
  <Words>19925</Words>
  <Characters>21263</Characters>
  <Lines>302</Lines>
  <Paragraphs>85</Paragraphs>
  <TotalTime>36</TotalTime>
  <ScaleCrop>false</ScaleCrop>
  <LinksUpToDate>false</LinksUpToDate>
  <CharactersWithSpaces>21467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2026-06-18T01:24:00Z</dcterms:created>
  <dc:creator>王</dc:creator>
  <cp:lastModifiedBy>符号</cp:lastModifiedBy>
  <cp:lastPrinted>2026-04-28T00:54:00Z</cp:lastPrinted>
  <dcterms:modified xsi:type="dcterms:W3CDTF">2026-06-24T08:43:58Z</dcterms:modified>
  <dc:title>竞争性磋商文件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ECD7077E79F840C6A31B9B29A5ABA816_13</vt:lpwstr>
  </property>
  <property fmtid="{D5CDD505-2E9C-101B-9397-08002B2CF9AE}" pid="4" name="KSOTemplateDocerSaveRecord">
    <vt:lpwstr>eyJoZGlkIjoiZDBhMjlkMWVkOWU1MmNmYmI1OWFkYmZkZTE3YTZjZTQiLCJ1c2VySWQiOiIzNjE2NjA5NTcifQ==</vt:lpwstr>
  </property>
</Properties>
</file>