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485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2312" w:cs="Times New Roman"/>
          <w:sz w:val="32"/>
          <w:szCs w:val="32"/>
        </w:rPr>
      </w:pPr>
    </w:p>
    <w:p w14:paraId="4745A4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32"/>
          <w:szCs w:val="32"/>
        </w:rPr>
      </w:pPr>
    </w:p>
    <w:p w14:paraId="0BAB31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32"/>
          <w:szCs w:val="32"/>
        </w:rPr>
      </w:pPr>
    </w:p>
    <w:p w14:paraId="19EA89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云南省石林县钙基新材料</w:t>
      </w:r>
      <w:r>
        <w:rPr>
          <w:rFonts w:hint="eastAsia" w:ascii="Times New Roman" w:hAnsi="Times New Roman" w:eastAsia="黑体" w:cs="Times New Roman"/>
          <w:sz w:val="44"/>
          <w:szCs w:val="44"/>
          <w:lang w:eastAsia="zh-CN"/>
        </w:rPr>
        <w:t>（</w:t>
      </w:r>
      <w:r>
        <w:rPr>
          <w:rFonts w:hint="eastAsia" w:ascii="Times New Roman" w:hAnsi="Times New Roman" w:eastAsia="黑体" w:cs="Times New Roman"/>
          <w:sz w:val="44"/>
          <w:szCs w:val="44"/>
          <w:lang w:val="en-US" w:eastAsia="zh-CN"/>
        </w:rPr>
        <w:t>石材）</w:t>
      </w:r>
      <w:r>
        <w:rPr>
          <w:rFonts w:hint="default" w:ascii="Times New Roman" w:hAnsi="Times New Roman" w:eastAsia="黑体" w:cs="Times New Roman"/>
          <w:sz w:val="44"/>
          <w:szCs w:val="44"/>
        </w:rPr>
        <w:t>产业发展</w:t>
      </w:r>
    </w:p>
    <w:p w14:paraId="673E38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sz w:val="44"/>
          <w:szCs w:val="44"/>
        </w:rPr>
      </w:pPr>
      <w:r>
        <w:rPr>
          <w:rFonts w:hint="eastAsia" w:ascii="Times New Roman" w:hAnsi="Times New Roman" w:eastAsia="黑体" w:cs="Times New Roman"/>
          <w:sz w:val="44"/>
          <w:szCs w:val="44"/>
          <w:lang w:eastAsia="zh-CN"/>
        </w:rPr>
        <w:t>“</w:t>
      </w:r>
      <w:r>
        <w:rPr>
          <w:rFonts w:hint="default" w:ascii="Times New Roman" w:hAnsi="Times New Roman" w:eastAsia="黑体" w:cs="Times New Roman"/>
          <w:sz w:val="44"/>
          <w:szCs w:val="44"/>
          <w:lang w:val="en-US" w:eastAsia="zh-CN"/>
        </w:rPr>
        <w:t>十五五</w:t>
      </w:r>
      <w:r>
        <w:rPr>
          <w:rFonts w:hint="eastAsia" w:ascii="Times New Roman" w:hAnsi="Times New Roman" w:eastAsia="黑体" w:cs="Times New Roman"/>
          <w:sz w:val="44"/>
          <w:szCs w:val="44"/>
          <w:lang w:eastAsia="zh-CN"/>
        </w:rPr>
        <w:t>”</w:t>
      </w:r>
      <w:r>
        <w:rPr>
          <w:rFonts w:hint="default" w:ascii="Times New Roman" w:hAnsi="Times New Roman" w:eastAsia="黑体" w:cs="Times New Roman"/>
          <w:sz w:val="44"/>
          <w:szCs w:val="44"/>
        </w:rPr>
        <w:t>规划</w:t>
      </w:r>
    </w:p>
    <w:p w14:paraId="69008A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sz w:val="44"/>
          <w:szCs w:val="44"/>
        </w:rPr>
      </w:pPr>
    </w:p>
    <w:p w14:paraId="19370D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黑体" w:cs="Times New Roman"/>
          <w:sz w:val="44"/>
          <w:szCs w:val="44"/>
          <w:lang w:val="en-US" w:eastAsia="zh-CN"/>
        </w:rPr>
      </w:pPr>
      <w:r>
        <w:rPr>
          <w:rFonts w:hint="eastAsia" w:ascii="Times New Roman" w:hAnsi="Times New Roman" w:eastAsia="黑体" w:cs="Times New Roman"/>
          <w:sz w:val="44"/>
          <w:szCs w:val="44"/>
          <w:lang w:eastAsia="zh-CN"/>
        </w:rPr>
        <w:t>（</w:t>
      </w:r>
      <w:r>
        <w:rPr>
          <w:rFonts w:hint="eastAsia" w:ascii="Times New Roman" w:hAnsi="Times New Roman" w:eastAsia="黑体" w:cs="Times New Roman"/>
          <w:sz w:val="44"/>
          <w:szCs w:val="44"/>
          <w:lang w:val="en-US" w:eastAsia="zh-CN"/>
        </w:rPr>
        <w:t>征求意见稿）</w:t>
      </w:r>
    </w:p>
    <w:p w14:paraId="340FD0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32"/>
          <w:szCs w:val="32"/>
        </w:rPr>
      </w:pPr>
    </w:p>
    <w:p w14:paraId="1EA1228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549B04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sz w:val="30"/>
          <w:szCs w:val="30"/>
        </w:rPr>
      </w:pPr>
    </w:p>
    <w:p w14:paraId="04839B8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4332DC7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4E303AA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7EFB44E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266764F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205F854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262E61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2312" w:cs="Times New Roman"/>
          <w:sz w:val="30"/>
          <w:szCs w:val="30"/>
        </w:rPr>
      </w:pPr>
    </w:p>
    <w:p w14:paraId="3315475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2B79401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p>
    <w:p w14:paraId="338F70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云南省石林县人民政府</w:t>
      </w:r>
    </w:p>
    <w:p w14:paraId="3B0803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二0二六年</w:t>
      </w:r>
      <w:r>
        <w:rPr>
          <w:rFonts w:hint="eastAsia" w:ascii="Times New Roman" w:hAnsi="Times New Roman" w:eastAsia="黑体" w:cs="Times New Roman"/>
          <w:sz w:val="32"/>
          <w:szCs w:val="32"/>
          <w:lang w:val="en-US" w:eastAsia="zh-CN"/>
        </w:rPr>
        <w:t>五</w:t>
      </w:r>
      <w:bookmarkStart w:id="10" w:name="_GoBack"/>
      <w:bookmarkEnd w:id="10"/>
      <w:r>
        <w:rPr>
          <w:rFonts w:hint="default" w:ascii="Times New Roman" w:hAnsi="Times New Roman" w:eastAsia="黑体" w:cs="Times New Roman"/>
          <w:sz w:val="32"/>
          <w:szCs w:val="32"/>
          <w:lang w:val="en-US" w:eastAsia="zh-CN"/>
        </w:rPr>
        <w:t>月</w:t>
      </w:r>
    </w:p>
    <w:p w14:paraId="7210CD44">
      <w:pPr>
        <w:keepNext w:val="0"/>
        <w:keepLines w:val="0"/>
        <w:pageBreakBefore w:val="0"/>
        <w:widowControl w:val="0"/>
        <w:kinsoku/>
        <w:wordWrap/>
        <w:topLinePunct w:val="0"/>
        <w:bidi w:val="0"/>
        <w:adjustRightInd/>
        <w:snapToGrid/>
        <w:spacing w:line="360" w:lineRule="auto"/>
        <w:rPr>
          <w:rFonts w:hint="default" w:ascii="Times New Roman" w:hAnsi="Times New Roman" w:eastAsia="方正仿宋_GB2312" w:cs="Times New Roman"/>
          <w:sz w:val="30"/>
          <w:szCs w:val="30"/>
        </w:rPr>
      </w:pPr>
    </w:p>
    <w:p w14:paraId="5C7CBD1A">
      <w:pPr>
        <w:keepNext w:val="0"/>
        <w:keepLines w:val="0"/>
        <w:pageBreakBefore w:val="0"/>
        <w:widowControl w:val="0"/>
        <w:kinsoku/>
        <w:wordWrap/>
        <w:overflowPunct/>
        <w:topLinePunct w:val="0"/>
        <w:autoSpaceDE w:val="0"/>
        <w:autoSpaceDN w:val="0"/>
        <w:bidi w:val="0"/>
        <w:adjustRightInd/>
        <w:snapToGrid/>
        <w:spacing w:before="158" w:line="360" w:lineRule="auto"/>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E71C74">
      <w:pPr>
        <w:keepNext w:val="0"/>
        <w:keepLines w:val="0"/>
        <w:pageBreakBefore w:val="0"/>
        <w:widowControl w:val="0"/>
        <w:kinsoku/>
        <w:wordWrap/>
        <w:overflowPunct/>
        <w:topLinePunct w:val="0"/>
        <w:autoSpaceDE w:val="0"/>
        <w:autoSpaceDN w:val="0"/>
        <w:bidi w:val="0"/>
        <w:adjustRightInd/>
        <w:snapToGrid/>
        <w:spacing w:before="158" w:line="360" w:lineRule="auto"/>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en-US"/>
        </w:rPr>
      </w:pPr>
      <w:r>
        <w:rPr>
          <w:rFonts w:hint="default" w:ascii="Times New Roman" w:hAnsi="Times New Roman" w:eastAsia="黑体" w:cs="Times New Roman"/>
          <w:snapToGrid w:val="0"/>
          <w:color w:val="000000"/>
          <w:spacing w:val="-6"/>
          <w:kern w:val="0"/>
          <w:position w:val="-2"/>
          <w:sz w:val="32"/>
          <w:szCs w:val="32"/>
          <w:lang w:val="en-US" w:eastAsia="zh-CN"/>
        </w:rPr>
        <w:t>一、</w:t>
      </w:r>
      <w:r>
        <w:rPr>
          <w:rFonts w:hint="default" w:ascii="Times New Roman" w:hAnsi="Times New Roman" w:eastAsia="黑体" w:cs="Times New Roman"/>
          <w:snapToGrid w:val="0"/>
          <w:color w:val="000000"/>
          <w:spacing w:val="-6"/>
          <w:kern w:val="0"/>
          <w:position w:val="-2"/>
          <w:sz w:val="32"/>
          <w:szCs w:val="32"/>
          <w:lang w:val="en-US" w:eastAsia="en-US"/>
        </w:rPr>
        <w:t>前</w:t>
      </w:r>
      <w:r>
        <w:rPr>
          <w:rFonts w:hint="default" w:ascii="Times New Roman" w:hAnsi="Times New Roman" w:eastAsia="黑体" w:cs="Times New Roman"/>
          <w:snapToGrid w:val="0"/>
          <w:color w:val="000000"/>
          <w:spacing w:val="-6"/>
          <w:kern w:val="0"/>
          <w:position w:val="-2"/>
          <w:sz w:val="32"/>
          <w:szCs w:val="32"/>
          <w:lang w:val="en-US" w:eastAsia="zh-CN"/>
        </w:rPr>
        <w:t xml:space="preserve">  </w:t>
      </w:r>
      <w:r>
        <w:rPr>
          <w:rFonts w:hint="default" w:ascii="Times New Roman" w:hAnsi="Times New Roman" w:eastAsia="黑体" w:cs="Times New Roman"/>
          <w:snapToGrid w:val="0"/>
          <w:color w:val="000000"/>
          <w:spacing w:val="-6"/>
          <w:kern w:val="0"/>
          <w:position w:val="-2"/>
          <w:sz w:val="32"/>
          <w:szCs w:val="32"/>
          <w:lang w:val="en-US" w:eastAsia="en-US"/>
        </w:rPr>
        <w:t>言</w:t>
      </w:r>
    </w:p>
    <w:p w14:paraId="6F8A3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1"/>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一）规划的背景</w:t>
      </w:r>
    </w:p>
    <w:p w14:paraId="49272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eastAsia="zh-CN"/>
        </w:rPr>
      </w:pP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十五五</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时期，我国发展环境面临深刻复杂变化，</w:t>
      </w:r>
      <w:r>
        <w:rPr>
          <w:rFonts w:hint="default" w:ascii="Times New Roman" w:hAnsi="Times New Roman" w:eastAsia="方正仿宋_GB2312" w:cs="Times New Roman"/>
          <w:sz w:val="30"/>
          <w:szCs w:val="30"/>
          <w:lang w:val="en-US" w:eastAsia="zh-CN"/>
        </w:rPr>
        <w:t>是</w:t>
      </w:r>
      <w:r>
        <w:rPr>
          <w:rFonts w:hint="default" w:ascii="Times New Roman" w:hAnsi="Times New Roman" w:eastAsia="方正仿宋_GB2312" w:cs="Times New Roman"/>
          <w:sz w:val="30"/>
          <w:szCs w:val="30"/>
          <w:lang w:eastAsia="zh-CN"/>
        </w:rPr>
        <w:t>巩固拓展优势、破除瓶颈制约、补强短板弱项，在激烈竞争中赢得战略主动，推动事关中国式现代化全局战略任务取得重大突破，进一步迈向2035 年基本实现现代化目标的</w:t>
      </w:r>
      <w:r>
        <w:rPr>
          <w:rFonts w:hint="default" w:ascii="Times New Roman" w:hAnsi="Times New Roman" w:eastAsia="方正仿宋_GB2312" w:cs="Times New Roman"/>
          <w:sz w:val="30"/>
          <w:szCs w:val="30"/>
          <w:lang w:val="en-US" w:eastAsia="zh-CN"/>
        </w:rPr>
        <w:t>战略时期</w:t>
      </w:r>
      <w:r>
        <w:rPr>
          <w:rFonts w:hint="default" w:ascii="Times New Roman" w:hAnsi="Times New Roman" w:eastAsia="方正仿宋_GB2312" w:cs="Times New Roman"/>
          <w:sz w:val="30"/>
          <w:szCs w:val="30"/>
          <w:lang w:eastAsia="zh-CN"/>
        </w:rPr>
        <w:t>。</w:t>
      </w:r>
      <w:r>
        <w:rPr>
          <w:rFonts w:hint="eastAsia" w:ascii="Times New Roman" w:hAnsi="Times New Roman" w:eastAsia="方正仿宋_GB2312" w:cs="Times New Roman"/>
          <w:sz w:val="30"/>
          <w:szCs w:val="30"/>
          <w:lang w:val="en-US" w:eastAsia="zh-CN"/>
        </w:rPr>
        <w:t>是</w:t>
      </w:r>
      <w:r>
        <w:rPr>
          <w:rFonts w:hint="default" w:ascii="Times New Roman" w:hAnsi="Times New Roman" w:eastAsia="方正仿宋_GB2312" w:cs="Times New Roman"/>
          <w:sz w:val="30"/>
          <w:szCs w:val="30"/>
          <w:lang w:eastAsia="zh-CN"/>
        </w:rPr>
        <w:t>云南省高质量跨越式发展关键期、经济转型升级攻坚期、政策叠加机遇期和</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3815</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战略</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八年大发展</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决胜期。石林县作为云南县域发展的重要支点，处于爬坡过坎、赶超跨越的关键黄金窗口期，是产业结构重塑、工业强县突破的关键攻坚阶段。</w:t>
      </w:r>
    </w:p>
    <w:p w14:paraId="4EC77C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石林县拥有优质丰富的石灰岩资源，是发展钙基新材料与石材产业的天然优势区。经过多年发展，当地已形成以石材开采、加工为主的产业基础，成为县域工业重要支撑，但同时存在产业链偏短、产品附加值不高、企业小散弱、绿色发展压力较大等突出问题。“十五五”时期，</w:t>
      </w:r>
      <w:r>
        <w:rPr>
          <w:rFonts w:hint="default" w:ascii="Times New Roman" w:hAnsi="Times New Roman" w:eastAsia="方正仿宋_GB2312" w:cs="Times New Roman"/>
          <w:sz w:val="30"/>
          <w:szCs w:val="30"/>
          <w:lang w:eastAsia="zh-CN"/>
        </w:rPr>
        <w:t>国家大力推动新材料产业发展、加快资源型产业绿色转型与高质量发展，</w:t>
      </w:r>
      <w:r>
        <w:rPr>
          <w:rFonts w:hint="eastAsia" w:ascii="Times New Roman" w:hAnsi="Times New Roman" w:eastAsia="方正仿宋_GB2312" w:cs="Times New Roman"/>
          <w:sz w:val="30"/>
          <w:szCs w:val="30"/>
          <w:lang w:val="en-US" w:eastAsia="zh-CN"/>
        </w:rPr>
        <w:t>云南省、昆明市持续布局先进基础材料、绿色建材及特色优势产业，为石林县推动石材产业从传统建材向钙基新材料升级提供了重大政策机遇与市场空间。</w:t>
      </w:r>
    </w:p>
    <w:p w14:paraId="3761E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在此背景下，编制石林县钙基新材料（石材）产业 “十五五” 发展规划，既是立足资源禀赋、破解</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旅游一业独大、工业薄弱</w:t>
      </w:r>
      <w:r>
        <w:rPr>
          <w:rFonts w:hint="eastAsia" w:ascii="Times New Roman" w:hAnsi="Times New Roman" w:eastAsia="方正仿宋_GB2312" w:cs="Times New Roman"/>
          <w:sz w:val="30"/>
          <w:szCs w:val="30"/>
          <w:lang w:eastAsia="zh-CN"/>
        </w:rPr>
        <w:t>”</w:t>
      </w:r>
      <w:r>
        <w:rPr>
          <w:rFonts w:hint="eastAsia" w:ascii="Times New Roman" w:hAnsi="Times New Roman" w:eastAsia="方正仿宋_GB2312" w:cs="Times New Roman"/>
          <w:sz w:val="30"/>
          <w:szCs w:val="30"/>
          <w:lang w:val="en-US" w:eastAsia="zh-CN"/>
        </w:rPr>
        <w:t>产业瓶颈的现实需要，也是做强工业支柱、优化经济结构、实现生态保护与产业发展协同，</w:t>
      </w:r>
      <w:r>
        <w:rPr>
          <w:rFonts w:hint="default" w:ascii="Times New Roman" w:hAnsi="Times New Roman" w:eastAsia="方正仿宋_GB2312" w:cs="Times New Roman"/>
          <w:sz w:val="30"/>
          <w:szCs w:val="30"/>
          <w:lang w:eastAsia="zh-CN"/>
        </w:rPr>
        <w:t>主动融入昆明发展、服务全省战略布局</w:t>
      </w:r>
      <w:r>
        <w:rPr>
          <w:rFonts w:hint="eastAsia" w:ascii="Times New Roman" w:hAnsi="Times New Roman" w:eastAsia="方正仿宋_GB2312" w:cs="Times New Roman"/>
          <w:sz w:val="30"/>
          <w:szCs w:val="30"/>
          <w:lang w:val="en-US" w:eastAsia="zh-CN"/>
        </w:rPr>
        <w:t>的战略选择，不仅对</w:t>
      </w:r>
      <w:r>
        <w:rPr>
          <w:rFonts w:hint="default" w:ascii="Times New Roman" w:hAnsi="Times New Roman" w:eastAsia="方正仿宋_GB2312" w:cs="Times New Roman"/>
          <w:sz w:val="30"/>
          <w:szCs w:val="30"/>
          <w:lang w:eastAsia="zh-CN"/>
        </w:rPr>
        <w:t>推动</w:t>
      </w:r>
      <w:r>
        <w:rPr>
          <w:rFonts w:hint="eastAsia" w:ascii="Times New Roman" w:hAnsi="Times New Roman" w:eastAsia="方正仿宋_GB2312" w:cs="Times New Roman"/>
          <w:sz w:val="30"/>
          <w:szCs w:val="30"/>
          <w:lang w:val="en-US" w:eastAsia="zh-CN"/>
        </w:rPr>
        <w:t>石林县</w:t>
      </w:r>
      <w:r>
        <w:rPr>
          <w:rFonts w:hint="default" w:ascii="Times New Roman" w:hAnsi="Times New Roman" w:eastAsia="方正仿宋_GB2312" w:cs="Times New Roman"/>
          <w:sz w:val="30"/>
          <w:szCs w:val="30"/>
          <w:lang w:eastAsia="zh-CN"/>
        </w:rPr>
        <w:t>石材产业向钙基新材料</w:t>
      </w:r>
      <w:r>
        <w:rPr>
          <w:rFonts w:hint="eastAsia" w:ascii="Times New Roman" w:hAnsi="Times New Roman" w:eastAsia="方正仿宋_GB2312" w:cs="Times New Roman"/>
          <w:sz w:val="30"/>
          <w:szCs w:val="30"/>
          <w:lang w:val="en-US" w:eastAsia="zh-CN"/>
        </w:rPr>
        <w:t>转型</w:t>
      </w:r>
      <w:r>
        <w:rPr>
          <w:rFonts w:hint="default" w:ascii="Times New Roman" w:hAnsi="Times New Roman" w:eastAsia="方正仿宋_GB2312" w:cs="Times New Roman"/>
          <w:sz w:val="30"/>
          <w:szCs w:val="30"/>
          <w:lang w:eastAsia="zh-CN"/>
        </w:rPr>
        <w:t>升级</w:t>
      </w:r>
      <w:r>
        <w:rPr>
          <w:rFonts w:hint="eastAsia" w:ascii="Times New Roman" w:hAnsi="Times New Roman" w:eastAsia="方正仿宋_GB2312" w:cs="Times New Roman"/>
          <w:sz w:val="30"/>
          <w:szCs w:val="30"/>
          <w:lang w:val="en-US" w:eastAsia="zh-CN"/>
        </w:rPr>
        <w:t>，而且对促进县域经济高质量发展，</w:t>
      </w:r>
      <w:r>
        <w:rPr>
          <w:rFonts w:hint="default" w:ascii="Times New Roman" w:hAnsi="Times New Roman" w:eastAsia="方正仿宋_GB2312" w:cs="Times New Roman"/>
          <w:sz w:val="30"/>
          <w:szCs w:val="30"/>
          <w:lang w:eastAsia="zh-CN"/>
        </w:rPr>
        <w:t>冲刺2030年GDP突破200亿元目标，</w:t>
      </w:r>
      <w:r>
        <w:rPr>
          <w:rFonts w:hint="eastAsia" w:ascii="Times New Roman" w:hAnsi="Times New Roman" w:eastAsia="方正仿宋_GB2312" w:cs="Times New Roman"/>
          <w:sz w:val="30"/>
          <w:szCs w:val="30"/>
          <w:lang w:val="en-US" w:eastAsia="zh-CN"/>
        </w:rPr>
        <w:t>都具有重要意义。</w:t>
      </w:r>
    </w:p>
    <w:p w14:paraId="4CFAD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规划</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的</w:t>
      </w:r>
      <w:r>
        <w:rPr>
          <w:rFonts w:hint="default" w:ascii="Times New Roman" w:hAnsi="Times New Roman" w:eastAsia="方正仿宋_GB2312" w:cs="Times New Roman"/>
          <w:sz w:val="30"/>
          <w:szCs w:val="30"/>
          <w:lang w:eastAsia="zh-CN"/>
        </w:rPr>
        <w:t>编制，主要明确</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十五五</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时期</w:t>
      </w:r>
      <w:r>
        <w:rPr>
          <w:rFonts w:hint="eastAsia" w:ascii="Times New Roman" w:hAnsi="Times New Roman" w:eastAsia="方正仿宋_GB2312" w:cs="Times New Roman"/>
          <w:sz w:val="30"/>
          <w:szCs w:val="30"/>
          <w:lang w:val="en-US" w:eastAsia="zh-CN"/>
        </w:rPr>
        <w:t>石林县石材碳酸钙产业发展</w:t>
      </w:r>
      <w:r>
        <w:rPr>
          <w:rFonts w:hint="default" w:ascii="Times New Roman" w:hAnsi="Times New Roman" w:eastAsia="方正仿宋_GB2312" w:cs="Times New Roman"/>
          <w:sz w:val="30"/>
          <w:szCs w:val="30"/>
          <w:lang w:eastAsia="zh-CN"/>
        </w:rPr>
        <w:t>的战略意图和战略目标、工作重点、主要任务和重大举措，是规划期内</w:t>
      </w:r>
      <w:r>
        <w:rPr>
          <w:rFonts w:hint="eastAsia" w:ascii="Times New Roman" w:hAnsi="Times New Roman" w:eastAsia="方正仿宋_GB2312" w:cs="Times New Roman"/>
          <w:sz w:val="30"/>
          <w:szCs w:val="30"/>
          <w:lang w:val="en-US" w:eastAsia="zh-CN"/>
        </w:rPr>
        <w:t>钙基新材料（石材）</w:t>
      </w:r>
      <w:r>
        <w:rPr>
          <w:rFonts w:hint="default" w:ascii="Times New Roman" w:hAnsi="Times New Roman" w:eastAsia="方正仿宋_GB2312" w:cs="Times New Roman"/>
          <w:sz w:val="30"/>
          <w:szCs w:val="30"/>
          <w:lang w:val="en-US" w:eastAsia="zh-CN"/>
        </w:rPr>
        <w:t>产业</w:t>
      </w:r>
      <w:r>
        <w:rPr>
          <w:rFonts w:hint="default" w:ascii="Times New Roman" w:hAnsi="Times New Roman" w:eastAsia="方正仿宋_GB2312" w:cs="Times New Roman"/>
          <w:sz w:val="30"/>
          <w:szCs w:val="30"/>
          <w:lang w:eastAsia="zh-CN"/>
        </w:rPr>
        <w:t>发展的蓝图和行动纲领，是</w:t>
      </w:r>
      <w:r>
        <w:rPr>
          <w:rFonts w:hint="eastAsia" w:ascii="Times New Roman" w:hAnsi="Times New Roman" w:eastAsia="方正仿宋_GB2312" w:cs="Times New Roman"/>
          <w:sz w:val="30"/>
          <w:szCs w:val="30"/>
          <w:lang w:val="en-US" w:eastAsia="zh-CN"/>
        </w:rPr>
        <w:t>政府</w:t>
      </w:r>
      <w:r>
        <w:rPr>
          <w:rFonts w:hint="default" w:ascii="Times New Roman" w:hAnsi="Times New Roman" w:eastAsia="方正仿宋_GB2312" w:cs="Times New Roman"/>
          <w:sz w:val="30"/>
          <w:szCs w:val="30"/>
          <w:lang w:eastAsia="zh-CN"/>
        </w:rPr>
        <w:t>履行职能的重要依据。</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规划</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通过政策响应、技术创新、市场拓展与绿色转型的深度融合，不仅将重塑</w:t>
      </w:r>
      <w:r>
        <w:rPr>
          <w:rFonts w:hint="eastAsia" w:ascii="Times New Roman" w:hAnsi="Times New Roman" w:eastAsia="方正仿宋_GB2312" w:cs="Times New Roman"/>
          <w:sz w:val="30"/>
          <w:szCs w:val="30"/>
          <w:lang w:val="en-US" w:eastAsia="zh-CN"/>
        </w:rPr>
        <w:t>石林县区域产业</w:t>
      </w:r>
      <w:r>
        <w:rPr>
          <w:rFonts w:hint="default" w:ascii="Times New Roman" w:hAnsi="Times New Roman" w:eastAsia="方正仿宋_GB2312" w:cs="Times New Roman"/>
          <w:sz w:val="30"/>
          <w:szCs w:val="30"/>
          <w:lang w:val="en-US" w:eastAsia="zh-CN"/>
        </w:rPr>
        <w:t>竞争力，更将为</w:t>
      </w:r>
      <w:r>
        <w:rPr>
          <w:rFonts w:hint="eastAsia" w:ascii="Times New Roman" w:hAnsi="Times New Roman" w:eastAsia="方正仿宋_GB2312" w:cs="Times New Roman"/>
          <w:sz w:val="30"/>
          <w:szCs w:val="30"/>
          <w:lang w:val="en-US" w:eastAsia="zh-CN"/>
        </w:rPr>
        <w:t>打造百</w:t>
      </w:r>
      <w:r>
        <w:rPr>
          <w:rFonts w:hint="default" w:ascii="Times New Roman" w:hAnsi="Times New Roman" w:eastAsia="方正仿宋_GB2312" w:cs="Times New Roman"/>
          <w:sz w:val="30"/>
          <w:szCs w:val="30"/>
          <w:lang w:val="en-US" w:eastAsia="zh-CN"/>
        </w:rPr>
        <w:t>亿元级</w:t>
      </w:r>
      <w:r>
        <w:rPr>
          <w:rFonts w:hint="eastAsia" w:ascii="Times New Roman" w:hAnsi="Times New Roman" w:eastAsia="方正仿宋_GB2312" w:cs="Times New Roman"/>
          <w:sz w:val="30"/>
          <w:szCs w:val="30"/>
          <w:lang w:val="en-US" w:eastAsia="zh-CN"/>
        </w:rPr>
        <w:t>特色新材料产业集群</w:t>
      </w:r>
      <w:r>
        <w:rPr>
          <w:rFonts w:hint="default" w:ascii="Times New Roman" w:hAnsi="Times New Roman" w:eastAsia="方正仿宋_GB2312" w:cs="Times New Roman"/>
          <w:sz w:val="30"/>
          <w:szCs w:val="30"/>
          <w:lang w:val="en-US" w:eastAsia="zh-CN"/>
        </w:rPr>
        <w:t>、实现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双碳</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目标提供核心引擎，</w:t>
      </w:r>
      <w:r>
        <w:rPr>
          <w:rFonts w:hint="eastAsia" w:ascii="Times New Roman" w:hAnsi="Times New Roman" w:eastAsia="方正仿宋_GB2312" w:cs="Times New Roman"/>
          <w:sz w:val="30"/>
          <w:szCs w:val="30"/>
          <w:lang w:val="en-US" w:eastAsia="zh-CN"/>
        </w:rPr>
        <w:t>从而</w:t>
      </w:r>
      <w:r>
        <w:rPr>
          <w:rFonts w:hint="default" w:ascii="Times New Roman" w:hAnsi="Times New Roman" w:eastAsia="方正仿宋_GB2312" w:cs="Times New Roman"/>
          <w:sz w:val="30"/>
          <w:szCs w:val="30"/>
          <w:lang w:val="en-US" w:eastAsia="zh-CN"/>
        </w:rPr>
        <w:t>成为</w:t>
      </w:r>
      <w:r>
        <w:rPr>
          <w:rFonts w:hint="eastAsia" w:ascii="Times New Roman" w:hAnsi="Times New Roman" w:eastAsia="方正仿宋_GB2312" w:cs="Times New Roman"/>
          <w:sz w:val="30"/>
          <w:szCs w:val="30"/>
          <w:lang w:val="en-US" w:eastAsia="zh-CN"/>
        </w:rPr>
        <w:t>云南省</w:t>
      </w:r>
      <w:r>
        <w:rPr>
          <w:rFonts w:hint="default" w:ascii="Times New Roman" w:hAnsi="Times New Roman" w:eastAsia="方正仿宋_GB2312" w:cs="Times New Roman"/>
          <w:sz w:val="30"/>
          <w:szCs w:val="30"/>
          <w:lang w:val="en-US" w:eastAsia="zh-CN"/>
        </w:rPr>
        <w:t>传统产业绿色高质量发展的典范。</w:t>
      </w:r>
    </w:p>
    <w:p w14:paraId="2391C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1"/>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（二）规划范围</w:t>
      </w:r>
    </w:p>
    <w:p w14:paraId="02ADA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1</w:t>
      </w:r>
      <w:r>
        <w:rPr>
          <w:rFonts w:hint="eastAsia"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lang w:val="en-US" w:eastAsia="zh-CN"/>
        </w:rPr>
        <w:t>规划</w:t>
      </w:r>
      <w:r>
        <w:rPr>
          <w:rFonts w:hint="eastAsia" w:ascii="Times New Roman" w:hAnsi="Times New Roman" w:eastAsia="方正仿宋_GB2312" w:cs="Times New Roman"/>
          <w:sz w:val="30"/>
          <w:szCs w:val="30"/>
          <w:lang w:val="en-US" w:eastAsia="zh-CN"/>
        </w:rPr>
        <w:t>总体</w:t>
      </w:r>
      <w:r>
        <w:rPr>
          <w:rFonts w:hint="default" w:ascii="Times New Roman" w:hAnsi="Times New Roman" w:eastAsia="方正仿宋_GB2312" w:cs="Times New Roman"/>
          <w:sz w:val="30"/>
          <w:szCs w:val="30"/>
          <w:lang w:val="en-US" w:eastAsia="zh-CN"/>
        </w:rPr>
        <w:t>范围</w:t>
      </w:r>
    </w:p>
    <w:p w14:paraId="2CAC5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覆盖</w:t>
      </w:r>
      <w:r>
        <w:rPr>
          <w:rFonts w:hint="eastAsia" w:ascii="Times New Roman" w:hAnsi="Times New Roman" w:eastAsia="方正仿宋_GB2312" w:cs="Times New Roman"/>
          <w:sz w:val="30"/>
          <w:szCs w:val="30"/>
          <w:lang w:val="en-US" w:eastAsia="zh-CN"/>
        </w:rPr>
        <w:t>石林县石材碳酸钙</w:t>
      </w:r>
      <w:r>
        <w:rPr>
          <w:rFonts w:hint="default" w:ascii="Times New Roman" w:hAnsi="Times New Roman" w:eastAsia="方正仿宋_GB2312" w:cs="Times New Roman"/>
          <w:sz w:val="30"/>
          <w:szCs w:val="30"/>
          <w:lang w:val="en-US" w:eastAsia="zh-CN"/>
        </w:rPr>
        <w:t>全产业链的</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一矿</w:t>
      </w:r>
      <w:r>
        <w:rPr>
          <w:rFonts w:hint="eastAsia" w:ascii="Times New Roman" w:hAnsi="Times New Roman" w:eastAsia="方正仿宋_GB2312" w:cs="Times New Roman"/>
          <w:sz w:val="30"/>
          <w:szCs w:val="30"/>
          <w:lang w:val="en-US" w:eastAsia="zh-CN"/>
        </w:rPr>
        <w:t>两</w:t>
      </w:r>
      <w:r>
        <w:rPr>
          <w:rFonts w:hint="default" w:ascii="Times New Roman" w:hAnsi="Times New Roman" w:eastAsia="方正仿宋_GB2312" w:cs="Times New Roman"/>
          <w:sz w:val="30"/>
          <w:szCs w:val="30"/>
          <w:lang w:val="en-US" w:eastAsia="zh-CN"/>
        </w:rPr>
        <w:t>园</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布局。</w:t>
      </w:r>
    </w:p>
    <w:p w14:paraId="52CA228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地理范围</w:t>
      </w:r>
    </w:p>
    <w:p w14:paraId="2F5CD0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lang w:val="en-US" w:eastAsia="zh-CN"/>
        </w:rPr>
      </w:pPr>
      <w:r>
        <w:rPr>
          <w:rFonts w:hint="default" w:ascii="Times New Roman" w:hAnsi="Times New Roman" w:eastAsia="方正仿宋_GB2312" w:cs="Times New Roman"/>
          <w:sz w:val="30"/>
          <w:szCs w:val="30"/>
          <w:lang w:val="en-US" w:eastAsia="zh-CN"/>
        </w:rPr>
        <w:t>以</w:t>
      </w:r>
      <w:r>
        <w:rPr>
          <w:rFonts w:hint="eastAsia" w:ascii="Times New Roman" w:hAnsi="Times New Roman" w:eastAsia="方正仿宋_GB2312" w:cs="Times New Roman"/>
          <w:sz w:val="30"/>
          <w:szCs w:val="30"/>
          <w:lang w:val="en-US" w:eastAsia="zh-CN"/>
        </w:rPr>
        <w:t>石林县西街口产业园</w:t>
      </w:r>
      <w:r>
        <w:rPr>
          <w:rFonts w:hint="default" w:ascii="Times New Roman" w:hAnsi="Times New Roman" w:eastAsia="方正仿宋_GB2312" w:cs="Times New Roman"/>
          <w:sz w:val="30"/>
          <w:szCs w:val="30"/>
          <w:lang w:val="en-US" w:eastAsia="zh-CN"/>
        </w:rPr>
        <w:t>为核心，重点覆盖</w:t>
      </w:r>
      <w:r>
        <w:rPr>
          <w:rFonts w:hint="eastAsia" w:ascii="Times New Roman" w:hAnsi="Times New Roman" w:eastAsia="方正仿宋_GB2312" w:cs="Times New Roman"/>
          <w:sz w:val="30"/>
          <w:szCs w:val="30"/>
          <w:lang w:val="en-US" w:eastAsia="zh-CN"/>
        </w:rPr>
        <w:t>西街口片区及周边30公里左右</w:t>
      </w:r>
      <w:r>
        <w:rPr>
          <w:rFonts w:hint="default" w:ascii="Times New Roman" w:hAnsi="Times New Roman" w:eastAsia="方正仿宋_GB2312" w:cs="Times New Roman"/>
          <w:sz w:val="30"/>
          <w:szCs w:val="30"/>
          <w:lang w:val="en-US" w:eastAsia="zh-CN"/>
        </w:rPr>
        <w:t>矿山资源集中区</w:t>
      </w:r>
      <w:r>
        <w:rPr>
          <w:rFonts w:hint="eastAsia" w:ascii="Times New Roman" w:hAnsi="Times New Roman" w:eastAsia="方正仿宋_GB2312" w:cs="Times New Roman"/>
          <w:sz w:val="30"/>
          <w:szCs w:val="30"/>
          <w:lang w:val="en-US" w:eastAsia="zh-CN"/>
        </w:rPr>
        <w:t>和县中心（火车站周边）加工物流基地</w:t>
      </w:r>
      <w:r>
        <w:rPr>
          <w:rFonts w:hint="default" w:ascii="Times New Roman" w:hAnsi="Times New Roman" w:eastAsia="方正仿宋_GB2312" w:cs="Times New Roman"/>
          <w:sz w:val="30"/>
          <w:szCs w:val="30"/>
          <w:lang w:val="en-US" w:eastAsia="zh-CN"/>
        </w:rPr>
        <w:t>。</w:t>
      </w:r>
    </w:p>
    <w:p w14:paraId="136F57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jc w:val="both"/>
        <w:textAlignment w:val="auto"/>
        <w:outlineLvl w:val="2"/>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产业链范围</w:t>
      </w:r>
    </w:p>
    <w:p w14:paraId="1011E2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规划覆盖</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资源开采•基础材料•高端应用•循环利用</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 xml:space="preserve">全链条： </w:t>
      </w:r>
    </w:p>
    <w:p w14:paraId="5A0455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xml:space="preserve">★ 上游：整合矿山资源，保障石灰岩等原料稳定供应，同时探索低品位矿资源化技术。 </w:t>
      </w:r>
    </w:p>
    <w:p w14:paraId="22EBD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中游：发展</w:t>
      </w:r>
      <w:r>
        <w:rPr>
          <w:rFonts w:hint="eastAsia" w:ascii="Times New Roman" w:hAnsi="Times New Roman" w:eastAsia="方正仿宋_GB2312" w:cs="Times New Roman"/>
          <w:sz w:val="30"/>
          <w:szCs w:val="30"/>
          <w:lang w:val="en-US" w:eastAsia="zh-CN"/>
        </w:rPr>
        <w:t>高端天然</w:t>
      </w:r>
      <w:r>
        <w:rPr>
          <w:rFonts w:hint="default" w:ascii="Times New Roman" w:hAnsi="Times New Roman" w:eastAsia="方正仿宋_GB2312" w:cs="Times New Roman"/>
          <w:sz w:val="30"/>
          <w:szCs w:val="30"/>
          <w:lang w:val="en-US" w:eastAsia="zh-CN"/>
        </w:rPr>
        <w:t>石材</w:t>
      </w:r>
      <w:r>
        <w:rPr>
          <w:rFonts w:hint="eastAsia" w:ascii="Times New Roman" w:hAnsi="Times New Roman" w:eastAsia="方正仿宋_GB2312" w:cs="Times New Roman"/>
          <w:sz w:val="30"/>
          <w:szCs w:val="30"/>
          <w:lang w:val="en-US" w:eastAsia="zh-CN"/>
        </w:rPr>
        <w:t>和高性能</w:t>
      </w:r>
      <w:r>
        <w:rPr>
          <w:rFonts w:hint="default" w:ascii="Times New Roman" w:hAnsi="Times New Roman" w:eastAsia="方正仿宋_GB2312" w:cs="Times New Roman"/>
          <w:sz w:val="30"/>
          <w:szCs w:val="30"/>
          <w:lang w:val="en-US" w:eastAsia="zh-CN"/>
        </w:rPr>
        <w:t>钙基粉体</w:t>
      </w:r>
      <w:r>
        <w:rPr>
          <w:rFonts w:hint="eastAsia" w:ascii="Times New Roman" w:hAnsi="Times New Roman" w:eastAsia="方正仿宋_GB2312" w:cs="Times New Roman"/>
          <w:sz w:val="30"/>
          <w:szCs w:val="30"/>
          <w:lang w:val="en-US" w:eastAsia="zh-CN"/>
        </w:rPr>
        <w:t>，其中：天然</w:t>
      </w:r>
      <w:r>
        <w:rPr>
          <w:rFonts w:hint="default" w:ascii="Times New Roman" w:hAnsi="Times New Roman" w:eastAsia="方正仿宋_GB2312" w:cs="Times New Roman"/>
          <w:sz w:val="30"/>
          <w:szCs w:val="30"/>
          <w:lang w:val="en-US" w:eastAsia="zh-CN"/>
        </w:rPr>
        <w:t>石材</w:t>
      </w:r>
      <w:r>
        <w:rPr>
          <w:rFonts w:hint="eastAsia" w:ascii="Times New Roman" w:hAnsi="Times New Roman" w:eastAsia="方正仿宋_GB2312" w:cs="Times New Roman"/>
          <w:sz w:val="30"/>
          <w:szCs w:val="30"/>
          <w:lang w:val="en-US" w:eastAsia="zh-CN"/>
        </w:rPr>
        <w:t>包括</w:t>
      </w:r>
      <w:r>
        <w:rPr>
          <w:rFonts w:hint="default" w:ascii="Times New Roman" w:hAnsi="Times New Roman" w:eastAsia="方正仿宋_GB2312" w:cs="Times New Roman"/>
          <w:sz w:val="30"/>
          <w:szCs w:val="30"/>
          <w:lang w:val="en-US" w:eastAsia="zh-CN"/>
        </w:rPr>
        <w:t>超薄化与轻量化</w:t>
      </w:r>
      <w:r>
        <w:rPr>
          <w:rFonts w:hint="eastAsia" w:ascii="Times New Roman" w:hAnsi="Times New Roman" w:eastAsia="方正仿宋_GB2312" w:cs="Times New Roman"/>
          <w:sz w:val="30"/>
          <w:szCs w:val="30"/>
          <w:lang w:val="en-US" w:eastAsia="zh-CN"/>
        </w:rPr>
        <w:t>、高端定制与艺术化、功能化、复合化的产品；粉体包括</w:t>
      </w:r>
      <w:r>
        <w:rPr>
          <w:rFonts w:hint="default" w:ascii="Times New Roman" w:hAnsi="Times New Roman" w:eastAsia="方正仿宋_GB2312" w:cs="Times New Roman"/>
          <w:sz w:val="30"/>
          <w:szCs w:val="30"/>
          <w:lang w:val="en-US" w:eastAsia="zh-CN"/>
        </w:rPr>
        <w:t>超细</w:t>
      </w:r>
      <w:r>
        <w:rPr>
          <w:rFonts w:hint="eastAsia" w:ascii="Times New Roman" w:hAnsi="Times New Roman" w:eastAsia="方正仿宋_GB2312" w:cs="Times New Roman"/>
          <w:sz w:val="30"/>
          <w:szCs w:val="30"/>
          <w:lang w:val="en-US" w:eastAsia="zh-CN"/>
        </w:rPr>
        <w:t>重钙、中间产物的</w:t>
      </w:r>
      <w:r>
        <w:rPr>
          <w:rFonts w:hint="default" w:ascii="Times New Roman" w:hAnsi="Times New Roman" w:eastAsia="方正仿宋_GB2312" w:cs="Times New Roman"/>
          <w:sz w:val="30"/>
          <w:szCs w:val="30"/>
          <w:lang w:val="en-US" w:eastAsia="zh-CN"/>
        </w:rPr>
        <w:t>工业钙剂（氧化钙、氢氧化钙）并向</w:t>
      </w:r>
      <w:r>
        <w:rPr>
          <w:rFonts w:hint="eastAsia" w:ascii="Times New Roman" w:hAnsi="Times New Roman" w:eastAsia="方正仿宋_GB2312" w:cs="Times New Roman"/>
          <w:sz w:val="30"/>
          <w:szCs w:val="30"/>
          <w:lang w:val="en-US" w:eastAsia="zh-CN"/>
        </w:rPr>
        <w:t>食品级医药级碳酸钙、</w:t>
      </w:r>
      <w:r>
        <w:rPr>
          <w:rFonts w:hint="default" w:ascii="Times New Roman" w:hAnsi="Times New Roman" w:eastAsia="方正仿宋_GB2312" w:cs="Times New Roman"/>
          <w:sz w:val="30"/>
          <w:szCs w:val="30"/>
          <w:lang w:val="en-US" w:eastAsia="zh-CN"/>
        </w:rPr>
        <w:t>纳米碳酸钙等高端</w:t>
      </w:r>
      <w:r>
        <w:rPr>
          <w:rFonts w:hint="eastAsia" w:ascii="Times New Roman" w:hAnsi="Times New Roman" w:eastAsia="方正仿宋_GB2312" w:cs="Times New Roman"/>
          <w:sz w:val="30"/>
          <w:szCs w:val="30"/>
          <w:lang w:val="en-US" w:eastAsia="zh-CN"/>
        </w:rPr>
        <w:t>粉体</w:t>
      </w:r>
      <w:r>
        <w:rPr>
          <w:rFonts w:hint="default" w:ascii="Times New Roman" w:hAnsi="Times New Roman" w:eastAsia="方正仿宋_GB2312" w:cs="Times New Roman"/>
          <w:sz w:val="30"/>
          <w:szCs w:val="30"/>
          <w:lang w:val="en-US" w:eastAsia="zh-CN"/>
        </w:rPr>
        <w:t>领域延伸。</w:t>
      </w:r>
    </w:p>
    <w:p w14:paraId="6E9C89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下游：拓展钙基高分子材料</w:t>
      </w:r>
      <w:r>
        <w:rPr>
          <w:rFonts w:hint="eastAsia" w:ascii="Times New Roman" w:hAnsi="Times New Roman" w:eastAsia="方正仿宋_GB2312" w:cs="Times New Roman"/>
          <w:sz w:val="30"/>
          <w:szCs w:val="30"/>
          <w:lang w:val="en-US" w:eastAsia="zh-CN"/>
        </w:rPr>
        <w:t>，包括</w:t>
      </w:r>
      <w:r>
        <w:rPr>
          <w:rFonts w:hint="default" w:ascii="Times New Roman" w:hAnsi="Times New Roman" w:eastAsia="方正仿宋_GB2312" w:cs="Times New Roman"/>
          <w:sz w:val="30"/>
          <w:szCs w:val="30"/>
          <w:lang w:val="en-US" w:eastAsia="zh-CN"/>
        </w:rPr>
        <w:t>精细化工（</w:t>
      </w:r>
      <w:r>
        <w:rPr>
          <w:rFonts w:hint="eastAsia" w:ascii="Times New Roman" w:hAnsi="Times New Roman" w:eastAsia="方正仿宋_GB2312" w:cs="Times New Roman"/>
          <w:sz w:val="30"/>
          <w:szCs w:val="30"/>
          <w:lang w:val="en-US" w:eastAsia="zh-CN"/>
        </w:rPr>
        <w:t>钙基</w:t>
      </w:r>
      <w:r>
        <w:rPr>
          <w:rFonts w:hint="default" w:ascii="Times New Roman" w:hAnsi="Times New Roman" w:eastAsia="方正仿宋_GB2312" w:cs="Times New Roman"/>
          <w:sz w:val="30"/>
          <w:szCs w:val="30"/>
          <w:lang w:val="en-US" w:eastAsia="zh-CN"/>
        </w:rPr>
        <w:t>中空包装材料、</w:t>
      </w:r>
      <w:r>
        <w:rPr>
          <w:rFonts w:hint="eastAsia" w:ascii="Times New Roman" w:hAnsi="Times New Roman" w:eastAsia="方正仿宋_GB2312" w:cs="Times New Roman"/>
          <w:sz w:val="30"/>
          <w:szCs w:val="30"/>
          <w:lang w:val="en-US" w:eastAsia="zh-CN"/>
        </w:rPr>
        <w:t>塑料母粒、</w:t>
      </w:r>
      <w:r>
        <w:rPr>
          <w:rFonts w:hint="default" w:ascii="Times New Roman" w:hAnsi="Times New Roman" w:eastAsia="方正仿宋_GB2312" w:cs="Times New Roman"/>
          <w:sz w:val="30"/>
          <w:szCs w:val="30"/>
          <w:lang w:val="en-US" w:eastAsia="zh-CN"/>
        </w:rPr>
        <w:t>改性塑料</w:t>
      </w:r>
      <w:r>
        <w:rPr>
          <w:rFonts w:hint="eastAsia" w:ascii="Times New Roman" w:hAnsi="Times New Roman" w:eastAsia="方正仿宋_GB2312" w:cs="Times New Roman"/>
          <w:sz w:val="30"/>
          <w:szCs w:val="30"/>
          <w:lang w:val="en-US" w:eastAsia="zh-CN"/>
        </w:rPr>
        <w:t>制品），新型</w:t>
      </w:r>
      <w:r>
        <w:rPr>
          <w:rFonts w:hint="default" w:ascii="Times New Roman" w:hAnsi="Times New Roman" w:eastAsia="方正仿宋_GB2312" w:cs="Times New Roman"/>
          <w:sz w:val="30"/>
          <w:szCs w:val="30"/>
          <w:lang w:val="en-US" w:eastAsia="zh-CN"/>
        </w:rPr>
        <w:t>建材（轻质隔墙板、无机人造石、隔热保温材料</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等应用场景。</w:t>
      </w:r>
    </w:p>
    <w:p w14:paraId="5B981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循环经济：推进尾矿、</w:t>
      </w:r>
      <w:r>
        <w:rPr>
          <w:rFonts w:hint="eastAsia" w:ascii="Times New Roman" w:hAnsi="Times New Roman" w:eastAsia="方正仿宋_GB2312" w:cs="Times New Roman"/>
          <w:sz w:val="30"/>
          <w:szCs w:val="30"/>
          <w:lang w:val="en-US" w:eastAsia="zh-CN"/>
        </w:rPr>
        <w:t>石灰石渣</w:t>
      </w:r>
      <w:r>
        <w:rPr>
          <w:rFonts w:hint="default" w:ascii="Times New Roman" w:hAnsi="Times New Roman" w:eastAsia="方正仿宋_GB2312" w:cs="Times New Roman"/>
          <w:sz w:val="30"/>
          <w:szCs w:val="30"/>
          <w:lang w:val="en-US" w:eastAsia="zh-CN"/>
        </w:rPr>
        <w:t xml:space="preserve">等固废资源化利用，实现固废综合利用率 100%。    </w:t>
      </w:r>
    </w:p>
    <w:p w14:paraId="39F82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1"/>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（三）规划期限</w:t>
      </w:r>
    </w:p>
    <w:p w14:paraId="73786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十五五</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期间，即2026-2030 年。</w:t>
      </w:r>
    </w:p>
    <w:p w14:paraId="0033F13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00" w:firstLineChars="200"/>
        <w:jc w:val="both"/>
        <w:textAlignment w:val="auto"/>
        <w:outlineLvl w:val="1"/>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规划编制依据</w:t>
      </w:r>
    </w:p>
    <w:p w14:paraId="0EB89C4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00" w:firstLineChars="200"/>
        <w:jc w:val="both"/>
        <w:textAlignment w:val="auto"/>
        <w:outlineLvl w:val="2"/>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 xml:space="preserve"> 国家层面法律法规</w:t>
      </w:r>
    </w:p>
    <w:p w14:paraId="115695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（1）《中华人民共和国矿产资源法》（2024 修订，2025.7.1 施行）；</w:t>
      </w:r>
    </w:p>
    <w:p w14:paraId="57CA01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（2）《中华人民共和国土地管理法》；</w:t>
      </w:r>
    </w:p>
    <w:p w14:paraId="75C93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（3）《中华人民共和国环境保护法》；</w:t>
      </w:r>
    </w:p>
    <w:p w14:paraId="4A8028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（4）《中华人民共和国安全生产法》；</w:t>
      </w:r>
    </w:p>
    <w:p w14:paraId="0A792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（5）《土壤污染防治法》；</w:t>
      </w:r>
    </w:p>
    <w:p w14:paraId="70FFE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（6）《大气污染防治法》；</w:t>
      </w:r>
    </w:p>
    <w:p w14:paraId="4E373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（7）《非煤矿山安全规程》；</w:t>
      </w:r>
    </w:p>
    <w:p w14:paraId="722B4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（8）《“十五五” 市县级矿产资源规划编制指南》（自然资办发〔2025〕19 号）；</w:t>
      </w:r>
    </w:p>
    <w:p w14:paraId="58990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（9）《自然资源部关于开展 “十五五” 矿产资源规划编制工作的通知》（2025.7）；</w:t>
      </w:r>
    </w:p>
    <w:p w14:paraId="3E1B9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（10）《西部地区鼓励类产业目录（2025 年本）》：云南条目明确“大理石、花岗石、石灰岩（碳酸钙）和无机人造石、纳米碳酸钙、超细重质碳酸钙（5微米以下）及新材料等开发加工”为鼓励类并享受西部税收优惠。</w:t>
      </w:r>
    </w:p>
    <w:p w14:paraId="4A0D6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（11）《中华人民共和国循环经济促进法》（2018 修订）；</w:t>
      </w:r>
    </w:p>
    <w:p w14:paraId="3337F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（12）《中共中央 国务院关于加快经济社会发展全面绿色转型的意见》（2024 年 8 月）；</w:t>
      </w:r>
    </w:p>
    <w:p w14:paraId="068DA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（13）《国务院关于加快建立健全绿色低碳循环发展经济体系的指导意见》（国发〔2021〕4 号）；</w:t>
      </w:r>
    </w:p>
    <w:p w14:paraId="664F5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（14）《国务院办公厅关于加快构建废弃物循环利用体系的意见》（国办发〔2024〕11 号）；</w:t>
      </w:r>
    </w:p>
    <w:p w14:paraId="4FCEB6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（15）《循环经济助力降碳行动方案》（国家发改委等，2025）；</w:t>
      </w:r>
    </w:p>
    <w:p w14:paraId="0EF089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（16）《工业资源综合利用先进适用技术目录》；</w:t>
      </w:r>
    </w:p>
    <w:p w14:paraId="49BD2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（17）2030 年前碳达峰行动方案》（国发〔2021〕23 号）：建材/石材：节能降碳、绿色建材、低碳技术、碳捕集。</w:t>
      </w:r>
    </w:p>
    <w:p w14:paraId="7D12F93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《工业和信息化部等七部门关于加快推动制造业绿色化发展的指导意见》（2024）；</w:t>
      </w:r>
    </w:p>
    <w:p w14:paraId="6048C0A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《工业绿色微电网建设与应用指南（2026—2030）》（五部委，2026）</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支持：光伏+储能、绿电直供、源网荷储一体化（石材矿山/加工厂适用）。</w:t>
      </w:r>
    </w:p>
    <w:p w14:paraId="23DE2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2. 云南省省级政策与规划</w:t>
      </w:r>
    </w:p>
    <w:p w14:paraId="69F66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（1）《云南省国民经济和社会发展第十五个五年规划纲要》（云政发〔2026〕9 号）：部署绿色制造、新材料、资源精深加工。</w:t>
      </w:r>
    </w:p>
    <w:p w14:paraId="5D1B0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 xml:space="preserve">（2）《云南省加快构建现代化产业体系推进产业强省建设行动计划》（2026）：钙基新材料、绿色建材纳入先进基础材料。  </w:t>
      </w:r>
    </w:p>
    <w:p w14:paraId="08CF3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（3）《云南省矿产资源总体规划（2021—2025 年）》：石灰岩、石材开发布局与总量管控。</w:t>
      </w:r>
    </w:p>
    <w:p w14:paraId="583140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（4）《云南省人民政府关于加快石产业发展的意见》（云政发〔2011〕23 号）：石产业（石材、宝玉石）省级战略。</w:t>
      </w:r>
    </w:p>
    <w:p w14:paraId="258F6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（5）《云南省矿产资源管理条例》：省级矿业权分级审批、出让、储量管理、生态保护；</w:t>
      </w:r>
    </w:p>
    <w:p w14:paraId="6759D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（6）《云南省探矿权采矿权管理办法（2015 修订）》：石材/石灰岩采矿权申请、延续、转让、最小规模、服务年限；</w:t>
      </w:r>
    </w:p>
    <w:p w14:paraId="332A8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（7）《云南省矿业权交易办法（2015 修订）》：“净矿” 出让、招拍挂、交易监管；</w:t>
      </w:r>
    </w:p>
    <w:p w14:paraId="1BACB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（8）《云南省常态化严厉打击盗采矿产资源管理办法》（2025）：打击无证开采、非法加工销售。</w:t>
      </w:r>
    </w:p>
    <w:p w14:paraId="511F2C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（9）《云南省装饰石材行业准入条件》：规模、环保、安全、布局准入标准。</w:t>
      </w:r>
    </w:p>
    <w:p w14:paraId="6A00C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（10）《云南省非煤矿山最小开采规模和最低服务年限标准》：石材矿山最低规模门槛。</w:t>
      </w:r>
    </w:p>
    <w:p w14:paraId="3FBA30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（11）《云南省全面加强非煤矿山安全生产工作若干措施》（云政办发〔2024〕44号）：2026年起露天采石≥100万吨/年。</w:t>
      </w:r>
    </w:p>
    <w:p w14:paraId="294EFC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（12）《云南省新型工业化产业示范基地管理办法》：支持石林石材特色产业园、碳酸钙精深加工园区。</w:t>
      </w:r>
    </w:p>
    <w:p w14:paraId="124213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（13）《云南省加快建立健全绿色低碳循环发展经济体系行动计划》（云政发〔2022〕3 号）；</w:t>
      </w:r>
    </w:p>
    <w:p w14:paraId="6D7840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（14）《云南省 “十四五” 节能减排综合工作实施方案》（云政发〔2022〕27 号）；</w:t>
      </w:r>
    </w:p>
    <w:p w14:paraId="115A68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（15）《云南省高质量推进零碳园区建设方案》（2025 年 12 月，云发改环资〔2025〕号）；</w:t>
      </w:r>
    </w:p>
    <w:p w14:paraId="62ABE1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（16）《云南省推动重点产业园区高质量发展若干政策措施》（2022）：园区低碳化、循环化、绿色化，认定绿色园区/零碳园区给予奖补；</w:t>
      </w:r>
    </w:p>
    <w:p w14:paraId="6C21F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（17）云南省非煤矿山生态环境保护管理办法》（2024 修订）：强制：边开采边治理、尾矿综合利用率≥75%、废石利用率≥60%；</w:t>
      </w:r>
    </w:p>
    <w:p w14:paraId="2C2A7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（18）《云南省绿色矿山建设标准（2025）》：石材/碳酸钙矿山：资源利用率≥70%、固废综合利用、废水零排放、复绿；</w:t>
      </w:r>
    </w:p>
    <w:p w14:paraId="748A4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（19）《云南省工业固体废物污染环境防治条例》（2024）：石粉、尾矿禁止堆存、必须资源化，违者重罚。</w:t>
      </w:r>
    </w:p>
    <w:p w14:paraId="77B89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3. 昆明市与石林县本级规划</w:t>
      </w:r>
    </w:p>
    <w:p w14:paraId="64A78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（1）《石林彝族自治县国民经济和社会发展第十五个五年规划纲要》：将钙基新材料（石材）列为4 大百亿级产业之一。</w:t>
      </w:r>
    </w:p>
    <w:p w14:paraId="676D4A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（2）《中共石林县委关于制定十五五规划的建议》：工业强县、园区聚产业、资源换产业战略。</w:t>
      </w:r>
    </w:p>
    <w:p w14:paraId="1859C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（3）《石林彝族自治县国土空间总体规划（2021—2035 年）》：产业区块、生态红线、城镇开发边界空间管控。</w:t>
      </w:r>
    </w:p>
    <w:p w14:paraId="4AC07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（4）《石林县工业科技 “十五五” 规划》《石林县石材产业发展规划（2026—2030）》：产业升级、延链、百亿级目标。</w:t>
      </w:r>
    </w:p>
    <w:p w14:paraId="779FF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（5）《石林产业园区西街口片区控详规》（2025 批复）：石材特色产业园空间落地。</w:t>
      </w:r>
    </w:p>
    <w:p w14:paraId="52DF7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（6）《石林彝族自治县新型建材行业管理暂行办法》：石材开采加工、环保、安全、园区管理细则。</w:t>
      </w:r>
    </w:p>
    <w:p w14:paraId="15F3D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（7）《石林彝族自治县新型建材行业管理暂行办法》（2021）：石材/碳酸钙统一规划、统一开采、统一加工、统一物流。淘汰小散乱、鼓励兼并重组、规模化、园区化。</w:t>
      </w:r>
    </w:p>
    <w:p w14:paraId="3B6D9411">
      <w:pPr>
        <w:keepNext w:val="0"/>
        <w:keepLines w:val="0"/>
        <w:pageBreakBefore w:val="0"/>
        <w:widowControl w:val="0"/>
        <w:kinsoku/>
        <w:wordWrap/>
        <w:overflowPunct/>
        <w:topLinePunct w:val="0"/>
        <w:autoSpaceDE w:val="0"/>
        <w:autoSpaceDN w:val="0"/>
        <w:bidi w:val="0"/>
        <w:adjustRightInd/>
        <w:snapToGrid/>
        <w:spacing w:before="158" w:line="360" w:lineRule="auto"/>
        <w:jc w:val="both"/>
        <w:textAlignment w:val="baseline"/>
        <w:outlineLvl w:val="0"/>
        <w:rPr>
          <w:rFonts w:hint="default" w:ascii="Times New Roman" w:hAnsi="Times New Roman" w:eastAsia="黑体" w:cs="Times New Roman"/>
          <w:snapToGrid w:val="0"/>
          <w:color w:val="000000"/>
          <w:spacing w:val="-6"/>
          <w:kern w:val="0"/>
          <w:position w:val="-2"/>
          <w:sz w:val="32"/>
          <w:szCs w:val="32"/>
          <w:lang w:eastAsia="en-US"/>
        </w:rPr>
      </w:pPr>
      <w:r>
        <w:rPr>
          <w:rFonts w:hint="default" w:ascii="Times New Roman" w:hAnsi="Times New Roman" w:eastAsia="黑体" w:cs="Times New Roman"/>
          <w:snapToGrid w:val="0"/>
          <w:color w:val="000000"/>
          <w:spacing w:val="-6"/>
          <w:kern w:val="0"/>
          <w:position w:val="-2"/>
          <w:sz w:val="32"/>
          <w:szCs w:val="32"/>
          <w:lang w:val="en-US" w:eastAsia="zh-CN"/>
        </w:rPr>
        <w:t>二</w:t>
      </w:r>
      <w:r>
        <w:rPr>
          <w:rFonts w:hint="default" w:ascii="Times New Roman" w:hAnsi="Times New Roman" w:eastAsia="黑体" w:cs="Times New Roman"/>
          <w:snapToGrid w:val="0"/>
          <w:color w:val="000000"/>
          <w:spacing w:val="-6"/>
          <w:kern w:val="0"/>
          <w:position w:val="-2"/>
          <w:sz w:val="32"/>
          <w:szCs w:val="32"/>
          <w:lang w:eastAsia="en-US"/>
        </w:rPr>
        <w:t>、发展现状与基础</w:t>
      </w:r>
    </w:p>
    <w:p w14:paraId="096021A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方正仿宋_GB2312" w:hAnsi="方正仿宋_GB2312" w:eastAsia="方正仿宋_GB2312" w:cs="方正仿宋_GB2312"/>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十四五</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期间，</w:t>
      </w:r>
      <w:r>
        <w:rPr>
          <w:rFonts w:hint="eastAsia" w:ascii="Times New Roman" w:hAnsi="Times New Roman" w:eastAsia="方正仿宋_GB2312" w:cs="Times New Roman"/>
          <w:kern w:val="2"/>
          <w:sz w:val="30"/>
          <w:szCs w:val="30"/>
          <w:lang w:val="en-US" w:eastAsia="zh-CN" w:bidi="ar-SA"/>
        </w:rPr>
        <w:t>石林县依托优质石材碳酸钙资源和110家传统石材碳酸钙企业的基础，借力昆明百亿级产业政策，取得了一定的成效，同时也在推</w:t>
      </w:r>
      <w:r>
        <w:rPr>
          <w:rFonts w:hint="eastAsia" w:ascii="方正仿宋_GB2312" w:hAnsi="方正仿宋_GB2312" w:eastAsia="方正仿宋_GB2312" w:cs="方正仿宋_GB2312"/>
          <w:kern w:val="2"/>
          <w:sz w:val="30"/>
          <w:szCs w:val="30"/>
          <w:lang w:val="en-US" w:eastAsia="zh-CN" w:bidi="ar-SA"/>
        </w:rPr>
        <w:t>进传统产业向钙基新材料产业的转型。</w:t>
      </w:r>
    </w:p>
    <w:p w14:paraId="25159FA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资源丰富为产业的发展奠定了坚实的物质基础。</w:t>
      </w:r>
      <w:r>
        <w:rPr>
          <w:rFonts w:hint="eastAsia" w:ascii="Times New Roman" w:hAnsi="Times New Roman" w:eastAsia="方正仿宋_GB2312" w:cs="Times New Roman"/>
          <w:kern w:val="2"/>
          <w:sz w:val="30"/>
          <w:szCs w:val="30"/>
          <w:lang w:val="en-US" w:eastAsia="zh-CN" w:bidi="ar-SA"/>
        </w:rPr>
        <w:t>石林县石材碳酸钙产业拥有坚实的资源基础，全县已发现有开发价值的矿床（点）20余个，累计探明石材碳酸钙储量达8.06亿立方米，其中石灰岩（碳酸钙）资源品位优良，大多矿石的CaCO</w:t>
      </w:r>
      <w:r>
        <w:rPr>
          <w:rFonts w:hint="eastAsia" w:ascii="Times New Roman" w:hAnsi="Times New Roman" w:eastAsia="方正仿宋_GB2312" w:cs="Times New Roman"/>
          <w:kern w:val="2"/>
          <w:sz w:val="30"/>
          <w:szCs w:val="30"/>
          <w:vertAlign w:val="subscript"/>
          <w:lang w:val="en-US" w:eastAsia="zh-CN" w:bidi="ar-SA"/>
        </w:rPr>
        <w:t>3</w:t>
      </w:r>
      <w:r>
        <w:rPr>
          <w:rFonts w:hint="eastAsia" w:ascii="Times New Roman" w:hAnsi="Times New Roman" w:eastAsia="方正仿宋_GB2312" w:cs="Times New Roman"/>
          <w:kern w:val="2"/>
          <w:sz w:val="30"/>
          <w:szCs w:val="30"/>
          <w:lang w:val="en-US" w:eastAsia="zh-CN" w:bidi="ar-SA"/>
        </w:rPr>
        <w:t>含量≥95%且分布广泛，重点集中在西街口镇等区域。全县是全国少数同时拥有宝玉石、建材石、观赏石三类石材资源的地区，建材石中涵盖白海棠、石林米黄等11个优质品种，其中白海棠、石林米黄被授予全国“优质名特石材”称号。同时，除了矿石废弃石外当地石材加工过程中每年产生超百万吨的边角料、石粉等固废，可作为碳酸钙深加工的原料，实现资源循环利用，进一步夯实了产业发展的资源根基，加之经过矿山整合，矿业集约化程度不断提升，为石材碳酸钙产业向钙基新材料产业转型提供了充足且优质的资源保障。</w:t>
      </w:r>
    </w:p>
    <w:p w14:paraId="21BACD2A">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石材产业发展的现实基础为钙基新材料（石材）产业发展提供支撑。</w:t>
      </w:r>
      <w:r>
        <w:rPr>
          <w:rFonts w:hint="eastAsia" w:ascii="Times New Roman" w:hAnsi="Times New Roman" w:eastAsia="方正仿宋_GB2312" w:cs="Times New Roman"/>
          <w:kern w:val="2"/>
          <w:sz w:val="30"/>
          <w:szCs w:val="30"/>
          <w:lang w:val="en-US" w:eastAsia="zh-CN" w:bidi="ar-SA"/>
        </w:rPr>
        <w:t>石林县石材碳酸钙产业经过30多年发展已具备坚实的产业基础，形成了以建材石、宝玉石、观赏石“三石”并举的发展格局，2024年全县共有石材碳酸钙相关生产、加工、销售企业110家，其中规模以上工业企业6家，从业人员700余人，年产值达12.7亿元，已初步构建起“开采-加工-销售”一体化的初级产业链，主要产品涵盖荒料、板材、碎石等，年荒料开采量约80万立方米，板材加工量达850万平方米。产业布局上，已规划推进云南石林石材特色产业园和西街口石材加工集中区建设，完成部分基础设施配套并争取到专项债券支持，同时搭建了非煤矿产资源综合管理系统，推进矿山资源整合与规范化开采。政策层面，当地出台多项行业管理办法，并启动百亿级钙基新材料产业打造工作。此外，便捷的交通物流的和初步形成的产业集聚效应，已具备向高值化、绿色化转型的产业底盘。</w:t>
      </w:r>
    </w:p>
    <w:p w14:paraId="509DDDA0">
      <w:pPr>
        <w:keepNext w:val="0"/>
        <w:keepLines w:val="0"/>
        <w:pageBreakBefore w:val="0"/>
        <w:widowControl w:val="0"/>
        <w:kinsoku/>
        <w:wordWrap/>
        <w:overflowPunct/>
        <w:topLinePunct w:val="0"/>
        <w:autoSpaceDE w:val="0"/>
        <w:autoSpaceDN w:val="0"/>
        <w:bidi w:val="0"/>
        <w:adjustRightInd/>
        <w:snapToGrid/>
        <w:spacing w:before="158" w:line="360" w:lineRule="auto"/>
        <w:ind w:firstLine="616" w:firstLineChars="200"/>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pPr>
      <w:r>
        <w:rPr>
          <w:rFonts w:hint="default" w:ascii="Times New Roman" w:hAnsi="Times New Roman" w:eastAsia="黑体" w:cs="Times New Roman"/>
          <w:snapToGrid w:val="0"/>
          <w:color w:val="000000"/>
          <w:spacing w:val="-6"/>
          <w:kern w:val="0"/>
          <w:position w:val="-2"/>
          <w:sz w:val="32"/>
          <w:szCs w:val="32"/>
          <w:lang w:val="en-US" w:eastAsia="zh-CN"/>
        </w:rPr>
        <w:t>三、发展环境分析</w:t>
      </w:r>
    </w:p>
    <w:p w14:paraId="71C802F4">
      <w:pPr>
        <w:keepNext w:val="0"/>
        <w:keepLines w:val="0"/>
        <w:pageBreakBefore w:val="0"/>
        <w:widowControl w:val="0"/>
        <w:suppressLineNumbers w:val="0"/>
        <w:kinsoku/>
        <w:wordWrap/>
        <w:topLinePunct w:val="0"/>
        <w:bidi w:val="0"/>
        <w:adjustRightInd/>
        <w:snapToGrid/>
        <w:spacing w:line="360" w:lineRule="auto"/>
        <w:ind w:firstLine="600" w:firstLineChars="200"/>
        <w:jc w:val="left"/>
        <w:rPr>
          <w:rFonts w:hint="default" w:ascii="Times New Roman" w:hAnsi="Times New Roman" w:cs="Times New Roman"/>
        </w:rPr>
      </w:pP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十五五</w:t>
      </w:r>
      <w:r>
        <w:rPr>
          <w:rFonts w:hint="eastAsia" w:ascii="Times New Roman" w:hAnsi="Times New Roman" w:eastAsia="方正仿宋_GB2312" w:cs="Times New Roman"/>
          <w:color w:val="000000"/>
          <w:kern w:val="0"/>
          <w:sz w:val="30"/>
          <w:szCs w:val="30"/>
          <w:lang w:val="en-US" w:eastAsia="zh-CN" w:bidi="ar"/>
        </w:rPr>
        <w:t>”期间</w:t>
      </w:r>
      <w:r>
        <w:rPr>
          <w:rFonts w:hint="default" w:ascii="Times New Roman" w:hAnsi="Times New Roman" w:eastAsia="方正仿宋_GB2312" w:cs="Times New Roman"/>
          <w:color w:val="000000"/>
          <w:kern w:val="0"/>
          <w:sz w:val="30"/>
          <w:szCs w:val="30"/>
          <w:lang w:val="en-US" w:eastAsia="zh-CN" w:bidi="ar"/>
        </w:rPr>
        <w:t>，</w:t>
      </w:r>
      <w:r>
        <w:rPr>
          <w:rFonts w:hint="eastAsia" w:ascii="Times New Roman" w:hAnsi="Times New Roman" w:eastAsia="方正仿宋_GB2312" w:cs="Times New Roman"/>
          <w:color w:val="000000"/>
          <w:kern w:val="0"/>
          <w:sz w:val="30"/>
          <w:szCs w:val="30"/>
          <w:lang w:val="en-US" w:eastAsia="zh-CN" w:bidi="ar"/>
        </w:rPr>
        <w:t>是</w:t>
      </w:r>
      <w:r>
        <w:rPr>
          <w:rFonts w:hint="default" w:ascii="Times New Roman" w:hAnsi="Times New Roman" w:eastAsia="方正仿宋_GB2312" w:cs="Times New Roman"/>
          <w:color w:val="000000"/>
          <w:kern w:val="0"/>
          <w:sz w:val="30"/>
          <w:szCs w:val="30"/>
          <w:lang w:val="en-US" w:eastAsia="zh-CN" w:bidi="ar"/>
        </w:rPr>
        <w:t>我国</w:t>
      </w:r>
      <w:r>
        <w:rPr>
          <w:rFonts w:hint="eastAsia" w:ascii="Times New Roman" w:hAnsi="Times New Roman" w:eastAsia="方正仿宋_GB2312" w:cs="Times New Roman"/>
          <w:color w:val="000000"/>
          <w:kern w:val="0"/>
          <w:sz w:val="30"/>
          <w:szCs w:val="30"/>
          <w:lang w:val="en-US" w:eastAsia="zh-CN" w:bidi="ar"/>
        </w:rPr>
        <w:t>以及云南、石林县</w:t>
      </w:r>
      <w:r>
        <w:rPr>
          <w:rFonts w:hint="default" w:ascii="Times New Roman" w:hAnsi="Times New Roman" w:eastAsia="方正仿宋_GB2312" w:cs="Times New Roman"/>
          <w:color w:val="000000"/>
          <w:kern w:val="0"/>
          <w:sz w:val="30"/>
          <w:szCs w:val="30"/>
          <w:lang w:val="en-US" w:eastAsia="zh-CN" w:bidi="ar"/>
        </w:rPr>
        <w:t>发展环境面临深刻复杂变化时期，也是</w:t>
      </w:r>
      <w:r>
        <w:rPr>
          <w:rFonts w:hint="eastAsia" w:ascii="Times New Roman" w:hAnsi="Times New Roman" w:eastAsia="方正仿宋_GB2312" w:cs="Times New Roman"/>
          <w:color w:val="000000"/>
          <w:kern w:val="0"/>
          <w:sz w:val="30"/>
          <w:szCs w:val="30"/>
          <w:lang w:val="en-US" w:eastAsia="zh-CN" w:bidi="ar"/>
        </w:rPr>
        <w:t>云南及石林县</w:t>
      </w:r>
      <w:r>
        <w:rPr>
          <w:rFonts w:hint="default" w:ascii="Times New Roman" w:hAnsi="Times New Roman" w:eastAsia="方正仿宋_GB2312" w:cs="Times New Roman"/>
          <w:color w:val="000000"/>
          <w:kern w:val="0"/>
          <w:sz w:val="30"/>
          <w:szCs w:val="30"/>
          <w:lang w:val="en-US" w:eastAsia="zh-CN" w:bidi="ar"/>
        </w:rPr>
        <w:t xml:space="preserve">高质量发展成型起势的重要窗口期。在此背景下，经济社会发展呈现出一系列新特征、新趋势，挑战前所未有、机遇前所未有、使命责任前所未有。 </w:t>
      </w:r>
    </w:p>
    <w:p w14:paraId="1955DA89">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lang w:val="en-US" w:eastAsia="zh-CN"/>
        </w:rPr>
        <w:t>（一）国际</w:t>
      </w:r>
      <w:r>
        <w:rPr>
          <w:rFonts w:hint="default" w:ascii="Times New Roman" w:hAnsi="Times New Roman" w:eastAsia="方正仿宋_GB2312" w:cs="Times New Roman"/>
          <w:b/>
          <w:bCs/>
          <w:sz w:val="30"/>
          <w:szCs w:val="30"/>
        </w:rPr>
        <w:t>宏观经济形势</w:t>
      </w:r>
    </w:p>
    <w:p w14:paraId="7CED7414">
      <w:pPr>
        <w:keepNext w:val="0"/>
        <w:keepLines w:val="0"/>
        <w:pageBreakBefore w:val="0"/>
        <w:widowControl w:val="0"/>
        <w:suppressLineNumbers w:val="0"/>
        <w:kinsoku/>
        <w:wordWrap/>
        <w:topLinePunct w:val="0"/>
        <w:bidi w:val="0"/>
        <w:adjustRightInd/>
        <w:snapToGrid/>
        <w:spacing w:line="360" w:lineRule="auto"/>
        <w:ind w:firstLine="600" w:firstLineChars="200"/>
        <w:jc w:val="left"/>
        <w:rPr>
          <w:rFonts w:hint="default" w:ascii="Times New Roman" w:hAnsi="Times New Roman" w:eastAsia="方正仿宋_GB2312" w:cs="Times New Roman"/>
          <w:sz w:val="30"/>
          <w:szCs w:val="30"/>
        </w:rPr>
      </w:pPr>
      <w:r>
        <w:rPr>
          <w:rFonts w:hint="default" w:ascii="Times New Roman" w:hAnsi="Times New Roman" w:eastAsia="方正仿宋_GB2312" w:cs="Times New Roman"/>
          <w:color w:val="000000"/>
          <w:kern w:val="0"/>
          <w:sz w:val="30"/>
          <w:szCs w:val="30"/>
          <w:lang w:val="en-US" w:eastAsia="zh-CN" w:bidi="ar"/>
        </w:rPr>
        <w:t>世界百年变局加速演进，全球经济增长动能减弱但韧性超预期，呈现</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新兴强于发达</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的格局，分化态势进一步扩大。新一轮科技革命和产业变革加速突破，以人工智能为核心的技术革命成为全球经济关键增长引擎。同时，国际力量对比深刻调整，国际经济贸易秩序遇到严峻挑战，保护主义升级，全球供应链正经历</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安全-效率</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再平衡，呈现出</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区域化与短链化成为主流、多元化与备份机制强化、战略溢价取代效率溢价</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三大特征，引发以</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本土化、区域化、多元化</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为特点的新一轮全球产业格局深度重构。全球绿色低碳转型进入深水区，国际合作与竞争并存，对企业经营产生深远影响。</w:t>
      </w:r>
    </w:p>
    <w:p w14:paraId="527405C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lang w:val="en-US" w:eastAsia="zh-CN"/>
        </w:rPr>
      </w:pPr>
      <w:r>
        <w:rPr>
          <w:rFonts w:hint="default" w:ascii="Times New Roman" w:hAnsi="Times New Roman" w:eastAsia="方正仿宋_GB2312" w:cs="Times New Roman"/>
          <w:b/>
          <w:bCs/>
          <w:sz w:val="30"/>
          <w:szCs w:val="30"/>
          <w:lang w:eastAsia="zh-CN"/>
        </w:rPr>
        <w:t>（</w:t>
      </w:r>
      <w:r>
        <w:rPr>
          <w:rFonts w:hint="default" w:ascii="Times New Roman" w:hAnsi="Times New Roman" w:eastAsia="方正仿宋_GB2312" w:cs="Times New Roman"/>
          <w:b/>
          <w:bCs/>
          <w:sz w:val="30"/>
          <w:szCs w:val="30"/>
          <w:lang w:val="en-US" w:eastAsia="zh-CN"/>
        </w:rPr>
        <w:t>二）国内经济发展形势</w:t>
      </w:r>
    </w:p>
    <w:p w14:paraId="51EF1890">
      <w:pPr>
        <w:keepNext w:val="0"/>
        <w:keepLines w:val="0"/>
        <w:pageBreakBefore w:val="0"/>
        <w:widowControl w:val="0"/>
        <w:suppressLineNumbers w:val="0"/>
        <w:kinsoku/>
        <w:wordWrap/>
        <w:topLinePunct w:val="0"/>
        <w:bidi w:val="0"/>
        <w:adjustRightInd/>
        <w:snapToGrid/>
        <w:spacing w:line="360" w:lineRule="auto"/>
        <w:ind w:firstLine="600" w:firstLineChars="200"/>
        <w:jc w:val="both"/>
        <w:rPr>
          <w:rFonts w:hint="default" w:ascii="Times New Roman" w:hAnsi="Times New Roman" w:cs="Times New Roman"/>
        </w:rPr>
      </w:pPr>
      <w:r>
        <w:rPr>
          <w:rFonts w:hint="default" w:ascii="Times New Roman" w:hAnsi="Times New Roman" w:eastAsia="方正仿宋_GB2312" w:cs="Times New Roman"/>
          <w:color w:val="000000"/>
          <w:kern w:val="0"/>
          <w:sz w:val="30"/>
          <w:szCs w:val="30"/>
          <w:lang w:val="en-US" w:eastAsia="zh-CN" w:bidi="ar"/>
        </w:rPr>
        <w:t>我国正处于战略机遇和风险挑战并存、不确定难预料因素增多的时期，发展不平衡不充分问题仍然突出。但我国经济基础稳、优势多、韧性强、潜能大，长期向好的支撑条件和基本趋势没有变。面对严峻复杂的国际环境和艰巨繁重的国内改革发展稳定任务，党中央主动统筹国内国际两个大局、统筹高质量发展和高水平安全，深入实施区域协调发展、西部大开发、建设国家战略腹地等重大战略，经济增长动能加速从投资驱动向创新驱动、消费拉动转型，新质生产力培育成为核心主线，经济延续</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稳中有进、质效优先</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的发展格局，呈现</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增速平稳、结构优化、动能转换</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特征，为企业融入国内大市场创造了更多的条件。 </w:t>
      </w:r>
    </w:p>
    <w:p w14:paraId="2F70F8EC">
      <w:pPr>
        <w:keepNext w:val="0"/>
        <w:keepLines w:val="0"/>
        <w:pageBreakBefore w:val="0"/>
        <w:widowControl w:val="0"/>
        <w:suppressLineNumbers w:val="0"/>
        <w:kinsoku/>
        <w:wordWrap/>
        <w:topLinePunct w:val="0"/>
        <w:bidi w:val="0"/>
        <w:adjustRightInd/>
        <w:snapToGrid/>
        <w:spacing w:line="360" w:lineRule="auto"/>
        <w:ind w:firstLine="600" w:firstLineChars="200"/>
        <w:jc w:val="left"/>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color w:val="000000"/>
          <w:kern w:val="0"/>
          <w:sz w:val="30"/>
          <w:szCs w:val="30"/>
          <w:lang w:val="en-US" w:eastAsia="zh-CN" w:bidi="ar"/>
        </w:rPr>
        <w:t>云南</w:t>
      </w:r>
      <w:r>
        <w:rPr>
          <w:rFonts w:hint="eastAsia" w:ascii="Times New Roman" w:hAnsi="Times New Roman" w:eastAsia="方正仿宋_GB2312" w:cs="Times New Roman"/>
          <w:color w:val="000000"/>
          <w:kern w:val="0"/>
          <w:sz w:val="30"/>
          <w:szCs w:val="30"/>
          <w:lang w:val="en-US" w:eastAsia="zh-CN" w:bidi="ar"/>
        </w:rPr>
        <w:t>正</w:t>
      </w:r>
      <w:r>
        <w:rPr>
          <w:rFonts w:hint="default" w:ascii="Times New Roman" w:hAnsi="Times New Roman" w:eastAsia="方正仿宋_GB2312" w:cs="Times New Roman"/>
          <w:color w:val="000000"/>
          <w:kern w:val="0"/>
          <w:sz w:val="30"/>
          <w:szCs w:val="30"/>
          <w:lang w:val="en-US" w:eastAsia="zh-CN" w:bidi="ar"/>
        </w:rPr>
        <w:t>持续保持稳进提质、向好向上的发展态势，处于</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十五五</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关键发展期和</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3815</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战略</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八年大发展</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决胜期，将锚定高质量跨越式发展目标，全力构建</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4+5+6</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现代化产业体系，推动经济实现质的有效提升和量的合理增长。产业发展上，将做强绿色铝、硅光伏等4大资源型产业，提质高原特色农业、文旅等5大优势产业，培育生物医药、低空经济等6大战略性新兴产业，深化</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绿电+先进制造业</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融合，推动资源经济、园区经济、口岸经济协同发展。开放合作方面，将依托中老铁路</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黄金大通道</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，深化与南亚东南亚国家的</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硬联通、软联通、心联通</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推动通道经济向产业经济转型，提升外贸质量效益。同时，将以改革创新为根本动力，强化科技创新与产业创新融合，推进矿山、园区等领域提质升级，破解产业基础薄弱、区域发展不平衡等短板，兼顾生态保护与经济发展，奋力打造面向南亚东南亚辐射中心，逐步建成具有云南特色优势的现代化产业体系，开创中国式现代化云南实践新局面。</w:t>
      </w:r>
    </w:p>
    <w:p w14:paraId="418CEED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行业发展趋势</w:t>
      </w:r>
    </w:p>
    <w:p w14:paraId="45E59DD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00" w:firstLineChars="200"/>
        <w:jc w:val="both"/>
        <w:textAlignment w:val="auto"/>
        <w:outlineLvl w:val="2"/>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天然石材发展趋势</w:t>
      </w:r>
    </w:p>
    <w:p w14:paraId="2E42687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全球天然石材市场正保持着稳健的增长态势。2024年市场规模约为327亿至404亿美元，预计到2033年将增长至481亿至549亿美元，年复合增长率在3.5%至4.6%之间。这个增长并非简单的数量扩张，而是伴随着深刻的需求结构变化：</w:t>
      </w:r>
      <w:r>
        <w:rPr>
          <w:rFonts w:hint="eastAsia" w:ascii="Times New Roman" w:hAnsi="Times New Roman" w:eastAsia="方正仿宋_GB2312" w:cs="Times New Roman"/>
          <w:color w:val="000000"/>
          <w:kern w:val="0"/>
          <w:sz w:val="30"/>
          <w:szCs w:val="30"/>
          <w:lang w:val="en-US" w:eastAsia="zh-CN" w:bidi="ar"/>
        </w:rPr>
        <w:t>一是</w:t>
      </w:r>
      <w:r>
        <w:rPr>
          <w:rFonts w:hint="default" w:ascii="Times New Roman" w:hAnsi="Times New Roman" w:eastAsia="方正仿宋_GB2312" w:cs="Times New Roman"/>
          <w:color w:val="000000"/>
          <w:kern w:val="0"/>
          <w:sz w:val="30"/>
          <w:szCs w:val="30"/>
          <w:lang w:val="en-US" w:eastAsia="zh-CN" w:bidi="ar"/>
        </w:rPr>
        <w:t>建筑业主导：超过52%的天然石材用于建筑工程，是市场的基石。</w:t>
      </w:r>
      <w:r>
        <w:rPr>
          <w:rFonts w:hint="eastAsia" w:ascii="Times New Roman" w:hAnsi="Times New Roman" w:eastAsia="方正仿宋_GB2312" w:cs="Times New Roman"/>
          <w:color w:val="000000"/>
          <w:kern w:val="0"/>
          <w:sz w:val="30"/>
          <w:szCs w:val="30"/>
          <w:lang w:val="en-US" w:eastAsia="zh-CN" w:bidi="ar"/>
        </w:rPr>
        <w:t>二是</w:t>
      </w:r>
      <w:r>
        <w:rPr>
          <w:rFonts w:hint="default" w:ascii="Times New Roman" w:hAnsi="Times New Roman" w:eastAsia="方正仿宋_GB2312" w:cs="Times New Roman"/>
          <w:color w:val="000000"/>
          <w:kern w:val="0"/>
          <w:sz w:val="30"/>
          <w:szCs w:val="30"/>
          <w:lang w:val="en-US" w:eastAsia="zh-CN" w:bidi="ar"/>
        </w:rPr>
        <w:t>消费两极分化：高端市场追求奢石、艺术化的定制产品；大众市场则青睐性能优异、价格亲民的岩板等产品。</w:t>
      </w:r>
      <w:r>
        <w:rPr>
          <w:rFonts w:hint="eastAsia" w:ascii="Times New Roman" w:hAnsi="Times New Roman" w:eastAsia="方正仿宋_GB2312" w:cs="Times New Roman"/>
          <w:color w:val="000000"/>
          <w:kern w:val="0"/>
          <w:sz w:val="30"/>
          <w:szCs w:val="30"/>
          <w:lang w:val="en-US" w:eastAsia="zh-CN" w:bidi="ar"/>
        </w:rPr>
        <w:t>三是“</w:t>
      </w:r>
      <w:r>
        <w:rPr>
          <w:rFonts w:hint="default" w:ascii="Times New Roman" w:hAnsi="Times New Roman" w:eastAsia="方正仿宋_GB2312" w:cs="Times New Roman"/>
          <w:color w:val="000000"/>
          <w:kern w:val="0"/>
          <w:sz w:val="30"/>
          <w:szCs w:val="30"/>
          <w:lang w:val="en-US" w:eastAsia="zh-CN" w:bidi="ar"/>
        </w:rPr>
        <w:t>旧改</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成为新动能：存量房的翻新改造已成为石材应用的重要增量市场，在美国这一比例超过38%，在中国已占家装市场超50%。</w:t>
      </w:r>
    </w:p>
    <w:p w14:paraId="7B5080B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未来，天然石材正从传统建材向绿色化、智能化、高值化、功能化、场景化五大方向升级，核心是从</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卖原料</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转向</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卖产品+服务+文化+科技</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。不仅在于巩固其在建筑和家装领域作为高端、耐用材料的核心地位，更在于通过科技与创意的融合，不断拓展其作为</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科技载体</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健康帮手</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和</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艺术媒介</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的新边界。</w:t>
      </w:r>
      <w:r>
        <w:rPr>
          <w:rFonts w:hint="eastAsia" w:ascii="Times New Roman" w:hAnsi="Times New Roman" w:eastAsia="方正仿宋_GB2312" w:cs="Times New Roman"/>
          <w:color w:val="000000"/>
          <w:kern w:val="0"/>
          <w:sz w:val="30"/>
          <w:szCs w:val="30"/>
          <w:lang w:val="en-US" w:eastAsia="zh-CN" w:bidi="ar"/>
        </w:rPr>
        <w:t>具体表现在：一是“绿色低碳与循环经济”。包括绿色矿山与清洁生产、固废资源化和全生命周期低碳，涵盖新建矿山 100% 达绿色标准，推广数字化开采、节水节电、清洁能源，单位产品综合能耗降至 0.85 tce / 吨以下。尾矿、边角料、石粉综合利用率目标 85%+，用于再生骨料、透水砖、真石漆、人造石、文创摆件，变废为宝。同时，从开采、加工到运输、安装、回收，推行碳足迹管理，适配绿色建筑与碳中和要求；二是“智能制造与数字化转型”，包括“智能矿山与加工、数字孪生与 BIM和数字身份证”，涵盖5G+AI + 大数据，实现荒料智能识别、自动切割、精准排版，利用率从 30%-40% 提升至 70%+，人工成本占比降至 10% 以内。同时，实施石材3D 扫描建模、纹理对纹、虚拟铺贴，前置设计降低损耗，实现“矿山-加工-工程”一体化精准交付。此外，还每块石材赋予溯源码，全流程可追溯，提升品质与信任。三是“产品高值化与高端定制”，包括产品“超薄化与轻量化、高端定制与艺术化和文创与家居化”，涵盖2–5mm 超薄石材，强度不减、重量大减，可用于吊顶、家具、内装，拓展应用场景。同时，产品从标准化板材转向私宅、酒店、商业空间的整体定制，结合雕刻、异形、拼花，深挖文化与自然纹理价值。此外，石材茶台、餐桌、摆件、艺术品，从建材走向生活美学，提升溢价。四是“功能化与复合化”，包括“表面功能化、智能石材和复合板材”，涵盖有纳米涂层实现自洁、抗菌、防滑、耐污、耐酸碱，适配医疗、厨卫、户外等场景。同时，嵌入传感、加热、调光等功能，打造智能台面、温控墙面、健康监测石材。此外，产品还与陶瓷、金属、蜂窝芯、木器等复合，提升性能、降低成本、扩大应用。五是“应用场景拓展与模式创新”，涵盖“产品装配式与预制化、城市更新与文旅和国际化与品牌化”，包括产品适配装配式建筑，石材预制构件应用占比提升。同时商业模式升级，老旧小区改造、历史建筑修复、乡村文旅、景观造景，产品需求持续增长。产品从“卖板材”转向“设计+加工+安装+运维”一体化解决方案；工厂直营、直播电商、VR/AR 体验，去中间化、直连 C 端。此外，借“一带一路”布局海外加工基地，从出口粗加工转向高附加值成品+品牌输出。六是“市场与政策驱动”，涵盖政策方面，包括出口退税取消、绿色建筑强制标准、碳达峰方案，倒逼行业升级。同时，在需求方面，高端化、个性化、环保化、智能化成为主流，人造石冲击下天然石材在高端、文化、耐用领域具有不可替代性。</w:t>
      </w:r>
    </w:p>
    <w:p w14:paraId="674C257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碳酸钙粉体发展趋势</w:t>
      </w:r>
    </w:p>
    <w:p w14:paraId="74D02EA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碳酸钙（粉体）是应用最广泛的非金属矿物材料之一，作为日常工业生产中重要的非金属矿物类基础原料，处于产业链的最前端，有</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工业粮食</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之称，与国民经济和生活密切相关，是发展新兴产业和高新技术的重要支撑材料。它不仅已被广泛应用于工业、建材、造纸、塑料、橡胶、油漆、涂料、密封胶等行业的原料或改性功能材料，而且还广泛</w:t>
      </w:r>
      <w:r>
        <w:rPr>
          <w:rFonts w:hint="default" w:ascii="Times New Roman" w:hAnsi="Times New Roman" w:eastAsia="方正仿宋_GB2312" w:cs="Times New Roman"/>
          <w:sz w:val="30"/>
          <w:szCs w:val="30"/>
          <w:lang w:val="en-US" w:eastAsia="zh-CN"/>
        </w:rPr>
        <w:t>加速</w:t>
      </w:r>
      <w:r>
        <w:rPr>
          <w:rFonts w:hint="default" w:ascii="Times New Roman" w:hAnsi="Times New Roman" w:eastAsia="方正仿宋_GB2312" w:cs="Times New Roman"/>
          <w:sz w:val="30"/>
          <w:szCs w:val="30"/>
        </w:rPr>
        <w:t>应用于农业、日化、牙膏、食品、医药、卫生保健、电子、航天科技等领域。</w:t>
      </w:r>
    </w:p>
    <w:p w14:paraId="3DEB7DE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全球碳酸钙产业是一个庞大且成熟的市场，目前处于稳定增长期。2024年全球碳酸钙</w:t>
      </w:r>
      <w:r>
        <w:rPr>
          <w:rFonts w:hint="eastAsia" w:ascii="Times New Roman" w:hAnsi="Times New Roman" w:eastAsia="方正仿宋_GB2312" w:cs="Times New Roman"/>
          <w:sz w:val="30"/>
          <w:szCs w:val="30"/>
          <w:lang w:val="en-US" w:eastAsia="zh-CN"/>
        </w:rPr>
        <w:t>粉体</w:t>
      </w:r>
      <w:r>
        <w:rPr>
          <w:rFonts w:hint="default" w:ascii="Times New Roman" w:hAnsi="Times New Roman" w:eastAsia="方正仿宋_GB2312" w:cs="Times New Roman"/>
          <w:sz w:val="30"/>
          <w:szCs w:val="30"/>
          <w:lang w:val="en-US" w:eastAsia="zh-CN"/>
        </w:rPr>
        <w:t>市场规模约为501.7亿美元，年产量约1.5 亿吨。预计，2032年市场规模为710-870亿美元。长期来看，市场前景依然乐观。有预测指出，从2025年到2034年，全球碳酸钙</w:t>
      </w:r>
      <w:r>
        <w:rPr>
          <w:rFonts w:hint="eastAsia" w:ascii="Times New Roman" w:hAnsi="Times New Roman" w:eastAsia="方正仿宋_GB2312" w:cs="Times New Roman"/>
          <w:sz w:val="30"/>
          <w:szCs w:val="30"/>
          <w:lang w:val="en-US" w:eastAsia="zh-CN"/>
        </w:rPr>
        <w:t>粉体</w:t>
      </w:r>
      <w:r>
        <w:rPr>
          <w:rFonts w:hint="default" w:ascii="Times New Roman" w:hAnsi="Times New Roman" w:eastAsia="方正仿宋_GB2312" w:cs="Times New Roman"/>
          <w:sz w:val="30"/>
          <w:szCs w:val="30"/>
          <w:lang w:val="en-US" w:eastAsia="zh-CN"/>
        </w:rPr>
        <w:t>市场规模的年复合增长率（CAGR）可能达到6.7%。</w:t>
      </w:r>
      <w:r>
        <w:rPr>
          <w:rFonts w:hint="default" w:ascii="Times New Roman" w:hAnsi="Times New Roman" w:eastAsia="方正仿宋_GB2312" w:cs="Times New Roman"/>
          <w:kern w:val="2"/>
          <w:sz w:val="30"/>
          <w:szCs w:val="30"/>
          <w:lang w:val="en-US" w:eastAsia="zh-CN" w:bidi="ar-SA"/>
        </w:rPr>
        <w:t>在汽车、航空航天、化工、建材等传统领域碳酸钙已实现深度渗透，核心以填充、增强、降本为核心价值，同时向纳米化、表面改性、功能复合化升级，适配轻量化、高性能与绿色环保需求。</w:t>
      </w:r>
      <w:r>
        <w:rPr>
          <w:rFonts w:hint="default" w:ascii="Times New Roman" w:hAnsi="Times New Roman" w:eastAsia="方正仿宋_GB2312" w:cs="Times New Roman"/>
          <w:sz w:val="30"/>
          <w:szCs w:val="30"/>
        </w:rPr>
        <w:t>在新兴领域的拓展正从</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概念验证</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迈向</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规模化应用</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，核心价值从传统的</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填充降本</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升级为</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功能增强+绿色环保</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。碳酸钙</w:t>
      </w:r>
      <w:r>
        <w:rPr>
          <w:rFonts w:hint="default" w:ascii="Times New Roman" w:hAnsi="Times New Roman" w:eastAsia="方正仿宋_GB2312" w:cs="Times New Roman"/>
          <w:sz w:val="30"/>
          <w:szCs w:val="30"/>
          <w:lang w:val="en-US" w:eastAsia="zh-CN"/>
        </w:rPr>
        <w:t>核心技术突破集中在纳米化、晶型调控、表面改性，高端产品价格为普通重钙的5-8 倍，利润率达35%以上。我国钙基新材料产业正处于由</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大</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强</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的关键转型期，只有突破结构失衡、技术壁垒、环保约束、人才短板和产业链断层等多重挑战，才能真正释放 "工业粮食" 的战略价值，打造具有全球竞争力的现代产业集群。</w:t>
      </w:r>
    </w:p>
    <w:p w14:paraId="49334F9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未来的发展动力将主要来自于亚太地区，尤其是印度和东南亚新兴市场的持续需求。同时，在技术进步和环保要求双轮驱动下，产品结构向高附加值、功能化、绿色化、融合化和智能化方向的转型升级。此外，行业通过并购整合提升集中度，以及企业通过可持续发展战略构建核心竞争优势，也是未来的发展动力。</w:t>
      </w:r>
    </w:p>
    <w:p w14:paraId="2A7D1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对</w:t>
      </w:r>
      <w:r>
        <w:rPr>
          <w:rFonts w:hint="eastAsia" w:ascii="Times New Roman" w:hAnsi="Times New Roman" w:eastAsia="方正仿宋_GB2312" w:cs="Times New Roman"/>
          <w:sz w:val="30"/>
          <w:szCs w:val="30"/>
          <w:lang w:val="en-US" w:eastAsia="zh-CN"/>
        </w:rPr>
        <w:t>石林县</w:t>
      </w:r>
      <w:r>
        <w:rPr>
          <w:rFonts w:hint="default" w:ascii="Times New Roman" w:hAnsi="Times New Roman" w:eastAsia="方正仿宋_GB2312" w:cs="Times New Roman"/>
          <w:sz w:val="30"/>
          <w:szCs w:val="30"/>
        </w:rPr>
        <w:t>而言，抓住这一转型机遇，依托</w:t>
      </w:r>
      <w:r>
        <w:rPr>
          <w:rFonts w:hint="default" w:ascii="Times New Roman" w:hAnsi="Times New Roman" w:eastAsia="方正仿宋_GB2312" w:cs="Times New Roman"/>
          <w:sz w:val="30"/>
          <w:szCs w:val="30"/>
          <w:lang w:val="en-US" w:eastAsia="zh-CN"/>
        </w:rPr>
        <w:t>优质钙</w:t>
      </w:r>
      <w:r>
        <w:rPr>
          <w:rFonts w:hint="default" w:ascii="Times New Roman" w:hAnsi="Times New Roman" w:eastAsia="方正仿宋_GB2312" w:cs="Times New Roman"/>
          <w:sz w:val="30"/>
          <w:szCs w:val="30"/>
        </w:rPr>
        <w:t>资源优势与技术创新，</w:t>
      </w:r>
      <w:r>
        <w:rPr>
          <w:rFonts w:hint="eastAsia" w:ascii="Times New Roman" w:hAnsi="Times New Roman" w:eastAsia="方正仿宋_GB2312" w:cs="Times New Roman"/>
          <w:sz w:val="30"/>
          <w:szCs w:val="30"/>
          <w:lang w:val="en-US" w:eastAsia="zh-CN"/>
        </w:rPr>
        <w:t>未来</w:t>
      </w:r>
      <w:r>
        <w:rPr>
          <w:rFonts w:hint="default" w:ascii="Times New Roman" w:hAnsi="Times New Roman" w:eastAsia="方正仿宋_GB2312" w:cs="Times New Roman"/>
          <w:sz w:val="30"/>
          <w:szCs w:val="30"/>
          <w:lang w:val="en-US" w:eastAsia="zh-CN"/>
        </w:rPr>
        <w:t>优先</w:t>
      </w:r>
      <w:r>
        <w:rPr>
          <w:rFonts w:hint="default" w:ascii="Times New Roman" w:hAnsi="Times New Roman" w:eastAsia="方正仿宋_GB2312" w:cs="Times New Roman"/>
          <w:sz w:val="30"/>
          <w:szCs w:val="30"/>
        </w:rPr>
        <w:t>高端</w:t>
      </w:r>
      <w:r>
        <w:rPr>
          <w:rFonts w:hint="eastAsia" w:ascii="Times New Roman" w:hAnsi="Times New Roman" w:eastAsia="方正仿宋_GB2312" w:cs="Times New Roman"/>
          <w:sz w:val="30"/>
          <w:szCs w:val="30"/>
          <w:lang w:val="en-US" w:eastAsia="zh-CN"/>
        </w:rPr>
        <w:t>天然石材和</w:t>
      </w:r>
      <w:r>
        <w:rPr>
          <w:rFonts w:hint="default" w:ascii="Times New Roman" w:hAnsi="Times New Roman" w:eastAsia="方正仿宋_GB2312" w:cs="Times New Roman"/>
          <w:sz w:val="30"/>
          <w:szCs w:val="30"/>
          <w:lang w:val="en-US" w:eastAsia="zh-CN"/>
        </w:rPr>
        <w:t>布局新型包装</w:t>
      </w:r>
      <w:r>
        <w:rPr>
          <w:rFonts w:hint="eastAsia" w:ascii="Times New Roman" w:hAnsi="Times New Roman" w:eastAsia="方正仿宋_GB2312" w:cs="Times New Roman"/>
          <w:sz w:val="30"/>
          <w:szCs w:val="30"/>
          <w:lang w:val="en-US" w:eastAsia="zh-CN"/>
        </w:rPr>
        <w:t>和钙基塑料</w:t>
      </w:r>
      <w:r>
        <w:rPr>
          <w:rFonts w:hint="default" w:ascii="Times New Roman" w:hAnsi="Times New Roman" w:eastAsia="方正仿宋_GB2312" w:cs="Times New Roman"/>
          <w:sz w:val="30"/>
          <w:szCs w:val="30"/>
          <w:lang w:val="en-US" w:eastAsia="zh-CN"/>
        </w:rPr>
        <w:t>材料、医用</w:t>
      </w:r>
      <w:r>
        <w:rPr>
          <w:rFonts w:hint="eastAsia" w:ascii="Times New Roman" w:hAnsi="Times New Roman" w:eastAsia="方正仿宋_GB2312" w:cs="Times New Roman"/>
          <w:sz w:val="30"/>
          <w:szCs w:val="30"/>
          <w:lang w:val="en-US" w:eastAsia="zh-CN"/>
        </w:rPr>
        <w:t>和食品级碳酸钙</w:t>
      </w:r>
      <w:r>
        <w:rPr>
          <w:rFonts w:hint="default" w:ascii="Times New Roman" w:hAnsi="Times New Roman" w:eastAsia="方正仿宋_GB2312" w:cs="Times New Roman"/>
          <w:sz w:val="30"/>
          <w:szCs w:val="30"/>
          <w:lang w:val="en-US" w:eastAsia="zh-CN"/>
        </w:rPr>
        <w:t>、环保及重金属治理专用钙</w:t>
      </w:r>
      <w:r>
        <w:rPr>
          <w:rFonts w:hint="eastAsia" w:ascii="Times New Roman" w:hAnsi="Times New Roman" w:eastAsia="方正仿宋_GB2312" w:cs="Times New Roman"/>
          <w:sz w:val="30"/>
          <w:szCs w:val="30"/>
          <w:lang w:val="en-US" w:eastAsia="zh-CN"/>
        </w:rPr>
        <w:t>等</w:t>
      </w:r>
      <w:r>
        <w:rPr>
          <w:rFonts w:hint="default"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lang w:val="en-US" w:eastAsia="zh-CN"/>
        </w:rPr>
        <w:t>形成“</w:t>
      </w:r>
      <w:r>
        <w:rPr>
          <w:rFonts w:hint="default" w:ascii="Times New Roman" w:hAnsi="Times New Roman" w:eastAsia="方正仿宋_GB2312" w:cs="Times New Roman"/>
          <w:sz w:val="30"/>
          <w:szCs w:val="30"/>
          <w:lang w:val="en-US" w:eastAsia="zh-CN"/>
        </w:rPr>
        <w:t>资源-技术-应用</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全链条</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rPr>
        <w:t>有望打造</w:t>
      </w:r>
      <w:r>
        <w:rPr>
          <w:rFonts w:hint="eastAsia" w:ascii="Times New Roman" w:hAnsi="Times New Roman" w:eastAsia="方正仿宋_GB2312" w:cs="Times New Roman"/>
          <w:sz w:val="30"/>
          <w:szCs w:val="30"/>
          <w:lang w:val="en-US" w:eastAsia="zh-CN"/>
        </w:rPr>
        <w:t>云南</w:t>
      </w:r>
      <w:r>
        <w:rPr>
          <w:rFonts w:hint="default" w:ascii="Times New Roman" w:hAnsi="Times New Roman" w:eastAsia="方正仿宋_GB2312" w:cs="Times New Roman"/>
          <w:sz w:val="30"/>
          <w:szCs w:val="30"/>
        </w:rPr>
        <w:t>领先的高端</w:t>
      </w:r>
      <w:r>
        <w:rPr>
          <w:rFonts w:hint="eastAsia" w:ascii="Times New Roman" w:hAnsi="Times New Roman" w:eastAsia="方正仿宋_GB2312" w:cs="Times New Roman"/>
          <w:sz w:val="30"/>
          <w:szCs w:val="30"/>
          <w:lang w:val="en-US" w:eastAsia="zh-CN"/>
        </w:rPr>
        <w:t>天然石材和</w:t>
      </w:r>
      <w:r>
        <w:rPr>
          <w:rFonts w:hint="default" w:ascii="Times New Roman" w:hAnsi="Times New Roman" w:eastAsia="方正仿宋_GB2312" w:cs="Times New Roman"/>
          <w:sz w:val="30"/>
          <w:szCs w:val="30"/>
        </w:rPr>
        <w:t>钙基新材料产业集群。</w:t>
      </w:r>
    </w:p>
    <w:p w14:paraId="193F833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00" w:firstLineChars="200"/>
        <w:textAlignment w:val="auto"/>
        <w:outlineLvl w:val="1"/>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区域发展战略</w:t>
      </w:r>
    </w:p>
    <w:p w14:paraId="628C012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十五五</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时期，云南区域发展战略以</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3815</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战略为引领，紧扣</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三个定位</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，锚定高质量跨越式发展目标，核心是构建</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昆明率先、滇中引领、区域协同、廊带联动、全域开放</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的协调发展格局。战略重点包括：以建设面向南亚东南亚辐射中心为统领，深化与南亚东南亚国家的</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硬联通、软联通、心联通</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，依托中老铁路等大通道推动通道经济向产业经济转型；构建</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4+5+6</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现代化产业体系，推动资源、园区、口岸经济协同发力；分类推进县域经济发展，培育农业强县、工业大县、文旅名县、口岸强县；强化科技创新赋能，统筹生态保护与产业升级，破解区域发展不平衡短板，深化民族团结进步，全力打造全国重要清洁能源基地、高原特色现代生态农业基地等，奋力开创中国式现代化云南实践新局面</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十五五</w:t>
      </w:r>
      <w:r>
        <w:rPr>
          <w:rFonts w:hint="eastAsia" w:ascii="Times New Roman" w:hAnsi="Times New Roman" w:eastAsia="方正仿宋_GB2312" w:cs="Times New Roman"/>
          <w:sz w:val="30"/>
          <w:szCs w:val="30"/>
          <w:lang w:val="en-US" w:eastAsia="zh-CN"/>
        </w:rPr>
        <w:t>”云南</w:t>
      </w:r>
      <w:r>
        <w:rPr>
          <w:rFonts w:hint="default" w:ascii="Times New Roman" w:hAnsi="Times New Roman" w:eastAsia="方正仿宋_GB2312" w:cs="Times New Roman"/>
          <w:sz w:val="30"/>
          <w:szCs w:val="30"/>
          <w:lang w:val="en-US" w:eastAsia="zh-CN"/>
        </w:rPr>
        <w:t>区域发展战略，为石林县发展提供多重核心红利：一是依托</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滇中引领、区域协同</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定位，石林可借力昆明半小时经济圈优势，承接产业辐射，推动石材碳酸钙向钙基新材料转型，助力百亿级相关产业打造；二是契合</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4+5+6</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产业体系，石林的高原特色农业（人参果、畜禽产业）、文旅产业可获得政策与资源倾斜，进一步提质增效，巩固县域旅游与农业优势；三是借助科技创新赋能政策，可引入科研团队支撑产业升级，破解传统石材加工附加值低的短板；四是依托县域经济培育政策，石林可精准定位工业（钙基新材料</w:t>
      </w:r>
      <w:r>
        <w:rPr>
          <w:rFonts w:hint="eastAsia" w:ascii="Times New Roman" w:hAnsi="Times New Roman" w:eastAsia="方正仿宋_GB2312" w:cs="Times New Roman"/>
          <w:sz w:val="30"/>
          <w:szCs w:val="30"/>
          <w:lang w:val="en-US" w:eastAsia="zh-CN"/>
        </w:rPr>
        <w:t>（石材）</w:t>
      </w:r>
      <w:r>
        <w:rPr>
          <w:rFonts w:hint="default" w:ascii="Times New Roman" w:hAnsi="Times New Roman" w:eastAsia="方正仿宋_GB2312" w:cs="Times New Roman"/>
          <w:sz w:val="30"/>
          <w:szCs w:val="30"/>
          <w:lang w:val="en-US" w:eastAsia="zh-CN"/>
        </w:rPr>
        <w:t>）、文旅、农业发展方向，争取资金、项目支持，壮大规上企业、优化营商环境；五是借力全域开放与通道经济发展，拓宽石林石材新材料、特色农产品的内外销售渠道，同时依托生态保护政策，推动绿色开采与固废资源化，实现产业绿色可持续发展。</w:t>
      </w:r>
    </w:p>
    <w:p w14:paraId="34B2A68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00" w:firstLineChars="200"/>
        <w:textAlignment w:val="auto"/>
        <w:outlineLvl w:val="1"/>
        <w:rPr>
          <w:rFonts w:hint="default" w:ascii="Times New Roman" w:hAnsi="Times New Roman" w:eastAsia="方正仿宋_GB2312" w:cs="Times New Roman"/>
          <w:sz w:val="30"/>
          <w:szCs w:val="30"/>
        </w:rPr>
      </w:pPr>
      <w:r>
        <w:rPr>
          <w:rFonts w:hint="eastAsia" w:ascii="Times New Roman" w:hAnsi="Times New Roman" w:eastAsia="方正仿宋_GB2312" w:cs="Times New Roman"/>
          <w:sz w:val="30"/>
          <w:szCs w:val="30"/>
          <w:lang w:val="en-US" w:eastAsia="zh-CN"/>
        </w:rPr>
        <w:t>石林钙基新材料（石材）产业发展的</w:t>
      </w:r>
      <w:r>
        <w:rPr>
          <w:rFonts w:hint="default" w:ascii="Times New Roman" w:hAnsi="Times New Roman" w:eastAsia="方正仿宋_GB2312" w:cs="Times New Roman"/>
          <w:sz w:val="30"/>
          <w:szCs w:val="30"/>
        </w:rPr>
        <w:t>SWOT 分析</w:t>
      </w:r>
    </w:p>
    <w:p w14:paraId="609184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bookmarkStart w:id="0" w:name="_Toc7754"/>
      <w:r>
        <w:rPr>
          <w:rFonts w:hint="default" w:ascii="Times New Roman" w:hAnsi="Times New Roman" w:eastAsia="方正仿宋_GB2312" w:cs="Times New Roman"/>
          <w:kern w:val="2"/>
          <w:sz w:val="30"/>
          <w:szCs w:val="30"/>
          <w:lang w:val="en-US" w:eastAsia="zh-CN" w:bidi="ar-SA"/>
        </w:rPr>
        <w:t>立足石林县石材碳酸钙资源禀赋与现有产业基础，结合</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十五五</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期间云南区域发展战略导向，全面剖析</w:t>
      </w:r>
      <w:r>
        <w:rPr>
          <w:rFonts w:hint="eastAsia" w:ascii="Times New Roman" w:hAnsi="Times New Roman" w:eastAsia="方正仿宋_GB2312" w:cs="Times New Roman"/>
          <w:kern w:val="2"/>
          <w:sz w:val="30"/>
          <w:szCs w:val="30"/>
          <w:lang w:val="en-US" w:eastAsia="zh-CN" w:bidi="ar-SA"/>
        </w:rPr>
        <w:t>石林县</w:t>
      </w:r>
      <w:r>
        <w:rPr>
          <w:rFonts w:hint="default" w:ascii="Times New Roman" w:hAnsi="Times New Roman" w:eastAsia="方正仿宋_GB2312" w:cs="Times New Roman"/>
          <w:kern w:val="2"/>
          <w:sz w:val="30"/>
          <w:szCs w:val="30"/>
          <w:lang w:val="en-US" w:eastAsia="zh-CN" w:bidi="ar-SA"/>
        </w:rPr>
        <w:t>依托现有产业发展钙基新材料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产业的优势（S）、劣势（W）、机遇（O）与威胁（T），为产业转型发展提供精准参考。</w:t>
      </w:r>
    </w:p>
    <w:p w14:paraId="3B5A8EB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优势（Strengths</w:t>
      </w:r>
      <w:r>
        <w:rPr>
          <w:rFonts w:hint="eastAsia" w:ascii="Times New Roman" w:hAnsi="Times New Roman" w:eastAsia="方正仿宋_GB2312" w:cs="Times New Roman"/>
          <w:kern w:val="2"/>
          <w:sz w:val="30"/>
          <w:szCs w:val="30"/>
          <w:lang w:val="en-US" w:eastAsia="zh-CN" w:bidi="ar-SA"/>
        </w:rPr>
        <w:t xml:space="preserve"> </w:t>
      </w:r>
      <w:r>
        <w:rPr>
          <w:rFonts w:hint="default" w:ascii="Times New Roman" w:hAnsi="Times New Roman" w:eastAsia="方正仿宋_GB2312" w:cs="Times New Roman"/>
          <w:kern w:val="2"/>
          <w:sz w:val="30"/>
          <w:szCs w:val="30"/>
          <w:lang w:val="en-US" w:eastAsia="zh-CN" w:bidi="ar-SA"/>
        </w:rPr>
        <w:t>核心发展支撑）</w:t>
      </w:r>
    </w:p>
    <w:p w14:paraId="009E6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（1）</w:t>
      </w:r>
      <w:r>
        <w:rPr>
          <w:rFonts w:hint="default" w:ascii="Times New Roman" w:hAnsi="Times New Roman" w:eastAsia="方正仿宋_GB2312" w:cs="Times New Roman"/>
          <w:kern w:val="2"/>
          <w:sz w:val="30"/>
          <w:szCs w:val="30"/>
          <w:lang w:val="en-US" w:eastAsia="zh-CN" w:bidi="ar-SA"/>
        </w:rPr>
        <w:t>资源禀赋得天独厚</w:t>
      </w:r>
    </w:p>
    <w:p w14:paraId="36E76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石林县是全国少数同时拥有宝玉石、建材石、观赏石三类资源的地区，石材累计探明储量达8.06亿立方米，其中石灰岩（碳酸钙）品位优良，</w:t>
      </w:r>
      <w:r>
        <w:rPr>
          <w:rFonts w:hint="eastAsia" w:ascii="Times New Roman" w:hAnsi="Times New Roman" w:eastAsia="方正仿宋_GB2312" w:cs="Times New Roman"/>
          <w:kern w:val="2"/>
          <w:sz w:val="30"/>
          <w:szCs w:val="30"/>
          <w:lang w:val="en-US" w:eastAsia="zh-CN" w:bidi="ar-SA"/>
        </w:rPr>
        <w:t>许多矿区的</w:t>
      </w:r>
      <w:r>
        <w:rPr>
          <w:rFonts w:hint="default" w:ascii="Times New Roman" w:hAnsi="Times New Roman" w:eastAsia="方正仿宋_GB2312" w:cs="Times New Roman"/>
          <w:kern w:val="2"/>
          <w:sz w:val="30"/>
          <w:szCs w:val="30"/>
          <w:lang w:val="en-US" w:eastAsia="zh-CN" w:bidi="ar-SA"/>
        </w:rPr>
        <w:t>CaCO₃含量≥95%，</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涵盖白海棠、石林米黄等11个优质品种，且西街口镇作为核心资源承载地，可开发矿床（点）和储量占比突出，为钙基新材料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生产提供充足优质原料。同时，石材加工年产生超百万吨边角料、石粉等固废，可作为深加工原料，助力循环经济发展。</w:t>
      </w:r>
    </w:p>
    <w:p w14:paraId="34AB92E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产业基础初步成型</w:t>
      </w:r>
    </w:p>
    <w:p w14:paraId="5DD21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经过30多年发展，全县已形成</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三石</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并举格局，2024年拥有石材碳酸钙相关生产、加工、销售企业110家，总</w:t>
      </w:r>
      <w:r>
        <w:rPr>
          <w:rFonts w:hint="eastAsia" w:ascii="Times New Roman" w:hAnsi="Times New Roman" w:eastAsia="方正仿宋_GB2312" w:cs="Times New Roman"/>
          <w:kern w:val="2"/>
          <w:sz w:val="30"/>
          <w:szCs w:val="30"/>
          <w:lang w:val="en-US" w:eastAsia="zh-CN" w:bidi="ar-SA"/>
        </w:rPr>
        <w:t>产</w:t>
      </w:r>
      <w:r>
        <w:rPr>
          <w:rFonts w:hint="default" w:ascii="Times New Roman" w:hAnsi="Times New Roman" w:eastAsia="方正仿宋_GB2312" w:cs="Times New Roman"/>
          <w:kern w:val="2"/>
          <w:sz w:val="30"/>
          <w:szCs w:val="30"/>
          <w:lang w:val="en-US" w:eastAsia="zh-CN" w:bidi="ar-SA"/>
        </w:rPr>
        <w:t>量为</w:t>
      </w:r>
      <w:r>
        <w:rPr>
          <w:rFonts w:hint="eastAsia" w:ascii="Times New Roman" w:hAnsi="Times New Roman" w:eastAsia="方正仿宋_GB2312" w:cs="Times New Roman"/>
          <w:kern w:val="2"/>
          <w:sz w:val="30"/>
          <w:szCs w:val="30"/>
          <w:lang w:val="en-US" w:eastAsia="zh-CN" w:bidi="ar-SA"/>
        </w:rPr>
        <w:t>500多</w:t>
      </w:r>
      <w:r>
        <w:rPr>
          <w:rFonts w:hint="default" w:ascii="Times New Roman" w:hAnsi="Times New Roman" w:eastAsia="方正仿宋_GB2312" w:cs="Times New Roman"/>
          <w:kern w:val="2"/>
          <w:sz w:val="30"/>
          <w:szCs w:val="30"/>
          <w:lang w:val="en-US" w:eastAsia="zh-CN" w:bidi="ar-SA"/>
        </w:rPr>
        <w:t>万吨，</w:t>
      </w:r>
      <w:r>
        <w:rPr>
          <w:rFonts w:hint="eastAsia" w:ascii="Times New Roman" w:hAnsi="Times New Roman" w:eastAsia="方正仿宋_GB2312" w:cs="Times New Roman"/>
          <w:kern w:val="2"/>
          <w:sz w:val="30"/>
          <w:szCs w:val="30"/>
          <w:lang w:val="en-US" w:eastAsia="zh-CN" w:bidi="ar-SA"/>
        </w:rPr>
        <w:t>其中石材荒料、板材合计73万吨、氧化钙13万吨、砂石骨料等粉体合计400多万吨。</w:t>
      </w:r>
      <w:r>
        <w:rPr>
          <w:rFonts w:hint="default" w:ascii="Times New Roman" w:hAnsi="Times New Roman" w:eastAsia="方正仿宋_GB2312" w:cs="Times New Roman"/>
          <w:kern w:val="2"/>
          <w:sz w:val="30"/>
          <w:szCs w:val="30"/>
          <w:lang w:val="en-US" w:eastAsia="zh-CN" w:bidi="ar-SA"/>
        </w:rPr>
        <w:t>其中规上企业6家，从业人员700余人，年产值达12.7亿元，初步构建起</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开采</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加工—销售</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一体化初级产业链，为向钙基新材料转型提供坚实产业底盘。</w:t>
      </w:r>
    </w:p>
    <w:p w14:paraId="2296A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（3）</w:t>
      </w:r>
      <w:r>
        <w:rPr>
          <w:rFonts w:hint="default" w:ascii="Times New Roman" w:hAnsi="Times New Roman" w:eastAsia="方正仿宋_GB2312" w:cs="Times New Roman"/>
          <w:kern w:val="2"/>
          <w:sz w:val="30"/>
          <w:szCs w:val="30"/>
          <w:lang w:val="en-US" w:eastAsia="zh-CN" w:bidi="ar-SA"/>
        </w:rPr>
        <w:t>政策与区位赋能显著</w:t>
      </w:r>
    </w:p>
    <w:p w14:paraId="10FD2E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石林石材碳酸钙产业已</w:t>
      </w:r>
      <w:r>
        <w:rPr>
          <w:rFonts w:hint="default" w:ascii="Times New Roman" w:hAnsi="Times New Roman" w:eastAsia="方正仿宋_GB2312" w:cs="Times New Roman"/>
          <w:kern w:val="2"/>
          <w:sz w:val="30"/>
          <w:szCs w:val="30"/>
          <w:lang w:val="en-US" w:eastAsia="zh-CN" w:bidi="ar-SA"/>
        </w:rPr>
        <w:t>纳入昆明</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1+3</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百亿级产业体系和</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一主三辅</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工业布局，明确</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精准识矿、以矿定链、以链招商、创新强链</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发展思路，</w:t>
      </w:r>
      <w:r>
        <w:rPr>
          <w:rFonts w:hint="eastAsia" w:ascii="Times New Roman" w:hAnsi="Times New Roman" w:eastAsia="方正仿宋_GB2312" w:cs="Times New Roman"/>
          <w:kern w:val="2"/>
          <w:sz w:val="30"/>
          <w:szCs w:val="30"/>
          <w:lang w:val="en-US" w:eastAsia="zh-CN" w:bidi="ar-SA"/>
        </w:rPr>
        <w:t>并</w:t>
      </w:r>
      <w:r>
        <w:rPr>
          <w:rFonts w:hint="default" w:ascii="Times New Roman" w:hAnsi="Times New Roman" w:eastAsia="方正仿宋_GB2312" w:cs="Times New Roman"/>
          <w:kern w:val="2"/>
          <w:sz w:val="30"/>
          <w:szCs w:val="30"/>
          <w:lang w:val="en-US" w:eastAsia="zh-CN" w:bidi="ar-SA"/>
        </w:rPr>
        <w:t>出台多项扶持政策</w:t>
      </w:r>
      <w:r>
        <w:rPr>
          <w:rFonts w:hint="eastAsia" w:ascii="Times New Roman" w:hAnsi="Times New Roman" w:eastAsia="方正仿宋_GB2312" w:cs="Times New Roman"/>
          <w:kern w:val="2"/>
          <w:sz w:val="30"/>
          <w:szCs w:val="30"/>
          <w:lang w:val="en-US" w:eastAsia="zh-CN" w:bidi="ar-SA"/>
        </w:rPr>
        <w:t>。同时，石林</w:t>
      </w:r>
      <w:r>
        <w:rPr>
          <w:rFonts w:hint="default" w:ascii="Times New Roman" w:hAnsi="Times New Roman" w:eastAsia="方正仿宋_GB2312" w:cs="Times New Roman"/>
          <w:kern w:val="2"/>
          <w:sz w:val="30"/>
          <w:szCs w:val="30"/>
          <w:lang w:val="en-US" w:eastAsia="zh-CN" w:bidi="ar-SA"/>
        </w:rPr>
        <w:t>地处昆明半小时经济圈，交通便捷，可借力滇中区域协同发展优势，承接产业辐射</w:t>
      </w:r>
      <w:r>
        <w:rPr>
          <w:rFonts w:hint="eastAsia" w:ascii="Times New Roman" w:hAnsi="Times New Roman" w:eastAsia="方正仿宋_GB2312" w:cs="Times New Roman"/>
          <w:kern w:val="2"/>
          <w:sz w:val="30"/>
          <w:szCs w:val="30"/>
          <w:lang w:val="en-US" w:eastAsia="zh-CN" w:bidi="ar-SA"/>
        </w:rPr>
        <w:t>。此外，石林还可</w:t>
      </w:r>
      <w:r>
        <w:rPr>
          <w:rFonts w:hint="default" w:ascii="Times New Roman" w:hAnsi="Times New Roman" w:eastAsia="方正仿宋_GB2312" w:cs="Times New Roman"/>
          <w:kern w:val="2"/>
          <w:sz w:val="30"/>
          <w:szCs w:val="30"/>
          <w:lang w:val="en-US" w:eastAsia="zh-CN" w:bidi="ar-SA"/>
        </w:rPr>
        <w:t>依托中老铁路大通道，拓宽产品内外销售渠道。</w:t>
      </w:r>
    </w:p>
    <w:p w14:paraId="6BD985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（4）</w:t>
      </w:r>
      <w:r>
        <w:rPr>
          <w:rFonts w:hint="default" w:ascii="Times New Roman" w:hAnsi="Times New Roman" w:eastAsia="方正仿宋_GB2312" w:cs="Times New Roman"/>
          <w:kern w:val="2"/>
          <w:sz w:val="30"/>
          <w:szCs w:val="30"/>
          <w:lang w:val="en-US" w:eastAsia="zh-CN" w:bidi="ar-SA"/>
        </w:rPr>
        <w:t>科技支撑逐步强化</w:t>
      </w:r>
    </w:p>
    <w:p w14:paraId="155B6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已引入</w:t>
      </w:r>
      <w:r>
        <w:rPr>
          <w:rFonts w:hint="eastAsia" w:ascii="Times New Roman" w:hAnsi="Times New Roman" w:eastAsia="方正仿宋_GB2312" w:cs="Times New Roman"/>
          <w:kern w:val="2"/>
          <w:sz w:val="30"/>
          <w:szCs w:val="30"/>
          <w:lang w:val="en-US" w:eastAsia="zh-CN" w:bidi="ar-SA"/>
        </w:rPr>
        <w:t>科研院所</w:t>
      </w:r>
      <w:r>
        <w:rPr>
          <w:rFonts w:hint="default" w:ascii="Times New Roman" w:hAnsi="Times New Roman" w:eastAsia="方正仿宋_GB2312" w:cs="Times New Roman"/>
          <w:kern w:val="2"/>
          <w:sz w:val="30"/>
          <w:szCs w:val="30"/>
          <w:lang w:val="en-US" w:eastAsia="zh-CN" w:bidi="ar-SA"/>
        </w:rPr>
        <w:t>专家团队开展专题辅导、实地调研，为产业转型提供技术指导和规划建议，助力破解加工技术瓶颈，推动产业向高端化升级。</w:t>
      </w:r>
    </w:p>
    <w:p w14:paraId="6A54670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劣势（Weaknesses</w:t>
      </w:r>
      <w:r>
        <w:rPr>
          <w:rFonts w:hint="eastAsia" w:ascii="Times New Roman" w:hAnsi="Times New Roman" w:eastAsia="方正仿宋_GB2312" w:cs="Times New Roman"/>
          <w:kern w:val="2"/>
          <w:sz w:val="30"/>
          <w:szCs w:val="30"/>
          <w:lang w:val="en-US" w:eastAsia="zh-CN" w:bidi="ar-SA"/>
        </w:rPr>
        <w:t xml:space="preserve"> </w:t>
      </w:r>
      <w:r>
        <w:rPr>
          <w:rFonts w:hint="default" w:ascii="Times New Roman" w:hAnsi="Times New Roman" w:eastAsia="方正仿宋_GB2312" w:cs="Times New Roman"/>
          <w:kern w:val="2"/>
          <w:sz w:val="30"/>
          <w:szCs w:val="30"/>
          <w:lang w:val="en-US" w:eastAsia="zh-CN" w:bidi="ar-SA"/>
        </w:rPr>
        <w:t>转型核心瓶颈</w:t>
      </w:r>
      <w:r>
        <w:rPr>
          <w:rFonts w:hint="eastAsia" w:ascii="Times New Roman" w:hAnsi="Times New Roman" w:eastAsia="方正仿宋_GB2312" w:cs="Times New Roman"/>
          <w:kern w:val="2"/>
          <w:sz w:val="30"/>
          <w:szCs w:val="30"/>
          <w:lang w:val="en-US" w:eastAsia="zh-CN" w:bidi="ar-SA"/>
        </w:rPr>
        <w:t>）</w:t>
      </w:r>
    </w:p>
    <w:p w14:paraId="320B9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eastAsia"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（1）矿权管理问题突出，整合与开发难度大</w:t>
      </w:r>
    </w:p>
    <w:p w14:paraId="17D09AE9">
      <w:pPr>
        <w:pStyle w:val="7"/>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矿证过期问题普遍，19个在册矿山仅12个可在2026年完成延续发证，其余7个暂不具备条件，部分矿山开发存在政策不确定性。矿山股权结构复杂，大型矿山一级股东多达十余个，小矿整合后仍分散开采，企业意见难以统一，矿山整合推进缓慢。部分矿山位于准水源地等敏感区域，矿权延续/开发审批难度大，存在较大政策风险。</w:t>
      </w:r>
    </w:p>
    <w:p w14:paraId="17892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（2）</w:t>
      </w:r>
      <w:r>
        <w:rPr>
          <w:rFonts w:hint="default" w:ascii="Times New Roman" w:hAnsi="Times New Roman" w:eastAsia="方正仿宋_GB2312" w:cs="Times New Roman"/>
          <w:kern w:val="2"/>
          <w:sz w:val="30"/>
          <w:szCs w:val="30"/>
          <w:lang w:val="en-US" w:eastAsia="zh-CN" w:bidi="ar-SA"/>
        </w:rPr>
        <w:t>产业层级偏低，产业链不完善</w:t>
      </w:r>
    </w:p>
    <w:p w14:paraId="2FC9B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现有产业主要集中在石材开采、初级切割加工环节，以板材、荒料等低附加值产品为主，尚未形成高端粉体、改性材料等钙基新材料产能，产业链短且附加值低，与产业升级需求不匹配。</w:t>
      </w:r>
    </w:p>
    <w:p w14:paraId="4CD50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（3）</w:t>
      </w:r>
      <w:r>
        <w:rPr>
          <w:rFonts w:hint="default" w:ascii="Times New Roman" w:hAnsi="Times New Roman" w:eastAsia="方正仿宋_GB2312" w:cs="Times New Roman"/>
          <w:kern w:val="2"/>
          <w:sz w:val="30"/>
          <w:szCs w:val="30"/>
          <w:lang w:val="en-US" w:eastAsia="zh-CN" w:bidi="ar-SA"/>
        </w:rPr>
        <w:t>企业规模偏小，龙头带动不足</w:t>
      </w:r>
    </w:p>
    <w:p w14:paraId="0FE11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110家相关企业中规上企业仅6家，多数为小型企业，集约化程度低，缺乏具备核心竞争力的龙头企业，难以带动产业链协同升级，且本土企业转型意愿和能力有限。</w:t>
      </w:r>
    </w:p>
    <w:p w14:paraId="40868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（4）</w:t>
      </w:r>
      <w:r>
        <w:rPr>
          <w:rFonts w:hint="default" w:ascii="Times New Roman" w:hAnsi="Times New Roman" w:eastAsia="方正仿宋_GB2312" w:cs="Times New Roman"/>
          <w:kern w:val="2"/>
          <w:sz w:val="30"/>
          <w:szCs w:val="30"/>
          <w:lang w:val="en-US" w:eastAsia="zh-CN" w:bidi="ar-SA"/>
        </w:rPr>
        <w:t>技术与人才短缺</w:t>
      </w:r>
    </w:p>
    <w:p w14:paraId="0D2924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缺乏钙基新材料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研发、工艺优化、高端应用等领域的专业人才，本土企业技术装备相对落后，创新能力不足，难以支撑超细钙、纳米钙、改性钙等</w:t>
      </w:r>
      <w:r>
        <w:rPr>
          <w:rFonts w:hint="eastAsia" w:ascii="Times New Roman" w:hAnsi="Times New Roman" w:eastAsia="方正仿宋_GB2312" w:cs="Times New Roman"/>
          <w:kern w:val="2"/>
          <w:sz w:val="30"/>
          <w:szCs w:val="30"/>
          <w:lang w:val="en-US" w:eastAsia="zh-CN" w:bidi="ar-SA"/>
        </w:rPr>
        <w:t>高性能粉体和钙基新材料等</w:t>
      </w:r>
      <w:r>
        <w:rPr>
          <w:rFonts w:hint="default" w:ascii="Times New Roman" w:hAnsi="Times New Roman" w:eastAsia="方正仿宋_GB2312" w:cs="Times New Roman"/>
          <w:kern w:val="2"/>
          <w:sz w:val="30"/>
          <w:szCs w:val="30"/>
          <w:lang w:val="en-US" w:eastAsia="zh-CN" w:bidi="ar-SA"/>
        </w:rPr>
        <w:t>高附加值产品的规模化生产。</w:t>
      </w:r>
    </w:p>
    <w:p w14:paraId="774237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（5）</w:t>
      </w:r>
      <w:r>
        <w:rPr>
          <w:rFonts w:hint="default" w:ascii="Times New Roman" w:hAnsi="Times New Roman" w:eastAsia="方正仿宋_GB2312" w:cs="Times New Roman"/>
          <w:kern w:val="2"/>
          <w:sz w:val="30"/>
          <w:szCs w:val="30"/>
          <w:lang w:val="en-US" w:eastAsia="zh-CN" w:bidi="ar-SA"/>
        </w:rPr>
        <w:t>资源利用粗放，配套不完善</w:t>
      </w:r>
    </w:p>
    <w:p w14:paraId="54637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小型矿山占比较高，开采规模偏小，资源集约化利用效率低；产业园区建设仍在推进中，用地协调、政策对接、要素保障等基层服务机制不够健全，难以满足项目落地和产业集群发展需求。</w:t>
      </w:r>
    </w:p>
    <w:p w14:paraId="1ABB950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机遇（Opportunities</w:t>
      </w:r>
      <w:r>
        <w:rPr>
          <w:rFonts w:hint="eastAsia" w:ascii="Times New Roman" w:hAnsi="Times New Roman" w:eastAsia="方正仿宋_GB2312" w:cs="Times New Roman"/>
          <w:kern w:val="2"/>
          <w:sz w:val="30"/>
          <w:szCs w:val="30"/>
          <w:lang w:val="en-US" w:eastAsia="zh-CN" w:bidi="ar-SA"/>
        </w:rPr>
        <w:t xml:space="preserve"> </w:t>
      </w:r>
      <w:r>
        <w:rPr>
          <w:rFonts w:hint="default" w:ascii="Times New Roman" w:hAnsi="Times New Roman" w:eastAsia="方正仿宋_GB2312" w:cs="Times New Roman"/>
          <w:kern w:val="2"/>
          <w:sz w:val="30"/>
          <w:szCs w:val="30"/>
          <w:lang w:val="en-US" w:eastAsia="zh-CN" w:bidi="ar-SA"/>
        </w:rPr>
        <w:t>发展外部利好</w:t>
      </w:r>
      <w:r>
        <w:rPr>
          <w:rFonts w:hint="eastAsia" w:ascii="Times New Roman" w:hAnsi="Times New Roman" w:eastAsia="方正仿宋_GB2312" w:cs="Times New Roman"/>
          <w:kern w:val="2"/>
          <w:sz w:val="30"/>
          <w:szCs w:val="30"/>
          <w:lang w:val="en-US" w:eastAsia="zh-CN" w:bidi="ar-SA"/>
        </w:rPr>
        <w:t>）</w:t>
      </w:r>
    </w:p>
    <w:p w14:paraId="2A9B00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（1）</w:t>
      </w:r>
      <w:r>
        <w:rPr>
          <w:rFonts w:hint="default" w:ascii="Times New Roman" w:hAnsi="Times New Roman" w:eastAsia="方正仿宋_GB2312" w:cs="Times New Roman"/>
          <w:kern w:val="2"/>
          <w:sz w:val="30"/>
          <w:szCs w:val="30"/>
          <w:lang w:val="en-US" w:eastAsia="zh-CN" w:bidi="ar-SA"/>
        </w:rPr>
        <w:t>区域战略红利加持</w:t>
      </w:r>
    </w:p>
    <w:p w14:paraId="314D6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十五五</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期间云南构建</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滇中引领、区域协同、全域开放</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发展格局，推进</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4+5+6</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现代化产业体系建设，重点培育资源型产业和新材料产业，石林可借力政策倾斜，争取资金、项目支持，推动钙基新材料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产业发展。</w:t>
      </w:r>
    </w:p>
    <w:p w14:paraId="617A35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（2）</w:t>
      </w:r>
      <w:r>
        <w:rPr>
          <w:rFonts w:hint="default" w:ascii="Times New Roman" w:hAnsi="Times New Roman" w:eastAsia="方正仿宋_GB2312" w:cs="Times New Roman"/>
          <w:kern w:val="2"/>
          <w:sz w:val="30"/>
          <w:szCs w:val="30"/>
          <w:lang w:val="en-US" w:eastAsia="zh-CN" w:bidi="ar-SA"/>
        </w:rPr>
        <w:t>市场需求持续扩容</w:t>
      </w:r>
    </w:p>
    <w:p w14:paraId="4B1BA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钙基新材料应用广泛，涵盖塑料、造纸、涂料、</w:t>
      </w:r>
      <w:r>
        <w:rPr>
          <w:rFonts w:hint="eastAsia" w:ascii="Times New Roman" w:hAnsi="Times New Roman" w:eastAsia="方正仿宋_GB2312" w:cs="Times New Roman"/>
          <w:kern w:val="2"/>
          <w:sz w:val="30"/>
          <w:szCs w:val="30"/>
          <w:lang w:val="en-US" w:eastAsia="zh-CN" w:bidi="ar-SA"/>
        </w:rPr>
        <w:t>农业、</w:t>
      </w:r>
      <w:r>
        <w:rPr>
          <w:rFonts w:hint="default" w:ascii="Times New Roman" w:hAnsi="Times New Roman" w:eastAsia="方正仿宋_GB2312" w:cs="Times New Roman"/>
          <w:kern w:val="2"/>
          <w:sz w:val="30"/>
          <w:szCs w:val="30"/>
          <w:lang w:val="en-US" w:eastAsia="zh-CN" w:bidi="ar-SA"/>
        </w:rPr>
        <w:t>医药、电子等多个领域，当前国</w:t>
      </w:r>
      <w:r>
        <w:rPr>
          <w:rFonts w:hint="eastAsia" w:ascii="Times New Roman" w:hAnsi="Times New Roman" w:eastAsia="方正仿宋_GB2312" w:cs="Times New Roman"/>
          <w:kern w:val="2"/>
          <w:sz w:val="30"/>
          <w:szCs w:val="30"/>
          <w:lang w:val="en-US" w:eastAsia="zh-CN" w:bidi="ar-SA"/>
        </w:rPr>
        <w:t>省</w:t>
      </w:r>
      <w:r>
        <w:rPr>
          <w:rFonts w:hint="default" w:ascii="Times New Roman" w:hAnsi="Times New Roman" w:eastAsia="方正仿宋_GB2312" w:cs="Times New Roman"/>
          <w:kern w:val="2"/>
          <w:sz w:val="30"/>
          <w:szCs w:val="30"/>
          <w:lang w:val="en-US" w:eastAsia="zh-CN" w:bidi="ar-SA"/>
        </w:rPr>
        <w:t>内</w:t>
      </w:r>
      <w:r>
        <w:rPr>
          <w:rFonts w:hint="eastAsia" w:ascii="Times New Roman" w:hAnsi="Times New Roman" w:eastAsia="方正仿宋_GB2312" w:cs="Times New Roman"/>
          <w:kern w:val="2"/>
          <w:sz w:val="30"/>
          <w:szCs w:val="30"/>
          <w:lang w:val="en-US" w:eastAsia="zh-CN" w:bidi="ar-SA"/>
        </w:rPr>
        <w:t>和南亚东南亚</w:t>
      </w:r>
      <w:r>
        <w:rPr>
          <w:rFonts w:hint="default" w:ascii="Times New Roman" w:hAnsi="Times New Roman" w:eastAsia="方正仿宋_GB2312" w:cs="Times New Roman"/>
          <w:kern w:val="2"/>
          <w:sz w:val="30"/>
          <w:szCs w:val="30"/>
          <w:lang w:val="en-US" w:eastAsia="zh-CN" w:bidi="ar-SA"/>
        </w:rPr>
        <w:t>碳酸钙市场需求旺盛，而高端市场仍有较大缺口，为石林</w:t>
      </w:r>
      <w:r>
        <w:rPr>
          <w:rFonts w:hint="eastAsia" w:ascii="Times New Roman" w:hAnsi="Times New Roman" w:eastAsia="方正仿宋_GB2312" w:cs="Times New Roman"/>
          <w:kern w:val="2"/>
          <w:sz w:val="30"/>
          <w:szCs w:val="30"/>
          <w:lang w:val="en-US" w:eastAsia="zh-CN" w:bidi="ar-SA"/>
        </w:rPr>
        <w:t>县</w:t>
      </w:r>
      <w:r>
        <w:rPr>
          <w:rFonts w:hint="default" w:ascii="Times New Roman" w:hAnsi="Times New Roman" w:eastAsia="方正仿宋_GB2312" w:cs="Times New Roman"/>
          <w:kern w:val="2"/>
          <w:sz w:val="30"/>
          <w:szCs w:val="30"/>
          <w:lang w:val="en-US" w:eastAsia="zh-CN" w:bidi="ar-SA"/>
        </w:rPr>
        <w:t>产业转型提供广阔市场空间。</w:t>
      </w:r>
    </w:p>
    <w:p w14:paraId="3CC94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（3）</w:t>
      </w:r>
      <w:r>
        <w:rPr>
          <w:rFonts w:hint="default" w:ascii="Times New Roman" w:hAnsi="Times New Roman" w:eastAsia="方正仿宋_GB2312" w:cs="Times New Roman"/>
          <w:kern w:val="2"/>
          <w:sz w:val="30"/>
          <w:szCs w:val="30"/>
          <w:lang w:val="en-US" w:eastAsia="zh-CN" w:bidi="ar-SA"/>
        </w:rPr>
        <w:t>产业转型政策导向明确</w:t>
      </w:r>
    </w:p>
    <w:p w14:paraId="2DAE5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国家及地方层面推动绿色低碳发展、循环经济和产业升级，石材产业向钙基新材料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转型符合绿色发展理念，可享受环保、技改、招商等相关政策扶持，同时矿山整合政策也为产业集约化发展提供保障。</w:t>
      </w:r>
    </w:p>
    <w:p w14:paraId="0BE288A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威胁（Threats</w:t>
      </w:r>
      <w:r>
        <w:rPr>
          <w:rFonts w:hint="eastAsia" w:ascii="Times New Roman" w:hAnsi="Times New Roman" w:eastAsia="方正仿宋_GB2312" w:cs="Times New Roman"/>
          <w:kern w:val="2"/>
          <w:sz w:val="30"/>
          <w:szCs w:val="30"/>
          <w:lang w:val="en-US" w:eastAsia="zh-CN" w:bidi="ar-SA"/>
        </w:rPr>
        <w:t xml:space="preserve"> </w:t>
      </w:r>
      <w:r>
        <w:rPr>
          <w:rFonts w:hint="default" w:ascii="Times New Roman" w:hAnsi="Times New Roman" w:eastAsia="方正仿宋_GB2312" w:cs="Times New Roman"/>
          <w:kern w:val="2"/>
          <w:sz w:val="30"/>
          <w:szCs w:val="30"/>
          <w:lang w:val="en-US" w:eastAsia="zh-CN" w:bidi="ar-SA"/>
        </w:rPr>
        <w:t>潜在发展挑战</w:t>
      </w:r>
      <w:r>
        <w:rPr>
          <w:rFonts w:hint="eastAsia" w:ascii="Times New Roman" w:hAnsi="Times New Roman" w:eastAsia="方正仿宋_GB2312" w:cs="Times New Roman"/>
          <w:kern w:val="2"/>
          <w:sz w:val="30"/>
          <w:szCs w:val="30"/>
          <w:lang w:val="en-US" w:eastAsia="zh-CN" w:bidi="ar-SA"/>
        </w:rPr>
        <w:t>）</w:t>
      </w:r>
    </w:p>
    <w:p w14:paraId="12EEF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（1）</w:t>
      </w:r>
      <w:r>
        <w:rPr>
          <w:rFonts w:hint="default" w:ascii="Times New Roman" w:hAnsi="Times New Roman" w:eastAsia="方正仿宋_GB2312" w:cs="Times New Roman"/>
          <w:kern w:val="2"/>
          <w:sz w:val="30"/>
          <w:szCs w:val="30"/>
          <w:lang w:val="en-US" w:eastAsia="zh-CN" w:bidi="ar-SA"/>
        </w:rPr>
        <w:t>行业竞争日趋激烈</w:t>
      </w:r>
    </w:p>
    <w:p w14:paraId="4AABD3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当前碳酸钙</w:t>
      </w:r>
      <w:r>
        <w:rPr>
          <w:rFonts w:hint="eastAsia" w:ascii="Times New Roman" w:hAnsi="Times New Roman" w:eastAsia="方正仿宋_GB2312" w:cs="Times New Roman"/>
          <w:kern w:val="2"/>
          <w:sz w:val="30"/>
          <w:szCs w:val="30"/>
          <w:lang w:val="en-US" w:eastAsia="zh-CN" w:bidi="ar-SA"/>
        </w:rPr>
        <w:t>常规粉体</w:t>
      </w:r>
      <w:r>
        <w:rPr>
          <w:rFonts w:hint="default" w:ascii="Times New Roman" w:hAnsi="Times New Roman" w:eastAsia="方正仿宋_GB2312" w:cs="Times New Roman"/>
          <w:kern w:val="2"/>
          <w:sz w:val="30"/>
          <w:szCs w:val="30"/>
          <w:lang w:val="en-US" w:eastAsia="zh-CN" w:bidi="ar-SA"/>
        </w:rPr>
        <w:t>行业产能过剩，低端赛道内卷严重，企业利润微薄</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同时</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kern w:val="2"/>
          <w:sz w:val="30"/>
          <w:szCs w:val="30"/>
          <w:lang w:val="en-US" w:eastAsia="zh-CN" w:bidi="ar-SA"/>
        </w:rPr>
        <w:t>周边地区也在布局钙基新材料产业，石林面临同质化竞争和高端市场被国外企业垄断的双重压力，产业突围难度较大。</w:t>
      </w:r>
    </w:p>
    <w:p w14:paraId="7D76D5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（2）</w:t>
      </w:r>
      <w:r>
        <w:rPr>
          <w:rFonts w:hint="default" w:ascii="Times New Roman" w:hAnsi="Times New Roman" w:eastAsia="方正仿宋_GB2312" w:cs="Times New Roman"/>
          <w:kern w:val="2"/>
          <w:sz w:val="30"/>
          <w:szCs w:val="30"/>
          <w:lang w:val="en-US" w:eastAsia="zh-CN" w:bidi="ar-SA"/>
        </w:rPr>
        <w:t>环保与能耗约束收紧</w:t>
      </w:r>
    </w:p>
    <w:p w14:paraId="4BF782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绿色发展要求不断提高，矿山开采、石材加工及钙基新材料生产面临严格的环保和能耗管控，合规成本攀升，对企业生产工艺和环保设施提出更高要求，部分小型企业难以承受转型压力。</w:t>
      </w:r>
    </w:p>
    <w:p w14:paraId="23978D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（3）</w:t>
      </w:r>
      <w:r>
        <w:rPr>
          <w:rFonts w:hint="default" w:ascii="Times New Roman" w:hAnsi="Times New Roman" w:eastAsia="方正仿宋_GB2312" w:cs="Times New Roman"/>
          <w:kern w:val="2"/>
          <w:sz w:val="30"/>
          <w:szCs w:val="30"/>
          <w:lang w:val="en-US" w:eastAsia="zh-CN" w:bidi="ar-SA"/>
        </w:rPr>
        <w:t>要素保障压力较大</w:t>
      </w:r>
    </w:p>
    <w:p w14:paraId="36953B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产业发展需要大量资金、技术和人才投入，石林作为县域，资金筹措能力有限，高端人才引育难度大，可能影响项目落地速度和产业升级进程。</w:t>
      </w:r>
    </w:p>
    <w:p w14:paraId="529A2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kern w:val="2"/>
          <w:sz w:val="30"/>
          <w:szCs w:val="30"/>
          <w:lang w:val="en-US" w:eastAsia="zh-CN" w:bidi="ar-SA"/>
        </w:rPr>
      </w:pPr>
      <w:r>
        <w:rPr>
          <w:rFonts w:hint="eastAsia" w:ascii="Times New Roman" w:hAnsi="Times New Roman" w:eastAsia="方正仿宋_GB2312" w:cs="Times New Roman"/>
          <w:kern w:val="2"/>
          <w:sz w:val="30"/>
          <w:szCs w:val="30"/>
          <w:lang w:val="en-US" w:eastAsia="zh-CN" w:bidi="ar-SA"/>
        </w:rPr>
        <w:t>（4）</w:t>
      </w:r>
      <w:r>
        <w:rPr>
          <w:rFonts w:hint="default" w:ascii="Times New Roman" w:hAnsi="Times New Roman" w:eastAsia="方正仿宋_GB2312" w:cs="Times New Roman"/>
          <w:kern w:val="2"/>
          <w:sz w:val="30"/>
          <w:szCs w:val="30"/>
          <w:lang w:val="en-US" w:eastAsia="zh-CN" w:bidi="ar-SA"/>
        </w:rPr>
        <w:t>产业链协同不足风险</w:t>
      </w:r>
    </w:p>
    <w:p w14:paraId="4294B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由于缺乏龙头企业带动，上下游企业衔接不够紧密，加之服务保障机制不完善，可能出现项目落地慢、产业链脱节等问题，影响产业集群建设进度。</w:t>
      </w:r>
    </w:p>
    <w:p w14:paraId="4CBD7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1"/>
        <w:rPr>
          <w:rFonts w:hint="default" w:ascii="Times New Roman" w:hAnsi="Times New Roman" w:eastAsia="方正仿宋_GB2312" w:cs="Times New Roman"/>
          <w:kern w:val="2"/>
          <w:sz w:val="30"/>
          <w:szCs w:val="30"/>
          <w:lang w:val="en-US" w:eastAsia="zh-CN" w:bidi="ar-SA"/>
        </w:rPr>
      </w:pPr>
      <w:r>
        <w:rPr>
          <w:rFonts w:hint="default" w:ascii="Times New Roman" w:hAnsi="Times New Roman" w:eastAsia="方正仿宋_GB2312" w:cs="Times New Roman"/>
          <w:kern w:val="2"/>
          <w:sz w:val="30"/>
          <w:szCs w:val="30"/>
          <w:lang w:val="en-US" w:eastAsia="zh-CN" w:bidi="ar-SA"/>
        </w:rPr>
        <w:t>（六）战略建议</w:t>
      </w:r>
      <w:bookmarkEnd w:id="0"/>
    </w:p>
    <w:p w14:paraId="0ADB1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结合上述SWOT分析，立足石林县依托石材碳酸钙产业发展钙基新材料</w:t>
      </w:r>
      <w:r>
        <w:rPr>
          <w:rFonts w:hint="eastAsia" w:ascii="Times New Roman" w:hAnsi="Times New Roman" w:eastAsia="方正仿宋_GB2312" w:cs="Times New Roman"/>
          <w:color w:val="000000"/>
          <w:kern w:val="0"/>
          <w:sz w:val="30"/>
          <w:szCs w:val="30"/>
          <w:lang w:val="en-US" w:eastAsia="zh-CN" w:bidi="ar"/>
        </w:rPr>
        <w:t>（石材）</w:t>
      </w:r>
      <w:r>
        <w:rPr>
          <w:rFonts w:hint="default" w:ascii="Times New Roman" w:hAnsi="Times New Roman" w:eastAsia="方正仿宋_GB2312" w:cs="Times New Roman"/>
          <w:color w:val="000000"/>
          <w:kern w:val="0"/>
          <w:sz w:val="30"/>
          <w:szCs w:val="30"/>
          <w:lang w:val="en-US" w:eastAsia="zh-CN" w:bidi="ar"/>
        </w:rPr>
        <w:t>产业的核心定位，紧扣</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十五五</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云南区域发展战略导向，聚焦</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破短板、强优势、抓机遇、防威胁</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，制定四大核心战略，推动产业高质量转型。</w:t>
      </w:r>
    </w:p>
    <w:p w14:paraId="44551535">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SO战略（优势-机遇结合：借力赋能，放大核心优势）</w:t>
      </w:r>
    </w:p>
    <w:p w14:paraId="18147C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依托自身资源、区位、产业基础优势，精准对接外部政策与市场机遇，实现优势叠加、加速发展。一是借力云南</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4+5+6</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产业体系建设政策，</w:t>
      </w:r>
      <w:r>
        <w:rPr>
          <w:rFonts w:hint="eastAsia" w:ascii="Times New Roman" w:hAnsi="Times New Roman" w:eastAsia="方正仿宋_GB2312" w:cs="Times New Roman"/>
          <w:color w:val="000000"/>
          <w:kern w:val="0"/>
          <w:sz w:val="30"/>
          <w:szCs w:val="30"/>
          <w:lang w:val="en-US" w:eastAsia="zh-CN" w:bidi="ar"/>
        </w:rPr>
        <w:t>在传统天然石材高端化（超薄化、艺术化）、绿色化、智能化、功能化、复合化发展的基础上，</w:t>
      </w:r>
      <w:r>
        <w:rPr>
          <w:rFonts w:hint="default" w:ascii="Times New Roman" w:hAnsi="Times New Roman" w:eastAsia="方正仿宋_GB2312" w:cs="Times New Roman"/>
          <w:color w:val="000000"/>
          <w:kern w:val="0"/>
          <w:sz w:val="30"/>
          <w:szCs w:val="30"/>
          <w:lang w:val="en-US" w:eastAsia="zh-CN" w:bidi="ar"/>
        </w:rPr>
        <w:t>重点推进钙基新材料</w:t>
      </w:r>
      <w:r>
        <w:rPr>
          <w:rFonts w:hint="eastAsia" w:ascii="Times New Roman" w:hAnsi="Times New Roman" w:eastAsia="方正仿宋_GB2312" w:cs="Times New Roman"/>
          <w:color w:val="000000"/>
          <w:kern w:val="0"/>
          <w:sz w:val="30"/>
          <w:szCs w:val="30"/>
          <w:lang w:val="en-US" w:eastAsia="zh-CN" w:bidi="ar"/>
        </w:rPr>
        <w:t>（石材）</w:t>
      </w:r>
      <w:r>
        <w:rPr>
          <w:rFonts w:hint="default" w:ascii="Times New Roman" w:hAnsi="Times New Roman" w:eastAsia="方正仿宋_GB2312" w:cs="Times New Roman"/>
          <w:color w:val="000000"/>
          <w:kern w:val="0"/>
          <w:sz w:val="30"/>
          <w:szCs w:val="30"/>
          <w:lang w:val="en-US" w:eastAsia="zh-CN" w:bidi="ar"/>
        </w:rPr>
        <w:t>产业链延伸，扩大高端粉体产能，同步利用超百万吨固废资源，发展</w:t>
      </w:r>
      <w:r>
        <w:rPr>
          <w:rFonts w:hint="eastAsia" w:ascii="Times New Roman" w:hAnsi="Times New Roman" w:eastAsia="方正仿宋_GB2312" w:cs="Times New Roman"/>
          <w:color w:val="000000"/>
          <w:kern w:val="0"/>
          <w:sz w:val="30"/>
          <w:szCs w:val="30"/>
          <w:lang w:val="en-US" w:eastAsia="zh-CN" w:bidi="ar"/>
        </w:rPr>
        <w:t>高端粉体</w:t>
      </w:r>
      <w:r>
        <w:rPr>
          <w:rFonts w:hint="default" w:ascii="Times New Roman" w:hAnsi="Times New Roman" w:eastAsia="方正仿宋_GB2312" w:cs="Times New Roman"/>
          <w:color w:val="000000"/>
          <w:kern w:val="0"/>
          <w:sz w:val="30"/>
          <w:szCs w:val="30"/>
          <w:lang w:val="en-US" w:eastAsia="zh-CN" w:bidi="ar"/>
        </w:rPr>
        <w:t>、</w:t>
      </w:r>
      <w:r>
        <w:rPr>
          <w:rFonts w:hint="eastAsia" w:ascii="Times New Roman" w:hAnsi="Times New Roman" w:eastAsia="方正仿宋_GB2312" w:cs="Times New Roman"/>
          <w:color w:val="000000"/>
          <w:kern w:val="0"/>
          <w:sz w:val="30"/>
          <w:szCs w:val="30"/>
          <w:lang w:val="en-US" w:eastAsia="zh-CN" w:bidi="ar"/>
        </w:rPr>
        <w:t>钙基包装材料和塑料产品、</w:t>
      </w:r>
      <w:r>
        <w:rPr>
          <w:rFonts w:hint="default" w:ascii="Times New Roman" w:hAnsi="Times New Roman" w:eastAsia="方正仿宋_GB2312" w:cs="Times New Roman"/>
          <w:color w:val="000000"/>
          <w:kern w:val="0"/>
          <w:sz w:val="30"/>
          <w:szCs w:val="30"/>
          <w:lang w:val="en-US" w:eastAsia="zh-CN" w:bidi="ar"/>
        </w:rPr>
        <w:t>人造石等循环经济产品，放大资源优势</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二是依托昆明半小时经济圈和中老铁路大通道，承接滇中产业辐射，拓宽钙基新材料、优质石材产品的内外销售渠道，对接南亚东南亚市场，释放区位红利</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三是深化与广西科学院等科研团队合作，借力技术支撑，推动资源优势向产业优势转化，破解初级加工瓶颈，提升产品附加值</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四是依托</w:t>
      </w:r>
      <w:r>
        <w:rPr>
          <w:rFonts w:hint="eastAsia" w:ascii="Times New Roman" w:hAnsi="Times New Roman" w:eastAsia="方正仿宋_GB2312" w:cs="Times New Roman"/>
          <w:color w:val="000000"/>
          <w:kern w:val="0"/>
          <w:sz w:val="30"/>
          <w:szCs w:val="30"/>
          <w:lang w:val="en-US" w:eastAsia="zh-CN" w:bidi="ar"/>
        </w:rPr>
        <w:t>云南省相关支持产业和</w:t>
      </w:r>
      <w:r>
        <w:rPr>
          <w:rFonts w:hint="default" w:ascii="Times New Roman" w:hAnsi="Times New Roman" w:eastAsia="方正仿宋_GB2312" w:cs="Times New Roman"/>
          <w:color w:val="000000"/>
          <w:kern w:val="0"/>
          <w:sz w:val="30"/>
          <w:szCs w:val="30"/>
          <w:lang w:val="en-US" w:eastAsia="zh-CN" w:bidi="ar"/>
        </w:rPr>
        <w:t>县域经济培育政策，争取资金、项目倾斜，加快</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一矿两园</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建设，推动产业集群化发展。</w:t>
      </w:r>
    </w:p>
    <w:p w14:paraId="66D439F3">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WO战略（劣势-机遇结合：补齐短板，抢抓发展机遇）</w:t>
      </w:r>
    </w:p>
    <w:p w14:paraId="7076A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以外部机遇为抓手，针对性破解产业转型中的核心短板，推动产业提质升级。一是抢抓产业转型政策导向，争取环保、技改、招商等政策扶持，推进矿山整合，淘汰小型低效矿山，提升资源集约化利用效率，完善产业园区配套设施，破解资源利用粗放、配套不完善的短板</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二是借助市场需求扩容机遇，加大招商引资力度，重点引进钙基新材料</w:t>
      </w:r>
      <w:r>
        <w:rPr>
          <w:rFonts w:hint="eastAsia" w:ascii="Times New Roman" w:hAnsi="Times New Roman" w:eastAsia="方正仿宋_GB2312" w:cs="Times New Roman"/>
          <w:color w:val="000000"/>
          <w:kern w:val="0"/>
          <w:sz w:val="30"/>
          <w:szCs w:val="30"/>
          <w:lang w:val="en-US" w:eastAsia="zh-CN" w:bidi="ar"/>
        </w:rPr>
        <w:t>（石材）</w:t>
      </w:r>
      <w:r>
        <w:rPr>
          <w:rFonts w:hint="default" w:ascii="Times New Roman" w:hAnsi="Times New Roman" w:eastAsia="方正仿宋_GB2312" w:cs="Times New Roman"/>
          <w:color w:val="000000"/>
          <w:kern w:val="0"/>
          <w:sz w:val="30"/>
          <w:szCs w:val="30"/>
          <w:lang w:val="en-US" w:eastAsia="zh-CN" w:bidi="ar"/>
        </w:rPr>
        <w:t>领域龙头企业，带动本土中小企业协同发展，破解企业规模小、龙头缺失的问题</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三是依托区域战略人才扶持政策，搭建产学研合作平台，引进和培育钙基新材料</w:t>
      </w:r>
      <w:r>
        <w:rPr>
          <w:rFonts w:hint="eastAsia" w:ascii="Times New Roman" w:hAnsi="Times New Roman" w:eastAsia="方正仿宋_GB2312" w:cs="Times New Roman"/>
          <w:color w:val="000000"/>
          <w:kern w:val="0"/>
          <w:sz w:val="30"/>
          <w:szCs w:val="30"/>
          <w:lang w:val="en-US" w:eastAsia="zh-CN" w:bidi="ar"/>
        </w:rPr>
        <w:t>（石材）</w:t>
      </w:r>
      <w:r>
        <w:rPr>
          <w:rFonts w:hint="default" w:ascii="Times New Roman" w:hAnsi="Times New Roman" w:eastAsia="方正仿宋_GB2312" w:cs="Times New Roman"/>
          <w:color w:val="000000"/>
          <w:kern w:val="0"/>
          <w:sz w:val="30"/>
          <w:szCs w:val="30"/>
          <w:lang w:val="en-US" w:eastAsia="zh-CN" w:bidi="ar"/>
        </w:rPr>
        <w:t>研发、工艺优化等专业人才，升级本土企业技术装备，破解技术与人才短缺的瓶颈</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四是借力项目示范效应，引导本土企业提升转型意愿和能力，推动产业链从初级加工向高端化、完整化延伸。</w:t>
      </w:r>
    </w:p>
    <w:p w14:paraId="3689B406">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ST战略（优势-威胁结合：强化优势，防范竞争风险）</w:t>
      </w:r>
    </w:p>
    <w:p w14:paraId="109336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立足自身核心优势，主动应对行业竞争、环保约束等外部威胁，筑牢产业发展根基。一是强化资源优势差异化发展，依托CaCO₃含量≥95%的优质资源和白海棠、石林米黄等特色品种，</w:t>
      </w:r>
      <w:r>
        <w:rPr>
          <w:rFonts w:hint="eastAsia" w:ascii="Times New Roman" w:hAnsi="Times New Roman" w:eastAsia="方正仿宋_GB2312" w:cs="Times New Roman"/>
          <w:color w:val="000000"/>
          <w:kern w:val="0"/>
          <w:sz w:val="30"/>
          <w:szCs w:val="30"/>
          <w:lang w:val="en-US" w:eastAsia="zh-CN" w:bidi="ar"/>
        </w:rPr>
        <w:t>在差异化发展天然石材的基础上，</w:t>
      </w:r>
      <w:r>
        <w:rPr>
          <w:rFonts w:hint="default" w:ascii="Times New Roman" w:hAnsi="Times New Roman" w:eastAsia="方正仿宋_GB2312" w:cs="Times New Roman"/>
          <w:color w:val="000000"/>
          <w:kern w:val="0"/>
          <w:sz w:val="30"/>
          <w:szCs w:val="30"/>
          <w:lang w:val="en-US" w:eastAsia="zh-CN" w:bidi="ar"/>
        </w:rPr>
        <w:t>重点发展高端钙基新材料，避开低端赛道内卷，打造差异化产品竞争力，应对同质化竞争威胁</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二是依托绿色发展优势，严格落实环保与能耗管控要求，推进绿色开采、清洁加工，提升环保设施水平，降低合规成本，应对环保约束收紧的挑战</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三是放大区位与政策优势，加强与滇中地区产业协同，</w:t>
      </w:r>
      <w:r>
        <w:rPr>
          <w:rFonts w:hint="eastAsia" w:ascii="Times New Roman" w:hAnsi="Times New Roman" w:eastAsia="方正仿宋_GB2312" w:cs="Times New Roman"/>
          <w:color w:val="000000"/>
          <w:kern w:val="0"/>
          <w:sz w:val="30"/>
          <w:szCs w:val="30"/>
          <w:lang w:val="en-US" w:eastAsia="zh-CN" w:bidi="ar"/>
        </w:rPr>
        <w:t>加快南亚东南亚区域的扩展，</w:t>
      </w:r>
      <w:r>
        <w:rPr>
          <w:rFonts w:hint="default" w:ascii="Times New Roman" w:hAnsi="Times New Roman" w:eastAsia="方正仿宋_GB2312" w:cs="Times New Roman"/>
          <w:color w:val="000000"/>
          <w:kern w:val="0"/>
          <w:sz w:val="30"/>
          <w:szCs w:val="30"/>
          <w:lang w:val="en-US" w:eastAsia="zh-CN" w:bidi="ar"/>
        </w:rPr>
        <w:t>搭建区域合作平台，整合上下游资源，提升产业链协同能力，防范产业链脱节风险</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四是依托现有产业基础，培育本土骨干企业，打造区域特色品牌，提升市场竞争力，抵御外部企业冲击。</w:t>
      </w:r>
    </w:p>
    <w:p w14:paraId="645FFDB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600" w:firstLineChars="200"/>
        <w:jc w:val="left"/>
        <w:textAlignment w:val="auto"/>
        <w:outlineLvl w:val="2"/>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WT战略（劣势-威胁结合：规避风险，稳步推进转型）</w:t>
      </w:r>
    </w:p>
    <w:p w14:paraId="3B6299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聚焦短板破解与风险防范，坚守底线思维，推动产业稳步转型。一是严控产业发展风险，合理控制项目投入节奏，优先推进成熟度高、风险低的钙基新材料</w:t>
      </w:r>
      <w:r>
        <w:rPr>
          <w:rFonts w:hint="eastAsia" w:ascii="Times New Roman" w:hAnsi="Times New Roman" w:eastAsia="方正仿宋_GB2312" w:cs="Times New Roman"/>
          <w:color w:val="000000"/>
          <w:kern w:val="0"/>
          <w:sz w:val="30"/>
          <w:szCs w:val="30"/>
          <w:lang w:val="en-US" w:eastAsia="zh-CN" w:bidi="ar"/>
        </w:rPr>
        <w:t>（石材）</w:t>
      </w:r>
      <w:r>
        <w:rPr>
          <w:rFonts w:hint="default" w:ascii="Times New Roman" w:hAnsi="Times New Roman" w:eastAsia="方正仿宋_GB2312" w:cs="Times New Roman"/>
          <w:color w:val="000000"/>
          <w:kern w:val="0"/>
          <w:sz w:val="30"/>
          <w:szCs w:val="30"/>
          <w:lang w:val="en-US" w:eastAsia="zh-CN" w:bidi="ar"/>
        </w:rPr>
        <w:t>项目，避免盲目扩张，缓解资金、要素保障压力</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二是针对性完善</w:t>
      </w:r>
      <w:r>
        <w:rPr>
          <w:rFonts w:hint="eastAsia" w:ascii="Times New Roman" w:hAnsi="Times New Roman" w:eastAsia="方正仿宋_GB2312" w:cs="Times New Roman"/>
          <w:color w:val="000000"/>
          <w:kern w:val="0"/>
          <w:sz w:val="30"/>
          <w:szCs w:val="30"/>
          <w:lang w:val="en-US" w:eastAsia="zh-CN" w:bidi="ar"/>
        </w:rPr>
        <w:t>营商环境和</w:t>
      </w:r>
      <w:r>
        <w:rPr>
          <w:rFonts w:hint="default" w:ascii="Times New Roman" w:hAnsi="Times New Roman" w:eastAsia="方正仿宋_GB2312" w:cs="Times New Roman"/>
          <w:color w:val="000000"/>
          <w:kern w:val="0"/>
          <w:sz w:val="30"/>
          <w:szCs w:val="30"/>
          <w:lang w:val="en-US" w:eastAsia="zh-CN" w:bidi="ar"/>
        </w:rPr>
        <w:t>服务保障机制，优化用地协调、政策对接流程，提升要素保障能力，加快项目落地速度，防范产业链协同不足风险</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三是加大本土企业培育力度，通过政策扶持、技术指导等方式，提升企业转型能力和抗风险能力，推动小型企业逐步整合升级，应对行业竞争和环保约束带来的生存压力</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四是强化风险预判，密切关注行业发展动态和政策变化，及时调整产业发展策略，规避低端产能过剩、高端技术壁垒等潜在威胁，确保产业转型稳步推进。</w:t>
      </w:r>
    </w:p>
    <w:p w14:paraId="09C0A5F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600" w:firstLineChars="200"/>
        <w:jc w:val="left"/>
        <w:textAlignment w:val="auto"/>
        <w:outlineLvl w:val="9"/>
        <w:rPr>
          <w:rFonts w:hint="default" w:ascii="Times New Roman" w:hAnsi="Times New Roman" w:eastAsia="方正仿宋_GB2312" w:cs="Times New Roman"/>
          <w:color w:val="000000"/>
          <w:kern w:val="0"/>
          <w:sz w:val="30"/>
          <w:szCs w:val="30"/>
          <w:lang w:val="en-US" w:eastAsia="zh-CN" w:bidi="ar"/>
        </w:rPr>
      </w:pPr>
      <w:r>
        <w:rPr>
          <w:rFonts w:hint="default" w:ascii="Times New Roman" w:hAnsi="Times New Roman" w:eastAsia="方正仿宋_GB2312" w:cs="Times New Roman"/>
          <w:color w:val="000000"/>
          <w:kern w:val="0"/>
          <w:sz w:val="30"/>
          <w:szCs w:val="30"/>
          <w:lang w:val="en-US" w:eastAsia="zh-CN" w:bidi="ar"/>
        </w:rPr>
        <w:t>战略实施核心导向</w:t>
      </w:r>
    </w:p>
    <w:p w14:paraId="7C1AAB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sz w:val="30"/>
          <w:szCs w:val="30"/>
        </w:rPr>
      </w:pPr>
      <w:r>
        <w:rPr>
          <w:rFonts w:hint="eastAsia" w:ascii="Times New Roman" w:hAnsi="Times New Roman" w:eastAsia="方正仿宋_GB2312" w:cs="Times New Roman"/>
          <w:color w:val="000000"/>
          <w:kern w:val="0"/>
          <w:sz w:val="30"/>
          <w:szCs w:val="30"/>
          <w:lang w:val="en-US" w:eastAsia="zh-CN" w:bidi="ar"/>
        </w:rPr>
        <w:t>总体而言，</w:t>
      </w:r>
      <w:r>
        <w:rPr>
          <w:rFonts w:hint="default" w:ascii="Times New Roman" w:hAnsi="Times New Roman" w:eastAsia="方正仿宋_GB2312" w:cs="Times New Roman"/>
          <w:kern w:val="2"/>
          <w:sz w:val="30"/>
          <w:szCs w:val="30"/>
          <w:lang w:val="en-US" w:eastAsia="zh-CN" w:bidi="ar-SA"/>
        </w:rPr>
        <w:t>石林县依托石材碳酸钙产业发展钙基新材料产业，具备资源、区位、政策等多重优势，且面临区域战略赋能、市场需求扩容的良好机遇，转型发展潜力巨大。但同时也存在产业层级低、企业规模小、技术人才短缺等短板，加之行业竞争激烈、环保约束收紧等外部威胁，产业转型仍任重道远。</w:t>
      </w:r>
      <w:r>
        <w:rPr>
          <w:rFonts w:hint="default" w:ascii="Times New Roman" w:hAnsi="Times New Roman" w:eastAsia="方正仿宋_GB2312" w:cs="Times New Roman"/>
          <w:color w:val="000000"/>
          <w:kern w:val="0"/>
          <w:sz w:val="30"/>
          <w:szCs w:val="30"/>
          <w:lang w:val="en-US" w:eastAsia="zh-CN" w:bidi="ar"/>
        </w:rPr>
        <w:t>在</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十五五</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期间，</w:t>
      </w:r>
      <w:r>
        <w:rPr>
          <w:rFonts w:hint="eastAsia" w:ascii="Times New Roman" w:hAnsi="Times New Roman" w:eastAsia="方正仿宋_GB2312" w:cs="Times New Roman"/>
          <w:color w:val="000000"/>
          <w:kern w:val="0"/>
          <w:sz w:val="30"/>
          <w:szCs w:val="30"/>
          <w:lang w:val="en-US" w:eastAsia="zh-CN" w:bidi="ar"/>
        </w:rPr>
        <w:t>石林县石材碳酸钙产业</w:t>
      </w:r>
      <w:r>
        <w:rPr>
          <w:rFonts w:hint="default" w:ascii="Times New Roman" w:hAnsi="Times New Roman" w:eastAsia="方正仿宋_GB2312" w:cs="Times New Roman"/>
          <w:color w:val="000000"/>
          <w:kern w:val="0"/>
          <w:sz w:val="30"/>
          <w:szCs w:val="30"/>
          <w:lang w:val="en-US" w:eastAsia="zh-CN" w:bidi="ar"/>
        </w:rPr>
        <w:t>战略始终</w:t>
      </w:r>
      <w:r>
        <w:rPr>
          <w:rFonts w:hint="eastAsia" w:ascii="Times New Roman" w:hAnsi="Times New Roman" w:eastAsia="方正仿宋_GB2312" w:cs="Times New Roman"/>
          <w:color w:val="000000"/>
          <w:kern w:val="0"/>
          <w:sz w:val="30"/>
          <w:szCs w:val="30"/>
          <w:lang w:val="en-US" w:eastAsia="zh-CN" w:bidi="ar"/>
        </w:rPr>
        <w:t>要</w:t>
      </w:r>
      <w:r>
        <w:rPr>
          <w:rFonts w:hint="default" w:ascii="Times New Roman" w:hAnsi="Times New Roman" w:eastAsia="方正仿宋_GB2312" w:cs="Times New Roman"/>
          <w:color w:val="000000"/>
          <w:kern w:val="0"/>
          <w:sz w:val="30"/>
          <w:szCs w:val="30"/>
          <w:lang w:val="en-US" w:eastAsia="zh-CN" w:bidi="ar"/>
        </w:rPr>
        <w:t>围绕</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百亿级钙基新材料</w:t>
      </w:r>
      <w:r>
        <w:rPr>
          <w:rFonts w:hint="eastAsia" w:ascii="Times New Roman" w:hAnsi="Times New Roman" w:eastAsia="方正仿宋_GB2312" w:cs="Times New Roman"/>
          <w:color w:val="000000"/>
          <w:kern w:val="0"/>
          <w:sz w:val="30"/>
          <w:szCs w:val="30"/>
          <w:lang w:val="en-US" w:eastAsia="zh-CN" w:bidi="ar"/>
        </w:rPr>
        <w:t>（石材）</w:t>
      </w:r>
      <w:r>
        <w:rPr>
          <w:rFonts w:hint="default" w:ascii="Times New Roman" w:hAnsi="Times New Roman" w:eastAsia="方正仿宋_GB2312" w:cs="Times New Roman"/>
          <w:color w:val="000000"/>
          <w:kern w:val="0"/>
          <w:sz w:val="30"/>
          <w:szCs w:val="30"/>
          <w:lang w:val="en-US" w:eastAsia="zh-CN" w:bidi="ar"/>
        </w:rPr>
        <w:t>产业集群</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目标，</w:t>
      </w:r>
      <w:r>
        <w:rPr>
          <w:rFonts w:hint="default" w:ascii="Times New Roman" w:hAnsi="Times New Roman" w:eastAsia="方正仿宋_GB2312" w:cs="Times New Roman"/>
          <w:kern w:val="2"/>
          <w:sz w:val="30"/>
          <w:szCs w:val="30"/>
          <w:lang w:val="en-US" w:eastAsia="zh-CN" w:bidi="ar-SA"/>
        </w:rPr>
        <w:t>立足优势、破解短板，借力政策红利，</w:t>
      </w:r>
      <w:r>
        <w:rPr>
          <w:rFonts w:hint="default" w:ascii="Times New Roman" w:hAnsi="Times New Roman" w:eastAsia="方正仿宋_GB2312" w:cs="Times New Roman"/>
          <w:color w:val="000000"/>
          <w:kern w:val="0"/>
          <w:sz w:val="30"/>
          <w:szCs w:val="30"/>
          <w:lang w:val="en-US" w:eastAsia="zh-CN" w:bidi="ar"/>
        </w:rPr>
        <w:t>坚持</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绿色化、</w:t>
      </w:r>
      <w:r>
        <w:rPr>
          <w:rFonts w:hint="eastAsia" w:ascii="Times New Roman" w:hAnsi="Times New Roman" w:eastAsia="方正仿宋_GB2312" w:cs="Times New Roman"/>
          <w:color w:val="000000"/>
          <w:kern w:val="0"/>
          <w:sz w:val="30"/>
          <w:szCs w:val="30"/>
          <w:lang w:val="en-US" w:eastAsia="zh-CN" w:bidi="ar"/>
        </w:rPr>
        <w:t>功能化、</w:t>
      </w:r>
      <w:r>
        <w:rPr>
          <w:rFonts w:hint="default" w:ascii="Times New Roman" w:hAnsi="Times New Roman" w:eastAsia="方正仿宋_GB2312" w:cs="Times New Roman"/>
          <w:color w:val="000000"/>
          <w:kern w:val="0"/>
          <w:sz w:val="30"/>
          <w:szCs w:val="30"/>
          <w:lang w:val="en-US" w:eastAsia="zh-CN" w:bidi="ar"/>
        </w:rPr>
        <w:t>高端化、集群化</w:t>
      </w:r>
      <w:r>
        <w:rPr>
          <w:rFonts w:hint="eastAsia" w:ascii="Times New Roman" w:hAnsi="Times New Roman" w:eastAsia="方正仿宋_GB2312" w:cs="Times New Roman"/>
          <w:color w:val="000000"/>
          <w:kern w:val="0"/>
          <w:sz w:val="30"/>
          <w:szCs w:val="30"/>
          <w:lang w:val="en-US" w:eastAsia="zh-CN" w:bidi="ar"/>
        </w:rPr>
        <w:t>、智能化”</w:t>
      </w:r>
      <w:r>
        <w:rPr>
          <w:rFonts w:hint="default" w:ascii="Times New Roman" w:hAnsi="Times New Roman" w:eastAsia="方正仿宋_GB2312" w:cs="Times New Roman"/>
          <w:color w:val="000000"/>
          <w:kern w:val="0"/>
          <w:sz w:val="30"/>
          <w:szCs w:val="30"/>
          <w:lang w:val="en-US" w:eastAsia="zh-CN" w:bidi="ar"/>
        </w:rPr>
        <w:t>发展方向，以资源为根基、政策为</w:t>
      </w:r>
      <w:r>
        <w:rPr>
          <w:rFonts w:hint="eastAsia" w:ascii="Times New Roman" w:hAnsi="Times New Roman" w:eastAsia="方正仿宋_GB2312" w:cs="Times New Roman"/>
          <w:color w:val="000000"/>
          <w:kern w:val="0"/>
          <w:sz w:val="30"/>
          <w:szCs w:val="30"/>
          <w:lang w:val="en-US" w:eastAsia="zh-CN" w:bidi="ar"/>
        </w:rPr>
        <w:t>依据</w:t>
      </w:r>
      <w:r>
        <w:rPr>
          <w:rFonts w:hint="default" w:ascii="Times New Roman" w:hAnsi="Times New Roman" w:eastAsia="方正仿宋_GB2312" w:cs="Times New Roman"/>
          <w:color w:val="000000"/>
          <w:kern w:val="0"/>
          <w:sz w:val="30"/>
          <w:szCs w:val="30"/>
          <w:lang w:val="en-US" w:eastAsia="zh-CN" w:bidi="ar"/>
        </w:rPr>
        <w:t>、科技为动力、</w:t>
      </w:r>
      <w:r>
        <w:rPr>
          <w:rFonts w:hint="default" w:ascii="Times New Roman" w:hAnsi="Times New Roman" w:eastAsia="方正仿宋_GB2312" w:cs="Times New Roman"/>
          <w:kern w:val="2"/>
          <w:sz w:val="30"/>
          <w:szCs w:val="30"/>
          <w:lang w:val="en-US" w:eastAsia="zh-CN" w:bidi="ar-SA"/>
        </w:rPr>
        <w:t>人才</w:t>
      </w:r>
      <w:r>
        <w:rPr>
          <w:rFonts w:hint="eastAsia" w:ascii="Times New Roman" w:hAnsi="Times New Roman" w:eastAsia="方正仿宋_GB2312" w:cs="Times New Roman"/>
          <w:kern w:val="2"/>
          <w:sz w:val="30"/>
          <w:szCs w:val="30"/>
          <w:lang w:val="en-US" w:eastAsia="zh-CN" w:bidi="ar-SA"/>
        </w:rPr>
        <w:t>为</w:t>
      </w:r>
      <w:r>
        <w:rPr>
          <w:rFonts w:hint="default" w:ascii="Times New Roman" w:hAnsi="Times New Roman" w:eastAsia="方正仿宋_GB2312" w:cs="Times New Roman"/>
          <w:kern w:val="2"/>
          <w:sz w:val="30"/>
          <w:szCs w:val="30"/>
          <w:lang w:val="en-US" w:eastAsia="zh-CN" w:bidi="ar-SA"/>
        </w:rPr>
        <w:t>支撑</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color w:val="000000"/>
          <w:kern w:val="0"/>
          <w:sz w:val="30"/>
          <w:szCs w:val="30"/>
          <w:lang w:val="en-US" w:eastAsia="zh-CN" w:bidi="ar"/>
        </w:rPr>
        <w:t>市场为导向，破解短板、放大优势、抢抓机遇、防范风险</w:t>
      </w:r>
      <w:r>
        <w:rPr>
          <w:rFonts w:hint="eastAsia" w:ascii="Times New Roman" w:hAnsi="Times New Roman" w:eastAsia="方正仿宋_GB2312" w:cs="Times New Roman"/>
          <w:color w:val="000000"/>
          <w:kern w:val="0"/>
          <w:sz w:val="30"/>
          <w:szCs w:val="30"/>
          <w:lang w:val="en-US" w:eastAsia="zh-CN" w:bidi="ar"/>
        </w:rPr>
        <w:t>，</w:t>
      </w:r>
      <w:r>
        <w:rPr>
          <w:rFonts w:hint="eastAsia" w:ascii="Times New Roman" w:hAnsi="Times New Roman" w:eastAsia="方正仿宋_GB2312" w:cs="Times New Roman"/>
          <w:kern w:val="2"/>
          <w:sz w:val="30"/>
          <w:szCs w:val="30"/>
          <w:lang w:val="en-US" w:eastAsia="zh-CN" w:bidi="ar-SA"/>
        </w:rPr>
        <w:t>加快</w:t>
      </w:r>
      <w:r>
        <w:rPr>
          <w:rFonts w:hint="default" w:ascii="Times New Roman" w:hAnsi="Times New Roman" w:eastAsia="方正仿宋_GB2312" w:cs="Times New Roman"/>
          <w:kern w:val="2"/>
          <w:sz w:val="30"/>
          <w:szCs w:val="30"/>
          <w:lang w:val="en-US" w:eastAsia="zh-CN" w:bidi="ar-SA"/>
        </w:rPr>
        <w:t>矿山整合和园区建设，培育龙头企业，完善产业链条，</w:t>
      </w:r>
      <w:r>
        <w:rPr>
          <w:rFonts w:hint="default" w:ascii="Times New Roman" w:hAnsi="Times New Roman" w:eastAsia="方正仿宋_GB2312" w:cs="Times New Roman"/>
          <w:color w:val="000000"/>
          <w:kern w:val="0"/>
          <w:sz w:val="30"/>
          <w:szCs w:val="30"/>
          <w:lang w:val="en-US" w:eastAsia="zh-CN" w:bidi="ar"/>
        </w:rPr>
        <w:t>推动石林县从</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石材资源大县</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向</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钙基新材料产业强县</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跨越，</w:t>
      </w:r>
      <w:r>
        <w:rPr>
          <w:rFonts w:hint="eastAsia" w:ascii="Times New Roman" w:hAnsi="Times New Roman" w:eastAsia="方正仿宋_GB2312" w:cs="Times New Roman"/>
          <w:color w:val="000000"/>
          <w:kern w:val="0"/>
          <w:sz w:val="30"/>
          <w:szCs w:val="30"/>
          <w:lang w:val="en-US" w:eastAsia="zh-CN" w:bidi="ar"/>
        </w:rPr>
        <w:t>形成</w:t>
      </w:r>
      <w:r>
        <w:rPr>
          <w:rFonts w:hint="default" w:ascii="Times New Roman" w:hAnsi="Times New Roman" w:eastAsia="方正仿宋_GB2312" w:cs="Times New Roman"/>
          <w:kern w:val="2"/>
          <w:sz w:val="30"/>
          <w:szCs w:val="30"/>
          <w:lang w:val="en-US" w:eastAsia="zh-CN" w:bidi="ar-SA"/>
        </w:rPr>
        <w:t>百亿级钙基新材料</w:t>
      </w:r>
      <w:r>
        <w:rPr>
          <w:rFonts w:hint="eastAsia" w:ascii="Times New Roman" w:hAnsi="Times New Roman" w:eastAsia="方正仿宋_GB2312" w:cs="Times New Roman"/>
          <w:kern w:val="2"/>
          <w:sz w:val="30"/>
          <w:szCs w:val="30"/>
          <w:lang w:val="en-US" w:eastAsia="zh-CN" w:bidi="ar-SA"/>
        </w:rPr>
        <w:t>（石材）</w:t>
      </w:r>
      <w:r>
        <w:rPr>
          <w:rFonts w:hint="default" w:ascii="Times New Roman" w:hAnsi="Times New Roman" w:eastAsia="方正仿宋_GB2312" w:cs="Times New Roman"/>
          <w:kern w:val="2"/>
          <w:sz w:val="30"/>
          <w:szCs w:val="30"/>
          <w:lang w:val="en-US" w:eastAsia="zh-CN" w:bidi="ar-SA"/>
        </w:rPr>
        <w:t>产业集群</w:t>
      </w:r>
      <w:r>
        <w:rPr>
          <w:rFonts w:hint="eastAsia" w:ascii="Times New Roman" w:hAnsi="Times New Roman" w:eastAsia="方正仿宋_GB2312" w:cs="Times New Roman"/>
          <w:kern w:val="2"/>
          <w:sz w:val="30"/>
          <w:szCs w:val="30"/>
          <w:lang w:val="en-US" w:eastAsia="zh-CN" w:bidi="ar-SA"/>
        </w:rPr>
        <w:t>，</w:t>
      </w:r>
      <w:r>
        <w:rPr>
          <w:rFonts w:hint="default" w:ascii="Times New Roman" w:hAnsi="Times New Roman" w:eastAsia="方正仿宋_GB2312" w:cs="Times New Roman"/>
          <w:color w:val="000000"/>
          <w:kern w:val="0"/>
          <w:sz w:val="30"/>
          <w:szCs w:val="30"/>
          <w:lang w:val="en-US" w:eastAsia="zh-CN" w:bidi="ar"/>
        </w:rPr>
        <w:t>实现产业高质量发展与生态保护协同</w:t>
      </w:r>
      <w:r>
        <w:rPr>
          <w:rFonts w:hint="eastAsia" w:ascii="Times New Roman" w:hAnsi="Times New Roman" w:eastAsia="方正仿宋_GB2312" w:cs="Times New Roman"/>
          <w:color w:val="000000"/>
          <w:kern w:val="0"/>
          <w:sz w:val="30"/>
          <w:szCs w:val="30"/>
          <w:lang w:val="en-US" w:eastAsia="zh-CN" w:bidi="ar"/>
        </w:rPr>
        <w:t>高效</w:t>
      </w:r>
      <w:r>
        <w:rPr>
          <w:rFonts w:hint="default" w:ascii="Times New Roman" w:hAnsi="Times New Roman" w:eastAsia="方正仿宋_GB2312" w:cs="Times New Roman"/>
          <w:color w:val="000000"/>
          <w:kern w:val="0"/>
          <w:sz w:val="30"/>
          <w:szCs w:val="30"/>
          <w:lang w:val="en-US" w:eastAsia="zh-CN" w:bidi="ar"/>
        </w:rPr>
        <w:t>推进。</w:t>
      </w:r>
    </w:p>
    <w:p w14:paraId="6638623F">
      <w:pPr>
        <w:keepNext w:val="0"/>
        <w:keepLines w:val="0"/>
        <w:pageBreakBefore w:val="0"/>
        <w:widowControl w:val="0"/>
        <w:kinsoku/>
        <w:wordWrap/>
        <w:overflowPunct/>
        <w:topLinePunct w:val="0"/>
        <w:autoSpaceDE w:val="0"/>
        <w:autoSpaceDN w:val="0"/>
        <w:bidi w:val="0"/>
        <w:adjustRightInd/>
        <w:snapToGrid/>
        <w:spacing w:before="158" w:line="360" w:lineRule="auto"/>
        <w:ind w:firstLine="616" w:firstLineChars="200"/>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pPr>
      <w:r>
        <w:rPr>
          <w:rFonts w:hint="default" w:ascii="Times New Roman" w:hAnsi="Times New Roman" w:eastAsia="黑体" w:cs="Times New Roman"/>
          <w:snapToGrid w:val="0"/>
          <w:color w:val="000000"/>
          <w:spacing w:val="-6"/>
          <w:kern w:val="0"/>
          <w:position w:val="-2"/>
          <w:sz w:val="32"/>
          <w:szCs w:val="32"/>
          <w:lang w:val="en-US" w:eastAsia="zh-CN"/>
        </w:rPr>
        <w:t>四、总体思路与发展目标</w:t>
      </w:r>
    </w:p>
    <w:p w14:paraId="13E24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outlineLvl w:val="1"/>
        <w:rPr>
          <w:rFonts w:hint="default" w:ascii="Times New Roman" w:hAnsi="Times New Roman" w:eastAsia="方正仿宋_GB2312" w:cs="Times New Roman"/>
          <w:b/>
          <w:bCs/>
          <w:color w:val="000000" w:themeColor="text1"/>
          <w:sz w:val="30"/>
          <w:szCs w:val="30"/>
          <w14:textFill>
            <w14:solidFill>
              <w14:schemeClr w14:val="tx1"/>
            </w14:solidFill>
          </w14:textFill>
        </w:rPr>
      </w:pPr>
      <w:bookmarkStart w:id="1" w:name="_Toc5898"/>
      <w:bookmarkStart w:id="2" w:name="_Toc19532"/>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（一）基本原则</w:t>
      </w:r>
      <w:bookmarkEnd w:id="1"/>
      <w:bookmarkEnd w:id="2"/>
    </w:p>
    <w:p w14:paraId="5719E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outlineLvl w:val="2"/>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bookmarkStart w:id="3" w:name="_Toc5528"/>
      <w:bookmarkStart w:id="4" w:name="_Toc32411"/>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1</w:t>
      </w:r>
      <w:r>
        <w:rPr>
          <w:rFonts w:hint="eastAsia" w:ascii="Times New Roman" w:hAnsi="Times New Roman" w:eastAsia="方正仿宋_GB2312" w:cs="Times New Roman"/>
          <w:b/>
          <w:bCs/>
          <w:color w:val="000000" w:themeColor="text1"/>
          <w:sz w:val="30"/>
          <w:szCs w:val="30"/>
          <w:lang w:val="en-US" w:eastAsia="zh-CN"/>
          <w14:textFill>
            <w14:solidFill>
              <w14:schemeClr w14:val="tx1"/>
            </w14:solidFill>
          </w14:textFill>
        </w:rPr>
        <w:t xml:space="preserve">. </w:t>
      </w: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资源为本，科学开发</w:t>
      </w:r>
    </w:p>
    <w:p w14:paraId="062D0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color w:val="000000"/>
          <w:kern w:val="0"/>
          <w:sz w:val="30"/>
          <w:szCs w:val="30"/>
          <w:lang w:val="en-US" w:eastAsia="zh-CN" w:bidi="ar"/>
        </w:rPr>
        <w:t>全面勘探石灰岩、方解石等碳酸钙资源，摸清高纯度矿脉分布与品质</w:t>
      </w:r>
      <w:r>
        <w:rPr>
          <w:rFonts w:hint="eastAsia" w:ascii="Times New Roman" w:hAnsi="Times New Roman" w:eastAsia="方正仿宋_GB2312" w:cs="Times New Roman"/>
          <w:color w:val="000000"/>
          <w:kern w:val="0"/>
          <w:sz w:val="30"/>
          <w:szCs w:val="30"/>
          <w:lang w:val="en-US" w:eastAsia="zh-CN" w:bidi="ar"/>
        </w:rPr>
        <w:t>，实现“</w:t>
      </w:r>
      <w:r>
        <w:rPr>
          <w:rFonts w:hint="default" w:ascii="Times New Roman" w:hAnsi="Times New Roman" w:eastAsia="方正仿宋_GB2312" w:cs="Times New Roman"/>
          <w:color w:val="000000"/>
          <w:kern w:val="0"/>
          <w:sz w:val="30"/>
          <w:szCs w:val="30"/>
          <w:lang w:val="en-US" w:eastAsia="zh-CN" w:bidi="ar"/>
        </w:rPr>
        <w:t>精准识矿、探矿增储</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w:t>
      </w:r>
      <w:r>
        <w:rPr>
          <w:rFonts w:hint="eastAsia" w:ascii="Times New Roman" w:hAnsi="Times New Roman" w:eastAsia="方正仿宋_GB2312" w:cs="Times New Roman"/>
          <w:color w:val="000000"/>
          <w:kern w:val="0"/>
          <w:sz w:val="30"/>
          <w:szCs w:val="30"/>
          <w:lang w:val="en-US" w:eastAsia="zh-CN" w:bidi="ar"/>
        </w:rPr>
        <w:t>并</w:t>
      </w:r>
      <w:r>
        <w:rPr>
          <w:rFonts w:hint="default" w:ascii="Times New Roman" w:hAnsi="Times New Roman" w:eastAsia="方正仿宋_GB2312" w:cs="Times New Roman"/>
          <w:color w:val="000000"/>
          <w:kern w:val="0"/>
          <w:sz w:val="30"/>
          <w:szCs w:val="30"/>
          <w:lang w:val="en-US" w:eastAsia="zh-CN" w:bidi="ar"/>
        </w:rPr>
        <w:t>建立资源数据库。</w:t>
      </w:r>
      <w:r>
        <w:rPr>
          <w:rFonts w:hint="eastAsia" w:ascii="Times New Roman" w:hAnsi="Times New Roman" w:eastAsia="方正仿宋_GB2312" w:cs="Times New Roman"/>
          <w:color w:val="000000"/>
          <w:kern w:val="0"/>
          <w:sz w:val="30"/>
          <w:szCs w:val="30"/>
          <w:lang w:val="en-US" w:eastAsia="zh-CN" w:bidi="ar"/>
        </w:rPr>
        <w:t>同时，“</w:t>
      </w:r>
      <w:r>
        <w:rPr>
          <w:rFonts w:hint="default" w:ascii="Times New Roman" w:hAnsi="Times New Roman" w:eastAsia="方正仿宋_GB2312" w:cs="Times New Roman"/>
          <w:color w:val="000000"/>
          <w:kern w:val="0"/>
          <w:sz w:val="30"/>
          <w:szCs w:val="30"/>
          <w:lang w:val="en-US" w:eastAsia="zh-CN" w:bidi="ar"/>
        </w:rPr>
        <w:t>集约整合、规模开采</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淘汰 </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小散乱</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 矿企，推动矿山整合重组。</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建立矿石特性精准把控与科学分级加工体系，推行</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梯级利用</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模式，从冶金熔剂向精细化工、环保、建材、</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医药、</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新能源和现代农业等高附加值领域延伸，实现资源价值最大化。</w:t>
      </w:r>
      <w:r>
        <w:rPr>
          <w:rFonts w:hint="default" w:ascii="Times New Roman" w:hAnsi="Times New Roman" w:eastAsia="方正仿宋_GB2312" w:cs="Times New Roman"/>
          <w:color w:val="000000"/>
          <w:kern w:val="0"/>
          <w:sz w:val="30"/>
          <w:szCs w:val="30"/>
          <w:lang w:val="en-US" w:eastAsia="zh-CN" w:bidi="ar"/>
        </w:rPr>
        <w:t xml:space="preserve">建立 </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优质矿权优先配置绿色、高端企业</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 机制</w:t>
      </w:r>
      <w:r>
        <w:rPr>
          <w:rFonts w:hint="eastAsia" w:ascii="Times New Roman" w:hAnsi="Times New Roman" w:eastAsia="方正仿宋_GB2312" w:cs="Times New Roman"/>
          <w:color w:val="000000"/>
          <w:kern w:val="0"/>
          <w:sz w:val="30"/>
          <w:szCs w:val="30"/>
          <w:lang w:val="en-US" w:eastAsia="zh-CN" w:bidi="ar"/>
        </w:rPr>
        <w:t>，使</w:t>
      </w:r>
      <w:r>
        <w:rPr>
          <w:rFonts w:hint="default" w:ascii="Times New Roman" w:hAnsi="Times New Roman" w:eastAsia="方正仿宋_GB2312" w:cs="Times New Roman"/>
          <w:color w:val="000000"/>
          <w:kern w:val="0"/>
          <w:sz w:val="30"/>
          <w:szCs w:val="30"/>
          <w:lang w:val="en-US" w:eastAsia="zh-CN" w:bidi="ar"/>
        </w:rPr>
        <w:t>优质</w:t>
      </w:r>
      <w:r>
        <w:rPr>
          <w:rFonts w:hint="eastAsia" w:ascii="Times New Roman" w:hAnsi="Times New Roman" w:eastAsia="方正仿宋_GB2312" w:cs="Times New Roman"/>
          <w:color w:val="000000"/>
          <w:kern w:val="0"/>
          <w:sz w:val="30"/>
          <w:szCs w:val="30"/>
          <w:lang w:val="en-US" w:eastAsia="zh-CN" w:bidi="ar"/>
        </w:rPr>
        <w:t>资源</w:t>
      </w:r>
      <w:r>
        <w:rPr>
          <w:rFonts w:hint="default" w:ascii="Times New Roman" w:hAnsi="Times New Roman" w:eastAsia="方正仿宋_GB2312" w:cs="Times New Roman"/>
          <w:color w:val="000000"/>
          <w:kern w:val="0"/>
          <w:sz w:val="30"/>
          <w:szCs w:val="30"/>
          <w:lang w:val="en-US" w:eastAsia="zh-CN" w:bidi="ar"/>
        </w:rPr>
        <w:t>向资源利用率高、技术先进的企业倾斜，实行统一规划、统一开采、统一管理</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 xml:space="preserve"> </w:t>
      </w:r>
    </w:p>
    <w:p w14:paraId="56E4D89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602" w:firstLineChars="200"/>
        <w:jc w:val="left"/>
        <w:textAlignment w:val="auto"/>
        <w:outlineLvl w:val="2"/>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生态优先、绿色发展</w:t>
      </w:r>
    </w:p>
    <w:p w14:paraId="4BF3BB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outlineLvl w:val="9"/>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坚持资源优先战略。强化自有矿山资源的科学开发与保护，</w:t>
      </w:r>
      <w:r>
        <w:rPr>
          <w:rFonts w:hint="default" w:ascii="Times New Roman" w:hAnsi="Times New Roman" w:eastAsia="方正仿宋_GB2312" w:cs="Times New Roman"/>
          <w:color w:val="000000"/>
          <w:kern w:val="0"/>
          <w:sz w:val="30"/>
          <w:szCs w:val="30"/>
          <w:lang w:val="en-US" w:eastAsia="zh-CN" w:bidi="ar"/>
        </w:rPr>
        <w:t>推广</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台阶式开采+边采边治</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，矿山开发与生态修复同步</w:t>
      </w:r>
      <w:r>
        <w:rPr>
          <w:rFonts w:hint="eastAsia" w:ascii="Times New Roman" w:hAnsi="Times New Roman" w:eastAsia="方正仿宋_GB2312" w:cs="Times New Roman"/>
          <w:color w:val="000000"/>
          <w:kern w:val="0"/>
          <w:sz w:val="30"/>
          <w:szCs w:val="30"/>
          <w:lang w:val="en-US" w:eastAsia="zh-CN" w:bidi="ar"/>
        </w:rPr>
        <w:t>，实现“</w:t>
      </w:r>
      <w:r>
        <w:rPr>
          <w:rFonts w:hint="default" w:ascii="Times New Roman" w:hAnsi="Times New Roman" w:eastAsia="方正仿宋_GB2312" w:cs="Times New Roman"/>
          <w:color w:val="000000"/>
          <w:kern w:val="0"/>
          <w:sz w:val="30"/>
          <w:szCs w:val="30"/>
          <w:lang w:val="en-US" w:eastAsia="zh-CN" w:bidi="ar"/>
        </w:rPr>
        <w:t>边采边治、绿色矿山</w:t>
      </w:r>
      <w:r>
        <w:rPr>
          <w:rFonts w:hint="eastAsia" w:ascii="Times New Roman" w:hAnsi="Times New Roman" w:eastAsia="方正仿宋_GB2312" w:cs="Times New Roman"/>
          <w:color w:val="000000"/>
          <w:kern w:val="0"/>
          <w:sz w:val="30"/>
          <w:szCs w:val="30"/>
          <w:lang w:val="en-US" w:eastAsia="zh-CN" w:bidi="ar"/>
        </w:rPr>
        <w:t>”。强化“</w:t>
      </w:r>
      <w:r>
        <w:rPr>
          <w:rFonts w:hint="default" w:ascii="Times New Roman" w:hAnsi="Times New Roman" w:eastAsia="方正仿宋_GB2312" w:cs="Times New Roman"/>
          <w:color w:val="000000"/>
          <w:kern w:val="0"/>
          <w:sz w:val="30"/>
          <w:szCs w:val="30"/>
          <w:lang w:val="en-US" w:eastAsia="zh-CN" w:bidi="ar"/>
        </w:rPr>
        <w:t>循环利用、固废消化</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构建</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矿山-原料-加工-产品</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全链条资源管控体系，提升资源利用效率。</w:t>
      </w:r>
      <w:r>
        <w:rPr>
          <w:rFonts w:hint="default" w:ascii="Times New Roman" w:hAnsi="Times New Roman" w:eastAsia="方正仿宋_GB2312" w:cs="Times New Roman"/>
          <w:color w:val="000000"/>
          <w:kern w:val="0"/>
          <w:sz w:val="30"/>
          <w:szCs w:val="30"/>
          <w:lang w:val="en-US" w:eastAsia="zh-CN" w:bidi="ar"/>
        </w:rPr>
        <w:t>严控能耗与排放，发展绿色建材</w:t>
      </w:r>
      <w:r>
        <w:rPr>
          <w:rFonts w:hint="eastAsia" w:ascii="Times New Roman" w:hAnsi="Times New Roman" w:eastAsia="方正仿宋_GB2312" w:cs="Times New Roman"/>
          <w:color w:val="000000"/>
          <w:kern w:val="0"/>
          <w:sz w:val="30"/>
          <w:szCs w:val="30"/>
          <w:lang w:val="en-US" w:eastAsia="zh-CN" w:bidi="ar"/>
        </w:rPr>
        <w:t>和</w:t>
      </w:r>
      <w:r>
        <w:rPr>
          <w:rFonts w:hint="default" w:ascii="Times New Roman" w:hAnsi="Times New Roman" w:eastAsia="方正仿宋_GB2312" w:cs="Times New Roman"/>
          <w:color w:val="000000"/>
          <w:kern w:val="0"/>
          <w:sz w:val="30"/>
          <w:szCs w:val="30"/>
          <w:lang w:val="en-US" w:eastAsia="zh-CN" w:bidi="ar"/>
        </w:rPr>
        <w:t>低碳钙基新材料</w:t>
      </w:r>
      <w:r>
        <w:rPr>
          <w:rFonts w:hint="eastAsia" w:ascii="Times New Roman" w:hAnsi="Times New Roman" w:eastAsia="方正仿宋_GB2312" w:cs="Times New Roman"/>
          <w:color w:val="000000"/>
          <w:kern w:val="0"/>
          <w:sz w:val="30"/>
          <w:szCs w:val="30"/>
          <w:lang w:val="en-US" w:eastAsia="zh-CN" w:bidi="ar"/>
        </w:rPr>
        <w:t>，实现“</w:t>
      </w:r>
      <w:r>
        <w:rPr>
          <w:rFonts w:hint="default" w:ascii="Times New Roman" w:hAnsi="Times New Roman" w:eastAsia="方正仿宋_GB2312" w:cs="Times New Roman"/>
          <w:color w:val="000000"/>
          <w:kern w:val="0"/>
          <w:sz w:val="30"/>
          <w:szCs w:val="30"/>
          <w:lang w:val="en-US" w:eastAsia="zh-CN" w:bidi="ar"/>
        </w:rPr>
        <w:t>清洁生产、低碳转型</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 xml:space="preserve">  </w:t>
      </w:r>
    </w:p>
    <w:p w14:paraId="0D7221DB">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602" w:firstLineChars="200"/>
        <w:jc w:val="left"/>
        <w:textAlignment w:val="auto"/>
        <w:outlineLvl w:val="2"/>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高端引领、创新驱动</w:t>
      </w:r>
    </w:p>
    <w:p w14:paraId="180DB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实施</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科创驱动发展</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战略，</w:t>
      </w:r>
      <w:r>
        <w:rPr>
          <w:rFonts w:hint="default" w:ascii="Times New Roman" w:hAnsi="Times New Roman" w:eastAsia="方正仿宋_GB2312" w:cs="Times New Roman"/>
          <w:color w:val="000000" w:themeColor="text1"/>
          <w:sz w:val="30"/>
          <w:szCs w:val="30"/>
          <w14:textFill>
            <w14:solidFill>
              <w14:schemeClr w14:val="tx1"/>
            </w14:solidFill>
          </w14:textFill>
        </w:rPr>
        <w:t>以科技创新为核心驱动力，</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强化企业</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与科研院所、高校合作，建设</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省级专家工作站、</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钙基新材料</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（石材）技术</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创新中心</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和</w:t>
      </w:r>
      <w:r>
        <w:rPr>
          <w:rFonts w:hint="default" w:ascii="Times New Roman" w:hAnsi="Times New Roman" w:eastAsia="方正仿宋_GB2312" w:cs="Times New Roman"/>
          <w:sz w:val="30"/>
          <w:szCs w:val="30"/>
        </w:rPr>
        <w:t>产业概念验证中心</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中试验证</w:t>
      </w:r>
      <w:r>
        <w:rPr>
          <w:rFonts w:hint="eastAsia" w:ascii="Times New Roman" w:hAnsi="Times New Roman" w:eastAsia="方正仿宋_GB2312" w:cs="Times New Roman"/>
          <w:sz w:val="30"/>
          <w:szCs w:val="30"/>
          <w:lang w:val="en-US" w:eastAsia="zh-CN"/>
        </w:rPr>
        <w:t>基地</w:t>
      </w:r>
      <w:r>
        <w:rPr>
          <w:rFonts w:hint="default" w:ascii="Times New Roman" w:hAnsi="Times New Roman" w:eastAsia="方正仿宋_GB2312" w:cs="Times New Roman"/>
          <w:sz w:val="30"/>
          <w:szCs w:val="30"/>
        </w:rPr>
        <w:t>和检测认证平台</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，打造</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产学研用</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深度融合的协同创新体系。</w:t>
      </w:r>
      <w:r>
        <w:rPr>
          <w:rFonts w:hint="eastAsia" w:ascii="Times New Roman" w:hAnsi="Times New Roman" w:eastAsia="方正仿宋_GB2312" w:cs="Times New Roman"/>
          <w:color w:val="000000"/>
          <w:kern w:val="0"/>
          <w:sz w:val="30"/>
          <w:szCs w:val="30"/>
          <w:lang w:val="en-US" w:eastAsia="zh-CN" w:bidi="ar"/>
        </w:rPr>
        <w:t>强化</w:t>
      </w:r>
      <w:r>
        <w:rPr>
          <w:rFonts w:hint="default" w:ascii="Times New Roman" w:hAnsi="Times New Roman" w:eastAsia="方正仿宋_GB2312" w:cs="Times New Roman"/>
          <w:color w:val="000000"/>
          <w:kern w:val="0"/>
          <w:sz w:val="30"/>
          <w:szCs w:val="30"/>
          <w:lang w:val="en-US" w:eastAsia="zh-CN" w:bidi="ar"/>
        </w:rPr>
        <w:t>产业升级</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打造 </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石林石材</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 区域公共品牌，提升产品附加值与市场竞争力。突破</w:t>
      </w:r>
      <w:r>
        <w:rPr>
          <w:rFonts w:hint="eastAsia" w:ascii="Times New Roman" w:hAnsi="Times New Roman" w:eastAsia="方正仿宋_GB2312" w:cs="Times New Roman"/>
          <w:color w:val="000000"/>
          <w:kern w:val="0"/>
          <w:sz w:val="30"/>
          <w:szCs w:val="30"/>
          <w:lang w:val="en-US" w:eastAsia="zh-CN" w:bidi="ar"/>
        </w:rPr>
        <w:t>高端石材、</w:t>
      </w:r>
      <w:r>
        <w:rPr>
          <w:rFonts w:hint="default" w:ascii="Times New Roman" w:hAnsi="Times New Roman" w:eastAsia="方正仿宋_GB2312" w:cs="Times New Roman"/>
          <w:color w:val="000000"/>
          <w:kern w:val="0"/>
          <w:sz w:val="30"/>
          <w:szCs w:val="30"/>
          <w:lang w:val="en-US" w:eastAsia="zh-CN" w:bidi="ar"/>
        </w:rPr>
        <w:t>精深加工、表面改性、循环利用等关键技术，</w:t>
      </w:r>
      <w:r>
        <w:rPr>
          <w:rFonts w:hint="eastAsia" w:ascii="Times New Roman" w:hAnsi="Times New Roman" w:eastAsia="方正仿宋_GB2312" w:cs="Times New Roman"/>
          <w:color w:val="000000"/>
          <w:kern w:val="0"/>
          <w:sz w:val="30"/>
          <w:szCs w:val="30"/>
          <w:lang w:val="en-US" w:eastAsia="zh-CN" w:bidi="ar"/>
        </w:rPr>
        <w:t>使</w:t>
      </w:r>
      <w:r>
        <w:rPr>
          <w:rFonts w:hint="default" w:ascii="Times New Roman" w:hAnsi="Times New Roman" w:eastAsia="方正仿宋_GB2312" w:cs="Times New Roman"/>
          <w:color w:val="000000"/>
          <w:kern w:val="0"/>
          <w:sz w:val="30"/>
          <w:szCs w:val="30"/>
          <w:lang w:val="en-US" w:eastAsia="zh-CN" w:bidi="ar"/>
        </w:rPr>
        <w:t>传统石材</w:t>
      </w:r>
      <w:r>
        <w:rPr>
          <w:rFonts w:hint="eastAsia" w:ascii="Times New Roman" w:hAnsi="Times New Roman" w:eastAsia="方正仿宋_GB2312" w:cs="Times New Roman"/>
          <w:color w:val="000000"/>
          <w:kern w:val="0"/>
          <w:sz w:val="30"/>
          <w:szCs w:val="30"/>
          <w:lang w:val="en-US" w:eastAsia="zh-CN" w:bidi="ar"/>
        </w:rPr>
        <w:t>碳酸钙产业</w:t>
      </w:r>
      <w:r>
        <w:rPr>
          <w:rFonts w:hint="default" w:ascii="Times New Roman" w:hAnsi="Times New Roman" w:eastAsia="方正仿宋_GB2312" w:cs="Times New Roman"/>
          <w:color w:val="000000"/>
          <w:kern w:val="0"/>
          <w:sz w:val="30"/>
          <w:szCs w:val="30"/>
          <w:lang w:val="en-US" w:eastAsia="zh-CN" w:bidi="ar"/>
        </w:rPr>
        <w:t>向超细钙粉、改性碳酸钙、</w:t>
      </w:r>
      <w:r>
        <w:rPr>
          <w:rFonts w:hint="eastAsia" w:ascii="Times New Roman" w:hAnsi="Times New Roman" w:eastAsia="方正仿宋_GB2312" w:cs="Times New Roman"/>
          <w:color w:val="000000"/>
          <w:kern w:val="0"/>
          <w:sz w:val="30"/>
          <w:szCs w:val="30"/>
          <w:lang w:val="en-US" w:eastAsia="zh-CN" w:bidi="ar"/>
        </w:rPr>
        <w:t>纳米碳酸钙、</w:t>
      </w:r>
      <w:r>
        <w:rPr>
          <w:rFonts w:hint="default" w:ascii="Times New Roman" w:hAnsi="Times New Roman" w:eastAsia="方正仿宋_GB2312" w:cs="Times New Roman"/>
          <w:color w:val="000000"/>
          <w:kern w:val="0"/>
          <w:sz w:val="30"/>
          <w:szCs w:val="30"/>
          <w:lang w:val="en-US" w:eastAsia="zh-CN" w:bidi="ar"/>
        </w:rPr>
        <w:t>人造石、复合新材料等高附加值产品转型。</w:t>
      </w:r>
    </w:p>
    <w:p w14:paraId="7822EAC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602" w:firstLineChars="200"/>
        <w:jc w:val="left"/>
        <w:textAlignment w:val="auto"/>
        <w:outlineLvl w:val="2"/>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 xml:space="preserve">链式发展、集群集聚 </w:t>
      </w:r>
    </w:p>
    <w:p w14:paraId="11600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eastAsia" w:ascii="Times New Roman" w:hAnsi="Times New Roman" w:eastAsia="方正仿宋_GB2312" w:cs="Times New Roman"/>
          <w:color w:val="000000"/>
          <w:kern w:val="0"/>
          <w:sz w:val="30"/>
          <w:szCs w:val="30"/>
          <w:lang w:val="en-US" w:eastAsia="zh-CN" w:bidi="ar"/>
        </w:rPr>
        <w:t>强化“</w:t>
      </w:r>
      <w:r>
        <w:rPr>
          <w:rFonts w:hint="default" w:ascii="Times New Roman" w:hAnsi="Times New Roman" w:eastAsia="方正仿宋_GB2312" w:cs="Times New Roman"/>
          <w:color w:val="000000"/>
          <w:kern w:val="0"/>
          <w:sz w:val="30"/>
          <w:szCs w:val="30"/>
          <w:lang w:val="en-US" w:eastAsia="zh-CN" w:bidi="ar"/>
        </w:rPr>
        <w:t>以矿定链、以链招商</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按</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精准识矿→以矿定链→以链招商→创新强链</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思路，形成</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矿山开采→粉体加工→人造石/复合新材料→固废综合利用</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完整产业链。</w:t>
      </w:r>
      <w:r>
        <w:rPr>
          <w:rFonts w:hint="eastAsia" w:ascii="Times New Roman" w:hAnsi="Times New Roman" w:eastAsia="方正仿宋_GB2312" w:cs="Times New Roman"/>
          <w:color w:val="000000"/>
          <w:kern w:val="0"/>
          <w:sz w:val="30"/>
          <w:szCs w:val="30"/>
          <w:lang w:val="en-US" w:eastAsia="zh-CN" w:bidi="ar"/>
        </w:rPr>
        <w:t>加强</w:t>
      </w:r>
      <w:r>
        <w:rPr>
          <w:rFonts w:hint="default" w:ascii="Times New Roman" w:hAnsi="Times New Roman" w:eastAsia="方正仿宋_GB2312" w:cs="Times New Roman"/>
          <w:color w:val="000000"/>
          <w:kern w:val="0"/>
          <w:sz w:val="30"/>
          <w:szCs w:val="30"/>
          <w:lang w:val="en-US" w:eastAsia="zh-CN" w:bidi="ar"/>
        </w:rPr>
        <w:t>园区集聚</w:t>
      </w:r>
      <w:r>
        <w:rPr>
          <w:rFonts w:hint="eastAsia" w:ascii="Times New Roman" w:hAnsi="Times New Roman" w:eastAsia="方正仿宋_GB2312" w:cs="Times New Roman"/>
          <w:color w:val="000000"/>
          <w:kern w:val="0"/>
          <w:sz w:val="30"/>
          <w:szCs w:val="30"/>
          <w:lang w:val="en-US" w:eastAsia="zh-CN" w:bidi="ar"/>
        </w:rPr>
        <w:t>，加快</w:t>
      </w:r>
      <w:r>
        <w:rPr>
          <w:rFonts w:hint="default" w:ascii="Times New Roman" w:hAnsi="Times New Roman" w:eastAsia="方正仿宋_GB2312" w:cs="Times New Roman"/>
          <w:color w:val="000000"/>
          <w:kern w:val="0"/>
          <w:sz w:val="30"/>
          <w:szCs w:val="30"/>
          <w:lang w:val="en-US" w:eastAsia="zh-CN" w:bidi="ar"/>
        </w:rPr>
        <w:t xml:space="preserve">建设钙基新材料产业园，实现 </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一矿两园</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 集中布局、集群发展。</w:t>
      </w: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 xml:space="preserve">  </w:t>
      </w:r>
    </w:p>
    <w:p w14:paraId="24796F08">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602" w:firstLineChars="200"/>
        <w:jc w:val="left"/>
        <w:textAlignment w:val="auto"/>
        <w:outlineLvl w:val="2"/>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市场主导、政府引导</w:t>
      </w:r>
    </w:p>
    <w:p w14:paraId="225D6B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color w:val="000000"/>
          <w:kern w:val="0"/>
          <w:sz w:val="30"/>
          <w:szCs w:val="30"/>
          <w:lang w:val="en-US" w:eastAsia="zh-CN" w:bidi="ar"/>
        </w:rPr>
        <w:t>发挥市场在资源、要素配置中的决定性作用</w:t>
      </w:r>
      <w:r>
        <w:rPr>
          <w:rFonts w:hint="eastAsia" w:ascii="Times New Roman" w:hAnsi="Times New Roman" w:eastAsia="方正仿宋_GB2312" w:cs="Times New Roman"/>
          <w:color w:val="000000"/>
          <w:kern w:val="0"/>
          <w:sz w:val="30"/>
          <w:szCs w:val="30"/>
          <w:lang w:val="en-US" w:eastAsia="zh-CN" w:bidi="ar"/>
        </w:rPr>
        <w:t>，强化</w:t>
      </w:r>
      <w:r>
        <w:rPr>
          <w:rFonts w:hint="default" w:ascii="Times New Roman" w:hAnsi="Times New Roman" w:eastAsia="方正仿宋_GB2312" w:cs="Times New Roman"/>
          <w:color w:val="000000"/>
          <w:kern w:val="0"/>
          <w:sz w:val="30"/>
          <w:szCs w:val="30"/>
          <w:lang w:val="en-US" w:eastAsia="zh-CN" w:bidi="ar"/>
        </w:rPr>
        <w:t>政策保障</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政府统筹规划、标准准入、生态监管、要素保障（土地、能耗、</w:t>
      </w:r>
      <w:r>
        <w:rPr>
          <w:rFonts w:hint="eastAsia" w:ascii="Times New Roman" w:hAnsi="Times New Roman" w:eastAsia="方正仿宋_GB2312" w:cs="Times New Roman"/>
          <w:color w:val="000000"/>
          <w:kern w:val="0"/>
          <w:sz w:val="30"/>
          <w:szCs w:val="30"/>
          <w:lang w:val="en-US" w:eastAsia="zh-CN" w:bidi="ar"/>
        </w:rPr>
        <w:t>环评、</w:t>
      </w:r>
      <w:r>
        <w:rPr>
          <w:rFonts w:hint="default" w:ascii="Times New Roman" w:hAnsi="Times New Roman" w:eastAsia="方正仿宋_GB2312" w:cs="Times New Roman"/>
          <w:color w:val="000000"/>
          <w:kern w:val="0"/>
          <w:sz w:val="30"/>
          <w:szCs w:val="30"/>
          <w:lang w:val="en-US" w:eastAsia="zh-CN" w:bidi="ar"/>
        </w:rPr>
        <w:t>物流</w:t>
      </w:r>
      <w:r>
        <w:rPr>
          <w:rFonts w:hint="eastAsia" w:ascii="Times New Roman" w:hAnsi="Times New Roman" w:eastAsia="方正仿宋_GB2312" w:cs="Times New Roman"/>
          <w:color w:val="000000"/>
          <w:kern w:val="0"/>
          <w:sz w:val="30"/>
          <w:szCs w:val="30"/>
          <w:lang w:val="en-US" w:eastAsia="zh-CN" w:bidi="ar"/>
        </w:rPr>
        <w:t>等</w:t>
      </w:r>
      <w:r>
        <w:rPr>
          <w:rFonts w:hint="default" w:ascii="Times New Roman" w:hAnsi="Times New Roman" w:eastAsia="方正仿宋_GB2312" w:cs="Times New Roman"/>
          <w:color w:val="000000"/>
          <w:kern w:val="0"/>
          <w:sz w:val="30"/>
          <w:szCs w:val="30"/>
          <w:lang w:val="en-US" w:eastAsia="zh-CN" w:bidi="ar"/>
        </w:rPr>
        <w:t>）。</w:t>
      </w:r>
      <w:r>
        <w:rPr>
          <w:rFonts w:hint="eastAsia" w:ascii="Times New Roman" w:hAnsi="Times New Roman" w:eastAsia="方正仿宋_GB2312" w:cs="Times New Roman"/>
          <w:color w:val="000000"/>
          <w:kern w:val="0"/>
          <w:sz w:val="30"/>
          <w:szCs w:val="30"/>
          <w:lang w:val="en-US" w:eastAsia="zh-CN" w:bidi="ar"/>
        </w:rPr>
        <w:t>重点实施</w:t>
      </w:r>
      <w:r>
        <w:rPr>
          <w:rFonts w:hint="default" w:ascii="Times New Roman" w:hAnsi="Times New Roman" w:eastAsia="方正仿宋_GB2312" w:cs="Times New Roman"/>
          <w:color w:val="000000"/>
          <w:kern w:val="0"/>
          <w:sz w:val="30"/>
          <w:szCs w:val="30"/>
          <w:lang w:val="en-US" w:eastAsia="zh-CN" w:bidi="ar"/>
        </w:rPr>
        <w:t>龙头带动</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腾笼换鸟</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 淘汰落后，</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筑巢引凤</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 xml:space="preserve"> 引进龙头企业，培育骨干企业。</w:t>
      </w: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 xml:space="preserve">  </w:t>
      </w:r>
    </w:p>
    <w:p w14:paraId="6B5B7A47">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602" w:firstLineChars="200"/>
        <w:jc w:val="left"/>
        <w:textAlignment w:val="auto"/>
        <w:outlineLvl w:val="2"/>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融合联动、提质增效</w:t>
      </w:r>
    </w:p>
    <w:p w14:paraId="553868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both"/>
        <w:textAlignment w:val="auto"/>
        <w:outlineLvl w:val="9"/>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pPr>
      <w:r>
        <w:rPr>
          <w:rFonts w:hint="eastAsia" w:ascii="Times New Roman" w:hAnsi="Times New Roman" w:eastAsia="方正仿宋_GB2312" w:cs="Times New Roman"/>
          <w:color w:val="000000"/>
          <w:kern w:val="0"/>
          <w:sz w:val="30"/>
          <w:szCs w:val="30"/>
          <w:lang w:val="en-US" w:eastAsia="zh-CN" w:bidi="ar"/>
        </w:rPr>
        <w:t>强化</w:t>
      </w:r>
      <w:r>
        <w:rPr>
          <w:rFonts w:hint="default" w:ascii="Times New Roman" w:hAnsi="Times New Roman" w:eastAsia="方正仿宋_GB2312" w:cs="Times New Roman"/>
          <w:color w:val="000000"/>
          <w:kern w:val="0"/>
          <w:sz w:val="30"/>
          <w:szCs w:val="30"/>
          <w:lang w:val="en-US" w:eastAsia="zh-CN" w:bidi="ar"/>
        </w:rPr>
        <w:t>跨界融合</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推动</w:t>
      </w:r>
      <w:r>
        <w:rPr>
          <w:rFonts w:hint="eastAsia" w:ascii="Times New Roman" w:hAnsi="Times New Roman" w:eastAsia="方正仿宋_GB2312" w:cs="Times New Roman"/>
          <w:color w:val="000000"/>
          <w:kern w:val="0"/>
          <w:sz w:val="30"/>
          <w:szCs w:val="30"/>
          <w:lang w:val="en-US" w:eastAsia="zh-CN" w:bidi="ar"/>
        </w:rPr>
        <w:t>“天然</w:t>
      </w:r>
      <w:r>
        <w:rPr>
          <w:rFonts w:hint="default" w:ascii="Times New Roman" w:hAnsi="Times New Roman" w:eastAsia="方正仿宋_GB2312" w:cs="Times New Roman"/>
          <w:color w:val="000000"/>
          <w:kern w:val="0"/>
          <w:sz w:val="30"/>
          <w:szCs w:val="30"/>
          <w:lang w:val="en-US" w:eastAsia="zh-CN" w:bidi="ar"/>
        </w:rPr>
        <w:t>石材+</w:t>
      </w:r>
      <w:r>
        <w:rPr>
          <w:rFonts w:hint="eastAsia" w:ascii="Times New Roman" w:hAnsi="Times New Roman" w:eastAsia="方正仿宋_GB2312" w:cs="Times New Roman"/>
          <w:color w:val="000000"/>
          <w:kern w:val="0"/>
          <w:sz w:val="30"/>
          <w:szCs w:val="30"/>
          <w:lang w:val="en-US" w:eastAsia="zh-CN" w:bidi="ar"/>
        </w:rPr>
        <w:t>粉体+钙基新材料”</w:t>
      </w:r>
      <w:r>
        <w:rPr>
          <w:rFonts w:hint="default" w:ascii="Times New Roman" w:hAnsi="Times New Roman" w:eastAsia="方正仿宋_GB2312" w:cs="Times New Roman"/>
          <w:color w:val="000000"/>
          <w:kern w:val="0"/>
          <w:sz w:val="30"/>
          <w:szCs w:val="30"/>
          <w:lang w:val="en-US" w:eastAsia="zh-CN" w:bidi="ar"/>
        </w:rPr>
        <w:t>多元应用。</w:t>
      </w:r>
      <w:r>
        <w:rPr>
          <w:rFonts w:hint="eastAsia" w:ascii="Times New Roman" w:hAnsi="Times New Roman" w:eastAsia="方正仿宋_GB2312" w:cs="Times New Roman"/>
          <w:color w:val="000000"/>
          <w:kern w:val="0"/>
          <w:sz w:val="30"/>
          <w:szCs w:val="30"/>
          <w:lang w:val="en-US" w:eastAsia="zh-CN" w:bidi="ar"/>
        </w:rPr>
        <w:t>加强“</w:t>
      </w:r>
      <w:r>
        <w:rPr>
          <w:rFonts w:hint="default" w:ascii="Times New Roman" w:hAnsi="Times New Roman" w:eastAsia="方正仿宋_GB2312" w:cs="Times New Roman"/>
          <w:color w:val="000000"/>
          <w:kern w:val="0"/>
          <w:sz w:val="30"/>
          <w:szCs w:val="30"/>
          <w:lang w:val="en-US" w:eastAsia="zh-CN" w:bidi="ar"/>
        </w:rPr>
        <w:t>数智转型，智能支撑</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推进</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数智化工厂</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建设</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，逐步</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构建数智化生产调度系统，提升信息化、自动化、智能化水平，实现</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数智赋能</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与业务深度融合。</w:t>
      </w:r>
      <w:r>
        <w:rPr>
          <w:rFonts w:hint="eastAsia" w:ascii="Times New Roman" w:hAnsi="Times New Roman" w:eastAsia="方正仿宋_GB2312" w:cs="Times New Roman"/>
          <w:color w:val="000000"/>
          <w:kern w:val="0"/>
          <w:sz w:val="30"/>
          <w:szCs w:val="30"/>
          <w:lang w:val="en-US" w:eastAsia="zh-CN" w:bidi="ar"/>
        </w:rPr>
        <w:t>更加重视</w:t>
      </w:r>
      <w:r>
        <w:rPr>
          <w:rFonts w:hint="default" w:ascii="Times New Roman" w:hAnsi="Times New Roman" w:eastAsia="方正仿宋_GB2312" w:cs="Times New Roman"/>
          <w:color w:val="000000"/>
          <w:kern w:val="0"/>
          <w:sz w:val="30"/>
          <w:szCs w:val="30"/>
          <w:lang w:val="en-US" w:eastAsia="zh-CN" w:bidi="ar"/>
        </w:rPr>
        <w:t>安全规范</w:t>
      </w:r>
      <w:r>
        <w:rPr>
          <w:rFonts w:hint="eastAsia" w:ascii="Times New Roman" w:hAnsi="Times New Roman" w:eastAsia="方正仿宋_GB2312" w:cs="Times New Roman"/>
          <w:color w:val="000000"/>
          <w:kern w:val="0"/>
          <w:sz w:val="30"/>
          <w:szCs w:val="30"/>
          <w:lang w:val="en-US" w:eastAsia="zh-CN" w:bidi="ar"/>
        </w:rPr>
        <w:t>，</w:t>
      </w:r>
      <w:r>
        <w:rPr>
          <w:rFonts w:hint="default" w:ascii="Times New Roman" w:hAnsi="Times New Roman" w:eastAsia="方正仿宋_GB2312" w:cs="Times New Roman"/>
          <w:color w:val="000000"/>
          <w:kern w:val="0"/>
          <w:sz w:val="30"/>
          <w:szCs w:val="30"/>
          <w:lang w:val="en-US" w:eastAsia="zh-CN" w:bidi="ar"/>
        </w:rPr>
        <w:t>严守安全、环保、质量底线，实现安全、绿色、高效协同发展。</w:t>
      </w:r>
    </w:p>
    <w:bookmarkEnd w:id="3"/>
    <w:bookmarkEnd w:id="4"/>
    <w:p w14:paraId="27FF50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outlineLvl w:val="1"/>
        <w:rPr>
          <w:rFonts w:hint="default" w:ascii="Times New Roman" w:hAnsi="Times New Roman" w:eastAsia="方正仿宋_GB2312" w:cs="Times New Roman"/>
          <w:b/>
          <w:bCs/>
          <w:color w:val="000000" w:themeColor="text1"/>
          <w:sz w:val="30"/>
          <w:szCs w:val="30"/>
          <w14:textFill>
            <w14:solidFill>
              <w14:schemeClr w14:val="tx1"/>
            </w14:solidFill>
          </w14:textFill>
        </w:rPr>
      </w:pPr>
      <w:bookmarkStart w:id="5" w:name="_Toc30445"/>
      <w:bookmarkStart w:id="6" w:name="_Toc4908"/>
      <w:r>
        <w:rPr>
          <w:rFonts w:hint="default" w:ascii="Times New Roman" w:hAnsi="Times New Roman" w:eastAsia="方正仿宋_GB2312" w:cs="Times New Roman"/>
          <w:b/>
          <w:bCs/>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二）</w:t>
      </w:r>
      <w:r>
        <w:rPr>
          <w:rFonts w:hint="default" w:ascii="Times New Roman" w:hAnsi="Times New Roman" w:eastAsia="方正仿宋_GB2312" w:cs="Times New Roman"/>
          <w:b/>
          <w:bCs/>
          <w:color w:val="000000" w:themeColor="text1"/>
          <w:sz w:val="30"/>
          <w:szCs w:val="30"/>
          <w14:textFill>
            <w14:solidFill>
              <w14:schemeClr w14:val="tx1"/>
            </w14:solidFill>
          </w14:textFill>
        </w:rPr>
        <w:t>总体目标</w:t>
      </w:r>
      <w:bookmarkEnd w:id="5"/>
      <w:bookmarkEnd w:id="6"/>
      <w:r>
        <w:rPr>
          <w:rFonts w:hint="default" w:ascii="Times New Roman" w:hAnsi="Times New Roman" w:eastAsia="方正仿宋_GB2312" w:cs="Times New Roman"/>
          <w:b/>
          <w:bCs/>
          <w:color w:val="000000" w:themeColor="text1"/>
          <w:sz w:val="30"/>
          <w:szCs w:val="30"/>
          <w14:textFill>
            <w14:solidFill>
              <w14:schemeClr w14:val="tx1"/>
            </w14:solidFill>
          </w14:textFill>
        </w:rPr>
        <w:t xml:space="preserve"> </w:t>
      </w:r>
    </w:p>
    <w:p w14:paraId="03E563B1">
      <w:pPr>
        <w:keepNext w:val="0"/>
        <w:keepLines w:val="0"/>
        <w:widowControl/>
        <w:suppressLineNumbers w:val="0"/>
        <w:ind w:firstLine="600" w:firstLineChars="200"/>
        <w:jc w:val="both"/>
        <w:rPr>
          <w:rFonts w:hint="default" w:ascii="Times New Roman" w:hAnsi="Times New Roman" w:eastAsia="方正仿宋_GB2312" w:cs="Times New Roman"/>
          <w:color w:val="000000" w:themeColor="text1"/>
          <w:sz w:val="30"/>
          <w:szCs w:val="30"/>
          <w14:textFill>
            <w14:solidFill>
              <w14:schemeClr w14:val="tx1"/>
            </w14:solidFill>
          </w14:textFill>
        </w:rPr>
      </w:pPr>
      <w:r>
        <w:rPr>
          <w:rFonts w:hint="default" w:ascii="Times New Roman" w:hAnsi="Times New Roman" w:eastAsia="方正仿宋_GB2312" w:cs="Times New Roman"/>
          <w:color w:val="000000" w:themeColor="text1"/>
          <w:sz w:val="30"/>
          <w:szCs w:val="30"/>
          <w14:textFill>
            <w14:solidFill>
              <w14:schemeClr w14:val="tx1"/>
            </w14:solidFill>
          </w14:textFill>
        </w:rPr>
        <w:t>以新时代习近平中国特色社会主义思想为指导，深入贯彻党的二十大和二十届</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历次</w:t>
      </w:r>
      <w:r>
        <w:rPr>
          <w:rFonts w:hint="default" w:ascii="Times New Roman" w:hAnsi="Times New Roman" w:eastAsia="方正仿宋_GB2312" w:cs="Times New Roman"/>
          <w:color w:val="000000" w:themeColor="text1"/>
          <w:sz w:val="30"/>
          <w:szCs w:val="30"/>
          <w14:textFill>
            <w14:solidFill>
              <w14:schemeClr w14:val="tx1"/>
            </w14:solidFill>
          </w14:textFill>
        </w:rPr>
        <w:t>全会精神，全面践行</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创新、协调、绿色、开放、共享</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五大发展理念，坚持发展为第一要务和创新为第一动力，瞄准</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国内国际双循环</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以</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高端化、智能化、绿色化、特色化、</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功能</w:t>
      </w:r>
      <w:r>
        <w:rPr>
          <w:rFonts w:hint="default" w:ascii="Times New Roman" w:hAnsi="Times New Roman" w:eastAsia="方正仿宋_GB2312" w:cs="Times New Roman"/>
          <w:color w:val="000000" w:themeColor="text1"/>
          <w:sz w:val="30"/>
          <w:szCs w:val="30"/>
          <w14:textFill>
            <w14:solidFill>
              <w14:schemeClr w14:val="tx1"/>
            </w14:solidFill>
          </w14:textFill>
        </w:rPr>
        <w:t>化</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融合</w:t>
      </w:r>
      <w:r>
        <w:rPr>
          <w:rFonts w:hint="default" w:ascii="Times New Roman" w:hAnsi="Times New Roman" w:eastAsia="方正仿宋_GB2312" w:cs="Times New Roman"/>
          <w:color w:val="000000" w:themeColor="text1"/>
          <w:sz w:val="30"/>
          <w:szCs w:val="30"/>
          <w14:textFill>
            <w14:solidFill>
              <w14:schemeClr w14:val="tx1"/>
            </w14:solidFill>
          </w14:textFill>
        </w:rPr>
        <w:t>化</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为主线，按照</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强龙头、补链条、聚集群、抓创新、创品牌、拓市场</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的发展思路，遵循</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精准识矿、以矿定链、矿链招商、创新强链</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的</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发展</w:t>
      </w:r>
      <w:r>
        <w:rPr>
          <w:rFonts w:hint="default" w:ascii="Times New Roman" w:hAnsi="Times New Roman" w:eastAsia="方正仿宋_GB2312" w:cs="Times New Roman"/>
          <w:color w:val="000000" w:themeColor="text1"/>
          <w:sz w:val="30"/>
          <w:szCs w:val="30"/>
          <w14:textFill>
            <w14:solidFill>
              <w14:schemeClr w14:val="tx1"/>
            </w14:solidFill>
          </w14:textFill>
        </w:rPr>
        <w:t>原则</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坚持开放</w:t>
      </w:r>
      <w:r>
        <w:rPr>
          <w:rFonts w:hint="default" w:ascii="Times New Roman" w:hAnsi="Times New Roman" w:eastAsia="方正仿宋_GB2312" w:cs="Times New Roman"/>
          <w:color w:val="000000" w:themeColor="text1"/>
          <w:sz w:val="30"/>
          <w:szCs w:val="30"/>
          <w14:textFill>
            <w14:solidFill>
              <w14:schemeClr w14:val="tx1"/>
            </w14:solidFill>
          </w14:textFill>
        </w:rPr>
        <w:t>合作和技术突破，推动矿产资源阶梯利用、优质优用、循环利用、吃干用尽，完善产业链、布局创新链、整合供应链、提升价值链，打造</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立足</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石林</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、面向</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云南</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、辐射</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南亚</w:t>
      </w:r>
      <w:r>
        <w:rPr>
          <w:rFonts w:hint="default" w:ascii="Times New Roman" w:hAnsi="Times New Roman" w:eastAsia="方正仿宋_GB2312" w:cs="Times New Roman"/>
          <w:color w:val="000000"/>
          <w:kern w:val="0"/>
          <w:sz w:val="30"/>
          <w:szCs w:val="30"/>
          <w:lang w:val="en-US" w:eastAsia="zh-CN" w:bidi="ar"/>
        </w:rPr>
        <w:t>东南亚</w:t>
      </w:r>
      <w:r>
        <w:rPr>
          <w:rFonts w:hint="default" w:ascii="Times New Roman" w:hAnsi="Times New Roman" w:eastAsia="方正仿宋_GB2312" w:cs="Times New Roman"/>
          <w:color w:val="000000" w:themeColor="text1"/>
          <w:sz w:val="30"/>
          <w:szCs w:val="30"/>
          <w14:textFill>
            <w14:solidFill>
              <w14:schemeClr w14:val="tx1"/>
            </w14:solidFill>
          </w14:textFill>
        </w:rPr>
        <w:t>特色鲜明、技术先进、绿色低碳的</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绿色矿山+</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高端石材+高性能</w:t>
      </w:r>
      <w:r>
        <w:rPr>
          <w:rFonts w:hint="default" w:ascii="Times New Roman" w:hAnsi="Times New Roman" w:eastAsia="方正仿宋_GB2312" w:cs="Times New Roman"/>
          <w:color w:val="000000" w:themeColor="text1"/>
          <w:sz w:val="30"/>
          <w:szCs w:val="30"/>
          <w14:textFill>
            <w14:solidFill>
              <w14:schemeClr w14:val="tx1"/>
            </w14:solidFill>
          </w14:textFill>
        </w:rPr>
        <w:t>粉体+钙基新材料</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的现代产业体系</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到</w:t>
      </w:r>
      <w:r>
        <w:rPr>
          <w:rFonts w:hint="default" w:ascii="Times New Roman" w:hAnsi="Times New Roman" w:eastAsia="方正仿宋_GB2312" w:cs="Times New Roman"/>
          <w:color w:val="000000" w:themeColor="text1"/>
          <w:sz w:val="30"/>
          <w:szCs w:val="30"/>
          <w14:textFill>
            <w14:solidFill>
              <w14:schemeClr w14:val="tx1"/>
            </w14:solidFill>
          </w14:textFill>
        </w:rPr>
        <w:t>2030年</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依托</w:t>
      </w:r>
      <w:r>
        <w:rPr>
          <w:rFonts w:hint="eastAsia" w:ascii="Times New Roman" w:hAnsi="Times New Roman" w:eastAsia="方正仿宋_GB2312" w:cs="Times New Roman"/>
          <w:color w:val="000000" w:themeColor="text1"/>
          <w:sz w:val="30"/>
          <w:szCs w:val="30"/>
          <w:lang w:eastAsia="zh-CN"/>
          <w14:textFill>
            <w14:solidFill>
              <w14:schemeClr w14:val="tx1"/>
            </w14:solidFill>
          </w14:textFill>
        </w:rPr>
        <w:t>“一矿两园”</w:t>
      </w:r>
      <w:r>
        <w:rPr>
          <w:rFonts w:hint="default" w:ascii="Times New Roman" w:hAnsi="Times New Roman" w:eastAsia="方正仿宋_GB2312" w:cs="Times New Roman"/>
          <w:color w:val="000000" w:themeColor="text1"/>
          <w:sz w:val="30"/>
          <w:szCs w:val="30"/>
          <w14:textFill>
            <w14:solidFill>
              <w14:schemeClr w14:val="tx1"/>
            </w14:solidFill>
          </w14:textFill>
        </w:rPr>
        <w:t>产业</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总体</w:t>
      </w:r>
      <w:r>
        <w:rPr>
          <w:rFonts w:hint="default" w:ascii="Times New Roman" w:hAnsi="Times New Roman" w:eastAsia="方正仿宋_GB2312" w:cs="Times New Roman"/>
          <w:color w:val="000000" w:themeColor="text1"/>
          <w:sz w:val="30"/>
          <w:szCs w:val="30"/>
          <w14:textFill>
            <w14:solidFill>
              <w14:schemeClr w14:val="tx1"/>
            </w14:solidFill>
          </w14:textFill>
        </w:rPr>
        <w:t>布局</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产值突破</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100</w:t>
      </w:r>
      <w:r>
        <w:rPr>
          <w:rFonts w:hint="default" w:ascii="Times New Roman" w:hAnsi="Times New Roman" w:eastAsia="方正仿宋_GB2312" w:cs="Times New Roman"/>
          <w:color w:val="000000" w:themeColor="text1"/>
          <w:sz w:val="30"/>
          <w:szCs w:val="30"/>
          <w14:textFill>
            <w14:solidFill>
              <w14:schemeClr w14:val="tx1"/>
            </w14:solidFill>
          </w14:textFill>
        </w:rPr>
        <w:t>亿元</w:t>
      </w:r>
      <w:r>
        <w:rPr>
          <w:rFonts w:hint="default" w:ascii="Times New Roman" w:hAnsi="Times New Roman" w:eastAsia="方正仿宋_GB2312" w:cs="Times New Roman"/>
          <w:color w:val="000000" w:themeColor="text1"/>
          <w:sz w:val="30"/>
          <w:szCs w:val="30"/>
          <w:lang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14:textFill>
            <w14:solidFill>
              <w14:schemeClr w14:val="tx1"/>
            </w14:solidFill>
          </w14:textFill>
        </w:rPr>
        <w:t>从而有效</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地推动石林县从传统石材</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碳酸钙产业</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向高端钙基新材料</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（石材）产业</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转型，建成百亿级产业集群，</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成为云南省</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县域经济高质量发展的核心增长极</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乃至全国重要的钙基新材料（石材）产业</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示范</w:t>
      </w: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t>基地</w:t>
      </w:r>
      <w:r>
        <w:rPr>
          <w:rFonts w:hint="eastAsia" w:ascii="Times New Roman" w:hAnsi="Times New Roman" w:eastAsia="方正仿宋_GB2312" w:cs="Times New Roman"/>
          <w:color w:val="000000" w:themeColor="text1"/>
          <w:sz w:val="30"/>
          <w:szCs w:val="30"/>
          <w:lang w:val="en-US" w:eastAsia="zh-CN"/>
          <w14:textFill>
            <w14:solidFill>
              <w14:schemeClr w14:val="tx1"/>
            </w14:solidFill>
          </w14:textFill>
        </w:rPr>
        <w:t>。</w:t>
      </w:r>
    </w:p>
    <w:p w14:paraId="00BE8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left"/>
        <w:textAlignment w:val="auto"/>
        <w:outlineLvl w:val="1"/>
        <w:rPr>
          <w:rFonts w:hint="default" w:ascii="Times New Roman" w:hAnsi="Times New Roman" w:eastAsia="方正仿宋_GB2312" w:cs="Times New Roman"/>
          <w:b/>
          <w:bCs/>
          <w:color w:val="000000" w:themeColor="text1"/>
          <w:sz w:val="30"/>
          <w:szCs w:val="30"/>
          <w14:textFill>
            <w14:solidFill>
              <w14:schemeClr w14:val="tx1"/>
            </w14:solidFill>
          </w14:textFill>
        </w:rPr>
      </w:pPr>
      <w:bookmarkStart w:id="7" w:name="_Toc27533"/>
      <w:bookmarkStart w:id="8" w:name="_Toc6460"/>
      <w:r>
        <w:rPr>
          <w:rFonts w:hint="default" w:ascii="Times New Roman" w:hAnsi="Times New Roman" w:eastAsia="方正仿宋_GB2312" w:cs="Times New Roman"/>
          <w:b/>
          <w:bCs/>
          <w:color w:val="000000" w:themeColor="text1"/>
          <w:sz w:val="30"/>
          <w:szCs w:val="30"/>
          <w:lang w:val="en-US" w:eastAsia="zh-CN"/>
          <w14:textFill>
            <w14:solidFill>
              <w14:schemeClr w14:val="tx1"/>
            </w14:solidFill>
          </w14:textFill>
        </w:rPr>
        <w:t>（三）目标体系与核心内容</w:t>
      </w:r>
      <w:bookmarkEnd w:id="7"/>
      <w:bookmarkEnd w:id="8"/>
    </w:p>
    <w:p w14:paraId="10535A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outlineLvl w:val="2"/>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 xml:space="preserve">1. </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产业规模目标</w:t>
      </w:r>
    </w:p>
    <w:p w14:paraId="39870B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（1）</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产值规模</w:t>
      </w:r>
    </w:p>
    <w:p w14:paraId="1F1182E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2028年钙基新材料</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石材</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产业</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总</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产值达到40亿元，</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十五五</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末期（2030年）产业总产值突破100亿元</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4D7B69B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企业培育</w:t>
      </w:r>
    </w:p>
    <w:p w14:paraId="2271A05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培育</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2-3</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家以上行业龙头企业、</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3</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0家以上规模以上企业，形成龙头引领、中小企业协同发展的产业格局</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5D9FB47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3</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 xml:space="preserve"> 就业带动</w:t>
      </w:r>
    </w:p>
    <w:p w14:paraId="4AD1E17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带动5000个以上高质量就业岗位，助力乡村振兴与县域就业增收。</w:t>
      </w:r>
    </w:p>
    <w:p w14:paraId="46141FF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outlineLvl w:val="2"/>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 xml:space="preserve">2. </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产业结构目标</w:t>
      </w:r>
    </w:p>
    <w:p w14:paraId="31DEFEC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（1）</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产品结构优化</w:t>
      </w:r>
    </w:p>
    <w:p w14:paraId="0AF2B02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传统石材板材占比从当前60%降至30%以下，超细钙、改性钙、纳米钙</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等和钙基包装材料、塑料母粒及制品、</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人造石等高端钙基新材料产品占比提升至70%以上</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455E288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产业链完善</w:t>
      </w:r>
    </w:p>
    <w:p w14:paraId="26E34C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构建</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矿山科学开采→粉体精深加工→高端新材料制造→固废综合利用</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的完整闭环产业链，实现产业价值最大化</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0BD690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（3）</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效益提升</w:t>
      </w:r>
    </w:p>
    <w:p w14:paraId="087A7B9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产业亩均产值、亩均税收较当前翻两番，提升产业综合效益。</w:t>
      </w:r>
    </w:p>
    <w:p w14:paraId="5D36483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outlineLvl w:val="2"/>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 xml:space="preserve">3. </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绿色发展目标</w:t>
      </w:r>
    </w:p>
    <w:p w14:paraId="7091823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1</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矿山绿色化</w:t>
      </w:r>
    </w:p>
    <w:p w14:paraId="258057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辖区内所有相关矿山100%建成绿色矿山，实现矿山开发与生态修复同步推进</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6CF90EF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固废资源化</w:t>
      </w:r>
    </w:p>
    <w:p w14:paraId="4F46625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石材边角料、石粉等固废综合利用率达到</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10</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0%，推动循环经济发展；</w:t>
      </w:r>
    </w:p>
    <w:p w14:paraId="37D622D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（3）</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节能减排</w:t>
      </w:r>
    </w:p>
    <w:p w14:paraId="1FA8E43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产业单位产品能耗、污染物排放较当前下降40%，实现低碳清洁生产。</w:t>
      </w:r>
    </w:p>
    <w:p w14:paraId="57C9CB6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left"/>
        <w:textAlignment w:val="auto"/>
        <w:outlineLvl w:val="2"/>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 xml:space="preserve">4. </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空间布局目标</w:t>
      </w:r>
    </w:p>
    <w:p w14:paraId="470B0F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（1）</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落实</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一矿两园</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布局</w:t>
      </w:r>
    </w:p>
    <w:p w14:paraId="4D9DEE0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打造集中规范的矿山开采区（兼顾生态修复）、石材特色产业园（重点发展高端板材、智能家居配套石材</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、现代物流</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钙基新材料产业园（</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西街口加工集中区</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聚焦超细钙粉、高端钙基新材料生产</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和现代生产性服务业</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7DADCC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完善交易物流</w:t>
      </w:r>
    </w:p>
    <w:p w14:paraId="6C2A79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建成</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立足石林、覆盖云南、</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辐射南亚</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东南亚</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的钙基新材料（石材）交易中心与物流集散地，提升产业市场辐射力。</w:t>
      </w:r>
    </w:p>
    <w:p w14:paraId="09E289E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left"/>
        <w:textAlignment w:val="auto"/>
        <w:outlineLvl w:val="2"/>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 xml:space="preserve">5. </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创新与品牌目标</w:t>
      </w:r>
    </w:p>
    <w:p w14:paraId="4974976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1</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创新平台建设</w:t>
      </w:r>
    </w:p>
    <w:p w14:paraId="0930518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建成省级</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专家工作站、</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省级</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钙基新材料</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（石材）技术</w:t>
      </w:r>
      <w:r>
        <w:rPr>
          <w:rFonts w:hint="default"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创新中心</w:t>
      </w:r>
      <w:r>
        <w:rPr>
          <w:rFonts w:hint="eastAsia" w:ascii="Times New Roman" w:hAnsi="Times New Roman" w:eastAsia="方正仿宋_GB2312" w:cs="Times New Roman"/>
          <w:b w:val="0"/>
          <w:bCs w:val="0"/>
          <w:color w:val="000000" w:themeColor="text1"/>
          <w:sz w:val="30"/>
          <w:szCs w:val="30"/>
          <w:lang w:val="en-US" w:eastAsia="zh-CN"/>
          <w14:textFill>
            <w14:solidFill>
              <w14:schemeClr w14:val="tx1"/>
            </w14:solidFill>
          </w14:textFill>
        </w:rPr>
        <w:t>和</w:t>
      </w:r>
      <w:r>
        <w:rPr>
          <w:rFonts w:hint="default" w:ascii="Times New Roman" w:hAnsi="Times New Roman" w:eastAsia="方正仿宋_GB2312" w:cs="Times New Roman"/>
          <w:sz w:val="30"/>
          <w:szCs w:val="30"/>
        </w:rPr>
        <w:t>产业概念验证中心</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中试验证</w:t>
      </w:r>
      <w:r>
        <w:rPr>
          <w:rFonts w:hint="eastAsia" w:ascii="Times New Roman" w:hAnsi="Times New Roman" w:eastAsia="方正仿宋_GB2312" w:cs="Times New Roman"/>
          <w:sz w:val="30"/>
          <w:szCs w:val="30"/>
          <w:lang w:val="en-US" w:eastAsia="zh-CN"/>
        </w:rPr>
        <w:t>基地</w:t>
      </w:r>
      <w:r>
        <w:rPr>
          <w:rFonts w:hint="default" w:ascii="Times New Roman" w:hAnsi="Times New Roman" w:eastAsia="方正仿宋_GB2312" w:cs="Times New Roman"/>
          <w:sz w:val="30"/>
          <w:szCs w:val="30"/>
        </w:rPr>
        <w:t>和检测认证平台</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，搭建产学研协同创新平台</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2B07BE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2</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核心技术突破</w:t>
      </w:r>
    </w:p>
    <w:p w14:paraId="3D70884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掌握超细粉碎</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和纳米钙</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、表面改性</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和钙基中空包装材料</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、固废循环利用等核心关键技术，提升产业核心竞争力</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p>
    <w:p w14:paraId="090105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3</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品牌打造</w:t>
      </w:r>
    </w:p>
    <w:p w14:paraId="12BC8A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在提升原有的天然石材品牌的基础上，</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培育</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石林石材</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区域公共品牌，提升产品知名度与市场附加值，打造全国知名的钙基新材料品牌。</w:t>
      </w:r>
    </w:p>
    <w:p w14:paraId="564A8CEC">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黑体" w:cs="Times New Roman"/>
          <w:b/>
          <w:bCs/>
          <w:color w:val="000000" w:themeColor="text1"/>
          <w:sz w:val="28"/>
          <w:szCs w:val="28"/>
          <w14:textFill>
            <w14:solidFill>
              <w14:schemeClr w14:val="tx1"/>
            </w14:solidFill>
          </w14:textFill>
        </w:rPr>
      </w:pPr>
      <w:r>
        <w:rPr>
          <w:rFonts w:hint="default" w:ascii="Times New Roman" w:hAnsi="Times New Roman" w:eastAsia="黑体" w:cs="Times New Roman"/>
          <w:b/>
          <w:bCs/>
          <w:color w:val="000000" w:themeColor="text1"/>
          <w:sz w:val="28"/>
          <w:szCs w:val="28"/>
          <w14:textFill>
            <w14:solidFill>
              <w14:schemeClr w14:val="tx1"/>
            </w14:solidFill>
          </w14:textFill>
        </w:rPr>
        <w:t>表</w:t>
      </w:r>
      <w:r>
        <w:rPr>
          <w:rFonts w:hint="default" w:ascii="Times New Roman" w:hAnsi="Times New Roman" w:eastAsia="黑体" w:cs="Times New Roman"/>
          <w:b/>
          <w:bCs/>
          <w:color w:val="000000" w:themeColor="text1"/>
          <w:sz w:val="28"/>
          <w:szCs w:val="28"/>
          <w:lang w:val="en-US" w:eastAsia="zh-CN"/>
          <w14:textFill>
            <w14:solidFill>
              <w14:schemeClr w14:val="tx1"/>
            </w14:solidFill>
          </w14:textFill>
        </w:rPr>
        <w:t>4</w:t>
      </w:r>
      <w:r>
        <w:rPr>
          <w:rFonts w:hint="default" w:ascii="Times New Roman" w:hAnsi="Times New Roman" w:eastAsia="黑体" w:cs="Times New Roman"/>
          <w:b/>
          <w:bCs/>
          <w:color w:val="000000" w:themeColor="text1"/>
          <w:sz w:val="28"/>
          <w:szCs w:val="28"/>
          <w14:textFill>
            <w14:solidFill>
              <w14:schemeClr w14:val="tx1"/>
            </w14:solidFill>
          </w14:textFill>
        </w:rPr>
        <w:t xml:space="preserve">-1  </w:t>
      </w:r>
      <w:r>
        <w:rPr>
          <w:rFonts w:hint="eastAsia" w:ascii="Times New Roman" w:hAnsi="Times New Roman" w:eastAsia="黑体" w:cs="Times New Roman"/>
          <w:b/>
          <w:bCs/>
          <w:color w:val="000000" w:themeColor="text1"/>
          <w:sz w:val="28"/>
          <w:szCs w:val="28"/>
          <w:lang w:eastAsia="zh-CN"/>
          <w14:textFill>
            <w14:solidFill>
              <w14:schemeClr w14:val="tx1"/>
            </w14:solidFill>
          </w14:textFill>
        </w:rPr>
        <w:t>“</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云南省石林县”</w:t>
      </w:r>
      <w:r>
        <w:rPr>
          <w:rFonts w:hint="default" w:ascii="Times New Roman" w:hAnsi="Times New Roman" w:eastAsia="黑体" w:cs="Times New Roman"/>
          <w:b/>
          <w:bCs/>
          <w:color w:val="000000" w:themeColor="text1"/>
          <w:sz w:val="28"/>
          <w:szCs w:val="28"/>
          <w:lang w:val="en-US" w:eastAsia="zh-CN"/>
          <w14:textFill>
            <w14:solidFill>
              <w14:schemeClr w14:val="tx1"/>
            </w14:solidFill>
          </w14:textFill>
        </w:rPr>
        <w:t>钙基新材料</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（石材）</w:t>
      </w:r>
      <w:r>
        <w:rPr>
          <w:rFonts w:hint="default" w:ascii="Times New Roman" w:hAnsi="Times New Roman" w:eastAsia="黑体" w:cs="Times New Roman"/>
          <w:b/>
          <w:bCs/>
          <w:color w:val="000000" w:themeColor="text1"/>
          <w:sz w:val="28"/>
          <w:szCs w:val="28"/>
          <w14:textFill>
            <w14:solidFill>
              <w14:schemeClr w14:val="tx1"/>
            </w14:solidFill>
          </w14:textFill>
        </w:rPr>
        <w:t>产业发展目标体系</w:t>
      </w:r>
    </w:p>
    <w:tbl>
      <w:tblPr>
        <w:tblStyle w:val="10"/>
        <w:tblW w:w="853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49"/>
        <w:gridCol w:w="1066"/>
        <w:gridCol w:w="1757"/>
        <w:gridCol w:w="1064"/>
      </w:tblGrid>
      <w:tr w14:paraId="4BE0AF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0" w:hRule="atLeast"/>
          <w:tblHeader/>
          <w:jc w:val="center"/>
        </w:trPr>
        <w:tc>
          <w:tcPr>
            <w:tcW w:w="4649" w:type="dxa"/>
            <w:vMerge w:val="restart"/>
            <w:tcBorders>
              <w:tl2br w:val="nil"/>
              <w:tr2bl w:val="nil"/>
            </w:tcBorders>
            <w:noWrap/>
            <w:vAlign w:val="center"/>
          </w:tcPr>
          <w:p w14:paraId="7D4210A6">
            <w:pPr>
              <w:keepNext w:val="0"/>
              <w:keepLines w:val="0"/>
              <w:pageBreakBefore w:val="0"/>
              <w:widowControl w:val="0"/>
              <w:kinsoku/>
              <w:wordWrap/>
              <w:topLinePunct w:val="0"/>
              <w:bidi w:val="0"/>
              <w:adjustRightInd/>
              <w:snapToGrid/>
              <w:spacing w:line="360" w:lineRule="auto"/>
              <w:jc w:val="center"/>
              <w:rPr>
                <w:rFonts w:hint="eastAsia" w:ascii="黑体" w:hAnsi="黑体" w:eastAsia="黑体" w:cs="黑体"/>
                <w:b/>
                <w:color w:val="000000" w:themeColor="text1"/>
                <w:kern w:val="0"/>
                <w:sz w:val="24"/>
                <w:szCs w:val="24"/>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指标名称</w:t>
            </w:r>
          </w:p>
        </w:tc>
        <w:tc>
          <w:tcPr>
            <w:tcW w:w="1066" w:type="dxa"/>
            <w:vMerge w:val="restart"/>
            <w:tcBorders>
              <w:tl2br w:val="nil"/>
              <w:tr2bl w:val="nil"/>
            </w:tcBorders>
            <w:noWrap/>
            <w:vAlign w:val="center"/>
          </w:tcPr>
          <w:p w14:paraId="4D1C079B">
            <w:pPr>
              <w:keepNext w:val="0"/>
              <w:keepLines w:val="0"/>
              <w:pageBreakBefore w:val="0"/>
              <w:widowControl w:val="0"/>
              <w:kinsoku/>
              <w:wordWrap/>
              <w:topLinePunct w:val="0"/>
              <w:bidi w:val="0"/>
              <w:adjustRightInd/>
              <w:snapToGrid/>
              <w:spacing w:line="360" w:lineRule="auto"/>
              <w:jc w:val="center"/>
              <w:rPr>
                <w:rFonts w:hint="eastAsia" w:ascii="黑体" w:hAnsi="黑体" w:eastAsia="黑体" w:cs="黑体"/>
                <w:b/>
                <w:color w:val="000000" w:themeColor="text1"/>
                <w:kern w:val="0"/>
                <w:sz w:val="24"/>
                <w:szCs w:val="24"/>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单位</w:t>
            </w:r>
          </w:p>
        </w:tc>
        <w:tc>
          <w:tcPr>
            <w:tcW w:w="2821" w:type="dxa"/>
            <w:gridSpan w:val="2"/>
            <w:tcBorders>
              <w:tl2br w:val="nil"/>
              <w:tr2bl w:val="nil"/>
            </w:tcBorders>
            <w:noWrap/>
            <w:vAlign w:val="center"/>
          </w:tcPr>
          <w:p w14:paraId="74FF72A3">
            <w:pPr>
              <w:keepNext w:val="0"/>
              <w:keepLines w:val="0"/>
              <w:pageBreakBefore w:val="0"/>
              <w:widowControl w:val="0"/>
              <w:kinsoku/>
              <w:wordWrap/>
              <w:topLinePunct w:val="0"/>
              <w:bidi w:val="0"/>
              <w:adjustRightInd/>
              <w:snapToGrid/>
              <w:spacing w:line="360" w:lineRule="auto"/>
              <w:jc w:val="center"/>
              <w:rPr>
                <w:rFonts w:hint="eastAsia" w:ascii="黑体" w:hAnsi="黑体" w:eastAsia="黑体" w:cs="黑体"/>
                <w:b/>
                <w:color w:val="000000" w:themeColor="text1"/>
                <w:kern w:val="0"/>
                <w:sz w:val="24"/>
                <w:szCs w:val="24"/>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属性</w:t>
            </w:r>
          </w:p>
        </w:tc>
      </w:tr>
      <w:tr w14:paraId="7B8269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5" w:hRule="atLeast"/>
          <w:tblHeader/>
          <w:jc w:val="center"/>
        </w:trPr>
        <w:tc>
          <w:tcPr>
            <w:tcW w:w="4649" w:type="dxa"/>
            <w:vMerge w:val="continue"/>
            <w:tcBorders>
              <w:tl2br w:val="nil"/>
              <w:tr2bl w:val="nil"/>
            </w:tcBorders>
            <w:noWrap/>
            <w:vAlign w:val="center"/>
          </w:tcPr>
          <w:p w14:paraId="401B9D92">
            <w:pPr>
              <w:keepNext w:val="0"/>
              <w:keepLines w:val="0"/>
              <w:pageBreakBefore w:val="0"/>
              <w:widowControl w:val="0"/>
              <w:kinsoku/>
              <w:wordWrap/>
              <w:topLinePunct w:val="0"/>
              <w:bidi w:val="0"/>
              <w:adjustRightInd/>
              <w:snapToGrid/>
              <w:spacing w:line="360" w:lineRule="auto"/>
              <w:jc w:val="left"/>
              <w:rPr>
                <w:rFonts w:hint="eastAsia" w:ascii="黑体" w:hAnsi="黑体" w:eastAsia="黑体" w:cs="黑体"/>
                <w:color w:val="000000" w:themeColor="text1"/>
                <w:kern w:val="0"/>
                <w:sz w:val="24"/>
                <w:szCs w:val="24"/>
                <w14:textFill>
                  <w14:solidFill>
                    <w14:schemeClr w14:val="tx1"/>
                  </w14:solidFill>
                </w14:textFill>
              </w:rPr>
            </w:pPr>
          </w:p>
        </w:tc>
        <w:tc>
          <w:tcPr>
            <w:tcW w:w="1066" w:type="dxa"/>
            <w:vMerge w:val="continue"/>
            <w:tcBorders>
              <w:tl2br w:val="nil"/>
              <w:tr2bl w:val="nil"/>
            </w:tcBorders>
            <w:noWrap/>
            <w:vAlign w:val="center"/>
          </w:tcPr>
          <w:p w14:paraId="5A8898D8">
            <w:pPr>
              <w:keepNext w:val="0"/>
              <w:keepLines w:val="0"/>
              <w:pageBreakBefore w:val="0"/>
              <w:widowControl w:val="0"/>
              <w:kinsoku/>
              <w:wordWrap/>
              <w:topLinePunct w:val="0"/>
              <w:bidi w:val="0"/>
              <w:adjustRightInd/>
              <w:snapToGrid/>
              <w:spacing w:line="360" w:lineRule="auto"/>
              <w:jc w:val="left"/>
              <w:rPr>
                <w:rFonts w:hint="eastAsia" w:ascii="黑体" w:hAnsi="黑体" w:eastAsia="黑体" w:cs="黑体"/>
                <w:color w:val="000000" w:themeColor="text1"/>
                <w:kern w:val="0"/>
                <w:sz w:val="24"/>
                <w:szCs w:val="24"/>
                <w14:textFill>
                  <w14:solidFill>
                    <w14:schemeClr w14:val="tx1"/>
                  </w14:solidFill>
                </w14:textFill>
              </w:rPr>
            </w:pPr>
          </w:p>
        </w:tc>
        <w:tc>
          <w:tcPr>
            <w:tcW w:w="1757" w:type="dxa"/>
            <w:tcBorders>
              <w:tl2br w:val="nil"/>
              <w:tr2bl w:val="nil"/>
            </w:tcBorders>
            <w:noWrap/>
            <w:vAlign w:val="center"/>
          </w:tcPr>
          <w:p w14:paraId="4EEEC7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color w:val="000000" w:themeColor="text1"/>
                <w:kern w:val="0"/>
                <w:sz w:val="24"/>
                <w:szCs w:val="24"/>
                <w:lang w:val="en-US" w:eastAsia="zh-CN"/>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20</w:t>
            </w:r>
            <w:r>
              <w:rPr>
                <w:rFonts w:hint="eastAsia" w:ascii="黑体" w:hAnsi="黑体" w:eastAsia="黑体" w:cs="黑体"/>
                <w:b/>
                <w:color w:val="000000" w:themeColor="text1"/>
                <w:kern w:val="0"/>
                <w:sz w:val="24"/>
                <w:szCs w:val="24"/>
                <w:lang w:val="en-US" w:eastAsia="zh-CN"/>
                <w14:textFill>
                  <w14:solidFill>
                    <w14:schemeClr w14:val="tx1"/>
                  </w14:solidFill>
                </w14:textFill>
              </w:rPr>
              <w:t>30</w:t>
            </w:r>
          </w:p>
          <w:p w14:paraId="0FB754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黑体" w:hAnsi="黑体" w:eastAsia="黑体" w:cs="黑体"/>
                <w:b/>
                <w:color w:val="000000" w:themeColor="text1"/>
                <w:kern w:val="0"/>
                <w:sz w:val="24"/>
                <w:szCs w:val="24"/>
                <w:lang w:val="en-US" w:eastAsia="zh-CN"/>
                <w14:textFill>
                  <w14:solidFill>
                    <w14:schemeClr w14:val="tx1"/>
                  </w14:solidFill>
                </w14:textFill>
              </w:rPr>
            </w:pPr>
            <w:r>
              <w:rPr>
                <w:rFonts w:hint="eastAsia" w:ascii="黑体" w:hAnsi="黑体" w:eastAsia="黑体" w:cs="黑体"/>
                <w:b/>
                <w:color w:val="000000" w:themeColor="text1"/>
                <w:kern w:val="0"/>
                <w:sz w:val="20"/>
                <w:szCs w:val="20"/>
                <w:lang w:val="en-US" w:eastAsia="zh-CN"/>
                <w14:textFill>
                  <w14:solidFill>
                    <w14:schemeClr w14:val="tx1"/>
                  </w14:solidFill>
                </w14:textFill>
              </w:rPr>
              <w:t>（数值为最低值）</w:t>
            </w:r>
          </w:p>
        </w:tc>
        <w:tc>
          <w:tcPr>
            <w:tcW w:w="1064" w:type="dxa"/>
            <w:tcBorders>
              <w:tl2br w:val="nil"/>
              <w:tr2bl w:val="nil"/>
            </w:tcBorders>
            <w:noWrap/>
            <w:vAlign w:val="center"/>
          </w:tcPr>
          <w:p w14:paraId="1E3F89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黑体" w:hAnsi="黑体" w:eastAsia="黑体" w:cs="黑体"/>
                <w:color w:val="000000" w:themeColor="text1"/>
                <w:kern w:val="0"/>
                <w:sz w:val="24"/>
                <w:szCs w:val="24"/>
                <w14:textFill>
                  <w14:solidFill>
                    <w14:schemeClr w14:val="tx1"/>
                  </w14:solidFill>
                </w14:textFill>
              </w:rPr>
            </w:pPr>
          </w:p>
        </w:tc>
      </w:tr>
      <w:tr w14:paraId="3B4305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7" w:hRule="atLeast"/>
          <w:jc w:val="center"/>
        </w:trPr>
        <w:tc>
          <w:tcPr>
            <w:tcW w:w="4649" w:type="dxa"/>
            <w:tcBorders>
              <w:tl2br w:val="nil"/>
              <w:tr2bl w:val="nil"/>
            </w:tcBorders>
            <w:noWrap/>
            <w:vAlign w:val="center"/>
          </w:tcPr>
          <w:p w14:paraId="6DF76070">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b/>
                <w:color w:val="000000" w:themeColor="text1"/>
                <w:kern w:val="0"/>
                <w:sz w:val="24"/>
                <w:szCs w:val="24"/>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一、行业经济指标</w:t>
            </w:r>
          </w:p>
        </w:tc>
        <w:tc>
          <w:tcPr>
            <w:tcW w:w="1066" w:type="dxa"/>
            <w:tcBorders>
              <w:tl2br w:val="nil"/>
              <w:tr2bl w:val="nil"/>
            </w:tcBorders>
            <w:noWrap/>
            <w:vAlign w:val="center"/>
          </w:tcPr>
          <w:p w14:paraId="504EC5F9">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757" w:type="dxa"/>
            <w:tcBorders>
              <w:tl2br w:val="nil"/>
              <w:tr2bl w:val="nil"/>
            </w:tcBorders>
            <w:noWrap/>
            <w:vAlign w:val="center"/>
          </w:tcPr>
          <w:p w14:paraId="6A831EC3">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064" w:type="dxa"/>
            <w:tcBorders>
              <w:tl2br w:val="nil"/>
              <w:tr2bl w:val="nil"/>
            </w:tcBorders>
            <w:noWrap/>
            <w:vAlign w:val="center"/>
          </w:tcPr>
          <w:p w14:paraId="2D0E3A97">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14:paraId="57997A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atLeast"/>
          <w:jc w:val="center"/>
        </w:trPr>
        <w:tc>
          <w:tcPr>
            <w:tcW w:w="4649" w:type="dxa"/>
            <w:tcBorders>
              <w:tl2br w:val="nil"/>
              <w:tr2bl w:val="nil"/>
            </w:tcBorders>
            <w:noWrap/>
            <w:vAlign w:val="center"/>
          </w:tcPr>
          <w:p w14:paraId="1B526D71">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总产值</w:t>
            </w:r>
          </w:p>
        </w:tc>
        <w:tc>
          <w:tcPr>
            <w:tcW w:w="1066" w:type="dxa"/>
            <w:tcBorders>
              <w:tl2br w:val="nil"/>
              <w:tr2bl w:val="nil"/>
            </w:tcBorders>
            <w:noWrap/>
            <w:vAlign w:val="center"/>
          </w:tcPr>
          <w:p w14:paraId="4F09F679">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亿元</w:t>
            </w:r>
          </w:p>
        </w:tc>
        <w:tc>
          <w:tcPr>
            <w:tcW w:w="1757" w:type="dxa"/>
            <w:tcBorders>
              <w:tl2br w:val="nil"/>
              <w:tr2bl w:val="nil"/>
            </w:tcBorders>
            <w:noWrap/>
            <w:vAlign w:val="center"/>
          </w:tcPr>
          <w:p w14:paraId="4E7B80FE">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100</w:t>
            </w:r>
          </w:p>
        </w:tc>
        <w:tc>
          <w:tcPr>
            <w:tcW w:w="1064" w:type="dxa"/>
            <w:tcBorders>
              <w:tl2br w:val="nil"/>
              <w:tr2bl w:val="nil"/>
            </w:tcBorders>
            <w:noWrap/>
            <w:vAlign w:val="center"/>
          </w:tcPr>
          <w:p w14:paraId="010F0866">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3532923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atLeast"/>
          <w:jc w:val="center"/>
        </w:trPr>
        <w:tc>
          <w:tcPr>
            <w:tcW w:w="4649" w:type="dxa"/>
            <w:tcBorders>
              <w:tl2br w:val="nil"/>
              <w:tr2bl w:val="nil"/>
            </w:tcBorders>
            <w:noWrap/>
            <w:vAlign w:val="center"/>
          </w:tcPr>
          <w:p w14:paraId="2CC9B08D">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工业增加值</w:t>
            </w:r>
          </w:p>
        </w:tc>
        <w:tc>
          <w:tcPr>
            <w:tcW w:w="1066" w:type="dxa"/>
            <w:tcBorders>
              <w:tl2br w:val="nil"/>
              <w:tr2bl w:val="nil"/>
            </w:tcBorders>
            <w:noWrap/>
            <w:vAlign w:val="center"/>
          </w:tcPr>
          <w:p w14:paraId="3237F93D">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亿元</w:t>
            </w:r>
          </w:p>
        </w:tc>
        <w:tc>
          <w:tcPr>
            <w:tcW w:w="1757" w:type="dxa"/>
            <w:tcBorders>
              <w:tl2br w:val="nil"/>
              <w:tr2bl w:val="nil"/>
            </w:tcBorders>
            <w:noWrap/>
            <w:vAlign w:val="center"/>
          </w:tcPr>
          <w:p w14:paraId="2DC5587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50</w:t>
            </w:r>
          </w:p>
        </w:tc>
        <w:tc>
          <w:tcPr>
            <w:tcW w:w="1064" w:type="dxa"/>
            <w:tcBorders>
              <w:tl2br w:val="nil"/>
              <w:tr2bl w:val="nil"/>
            </w:tcBorders>
            <w:noWrap/>
            <w:vAlign w:val="center"/>
          </w:tcPr>
          <w:p w14:paraId="43839D2F">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2EE6A5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6" w:hRule="atLeast"/>
          <w:jc w:val="center"/>
        </w:trPr>
        <w:tc>
          <w:tcPr>
            <w:tcW w:w="4649" w:type="dxa"/>
            <w:tcBorders>
              <w:tl2br w:val="nil"/>
              <w:tr2bl w:val="nil"/>
            </w:tcBorders>
            <w:noWrap/>
            <w:vAlign w:val="center"/>
          </w:tcPr>
          <w:p w14:paraId="209F245A">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占工业增加值比重</w:t>
            </w:r>
          </w:p>
        </w:tc>
        <w:tc>
          <w:tcPr>
            <w:tcW w:w="1066" w:type="dxa"/>
            <w:tcBorders>
              <w:tl2br w:val="nil"/>
              <w:tr2bl w:val="nil"/>
            </w:tcBorders>
            <w:noWrap/>
            <w:vAlign w:val="center"/>
          </w:tcPr>
          <w:p w14:paraId="57D4875B">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w:t>
            </w:r>
          </w:p>
        </w:tc>
        <w:tc>
          <w:tcPr>
            <w:tcW w:w="1757" w:type="dxa"/>
            <w:tcBorders>
              <w:tl2br w:val="nil"/>
              <w:tr2bl w:val="nil"/>
            </w:tcBorders>
            <w:noWrap/>
            <w:vAlign w:val="center"/>
          </w:tcPr>
          <w:p w14:paraId="10FD7E0F">
            <w:pPr>
              <w:keepNext w:val="0"/>
              <w:keepLines w:val="0"/>
              <w:pageBreakBefore w:val="0"/>
              <w:widowControl w:val="0"/>
              <w:kinsoku/>
              <w:wordWrap/>
              <w:topLinePunct w:val="0"/>
              <w:bidi w:val="0"/>
              <w:adjustRightInd/>
              <w:snapToGrid/>
              <w:spacing w:line="360" w:lineRule="auto"/>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50</w:t>
            </w:r>
          </w:p>
        </w:tc>
        <w:tc>
          <w:tcPr>
            <w:tcW w:w="1064" w:type="dxa"/>
            <w:tcBorders>
              <w:tl2br w:val="nil"/>
              <w:tr2bl w:val="nil"/>
            </w:tcBorders>
            <w:noWrap/>
            <w:vAlign w:val="center"/>
          </w:tcPr>
          <w:p w14:paraId="5F41AAE9">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6A96BB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4649" w:type="dxa"/>
            <w:tcBorders>
              <w:tl2br w:val="nil"/>
              <w:tr2bl w:val="nil"/>
            </w:tcBorders>
            <w:noWrap/>
            <w:vAlign w:val="center"/>
          </w:tcPr>
          <w:p w14:paraId="03245986">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b/>
                <w:color w:val="000000" w:themeColor="text1"/>
                <w:kern w:val="0"/>
                <w:sz w:val="24"/>
                <w:szCs w:val="24"/>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二、结构调整指标</w:t>
            </w:r>
          </w:p>
        </w:tc>
        <w:tc>
          <w:tcPr>
            <w:tcW w:w="1066" w:type="dxa"/>
            <w:tcBorders>
              <w:tl2br w:val="nil"/>
              <w:tr2bl w:val="nil"/>
            </w:tcBorders>
            <w:noWrap/>
            <w:vAlign w:val="center"/>
          </w:tcPr>
          <w:p w14:paraId="5FF6E2E5">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757" w:type="dxa"/>
            <w:tcBorders>
              <w:tl2br w:val="nil"/>
              <w:tr2bl w:val="nil"/>
            </w:tcBorders>
            <w:noWrap/>
            <w:vAlign w:val="center"/>
          </w:tcPr>
          <w:p w14:paraId="106AA8A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064" w:type="dxa"/>
            <w:tcBorders>
              <w:tl2br w:val="nil"/>
              <w:tr2bl w:val="nil"/>
            </w:tcBorders>
            <w:noWrap/>
            <w:vAlign w:val="center"/>
          </w:tcPr>
          <w:p w14:paraId="0CA513E5">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14:paraId="078704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4649" w:type="dxa"/>
            <w:tcBorders>
              <w:tl2br w:val="nil"/>
              <w:tr2bl w:val="nil"/>
            </w:tcBorders>
            <w:noWrap/>
            <w:vAlign w:val="center"/>
          </w:tcPr>
          <w:p w14:paraId="4AAF4FB2">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高端产品占比提升</w:t>
            </w:r>
          </w:p>
        </w:tc>
        <w:tc>
          <w:tcPr>
            <w:tcW w:w="1066" w:type="dxa"/>
            <w:tcBorders>
              <w:tl2br w:val="nil"/>
              <w:tr2bl w:val="nil"/>
            </w:tcBorders>
            <w:noWrap/>
            <w:vAlign w:val="center"/>
          </w:tcPr>
          <w:p w14:paraId="25FE25E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w:t>
            </w:r>
          </w:p>
        </w:tc>
        <w:tc>
          <w:tcPr>
            <w:tcW w:w="1757" w:type="dxa"/>
            <w:tcBorders>
              <w:tl2br w:val="nil"/>
              <w:tr2bl w:val="nil"/>
            </w:tcBorders>
            <w:noWrap/>
            <w:vAlign w:val="center"/>
          </w:tcPr>
          <w:p w14:paraId="2E52EA77">
            <w:pPr>
              <w:keepNext w:val="0"/>
              <w:keepLines w:val="0"/>
              <w:pageBreakBefore w:val="0"/>
              <w:widowControl w:val="0"/>
              <w:kinsoku/>
              <w:wordWrap/>
              <w:topLinePunct w:val="0"/>
              <w:bidi w:val="0"/>
              <w:adjustRightInd/>
              <w:snapToGrid/>
              <w:spacing w:line="360" w:lineRule="auto"/>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5</w:t>
            </w:r>
            <w:r>
              <w:rPr>
                <w:rFonts w:hint="default" w:ascii="Times New Roman" w:hAnsi="Times New Roman" w:eastAsia="仿宋" w:cs="Times New Roman"/>
                <w:color w:val="000000" w:themeColor="text1"/>
                <w:kern w:val="0"/>
                <w:sz w:val="24"/>
                <w:szCs w:val="24"/>
                <w14:textFill>
                  <w14:solidFill>
                    <w14:schemeClr w14:val="tx1"/>
                  </w14:solidFill>
                </w14:textFill>
              </w:rPr>
              <w:t>0</w:t>
            </w:r>
          </w:p>
        </w:tc>
        <w:tc>
          <w:tcPr>
            <w:tcW w:w="1064" w:type="dxa"/>
            <w:tcBorders>
              <w:tl2br w:val="nil"/>
              <w:tr2bl w:val="nil"/>
            </w:tcBorders>
            <w:noWrap/>
            <w:vAlign w:val="center"/>
          </w:tcPr>
          <w:p w14:paraId="0FE4491F">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52887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9" w:hRule="atLeast"/>
          <w:jc w:val="center"/>
        </w:trPr>
        <w:tc>
          <w:tcPr>
            <w:tcW w:w="4649" w:type="dxa"/>
            <w:tcBorders>
              <w:tl2br w:val="nil"/>
              <w:tr2bl w:val="nil"/>
            </w:tcBorders>
            <w:shd w:val="clear" w:color="auto" w:fill="auto"/>
            <w:noWrap/>
            <w:vAlign w:val="center"/>
          </w:tcPr>
          <w:p w14:paraId="1514A02D">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产值在10亿元</w:t>
            </w: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基地或</w:t>
            </w:r>
            <w:r>
              <w:rPr>
                <w:rFonts w:hint="default" w:ascii="Times New Roman" w:hAnsi="Times New Roman" w:eastAsia="仿宋" w:cs="Times New Roman"/>
                <w:color w:val="000000" w:themeColor="text1"/>
                <w:kern w:val="0"/>
                <w:sz w:val="24"/>
                <w:szCs w:val="24"/>
                <w14:textFill>
                  <w14:solidFill>
                    <w14:schemeClr w14:val="tx1"/>
                  </w14:solidFill>
                </w14:textFill>
              </w:rPr>
              <w:t>企业</w:t>
            </w:r>
          </w:p>
        </w:tc>
        <w:tc>
          <w:tcPr>
            <w:tcW w:w="1066" w:type="dxa"/>
            <w:tcBorders>
              <w:tl2br w:val="nil"/>
              <w:tr2bl w:val="nil"/>
            </w:tcBorders>
            <w:shd w:val="clear" w:color="auto" w:fill="auto"/>
            <w:noWrap/>
            <w:vAlign w:val="center"/>
          </w:tcPr>
          <w:p w14:paraId="1424D649">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家</w:t>
            </w:r>
          </w:p>
        </w:tc>
        <w:tc>
          <w:tcPr>
            <w:tcW w:w="1757" w:type="dxa"/>
            <w:tcBorders>
              <w:tl2br w:val="nil"/>
              <w:tr2bl w:val="nil"/>
            </w:tcBorders>
            <w:shd w:val="clear" w:color="auto" w:fill="auto"/>
            <w:noWrap/>
            <w:vAlign w:val="center"/>
          </w:tcPr>
          <w:p w14:paraId="747ABC5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3</w:t>
            </w:r>
          </w:p>
        </w:tc>
        <w:tc>
          <w:tcPr>
            <w:tcW w:w="1064" w:type="dxa"/>
            <w:tcBorders>
              <w:tl2br w:val="nil"/>
              <w:tr2bl w:val="nil"/>
            </w:tcBorders>
            <w:shd w:val="clear" w:color="auto" w:fill="auto"/>
            <w:noWrap/>
            <w:vAlign w:val="center"/>
          </w:tcPr>
          <w:p w14:paraId="43F9CA07">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087076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3" w:hRule="atLeast"/>
          <w:jc w:val="center"/>
        </w:trPr>
        <w:tc>
          <w:tcPr>
            <w:tcW w:w="4649" w:type="dxa"/>
            <w:tcBorders>
              <w:tl2br w:val="nil"/>
              <w:tr2bl w:val="nil"/>
            </w:tcBorders>
            <w:noWrap/>
            <w:vAlign w:val="center"/>
          </w:tcPr>
          <w:p w14:paraId="7A46EA6B">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b/>
                <w:color w:val="000000" w:themeColor="text1"/>
                <w:kern w:val="0"/>
                <w:sz w:val="24"/>
                <w:szCs w:val="24"/>
                <w14:textFill>
                  <w14:solidFill>
                    <w14:schemeClr w14:val="tx1"/>
                  </w14:solidFill>
                </w14:textFill>
              </w:rPr>
            </w:pPr>
            <w:r>
              <w:rPr>
                <w:rFonts w:hint="eastAsia" w:ascii="黑体" w:hAnsi="黑体" w:eastAsia="黑体" w:cs="黑体"/>
                <w:b/>
                <w:color w:val="000000" w:themeColor="text1"/>
                <w:kern w:val="0"/>
                <w:sz w:val="24"/>
                <w:szCs w:val="24"/>
                <w14:textFill>
                  <w14:solidFill>
                    <w14:schemeClr w14:val="tx1"/>
                  </w14:solidFill>
                </w14:textFill>
              </w:rPr>
              <w:t>三、科技创新指标</w:t>
            </w:r>
          </w:p>
        </w:tc>
        <w:tc>
          <w:tcPr>
            <w:tcW w:w="1066" w:type="dxa"/>
            <w:tcBorders>
              <w:tl2br w:val="nil"/>
              <w:tr2bl w:val="nil"/>
            </w:tcBorders>
            <w:noWrap/>
            <w:vAlign w:val="center"/>
          </w:tcPr>
          <w:p w14:paraId="0527AEDB">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757" w:type="dxa"/>
            <w:tcBorders>
              <w:tl2br w:val="nil"/>
              <w:tr2bl w:val="nil"/>
            </w:tcBorders>
            <w:noWrap/>
            <w:vAlign w:val="center"/>
          </w:tcPr>
          <w:p w14:paraId="4EAF9662">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064" w:type="dxa"/>
            <w:tcBorders>
              <w:tl2br w:val="nil"/>
              <w:tr2bl w:val="nil"/>
            </w:tcBorders>
            <w:noWrap/>
            <w:vAlign w:val="center"/>
          </w:tcPr>
          <w:p w14:paraId="3210D803">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14:paraId="328E6C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4649" w:type="dxa"/>
            <w:tcBorders>
              <w:tl2br w:val="nil"/>
              <w:tr2bl w:val="nil"/>
            </w:tcBorders>
            <w:noWrap/>
            <w:vAlign w:val="center"/>
          </w:tcPr>
          <w:p w14:paraId="1ABB2CFC">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R&amp;D投入占</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GDP</w:t>
            </w:r>
            <w:r>
              <w:rPr>
                <w:rFonts w:hint="default" w:ascii="Times New Roman" w:hAnsi="Times New Roman" w:eastAsia="仿宋" w:cs="Times New Roman"/>
                <w:color w:val="000000" w:themeColor="text1"/>
                <w:kern w:val="0"/>
                <w:sz w:val="24"/>
                <w:szCs w:val="24"/>
                <w14:textFill>
                  <w14:solidFill>
                    <w14:schemeClr w14:val="tx1"/>
                  </w14:solidFill>
                </w14:textFill>
              </w:rPr>
              <w:t>收入的平均比重</w:t>
            </w:r>
          </w:p>
        </w:tc>
        <w:tc>
          <w:tcPr>
            <w:tcW w:w="1066" w:type="dxa"/>
            <w:tcBorders>
              <w:tl2br w:val="nil"/>
              <w:tr2bl w:val="nil"/>
            </w:tcBorders>
            <w:noWrap/>
            <w:vAlign w:val="center"/>
          </w:tcPr>
          <w:p w14:paraId="2BC6C0E8">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w:t>
            </w:r>
          </w:p>
        </w:tc>
        <w:tc>
          <w:tcPr>
            <w:tcW w:w="1757" w:type="dxa"/>
            <w:tcBorders>
              <w:tl2br w:val="nil"/>
              <w:tr2bl w:val="nil"/>
            </w:tcBorders>
            <w:noWrap/>
            <w:vAlign w:val="center"/>
          </w:tcPr>
          <w:p w14:paraId="7E3CA9A7">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2</w:t>
            </w:r>
          </w:p>
        </w:tc>
        <w:tc>
          <w:tcPr>
            <w:tcW w:w="1064" w:type="dxa"/>
            <w:tcBorders>
              <w:tl2br w:val="nil"/>
              <w:tr2bl w:val="nil"/>
            </w:tcBorders>
            <w:noWrap/>
            <w:vAlign w:val="center"/>
          </w:tcPr>
          <w:p w14:paraId="1B68DBB5">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459557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atLeast"/>
          <w:jc w:val="center"/>
        </w:trPr>
        <w:tc>
          <w:tcPr>
            <w:tcW w:w="4649" w:type="dxa"/>
            <w:tcBorders>
              <w:tl2br w:val="nil"/>
              <w:tr2bl w:val="nil"/>
            </w:tcBorders>
            <w:noWrap/>
            <w:vAlign w:val="center"/>
          </w:tcPr>
          <w:p w14:paraId="0158C947">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高新技术产品增加值占行业增加值比重</w:t>
            </w:r>
          </w:p>
        </w:tc>
        <w:tc>
          <w:tcPr>
            <w:tcW w:w="1066" w:type="dxa"/>
            <w:tcBorders>
              <w:tl2br w:val="nil"/>
              <w:tr2bl w:val="nil"/>
            </w:tcBorders>
            <w:noWrap/>
            <w:vAlign w:val="center"/>
          </w:tcPr>
          <w:p w14:paraId="300219A2">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w:t>
            </w:r>
          </w:p>
        </w:tc>
        <w:tc>
          <w:tcPr>
            <w:tcW w:w="1757" w:type="dxa"/>
            <w:tcBorders>
              <w:tl2br w:val="nil"/>
              <w:tr2bl w:val="nil"/>
            </w:tcBorders>
            <w:noWrap/>
            <w:vAlign w:val="center"/>
          </w:tcPr>
          <w:p w14:paraId="314B5E53">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50</w:t>
            </w:r>
          </w:p>
        </w:tc>
        <w:tc>
          <w:tcPr>
            <w:tcW w:w="1064" w:type="dxa"/>
            <w:tcBorders>
              <w:tl2br w:val="nil"/>
              <w:tr2bl w:val="nil"/>
            </w:tcBorders>
            <w:noWrap/>
            <w:vAlign w:val="center"/>
          </w:tcPr>
          <w:p w14:paraId="13DE6704">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1CCEA3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4649" w:type="dxa"/>
            <w:tcBorders>
              <w:tl2br w:val="nil"/>
              <w:tr2bl w:val="nil"/>
            </w:tcBorders>
            <w:noWrap/>
            <w:vAlign w:val="center"/>
          </w:tcPr>
          <w:p w14:paraId="37659150">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新创建</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省</w:t>
            </w:r>
            <w:r>
              <w:rPr>
                <w:rFonts w:hint="default" w:ascii="Times New Roman" w:hAnsi="Times New Roman" w:eastAsia="仿宋" w:cs="Times New Roman"/>
                <w:color w:val="000000" w:themeColor="text1"/>
                <w:kern w:val="0"/>
                <w:sz w:val="24"/>
                <w:szCs w:val="24"/>
                <w14:textFill>
                  <w14:solidFill>
                    <w14:schemeClr w14:val="tx1"/>
                  </w14:solidFill>
                </w14:textFill>
              </w:rPr>
              <w:t>级创新平台</w:t>
            </w:r>
          </w:p>
        </w:tc>
        <w:tc>
          <w:tcPr>
            <w:tcW w:w="1066" w:type="dxa"/>
            <w:tcBorders>
              <w:tl2br w:val="nil"/>
              <w:tr2bl w:val="nil"/>
            </w:tcBorders>
            <w:noWrap/>
            <w:vAlign w:val="center"/>
          </w:tcPr>
          <w:p w14:paraId="6D926D67">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4BCCF1AB">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2</w:t>
            </w:r>
          </w:p>
        </w:tc>
        <w:tc>
          <w:tcPr>
            <w:tcW w:w="1064" w:type="dxa"/>
            <w:tcBorders>
              <w:tl2br w:val="nil"/>
              <w:tr2bl w:val="nil"/>
            </w:tcBorders>
            <w:noWrap/>
            <w:vAlign w:val="center"/>
          </w:tcPr>
          <w:p w14:paraId="08704DD2">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3EAD21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5" w:hRule="atLeast"/>
          <w:jc w:val="center"/>
        </w:trPr>
        <w:tc>
          <w:tcPr>
            <w:tcW w:w="4649" w:type="dxa"/>
            <w:tcBorders>
              <w:tl2br w:val="nil"/>
              <w:tr2bl w:val="nil"/>
            </w:tcBorders>
            <w:noWrap/>
            <w:vAlign w:val="center"/>
          </w:tcPr>
          <w:p w14:paraId="596EF3A3">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突破关键共性技术研究</w:t>
            </w:r>
          </w:p>
        </w:tc>
        <w:tc>
          <w:tcPr>
            <w:tcW w:w="1066" w:type="dxa"/>
            <w:tcBorders>
              <w:tl2br w:val="nil"/>
              <w:tr2bl w:val="nil"/>
            </w:tcBorders>
            <w:noWrap/>
            <w:vAlign w:val="center"/>
          </w:tcPr>
          <w:p w14:paraId="35307504">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项</w:t>
            </w:r>
          </w:p>
        </w:tc>
        <w:tc>
          <w:tcPr>
            <w:tcW w:w="1757" w:type="dxa"/>
            <w:tcBorders>
              <w:tl2br w:val="nil"/>
              <w:tr2bl w:val="nil"/>
            </w:tcBorders>
            <w:noWrap/>
            <w:vAlign w:val="center"/>
          </w:tcPr>
          <w:p w14:paraId="7EB5B65D">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10</w:t>
            </w:r>
          </w:p>
        </w:tc>
        <w:tc>
          <w:tcPr>
            <w:tcW w:w="1064" w:type="dxa"/>
            <w:tcBorders>
              <w:tl2br w:val="nil"/>
              <w:tr2bl w:val="nil"/>
            </w:tcBorders>
            <w:noWrap/>
            <w:vAlign w:val="center"/>
          </w:tcPr>
          <w:p w14:paraId="3F78CF8D">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2D943F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9" w:hRule="atLeast"/>
          <w:jc w:val="center"/>
        </w:trPr>
        <w:tc>
          <w:tcPr>
            <w:tcW w:w="4649" w:type="dxa"/>
            <w:tcBorders>
              <w:tl2br w:val="nil"/>
              <w:tr2bl w:val="nil"/>
            </w:tcBorders>
            <w:noWrap/>
            <w:vAlign w:val="center"/>
          </w:tcPr>
          <w:p w14:paraId="3828879A">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新培育高新技术企业</w:t>
            </w:r>
          </w:p>
        </w:tc>
        <w:tc>
          <w:tcPr>
            <w:tcW w:w="1066" w:type="dxa"/>
            <w:tcBorders>
              <w:tl2br w:val="nil"/>
              <w:tr2bl w:val="nil"/>
            </w:tcBorders>
            <w:noWrap/>
            <w:vAlign w:val="center"/>
          </w:tcPr>
          <w:p w14:paraId="05E3E55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家</w:t>
            </w:r>
          </w:p>
        </w:tc>
        <w:tc>
          <w:tcPr>
            <w:tcW w:w="1757" w:type="dxa"/>
            <w:tcBorders>
              <w:tl2br w:val="nil"/>
              <w:tr2bl w:val="nil"/>
            </w:tcBorders>
            <w:noWrap/>
            <w:vAlign w:val="center"/>
          </w:tcPr>
          <w:p w14:paraId="24998EE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1</w:t>
            </w:r>
          </w:p>
        </w:tc>
        <w:tc>
          <w:tcPr>
            <w:tcW w:w="1064" w:type="dxa"/>
            <w:tcBorders>
              <w:tl2br w:val="nil"/>
              <w:tr2bl w:val="nil"/>
            </w:tcBorders>
            <w:noWrap/>
            <w:vAlign w:val="center"/>
          </w:tcPr>
          <w:p w14:paraId="07140EEE">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20E6AC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3" w:hRule="atLeast"/>
          <w:jc w:val="center"/>
        </w:trPr>
        <w:tc>
          <w:tcPr>
            <w:tcW w:w="4649" w:type="dxa"/>
            <w:tcBorders>
              <w:tl2br w:val="nil"/>
              <w:tr2bl w:val="nil"/>
            </w:tcBorders>
            <w:noWrap/>
            <w:vAlign w:val="center"/>
          </w:tcPr>
          <w:p w14:paraId="595B88C3">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行业智能工厂</w:t>
            </w:r>
          </w:p>
        </w:tc>
        <w:tc>
          <w:tcPr>
            <w:tcW w:w="1066" w:type="dxa"/>
            <w:tcBorders>
              <w:tl2br w:val="nil"/>
              <w:tr2bl w:val="nil"/>
            </w:tcBorders>
            <w:noWrap/>
            <w:vAlign w:val="center"/>
          </w:tcPr>
          <w:p w14:paraId="0479B598">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2DC62E01">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2</w:t>
            </w:r>
          </w:p>
        </w:tc>
        <w:tc>
          <w:tcPr>
            <w:tcW w:w="1064" w:type="dxa"/>
            <w:tcBorders>
              <w:tl2br w:val="nil"/>
              <w:tr2bl w:val="nil"/>
            </w:tcBorders>
            <w:noWrap/>
            <w:vAlign w:val="center"/>
          </w:tcPr>
          <w:p w14:paraId="617DED5F">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7552CB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 w:hRule="atLeast"/>
          <w:jc w:val="center"/>
        </w:trPr>
        <w:tc>
          <w:tcPr>
            <w:tcW w:w="4649" w:type="dxa"/>
            <w:tcBorders>
              <w:tl2br w:val="nil"/>
              <w:tr2bl w:val="nil"/>
            </w:tcBorders>
            <w:noWrap/>
            <w:vAlign w:val="center"/>
          </w:tcPr>
          <w:p w14:paraId="6FE5DEFA">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数字矿山</w:t>
            </w:r>
          </w:p>
        </w:tc>
        <w:tc>
          <w:tcPr>
            <w:tcW w:w="1066" w:type="dxa"/>
            <w:tcBorders>
              <w:tl2br w:val="nil"/>
              <w:tr2bl w:val="nil"/>
            </w:tcBorders>
            <w:noWrap/>
            <w:vAlign w:val="center"/>
          </w:tcPr>
          <w:p w14:paraId="49680C08">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3A04B41E">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1</w:t>
            </w:r>
          </w:p>
        </w:tc>
        <w:tc>
          <w:tcPr>
            <w:tcW w:w="1064" w:type="dxa"/>
            <w:tcBorders>
              <w:tl2br w:val="nil"/>
              <w:tr2bl w:val="nil"/>
            </w:tcBorders>
            <w:noWrap/>
            <w:vAlign w:val="center"/>
          </w:tcPr>
          <w:p w14:paraId="57D43E96">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1BC4FC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4" w:hRule="atLeast"/>
          <w:jc w:val="center"/>
        </w:trPr>
        <w:tc>
          <w:tcPr>
            <w:tcW w:w="4649" w:type="dxa"/>
            <w:tcBorders>
              <w:tl2br w:val="nil"/>
              <w:tr2bl w:val="nil"/>
            </w:tcBorders>
            <w:noWrap/>
            <w:vAlign w:val="center"/>
          </w:tcPr>
          <w:p w14:paraId="76748C86">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智能制造标杆企业</w:t>
            </w:r>
          </w:p>
        </w:tc>
        <w:tc>
          <w:tcPr>
            <w:tcW w:w="1066" w:type="dxa"/>
            <w:tcBorders>
              <w:tl2br w:val="nil"/>
              <w:tr2bl w:val="nil"/>
            </w:tcBorders>
            <w:noWrap/>
            <w:vAlign w:val="center"/>
          </w:tcPr>
          <w:p w14:paraId="0D55887A">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6DDFD803">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1</w:t>
            </w:r>
          </w:p>
        </w:tc>
        <w:tc>
          <w:tcPr>
            <w:tcW w:w="1064" w:type="dxa"/>
            <w:tcBorders>
              <w:tl2br w:val="nil"/>
              <w:tr2bl w:val="nil"/>
            </w:tcBorders>
            <w:noWrap/>
            <w:vAlign w:val="center"/>
          </w:tcPr>
          <w:p w14:paraId="5D781EA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168C54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5" w:hRule="atLeast"/>
          <w:jc w:val="center"/>
        </w:trPr>
        <w:tc>
          <w:tcPr>
            <w:tcW w:w="4649" w:type="dxa"/>
            <w:tcBorders>
              <w:tl2br w:val="nil"/>
              <w:tr2bl w:val="nil"/>
            </w:tcBorders>
            <w:noWrap/>
            <w:vAlign w:val="center"/>
          </w:tcPr>
          <w:p w14:paraId="696C6A7B">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黑体" w:hAnsi="黑体" w:eastAsia="黑体" w:cs="黑体"/>
                <w:b/>
                <w:color w:val="000000" w:themeColor="text1"/>
                <w:kern w:val="0"/>
                <w:sz w:val="24"/>
                <w:szCs w:val="24"/>
                <w14:textFill>
                  <w14:solidFill>
                    <w14:schemeClr w14:val="tx1"/>
                  </w14:solidFill>
                </w14:textFill>
              </w:rPr>
              <w:t>四、品牌建设指标</w:t>
            </w:r>
          </w:p>
        </w:tc>
        <w:tc>
          <w:tcPr>
            <w:tcW w:w="1066" w:type="dxa"/>
            <w:tcBorders>
              <w:tl2br w:val="nil"/>
              <w:tr2bl w:val="nil"/>
            </w:tcBorders>
            <w:noWrap/>
            <w:vAlign w:val="center"/>
          </w:tcPr>
          <w:p w14:paraId="456E137D">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757" w:type="dxa"/>
            <w:tcBorders>
              <w:tl2br w:val="nil"/>
              <w:tr2bl w:val="nil"/>
            </w:tcBorders>
            <w:noWrap/>
            <w:vAlign w:val="center"/>
          </w:tcPr>
          <w:p w14:paraId="40201D45">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064" w:type="dxa"/>
            <w:tcBorders>
              <w:tl2br w:val="nil"/>
              <w:tr2bl w:val="nil"/>
            </w:tcBorders>
            <w:noWrap/>
            <w:vAlign w:val="center"/>
          </w:tcPr>
          <w:p w14:paraId="298D7060">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14:paraId="1C97EE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atLeast"/>
          <w:jc w:val="center"/>
        </w:trPr>
        <w:tc>
          <w:tcPr>
            <w:tcW w:w="4649" w:type="dxa"/>
            <w:tcBorders>
              <w:tl2br w:val="nil"/>
              <w:tr2bl w:val="nil"/>
            </w:tcBorders>
            <w:noWrap/>
            <w:vAlign w:val="center"/>
          </w:tcPr>
          <w:p w14:paraId="641B7EEE">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省</w:t>
            </w:r>
            <w:r>
              <w:rPr>
                <w:rFonts w:hint="default" w:ascii="Times New Roman" w:hAnsi="Times New Roman" w:eastAsia="仿宋" w:cs="Times New Roman"/>
                <w:color w:val="000000" w:themeColor="text1"/>
                <w:kern w:val="0"/>
                <w:sz w:val="24"/>
                <w:szCs w:val="24"/>
                <w14:textFill>
                  <w14:solidFill>
                    <w14:schemeClr w14:val="tx1"/>
                  </w14:solidFill>
                </w14:textFill>
              </w:rPr>
              <w:t>级名牌产品</w:t>
            </w:r>
          </w:p>
        </w:tc>
        <w:tc>
          <w:tcPr>
            <w:tcW w:w="1066" w:type="dxa"/>
            <w:tcBorders>
              <w:tl2br w:val="nil"/>
              <w:tr2bl w:val="nil"/>
            </w:tcBorders>
            <w:noWrap/>
            <w:vAlign w:val="center"/>
          </w:tcPr>
          <w:p w14:paraId="4B052B8E">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21C0C98B">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1</w:t>
            </w:r>
          </w:p>
        </w:tc>
        <w:tc>
          <w:tcPr>
            <w:tcW w:w="1064" w:type="dxa"/>
            <w:tcBorders>
              <w:tl2br w:val="nil"/>
              <w:tr2bl w:val="nil"/>
            </w:tcBorders>
            <w:noWrap/>
            <w:vAlign w:val="center"/>
          </w:tcPr>
          <w:p w14:paraId="53F3D495">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480C09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3" w:hRule="atLeast"/>
          <w:jc w:val="center"/>
        </w:trPr>
        <w:tc>
          <w:tcPr>
            <w:tcW w:w="4649" w:type="dxa"/>
            <w:tcBorders>
              <w:tl2br w:val="nil"/>
              <w:tr2bl w:val="nil"/>
            </w:tcBorders>
            <w:noWrap/>
            <w:vAlign w:val="center"/>
          </w:tcPr>
          <w:p w14:paraId="67CCC82B">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b/>
                <w:color w:val="000000" w:themeColor="text1"/>
                <w:kern w:val="0"/>
                <w:sz w:val="24"/>
                <w:szCs w:val="24"/>
                <w14:textFill>
                  <w14:solidFill>
                    <w14:schemeClr w14:val="tx1"/>
                  </w14:solidFill>
                </w14:textFill>
              </w:rPr>
            </w:pPr>
            <w:r>
              <w:rPr>
                <w:rFonts w:hint="default" w:ascii="黑体" w:hAnsi="黑体" w:eastAsia="黑体" w:cs="黑体"/>
                <w:b/>
                <w:color w:val="000000" w:themeColor="text1"/>
                <w:kern w:val="0"/>
                <w:sz w:val="24"/>
                <w:szCs w:val="24"/>
                <w14:textFill>
                  <w14:solidFill>
                    <w14:schemeClr w14:val="tx1"/>
                  </w14:solidFill>
                </w14:textFill>
              </w:rPr>
              <w:t>五、绿色发展指标</w:t>
            </w:r>
          </w:p>
        </w:tc>
        <w:tc>
          <w:tcPr>
            <w:tcW w:w="1066" w:type="dxa"/>
            <w:tcBorders>
              <w:tl2br w:val="nil"/>
              <w:tr2bl w:val="nil"/>
            </w:tcBorders>
            <w:noWrap/>
            <w:vAlign w:val="center"/>
          </w:tcPr>
          <w:p w14:paraId="7BC969A9">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757" w:type="dxa"/>
            <w:tcBorders>
              <w:tl2br w:val="nil"/>
              <w:tr2bl w:val="nil"/>
            </w:tcBorders>
            <w:noWrap/>
            <w:vAlign w:val="center"/>
          </w:tcPr>
          <w:p w14:paraId="5E2061B7">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c>
          <w:tcPr>
            <w:tcW w:w="1064" w:type="dxa"/>
            <w:tcBorders>
              <w:tl2br w:val="nil"/>
              <w:tr2bl w:val="nil"/>
            </w:tcBorders>
            <w:noWrap/>
            <w:vAlign w:val="center"/>
          </w:tcPr>
          <w:p w14:paraId="251CD742">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p>
        </w:tc>
      </w:tr>
      <w:tr w14:paraId="44B3BB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4" w:hRule="atLeast"/>
          <w:jc w:val="center"/>
        </w:trPr>
        <w:tc>
          <w:tcPr>
            <w:tcW w:w="4649" w:type="dxa"/>
            <w:tcBorders>
              <w:tl2br w:val="nil"/>
              <w:tr2bl w:val="nil"/>
            </w:tcBorders>
            <w:noWrap/>
            <w:vAlign w:val="center"/>
          </w:tcPr>
          <w:p w14:paraId="6F5E7BF3">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工业固废综合处置率</w:t>
            </w:r>
          </w:p>
        </w:tc>
        <w:tc>
          <w:tcPr>
            <w:tcW w:w="1066" w:type="dxa"/>
            <w:tcBorders>
              <w:tl2br w:val="nil"/>
              <w:tr2bl w:val="nil"/>
            </w:tcBorders>
            <w:noWrap/>
            <w:vAlign w:val="center"/>
          </w:tcPr>
          <w:p w14:paraId="31A20D93">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w:t>
            </w:r>
          </w:p>
        </w:tc>
        <w:tc>
          <w:tcPr>
            <w:tcW w:w="1757" w:type="dxa"/>
            <w:tcBorders>
              <w:tl2br w:val="nil"/>
              <w:tr2bl w:val="nil"/>
            </w:tcBorders>
            <w:noWrap/>
            <w:vAlign w:val="center"/>
          </w:tcPr>
          <w:p w14:paraId="6C3F14E3">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100</w:t>
            </w:r>
          </w:p>
        </w:tc>
        <w:tc>
          <w:tcPr>
            <w:tcW w:w="1064" w:type="dxa"/>
            <w:tcBorders>
              <w:tl2br w:val="nil"/>
              <w:tr2bl w:val="nil"/>
            </w:tcBorders>
            <w:noWrap/>
            <w:vAlign w:val="center"/>
          </w:tcPr>
          <w:p w14:paraId="5E70DE92">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约束</w:t>
            </w:r>
            <w:r>
              <w:rPr>
                <w:rFonts w:hint="default" w:ascii="Times New Roman" w:hAnsi="Times New Roman" w:eastAsia="仿宋" w:cs="Times New Roman"/>
                <w:color w:val="000000" w:themeColor="text1"/>
                <w:kern w:val="0"/>
                <w:sz w:val="24"/>
                <w:szCs w:val="24"/>
                <w14:textFill>
                  <w14:solidFill>
                    <w14:schemeClr w14:val="tx1"/>
                  </w14:solidFill>
                </w14:textFill>
              </w:rPr>
              <w:t>性</w:t>
            </w:r>
          </w:p>
        </w:tc>
      </w:tr>
      <w:tr w14:paraId="464795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1" w:hRule="atLeast"/>
          <w:jc w:val="center"/>
        </w:trPr>
        <w:tc>
          <w:tcPr>
            <w:tcW w:w="4649" w:type="dxa"/>
            <w:tcBorders>
              <w:tl2br w:val="nil"/>
              <w:tr2bl w:val="nil"/>
            </w:tcBorders>
            <w:noWrap/>
            <w:vAlign w:val="center"/>
          </w:tcPr>
          <w:p w14:paraId="2ACE8AA6">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工业用水循环利用率</w:t>
            </w:r>
          </w:p>
        </w:tc>
        <w:tc>
          <w:tcPr>
            <w:tcW w:w="1066" w:type="dxa"/>
            <w:tcBorders>
              <w:tl2br w:val="nil"/>
              <w:tr2bl w:val="nil"/>
            </w:tcBorders>
            <w:noWrap/>
            <w:vAlign w:val="center"/>
          </w:tcPr>
          <w:p w14:paraId="04A512B7">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w:t>
            </w:r>
          </w:p>
        </w:tc>
        <w:tc>
          <w:tcPr>
            <w:tcW w:w="1757" w:type="dxa"/>
            <w:tcBorders>
              <w:tl2br w:val="nil"/>
              <w:tr2bl w:val="nil"/>
            </w:tcBorders>
            <w:noWrap/>
            <w:vAlign w:val="center"/>
          </w:tcPr>
          <w:p w14:paraId="3BEECDFC">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100</w:t>
            </w:r>
          </w:p>
        </w:tc>
        <w:tc>
          <w:tcPr>
            <w:tcW w:w="1064" w:type="dxa"/>
            <w:tcBorders>
              <w:tl2br w:val="nil"/>
              <w:tr2bl w:val="nil"/>
            </w:tcBorders>
            <w:noWrap/>
            <w:vAlign w:val="center"/>
          </w:tcPr>
          <w:p w14:paraId="7E467CE2">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约束</w:t>
            </w:r>
            <w:r>
              <w:rPr>
                <w:rFonts w:hint="default" w:ascii="Times New Roman" w:hAnsi="Times New Roman" w:eastAsia="仿宋" w:cs="Times New Roman"/>
                <w:color w:val="000000" w:themeColor="text1"/>
                <w:kern w:val="0"/>
                <w:sz w:val="24"/>
                <w:szCs w:val="24"/>
                <w14:textFill>
                  <w14:solidFill>
                    <w14:schemeClr w14:val="tx1"/>
                  </w14:solidFill>
                </w14:textFill>
              </w:rPr>
              <w:t>性</w:t>
            </w:r>
          </w:p>
        </w:tc>
      </w:tr>
      <w:tr w14:paraId="3F881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4649" w:type="dxa"/>
            <w:tcBorders>
              <w:tl2br w:val="nil"/>
              <w:tr2bl w:val="nil"/>
            </w:tcBorders>
            <w:noWrap/>
            <w:vAlign w:val="center"/>
          </w:tcPr>
          <w:p w14:paraId="42F2AA25">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绿色园区</w:t>
            </w: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或基地</w:t>
            </w:r>
          </w:p>
        </w:tc>
        <w:tc>
          <w:tcPr>
            <w:tcW w:w="1066" w:type="dxa"/>
            <w:tcBorders>
              <w:tl2br w:val="nil"/>
              <w:tr2bl w:val="nil"/>
            </w:tcBorders>
            <w:noWrap/>
            <w:vAlign w:val="center"/>
          </w:tcPr>
          <w:p w14:paraId="2126A15B">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01E3F22A">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1</w:t>
            </w:r>
          </w:p>
        </w:tc>
        <w:tc>
          <w:tcPr>
            <w:tcW w:w="1064" w:type="dxa"/>
            <w:tcBorders>
              <w:tl2br w:val="nil"/>
              <w:tr2bl w:val="nil"/>
            </w:tcBorders>
            <w:noWrap/>
            <w:vAlign w:val="center"/>
          </w:tcPr>
          <w:p w14:paraId="75BD9271">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02C370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jc w:val="center"/>
        </w:trPr>
        <w:tc>
          <w:tcPr>
            <w:tcW w:w="4649" w:type="dxa"/>
            <w:tcBorders>
              <w:tl2br w:val="nil"/>
              <w:tr2bl w:val="nil"/>
            </w:tcBorders>
            <w:noWrap/>
            <w:vAlign w:val="center"/>
          </w:tcPr>
          <w:p w14:paraId="7266AB0C">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绿色工厂</w:t>
            </w:r>
          </w:p>
        </w:tc>
        <w:tc>
          <w:tcPr>
            <w:tcW w:w="1066" w:type="dxa"/>
            <w:tcBorders>
              <w:tl2br w:val="nil"/>
              <w:tr2bl w:val="nil"/>
            </w:tcBorders>
            <w:noWrap/>
            <w:vAlign w:val="center"/>
          </w:tcPr>
          <w:p w14:paraId="1A111939">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02A027D0">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5</w:t>
            </w:r>
          </w:p>
        </w:tc>
        <w:tc>
          <w:tcPr>
            <w:tcW w:w="1064" w:type="dxa"/>
            <w:tcBorders>
              <w:tl2br w:val="nil"/>
              <w:tr2bl w:val="nil"/>
            </w:tcBorders>
            <w:noWrap/>
            <w:vAlign w:val="center"/>
          </w:tcPr>
          <w:p w14:paraId="4CD10090">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r w14:paraId="22C00B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jc w:val="center"/>
        </w:trPr>
        <w:tc>
          <w:tcPr>
            <w:tcW w:w="4649" w:type="dxa"/>
            <w:tcBorders>
              <w:tl2br w:val="nil"/>
              <w:tr2bl w:val="nil"/>
            </w:tcBorders>
            <w:noWrap/>
            <w:vAlign w:val="center"/>
          </w:tcPr>
          <w:p w14:paraId="79E9126D">
            <w:pPr>
              <w:keepNext w:val="0"/>
              <w:keepLines w:val="0"/>
              <w:pageBreakBefore w:val="0"/>
              <w:widowControl w:val="0"/>
              <w:kinsoku/>
              <w:wordWrap/>
              <w:topLinePunct w:val="0"/>
              <w:bidi w:val="0"/>
              <w:adjustRightInd/>
              <w:snapToGrid/>
              <w:spacing w:line="360" w:lineRule="auto"/>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绿色产品</w:t>
            </w:r>
          </w:p>
        </w:tc>
        <w:tc>
          <w:tcPr>
            <w:tcW w:w="1066" w:type="dxa"/>
            <w:tcBorders>
              <w:tl2br w:val="nil"/>
              <w:tr2bl w:val="nil"/>
            </w:tcBorders>
            <w:noWrap/>
            <w:vAlign w:val="center"/>
          </w:tcPr>
          <w:p w14:paraId="37D5DB3F">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个</w:t>
            </w:r>
          </w:p>
        </w:tc>
        <w:tc>
          <w:tcPr>
            <w:tcW w:w="1757" w:type="dxa"/>
            <w:tcBorders>
              <w:tl2br w:val="nil"/>
              <w:tr2bl w:val="nil"/>
            </w:tcBorders>
            <w:noWrap/>
            <w:vAlign w:val="center"/>
          </w:tcPr>
          <w:p w14:paraId="55738D0B">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t>5</w:t>
            </w:r>
          </w:p>
        </w:tc>
        <w:tc>
          <w:tcPr>
            <w:tcW w:w="1064" w:type="dxa"/>
            <w:tcBorders>
              <w:tl2br w:val="nil"/>
              <w:tr2bl w:val="nil"/>
            </w:tcBorders>
            <w:noWrap/>
            <w:vAlign w:val="center"/>
          </w:tcPr>
          <w:p w14:paraId="6F1F0A64">
            <w:pPr>
              <w:keepNext w:val="0"/>
              <w:keepLines w:val="0"/>
              <w:pageBreakBefore w:val="0"/>
              <w:widowControl w:val="0"/>
              <w:kinsoku/>
              <w:wordWrap/>
              <w:topLinePunct w:val="0"/>
              <w:bidi w:val="0"/>
              <w:adjustRightInd/>
              <w:snapToGrid/>
              <w:spacing w:line="360" w:lineRule="auto"/>
              <w:jc w:val="center"/>
              <w:rPr>
                <w:rFonts w:hint="default" w:ascii="Times New Roman" w:hAnsi="Times New Roman" w:eastAsia="仿宋"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kern w:val="0"/>
                <w:sz w:val="24"/>
                <w:szCs w:val="24"/>
                <w14:textFill>
                  <w14:solidFill>
                    <w14:schemeClr w14:val="tx1"/>
                  </w14:solidFill>
                </w14:textFill>
              </w:rPr>
              <w:t>预期性</w:t>
            </w:r>
          </w:p>
        </w:tc>
      </w:tr>
    </w:tbl>
    <w:p w14:paraId="477127C0">
      <w:pPr>
        <w:keepNext w:val="0"/>
        <w:keepLines w:val="0"/>
        <w:pageBreakBefore w:val="0"/>
        <w:widowControl w:val="0"/>
        <w:kinsoku/>
        <w:wordWrap/>
        <w:overflowPunct/>
        <w:topLinePunct w:val="0"/>
        <w:autoSpaceDE/>
        <w:autoSpaceDN/>
        <w:bidi w:val="0"/>
        <w:adjustRightInd/>
        <w:snapToGrid/>
        <w:spacing w:before="469" w:beforeLines="150" w:line="360" w:lineRule="auto"/>
        <w:jc w:val="both"/>
        <w:textAlignment w:val="auto"/>
        <w:rPr>
          <w:rFonts w:hint="default" w:ascii="Times New Roman" w:hAnsi="Times New Roman" w:eastAsia="黑体" w:cs="Times New Roman"/>
          <w:b/>
          <w:bCs/>
          <w:color w:val="000000" w:themeColor="text1"/>
          <w:sz w:val="26"/>
          <w:szCs w:val="26"/>
          <w:lang w:val="en-US" w:eastAsia="zh-CN"/>
          <w14:textFill>
            <w14:solidFill>
              <w14:schemeClr w14:val="tx1"/>
            </w14:solidFill>
          </w14:textFill>
        </w:rPr>
      </w:pPr>
      <w:r>
        <w:rPr>
          <w:rFonts w:hint="default" w:ascii="Times New Roman" w:hAnsi="Times New Roman" w:eastAsia="黑体" w:cs="Times New Roman"/>
          <w:b/>
          <w:bCs/>
          <w:color w:val="000000" w:themeColor="text1"/>
          <w:sz w:val="28"/>
          <w:szCs w:val="28"/>
          <w14:textFill>
            <w14:solidFill>
              <w14:schemeClr w14:val="tx1"/>
            </w14:solidFill>
          </w14:textFill>
        </w:rPr>
        <w:t>表</w:t>
      </w:r>
      <w:r>
        <w:rPr>
          <w:rFonts w:hint="default" w:ascii="Times New Roman" w:hAnsi="Times New Roman" w:eastAsia="黑体" w:cs="Times New Roman"/>
          <w:b/>
          <w:bCs/>
          <w:color w:val="000000" w:themeColor="text1"/>
          <w:sz w:val="28"/>
          <w:szCs w:val="28"/>
          <w:lang w:val="en-US" w:eastAsia="zh-CN"/>
          <w14:textFill>
            <w14:solidFill>
              <w14:schemeClr w14:val="tx1"/>
            </w14:solidFill>
          </w14:textFill>
        </w:rPr>
        <w:t>4</w:t>
      </w:r>
      <w:r>
        <w:rPr>
          <w:rFonts w:hint="default" w:ascii="Times New Roman" w:hAnsi="Times New Roman" w:eastAsia="黑体" w:cs="Times New Roman"/>
          <w:b/>
          <w:bCs/>
          <w:color w:val="000000" w:themeColor="text1"/>
          <w:sz w:val="28"/>
          <w:szCs w:val="28"/>
          <w14:textFill>
            <w14:solidFill>
              <w14:schemeClr w14:val="tx1"/>
            </w14:solidFill>
          </w14:textFill>
        </w:rPr>
        <w:t>–</w:t>
      </w:r>
      <w:r>
        <w:rPr>
          <w:rFonts w:hint="default" w:ascii="Times New Roman" w:hAnsi="Times New Roman" w:eastAsia="黑体" w:cs="Times New Roman"/>
          <w:b/>
          <w:bCs/>
          <w:color w:val="000000" w:themeColor="text1"/>
          <w:sz w:val="28"/>
          <w:szCs w:val="28"/>
          <w:lang w:val="en-US" w:eastAsia="zh-CN"/>
          <w14:textFill>
            <w14:solidFill>
              <w14:schemeClr w14:val="tx1"/>
            </w14:solidFill>
          </w14:textFill>
        </w:rPr>
        <w:t>2</w:t>
      </w:r>
      <w:r>
        <w:rPr>
          <w:rFonts w:hint="eastAsia" w:ascii="Times New Roman" w:hAnsi="Times New Roman" w:eastAsia="黑体" w:cs="Times New Roman"/>
          <w:b/>
          <w:bCs/>
          <w:color w:val="000000" w:themeColor="text1"/>
          <w:sz w:val="26"/>
          <w:szCs w:val="26"/>
          <w:lang w:eastAsia="zh-CN"/>
          <w14:textFill>
            <w14:solidFill>
              <w14:schemeClr w14:val="tx1"/>
            </w14:solidFill>
          </w14:textFill>
        </w:rPr>
        <w:t>“</w:t>
      </w:r>
      <w:r>
        <w:rPr>
          <w:rFonts w:hint="eastAsia" w:ascii="Times New Roman" w:hAnsi="Times New Roman" w:eastAsia="黑体" w:cs="Times New Roman"/>
          <w:b/>
          <w:bCs/>
          <w:color w:val="000000" w:themeColor="text1"/>
          <w:sz w:val="26"/>
          <w:szCs w:val="26"/>
          <w:lang w:val="en-US" w:eastAsia="zh-CN"/>
          <w14:textFill>
            <w14:solidFill>
              <w14:schemeClr w14:val="tx1"/>
            </w14:solidFill>
          </w14:textFill>
        </w:rPr>
        <w:t>云南省石林县”</w:t>
      </w:r>
      <w:r>
        <w:rPr>
          <w:rFonts w:hint="default" w:ascii="Times New Roman" w:hAnsi="Times New Roman" w:eastAsia="黑体" w:cs="Times New Roman"/>
          <w:b/>
          <w:bCs/>
          <w:color w:val="000000" w:themeColor="text1"/>
          <w:sz w:val="26"/>
          <w:szCs w:val="26"/>
          <w:lang w:val="en-US" w:eastAsia="zh-CN"/>
          <w14:textFill>
            <w14:solidFill>
              <w14:schemeClr w14:val="tx1"/>
            </w14:solidFill>
          </w14:textFill>
        </w:rPr>
        <w:t>钙基新材料</w:t>
      </w:r>
      <w:r>
        <w:rPr>
          <w:rFonts w:hint="eastAsia" w:ascii="Times New Roman" w:hAnsi="Times New Roman" w:eastAsia="黑体" w:cs="Times New Roman"/>
          <w:b/>
          <w:bCs/>
          <w:color w:val="000000" w:themeColor="text1"/>
          <w:sz w:val="26"/>
          <w:szCs w:val="26"/>
          <w:lang w:val="en-US" w:eastAsia="zh-CN"/>
          <w14:textFill>
            <w14:solidFill>
              <w14:schemeClr w14:val="tx1"/>
            </w14:solidFill>
          </w14:textFill>
        </w:rPr>
        <w:t>（石材）</w:t>
      </w:r>
      <w:r>
        <w:rPr>
          <w:rFonts w:hint="default" w:ascii="Times New Roman" w:hAnsi="Times New Roman" w:eastAsia="黑体" w:cs="Times New Roman"/>
          <w:b/>
          <w:bCs/>
          <w:color w:val="000000" w:themeColor="text1"/>
          <w:sz w:val="26"/>
          <w:szCs w:val="26"/>
          <w14:textFill>
            <w14:solidFill>
              <w14:schemeClr w14:val="tx1"/>
            </w14:solidFill>
          </w14:textFill>
        </w:rPr>
        <w:t>发展规划主要产品一览表</w:t>
      </w:r>
    </w:p>
    <w:tbl>
      <w:tblPr>
        <w:tblStyle w:val="10"/>
        <w:tblpPr w:leftFromText="180" w:rightFromText="180" w:vertAnchor="text" w:horzAnchor="page" w:tblpX="1785" w:tblpY="426"/>
        <w:tblOverlap w:val="never"/>
        <w:tblW w:w="852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4520"/>
        <w:gridCol w:w="1311"/>
        <w:gridCol w:w="1990"/>
      </w:tblGrid>
      <w:tr w14:paraId="78B7B8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trPr>
        <w:tc>
          <w:tcPr>
            <w:tcW w:w="704" w:type="dxa"/>
            <w:tcBorders>
              <w:tl2br w:val="nil"/>
              <w:tr2bl w:val="nil"/>
            </w:tcBorders>
            <w:shd w:val="clear" w:color="auto" w:fill="FFFFFF"/>
            <w:vAlign w:val="center"/>
          </w:tcPr>
          <w:p w14:paraId="5F354F7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黑体" w:hAnsi="黑体" w:eastAsia="黑体" w:cs="黑体"/>
                <w:b/>
                <w:bCs/>
                <w:color w:val="000000" w:themeColor="text1"/>
                <w:sz w:val="24"/>
                <w:szCs w:val="24"/>
                <w14:textFill>
                  <w14:solidFill>
                    <w14:schemeClr w14:val="tx1"/>
                  </w14:solidFill>
                </w14:textFill>
              </w:rPr>
            </w:pPr>
            <w:bookmarkStart w:id="9" w:name="_Hlk497385591"/>
            <w:r>
              <w:rPr>
                <w:rFonts w:hint="eastAsia" w:ascii="黑体" w:hAnsi="黑体" w:eastAsia="黑体" w:cs="黑体"/>
                <w:b/>
                <w:bCs/>
                <w:color w:val="000000" w:themeColor="text1"/>
                <w:sz w:val="24"/>
                <w:szCs w:val="24"/>
                <w14:textFill>
                  <w14:solidFill>
                    <w14:schemeClr w14:val="tx1"/>
                  </w14:solidFill>
                </w14:textFill>
              </w:rPr>
              <w:t>序号</w:t>
            </w:r>
          </w:p>
        </w:tc>
        <w:tc>
          <w:tcPr>
            <w:tcW w:w="4520" w:type="dxa"/>
            <w:tcBorders>
              <w:tl2br w:val="nil"/>
              <w:tr2bl w:val="nil"/>
            </w:tcBorders>
            <w:shd w:val="clear" w:color="auto" w:fill="FFFFFF"/>
            <w:vAlign w:val="center"/>
          </w:tcPr>
          <w:p w14:paraId="019D7342">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产品名称</w:t>
            </w:r>
          </w:p>
        </w:tc>
        <w:tc>
          <w:tcPr>
            <w:tcW w:w="1311" w:type="dxa"/>
            <w:tcBorders>
              <w:tl2br w:val="nil"/>
              <w:tr2bl w:val="nil"/>
            </w:tcBorders>
            <w:shd w:val="clear" w:color="auto" w:fill="FFFFFF"/>
            <w:vAlign w:val="center"/>
          </w:tcPr>
          <w:p w14:paraId="29FF45AE">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单位</w:t>
            </w:r>
          </w:p>
        </w:tc>
        <w:tc>
          <w:tcPr>
            <w:tcW w:w="1990" w:type="dxa"/>
            <w:tcBorders>
              <w:tl2br w:val="nil"/>
              <w:tr2bl w:val="nil"/>
            </w:tcBorders>
            <w:shd w:val="clear" w:color="auto" w:fill="FFFFFF"/>
            <w:vAlign w:val="center"/>
          </w:tcPr>
          <w:p w14:paraId="0EC5E73C">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规划规模</w:t>
            </w:r>
          </w:p>
          <w:p w14:paraId="58F2DE8B">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（20</w:t>
            </w:r>
            <w:r>
              <w:rPr>
                <w:rFonts w:hint="eastAsia" w:ascii="黑体" w:hAnsi="黑体" w:eastAsia="黑体" w:cs="黑体"/>
                <w:b/>
                <w:bCs/>
                <w:color w:val="000000" w:themeColor="text1"/>
                <w:sz w:val="24"/>
                <w:szCs w:val="24"/>
                <w:lang w:val="en-US" w:eastAsia="zh-CN"/>
                <w14:textFill>
                  <w14:solidFill>
                    <w14:schemeClr w14:val="tx1"/>
                  </w14:solidFill>
                </w14:textFill>
              </w:rPr>
              <w:t>30</w:t>
            </w:r>
            <w:r>
              <w:rPr>
                <w:rFonts w:hint="eastAsia" w:ascii="黑体" w:hAnsi="黑体" w:eastAsia="黑体" w:cs="黑体"/>
                <w:b/>
                <w:bCs/>
                <w:color w:val="000000" w:themeColor="text1"/>
                <w:sz w:val="24"/>
                <w:szCs w:val="24"/>
                <w14:textFill>
                  <w14:solidFill>
                    <w14:schemeClr w14:val="tx1"/>
                  </w14:solidFill>
                </w14:textFill>
              </w:rPr>
              <w:t>）</w:t>
            </w:r>
          </w:p>
        </w:tc>
      </w:tr>
      <w:tr w14:paraId="4BF5F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704" w:type="dxa"/>
            <w:tcBorders>
              <w:tl2br w:val="nil"/>
              <w:tr2bl w:val="nil"/>
            </w:tcBorders>
            <w:shd w:val="clear" w:color="auto" w:fill="FFFFFF"/>
            <w:vAlign w:val="center"/>
          </w:tcPr>
          <w:p w14:paraId="1774114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一</w:t>
            </w:r>
          </w:p>
        </w:tc>
        <w:tc>
          <w:tcPr>
            <w:tcW w:w="4520" w:type="dxa"/>
            <w:tcBorders>
              <w:tl2br w:val="nil"/>
              <w:tr2bl w:val="nil"/>
            </w:tcBorders>
            <w:shd w:val="clear" w:color="auto" w:fill="FFFFFF"/>
            <w:vAlign w:val="center"/>
          </w:tcPr>
          <w:p w14:paraId="6DE6CC2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天然石材</w:t>
            </w:r>
          </w:p>
        </w:tc>
        <w:tc>
          <w:tcPr>
            <w:tcW w:w="1311" w:type="dxa"/>
            <w:tcBorders>
              <w:tl2br w:val="nil"/>
              <w:tr2bl w:val="nil"/>
            </w:tcBorders>
            <w:shd w:val="clear" w:color="auto" w:fill="FFFFFF"/>
            <w:vAlign w:val="center"/>
          </w:tcPr>
          <w:p w14:paraId="1F6ECDB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FFFFFF"/>
            <w:vAlign w:val="center"/>
          </w:tcPr>
          <w:p w14:paraId="50F47C7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15</w:t>
            </w:r>
            <w:r>
              <w:rPr>
                <w:rFonts w:hint="default" w:ascii="Times New Roman" w:hAnsi="Times New Roman" w:cs="Times New Roman"/>
                <w:b/>
                <w:bCs/>
                <w:color w:val="000000" w:themeColor="text1"/>
                <w:sz w:val="24"/>
                <w:szCs w:val="24"/>
                <w:lang w:val="en-US" w:eastAsia="zh-CN"/>
                <w14:textFill>
                  <w14:solidFill>
                    <w14:schemeClr w14:val="tx1"/>
                  </w14:solidFill>
                </w14:textFill>
              </w:rPr>
              <w:t>0</w:t>
            </w:r>
          </w:p>
        </w:tc>
      </w:tr>
      <w:tr w14:paraId="7D707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trPr>
        <w:tc>
          <w:tcPr>
            <w:tcW w:w="704" w:type="dxa"/>
            <w:tcBorders>
              <w:tl2br w:val="nil"/>
              <w:tr2bl w:val="nil"/>
            </w:tcBorders>
            <w:shd w:val="clear" w:color="auto" w:fill="FFFFFF"/>
            <w:vAlign w:val="center"/>
          </w:tcPr>
          <w:p w14:paraId="24444BE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1.1</w:t>
            </w:r>
          </w:p>
        </w:tc>
        <w:tc>
          <w:tcPr>
            <w:tcW w:w="4520" w:type="dxa"/>
            <w:tcBorders>
              <w:tl2br w:val="nil"/>
              <w:tr2bl w:val="nil"/>
            </w:tcBorders>
            <w:shd w:val="clear" w:color="auto" w:fill="FFFFFF"/>
            <w:vAlign w:val="center"/>
          </w:tcPr>
          <w:p w14:paraId="776A7EE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天然石材</w:t>
            </w:r>
          </w:p>
        </w:tc>
        <w:tc>
          <w:tcPr>
            <w:tcW w:w="1311" w:type="dxa"/>
            <w:tcBorders>
              <w:tl2br w:val="nil"/>
              <w:tr2bl w:val="nil"/>
            </w:tcBorders>
            <w:shd w:val="clear" w:color="auto" w:fill="FFFFFF"/>
            <w:vAlign w:val="center"/>
          </w:tcPr>
          <w:p w14:paraId="576A200D">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FFFFFF"/>
            <w:vAlign w:val="center"/>
          </w:tcPr>
          <w:p w14:paraId="412A108D">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150</w:t>
            </w:r>
          </w:p>
        </w:tc>
      </w:tr>
      <w:tr w14:paraId="4CEBBB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704" w:type="dxa"/>
            <w:tcBorders>
              <w:tl2br w:val="nil"/>
              <w:tr2bl w:val="nil"/>
            </w:tcBorders>
            <w:shd w:val="clear" w:color="auto" w:fill="FFFFFF"/>
            <w:vAlign w:val="center"/>
          </w:tcPr>
          <w:p w14:paraId="5A45355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lang w:val="en-US" w:eastAsia="zh-CN" w:bidi="ar-SA"/>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二</w:t>
            </w:r>
          </w:p>
        </w:tc>
        <w:tc>
          <w:tcPr>
            <w:tcW w:w="4520" w:type="dxa"/>
            <w:tcBorders>
              <w:tl2br w:val="nil"/>
              <w:tr2bl w:val="nil"/>
            </w:tcBorders>
            <w:shd w:val="clear" w:color="auto" w:fill="FFFFFF"/>
            <w:vAlign w:val="center"/>
          </w:tcPr>
          <w:p w14:paraId="7BDB18F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lang w:val="en-US" w:eastAsia="zh-CN" w:bidi="ar-SA"/>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碳酸钙粉体系列产品</w:t>
            </w:r>
          </w:p>
        </w:tc>
        <w:tc>
          <w:tcPr>
            <w:tcW w:w="1311" w:type="dxa"/>
            <w:tcBorders>
              <w:tl2br w:val="nil"/>
              <w:tr2bl w:val="nil"/>
            </w:tcBorders>
            <w:shd w:val="clear" w:color="auto" w:fill="FFFFFF"/>
            <w:vAlign w:val="center"/>
          </w:tcPr>
          <w:p w14:paraId="670915D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p>
        </w:tc>
        <w:tc>
          <w:tcPr>
            <w:tcW w:w="1990" w:type="dxa"/>
            <w:tcBorders>
              <w:tl2br w:val="nil"/>
              <w:tr2bl w:val="nil"/>
            </w:tcBorders>
            <w:shd w:val="clear" w:color="auto" w:fill="FFFFFF"/>
            <w:vAlign w:val="center"/>
          </w:tcPr>
          <w:p w14:paraId="62C040B2">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p>
        </w:tc>
      </w:tr>
      <w:tr w14:paraId="1E73F2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704" w:type="dxa"/>
            <w:tcBorders>
              <w:tl2br w:val="nil"/>
              <w:tr2bl w:val="nil"/>
            </w:tcBorders>
            <w:vAlign w:val="center"/>
          </w:tcPr>
          <w:p w14:paraId="585D8FB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w:t>
            </w:r>
          </w:p>
        </w:tc>
        <w:tc>
          <w:tcPr>
            <w:tcW w:w="4520" w:type="dxa"/>
            <w:tcBorders>
              <w:tl2br w:val="nil"/>
              <w:tr2bl w:val="nil"/>
            </w:tcBorders>
            <w:vAlign w:val="center"/>
          </w:tcPr>
          <w:p w14:paraId="10D7A065">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沉淀</w:t>
            </w:r>
            <w:r>
              <w:rPr>
                <w:rFonts w:hint="default" w:ascii="Times New Roman" w:hAnsi="Times New Roman" w:cs="Times New Roman"/>
                <w:b/>
                <w:bCs/>
                <w:color w:val="000000" w:themeColor="text1"/>
                <w:sz w:val="24"/>
                <w:szCs w:val="24"/>
                <w14:textFill>
                  <w14:solidFill>
                    <w14:schemeClr w14:val="tx1"/>
                  </w14:solidFill>
                </w14:textFill>
              </w:rPr>
              <w:t>碳酸钙</w:t>
            </w:r>
          </w:p>
        </w:tc>
        <w:tc>
          <w:tcPr>
            <w:tcW w:w="1311" w:type="dxa"/>
            <w:tcBorders>
              <w:tl2br w:val="nil"/>
              <w:tr2bl w:val="nil"/>
            </w:tcBorders>
            <w:vAlign w:val="center"/>
          </w:tcPr>
          <w:p w14:paraId="06D6C9CD">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11CC4888">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lang w:val="en-US" w:eastAsia="zh-CN"/>
                <w14:textFill>
                  <w14:solidFill>
                    <w14:schemeClr w14:val="tx1"/>
                  </w14:solidFill>
                </w14:textFill>
              </w:rPr>
              <w:t>0</w:t>
            </w:r>
          </w:p>
        </w:tc>
      </w:tr>
      <w:tr w14:paraId="4261B4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704" w:type="dxa"/>
            <w:tcBorders>
              <w:tl2br w:val="nil"/>
              <w:tr2bl w:val="nil"/>
            </w:tcBorders>
            <w:vAlign w:val="center"/>
          </w:tcPr>
          <w:p w14:paraId="3E193B34">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1</w:t>
            </w:r>
          </w:p>
        </w:tc>
        <w:tc>
          <w:tcPr>
            <w:tcW w:w="4520" w:type="dxa"/>
            <w:tcBorders>
              <w:tl2br w:val="nil"/>
              <w:tr2bl w:val="nil"/>
            </w:tcBorders>
            <w:vAlign w:val="center"/>
          </w:tcPr>
          <w:p w14:paraId="58D4F3D1">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超细轻质碳酸钙</w:t>
            </w:r>
          </w:p>
        </w:tc>
        <w:tc>
          <w:tcPr>
            <w:tcW w:w="1311" w:type="dxa"/>
            <w:tcBorders>
              <w:tl2br w:val="nil"/>
              <w:tr2bl w:val="nil"/>
            </w:tcBorders>
            <w:vAlign w:val="center"/>
          </w:tcPr>
          <w:p w14:paraId="1452FEBE">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08A0D454">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val="en-US" w:eastAsia="zh-CN"/>
                <w14:textFill>
                  <w14:solidFill>
                    <w14:schemeClr w14:val="tx1"/>
                  </w14:solidFill>
                </w14:textFill>
              </w:rPr>
              <w:t>0</w:t>
            </w:r>
          </w:p>
        </w:tc>
      </w:tr>
      <w:tr w14:paraId="092E42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704" w:type="dxa"/>
            <w:tcBorders>
              <w:tl2br w:val="nil"/>
              <w:tr2bl w:val="nil"/>
            </w:tcBorders>
            <w:vAlign w:val="center"/>
          </w:tcPr>
          <w:p w14:paraId="5E95DFE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cs/>
                <w14:textFill>
                  <w14:solidFill>
                    <w14:schemeClr w14:val="tx1"/>
                  </w14:solidFill>
                </w14:textFill>
              </w:rPr>
              <w:t>1.</w:t>
            </w:r>
            <w:r>
              <w:rPr>
                <w:rFonts w:hint="eastAsia" w:ascii="Times New Roman" w:hAnsi="Times New Roman" w:cs="Times New Roman"/>
                <w:color w:val="000000" w:themeColor="text1"/>
                <w:sz w:val="24"/>
                <w:szCs w:val="24"/>
                <w:cs w:val="0"/>
                <w:lang w:val="en-US" w:eastAsia="zh-CN"/>
                <w14:textFill>
                  <w14:solidFill>
                    <w14:schemeClr w14:val="tx1"/>
                  </w14:solidFill>
                </w14:textFill>
              </w:rPr>
              <w:t>2</w:t>
            </w:r>
          </w:p>
        </w:tc>
        <w:tc>
          <w:tcPr>
            <w:tcW w:w="4520" w:type="dxa"/>
            <w:tcBorders>
              <w:tl2br w:val="nil"/>
              <w:tr2bl w:val="nil"/>
            </w:tcBorders>
            <w:vAlign w:val="center"/>
          </w:tcPr>
          <w:p w14:paraId="1DE76AA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纳米碳酸钙</w:t>
            </w:r>
          </w:p>
        </w:tc>
        <w:tc>
          <w:tcPr>
            <w:tcW w:w="1311" w:type="dxa"/>
            <w:tcBorders>
              <w:tl2br w:val="nil"/>
              <w:tr2bl w:val="nil"/>
            </w:tcBorders>
            <w:vAlign w:val="center"/>
          </w:tcPr>
          <w:p w14:paraId="146D58DC">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38388AE8">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val="en-US" w:eastAsia="zh-CN"/>
                <w14:textFill>
                  <w14:solidFill>
                    <w14:schemeClr w14:val="tx1"/>
                  </w14:solidFill>
                </w14:textFill>
              </w:rPr>
              <w:t>0</w:t>
            </w:r>
          </w:p>
        </w:tc>
      </w:tr>
      <w:tr w14:paraId="1A1F12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4" w:type="dxa"/>
            <w:tcBorders>
              <w:tl2br w:val="nil"/>
              <w:tr2bl w:val="nil"/>
            </w:tcBorders>
            <w:shd w:val="clear" w:color="auto" w:fill="auto"/>
            <w:vAlign w:val="center"/>
          </w:tcPr>
          <w:p w14:paraId="6A054A8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w:t>
            </w:r>
          </w:p>
        </w:tc>
        <w:tc>
          <w:tcPr>
            <w:tcW w:w="4520" w:type="dxa"/>
            <w:tcBorders>
              <w:tl2br w:val="nil"/>
              <w:tr2bl w:val="nil"/>
            </w:tcBorders>
            <w:shd w:val="clear" w:color="auto" w:fill="auto"/>
            <w:vAlign w:val="center"/>
          </w:tcPr>
          <w:p w14:paraId="1C6097CB">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粉体中间产物（</w:t>
            </w:r>
            <w:r>
              <w:rPr>
                <w:rFonts w:hint="default" w:ascii="Times New Roman" w:hAnsi="Times New Roman" w:cs="Times New Roman"/>
                <w:b/>
                <w:bCs/>
                <w:color w:val="000000" w:themeColor="text1"/>
                <w:sz w:val="24"/>
                <w:szCs w:val="24"/>
                <w14:textFill>
                  <w14:solidFill>
                    <w14:schemeClr w14:val="tx1"/>
                  </w14:solidFill>
                </w14:textFill>
              </w:rPr>
              <w:t>氧化钙</w:t>
            </w:r>
            <w:r>
              <w:rPr>
                <w:rFonts w:hint="eastAsia" w:ascii="Times New Roman" w:hAnsi="Times New Roman" w:cs="Times New Roman"/>
                <w:b/>
                <w:bCs/>
                <w:color w:val="000000" w:themeColor="text1"/>
                <w:sz w:val="24"/>
                <w:szCs w:val="24"/>
                <w:lang w:eastAsia="zh-CN"/>
                <w14:textFill>
                  <w14:solidFill>
                    <w14:schemeClr w14:val="tx1"/>
                  </w14:solidFill>
                </w14:textFill>
              </w:rPr>
              <w:t>）</w:t>
            </w:r>
          </w:p>
        </w:tc>
        <w:tc>
          <w:tcPr>
            <w:tcW w:w="1311" w:type="dxa"/>
            <w:tcBorders>
              <w:tl2br w:val="nil"/>
              <w:tr2bl w:val="nil"/>
            </w:tcBorders>
            <w:shd w:val="clear" w:color="auto" w:fill="auto"/>
            <w:vAlign w:val="center"/>
          </w:tcPr>
          <w:p w14:paraId="1CCC41EE">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42FD96CB">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250</w:t>
            </w:r>
          </w:p>
        </w:tc>
      </w:tr>
      <w:tr w14:paraId="64C5E3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4" w:type="dxa"/>
            <w:tcBorders>
              <w:tl2br w:val="nil"/>
              <w:tr2bl w:val="nil"/>
            </w:tcBorders>
            <w:vAlign w:val="center"/>
          </w:tcPr>
          <w:p w14:paraId="462188CD">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1</w:t>
            </w:r>
          </w:p>
        </w:tc>
        <w:tc>
          <w:tcPr>
            <w:tcW w:w="4520" w:type="dxa"/>
            <w:tcBorders>
              <w:tl2br w:val="nil"/>
              <w:tr2bl w:val="nil"/>
            </w:tcBorders>
            <w:shd w:val="clear" w:color="auto" w:fill="auto"/>
            <w:vAlign w:val="center"/>
          </w:tcPr>
          <w:p w14:paraId="03C0133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高性能氧化钙</w:t>
            </w:r>
          </w:p>
        </w:tc>
        <w:tc>
          <w:tcPr>
            <w:tcW w:w="1311" w:type="dxa"/>
            <w:tcBorders>
              <w:tl2br w:val="nil"/>
              <w:tr2bl w:val="nil"/>
            </w:tcBorders>
            <w:shd w:val="clear" w:color="auto" w:fill="auto"/>
            <w:vAlign w:val="center"/>
          </w:tcPr>
          <w:p w14:paraId="7DACB54A">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1EC3EDFB">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200</w:t>
            </w:r>
          </w:p>
        </w:tc>
      </w:tr>
      <w:tr w14:paraId="60A026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704" w:type="dxa"/>
            <w:tcBorders>
              <w:tl2br w:val="nil"/>
              <w:tr2bl w:val="nil"/>
            </w:tcBorders>
            <w:vAlign w:val="center"/>
          </w:tcPr>
          <w:p w14:paraId="4A25804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2.2</w:t>
            </w:r>
          </w:p>
        </w:tc>
        <w:tc>
          <w:tcPr>
            <w:tcW w:w="4520" w:type="dxa"/>
            <w:tcBorders>
              <w:tl2br w:val="nil"/>
              <w:tr2bl w:val="nil"/>
            </w:tcBorders>
            <w:shd w:val="clear" w:color="auto" w:fill="auto"/>
            <w:vAlign w:val="center"/>
          </w:tcPr>
          <w:p w14:paraId="6F4B0C49">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普通氧化钙</w:t>
            </w:r>
          </w:p>
        </w:tc>
        <w:tc>
          <w:tcPr>
            <w:tcW w:w="1311" w:type="dxa"/>
            <w:tcBorders>
              <w:tl2br w:val="nil"/>
              <w:tr2bl w:val="nil"/>
            </w:tcBorders>
            <w:shd w:val="clear" w:color="auto" w:fill="auto"/>
            <w:vAlign w:val="center"/>
          </w:tcPr>
          <w:p w14:paraId="57D6090E">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5E540853">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w:t>
            </w:r>
          </w:p>
        </w:tc>
      </w:tr>
      <w:tr w14:paraId="78BB84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704" w:type="dxa"/>
            <w:tcBorders>
              <w:tl2br w:val="nil"/>
              <w:tr2bl w:val="nil"/>
            </w:tcBorders>
            <w:shd w:val="clear" w:color="auto" w:fill="auto"/>
            <w:vAlign w:val="center"/>
          </w:tcPr>
          <w:p w14:paraId="5FE8860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3</w:t>
            </w:r>
          </w:p>
        </w:tc>
        <w:tc>
          <w:tcPr>
            <w:tcW w:w="4520" w:type="dxa"/>
            <w:tcBorders>
              <w:tl2br w:val="nil"/>
              <w:tr2bl w:val="nil"/>
            </w:tcBorders>
            <w:shd w:val="clear" w:color="auto" w:fill="auto"/>
            <w:vAlign w:val="center"/>
          </w:tcPr>
          <w:p w14:paraId="43D4163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粉体中间产物（</w:t>
            </w:r>
            <w:r>
              <w:rPr>
                <w:rFonts w:hint="default" w:ascii="Times New Roman" w:hAnsi="Times New Roman" w:cs="Times New Roman"/>
                <w:b/>
                <w:bCs/>
                <w:color w:val="000000" w:themeColor="text1"/>
                <w:sz w:val="24"/>
                <w:szCs w:val="24"/>
                <w14:textFill>
                  <w14:solidFill>
                    <w14:schemeClr w14:val="tx1"/>
                  </w14:solidFill>
                </w14:textFill>
              </w:rPr>
              <w:t>氢氧化钙</w:t>
            </w:r>
            <w:r>
              <w:rPr>
                <w:rFonts w:hint="eastAsia" w:ascii="Times New Roman" w:hAnsi="Times New Roman" w:cs="Times New Roman"/>
                <w:b/>
                <w:bCs/>
                <w:color w:val="000000" w:themeColor="text1"/>
                <w:sz w:val="24"/>
                <w:szCs w:val="24"/>
                <w:lang w:eastAsia="zh-CN"/>
                <w14:textFill>
                  <w14:solidFill>
                    <w14:schemeClr w14:val="tx1"/>
                  </w14:solidFill>
                </w14:textFill>
              </w:rPr>
              <w:t>）</w:t>
            </w:r>
          </w:p>
        </w:tc>
        <w:tc>
          <w:tcPr>
            <w:tcW w:w="1311" w:type="dxa"/>
            <w:tcBorders>
              <w:tl2br w:val="nil"/>
              <w:tr2bl w:val="nil"/>
            </w:tcBorders>
            <w:shd w:val="clear" w:color="auto" w:fill="auto"/>
            <w:vAlign w:val="center"/>
          </w:tcPr>
          <w:p w14:paraId="37570E7C">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58E95E4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50</w:t>
            </w:r>
          </w:p>
        </w:tc>
      </w:tr>
      <w:tr w14:paraId="10835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704" w:type="dxa"/>
            <w:tcBorders>
              <w:tl2br w:val="nil"/>
              <w:tr2bl w:val="nil"/>
            </w:tcBorders>
            <w:shd w:val="clear" w:color="auto" w:fill="auto"/>
            <w:vAlign w:val="center"/>
          </w:tcPr>
          <w:p w14:paraId="23898770">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3.1</w:t>
            </w:r>
          </w:p>
        </w:tc>
        <w:tc>
          <w:tcPr>
            <w:tcW w:w="4520" w:type="dxa"/>
            <w:tcBorders>
              <w:tl2br w:val="nil"/>
              <w:tr2bl w:val="nil"/>
            </w:tcBorders>
            <w:shd w:val="clear" w:color="auto" w:fill="auto"/>
            <w:vAlign w:val="center"/>
          </w:tcPr>
          <w:p w14:paraId="0077763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sz w:val="24"/>
                <w:szCs w:val="24"/>
                <w:lang w:val="en-US" w:eastAsia="zh-CN" w:bidi="ar-SA"/>
                <w14:textFill>
                  <w14:solidFill>
                    <w14:schemeClr w14:val="tx1"/>
                  </w14:solidFill>
                </w14:textFill>
              </w:rPr>
              <w:t>高比表氢氧化钙</w:t>
            </w:r>
          </w:p>
        </w:tc>
        <w:tc>
          <w:tcPr>
            <w:tcW w:w="1311" w:type="dxa"/>
            <w:tcBorders>
              <w:tl2br w:val="nil"/>
              <w:tr2bl w:val="nil"/>
            </w:tcBorders>
            <w:shd w:val="clear" w:color="auto" w:fill="auto"/>
            <w:vAlign w:val="center"/>
          </w:tcPr>
          <w:p w14:paraId="57A0D30B">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1271C40E">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2</w:t>
            </w:r>
            <w:r>
              <w:rPr>
                <w:rFonts w:hint="default" w:ascii="Times New Roman" w:hAnsi="Times New Roman" w:cs="Times New Roman"/>
                <w:color w:val="000000" w:themeColor="text1"/>
                <w:sz w:val="24"/>
                <w:szCs w:val="24"/>
                <w:lang w:val="en-US" w:eastAsia="zh-CN" w:bidi="ar-SA"/>
                <w14:textFill>
                  <w14:solidFill>
                    <w14:schemeClr w14:val="tx1"/>
                  </w14:solidFill>
                </w14:textFill>
              </w:rPr>
              <w:t>0</w:t>
            </w:r>
          </w:p>
        </w:tc>
      </w:tr>
      <w:tr w14:paraId="08930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704" w:type="dxa"/>
            <w:tcBorders>
              <w:tl2br w:val="nil"/>
              <w:tr2bl w:val="nil"/>
            </w:tcBorders>
            <w:vAlign w:val="center"/>
          </w:tcPr>
          <w:p w14:paraId="7D713978">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3.2</w:t>
            </w:r>
          </w:p>
        </w:tc>
        <w:tc>
          <w:tcPr>
            <w:tcW w:w="4520" w:type="dxa"/>
            <w:tcBorders>
              <w:tl2br w:val="nil"/>
              <w:tr2bl w:val="nil"/>
            </w:tcBorders>
            <w:vAlign w:val="center"/>
          </w:tcPr>
          <w:p w14:paraId="53A3ED0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普通氢氧化钙</w:t>
            </w:r>
          </w:p>
        </w:tc>
        <w:tc>
          <w:tcPr>
            <w:tcW w:w="1311" w:type="dxa"/>
            <w:tcBorders>
              <w:tl2br w:val="nil"/>
              <w:tr2bl w:val="nil"/>
            </w:tcBorders>
            <w:vAlign w:val="center"/>
          </w:tcPr>
          <w:p w14:paraId="235FC3C0">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13E0E30A">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30</w:t>
            </w:r>
          </w:p>
        </w:tc>
      </w:tr>
      <w:tr w14:paraId="50E916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704" w:type="dxa"/>
            <w:tcBorders>
              <w:tl2br w:val="nil"/>
              <w:tr2bl w:val="nil"/>
            </w:tcBorders>
            <w:vAlign w:val="center"/>
          </w:tcPr>
          <w:p w14:paraId="534B41D0">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4</w:t>
            </w:r>
          </w:p>
        </w:tc>
        <w:tc>
          <w:tcPr>
            <w:tcW w:w="4520" w:type="dxa"/>
            <w:tcBorders>
              <w:tl2br w:val="nil"/>
              <w:tr2bl w:val="nil"/>
            </w:tcBorders>
            <w:vAlign w:val="center"/>
          </w:tcPr>
          <w:p w14:paraId="6440BCA2">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石灰石</w:t>
            </w:r>
            <w:r>
              <w:rPr>
                <w:rFonts w:hint="eastAsia" w:ascii="Times New Roman" w:hAnsi="Times New Roman" w:cs="Times New Roman"/>
                <w:b/>
                <w:bCs/>
                <w:color w:val="000000" w:themeColor="text1"/>
                <w:sz w:val="24"/>
                <w:szCs w:val="24"/>
                <w:lang w:val="en-US" w:eastAsia="zh-CN"/>
                <w14:textFill>
                  <w14:solidFill>
                    <w14:schemeClr w14:val="tx1"/>
                  </w14:solidFill>
                </w14:textFill>
              </w:rPr>
              <w:t>超细</w:t>
            </w:r>
            <w:r>
              <w:rPr>
                <w:rFonts w:hint="default" w:ascii="Times New Roman" w:hAnsi="Times New Roman" w:cs="Times New Roman"/>
                <w:b/>
                <w:bCs/>
                <w:color w:val="000000" w:themeColor="text1"/>
                <w:sz w:val="24"/>
                <w:szCs w:val="24"/>
                <w14:textFill>
                  <w14:solidFill>
                    <w14:schemeClr w14:val="tx1"/>
                  </w14:solidFill>
                </w14:textFill>
              </w:rPr>
              <w:t>重质碳酸钙</w:t>
            </w:r>
          </w:p>
        </w:tc>
        <w:tc>
          <w:tcPr>
            <w:tcW w:w="1311" w:type="dxa"/>
            <w:tcBorders>
              <w:tl2br w:val="nil"/>
              <w:tr2bl w:val="nil"/>
            </w:tcBorders>
            <w:vAlign w:val="center"/>
          </w:tcPr>
          <w:p w14:paraId="524943F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万t/a</w:t>
            </w:r>
          </w:p>
        </w:tc>
        <w:tc>
          <w:tcPr>
            <w:tcW w:w="1990" w:type="dxa"/>
            <w:tcBorders>
              <w:tl2br w:val="nil"/>
              <w:tr2bl w:val="nil"/>
            </w:tcBorders>
            <w:vAlign w:val="center"/>
          </w:tcPr>
          <w:p w14:paraId="7B76857B">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200</w:t>
            </w:r>
          </w:p>
        </w:tc>
      </w:tr>
      <w:tr w14:paraId="20D91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4" w:hRule="atLeast"/>
        </w:trPr>
        <w:tc>
          <w:tcPr>
            <w:tcW w:w="704" w:type="dxa"/>
            <w:tcBorders>
              <w:tl2br w:val="nil"/>
              <w:tr2bl w:val="nil"/>
            </w:tcBorders>
            <w:vAlign w:val="center"/>
          </w:tcPr>
          <w:p w14:paraId="6051B89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4.1</w:t>
            </w:r>
          </w:p>
        </w:tc>
        <w:tc>
          <w:tcPr>
            <w:tcW w:w="4520" w:type="dxa"/>
            <w:tcBorders>
              <w:tl2br w:val="nil"/>
              <w:tr2bl w:val="nil"/>
            </w:tcBorders>
            <w:vAlign w:val="center"/>
          </w:tcPr>
          <w:p w14:paraId="50FFDA2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超细活性重质碳酸钙</w:t>
            </w:r>
          </w:p>
        </w:tc>
        <w:tc>
          <w:tcPr>
            <w:tcW w:w="1311" w:type="dxa"/>
            <w:tcBorders>
              <w:tl2br w:val="nil"/>
              <w:tr2bl w:val="nil"/>
            </w:tcBorders>
            <w:vAlign w:val="center"/>
          </w:tcPr>
          <w:p w14:paraId="15308C52">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470EAC85">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107</w:t>
            </w:r>
          </w:p>
        </w:tc>
      </w:tr>
      <w:tr w14:paraId="27F864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704" w:type="dxa"/>
            <w:tcBorders>
              <w:tl2br w:val="nil"/>
              <w:tr2bl w:val="nil"/>
            </w:tcBorders>
            <w:vAlign w:val="center"/>
          </w:tcPr>
          <w:p w14:paraId="125F12A8">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4.2</w:t>
            </w:r>
          </w:p>
        </w:tc>
        <w:tc>
          <w:tcPr>
            <w:tcW w:w="4520" w:type="dxa"/>
            <w:tcBorders>
              <w:tl2br w:val="nil"/>
              <w:tr2bl w:val="nil"/>
            </w:tcBorders>
            <w:vAlign w:val="center"/>
          </w:tcPr>
          <w:p w14:paraId="3910E8D8">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超细重质碳酸钙</w:t>
            </w:r>
          </w:p>
        </w:tc>
        <w:tc>
          <w:tcPr>
            <w:tcW w:w="1311" w:type="dxa"/>
            <w:tcBorders>
              <w:tl2br w:val="nil"/>
              <w:tr2bl w:val="nil"/>
            </w:tcBorders>
            <w:vAlign w:val="center"/>
          </w:tcPr>
          <w:p w14:paraId="6B39EB0B">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050145F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93</w:t>
            </w:r>
          </w:p>
        </w:tc>
      </w:tr>
      <w:tr w14:paraId="2B42D4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4" w:type="dxa"/>
            <w:tcBorders>
              <w:tl2br w:val="nil"/>
              <w:tr2bl w:val="nil"/>
            </w:tcBorders>
            <w:vAlign w:val="center"/>
          </w:tcPr>
          <w:p w14:paraId="5962C60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5</w:t>
            </w:r>
          </w:p>
        </w:tc>
        <w:tc>
          <w:tcPr>
            <w:tcW w:w="4520" w:type="dxa"/>
            <w:tcBorders>
              <w:tl2br w:val="nil"/>
              <w:tr2bl w:val="nil"/>
            </w:tcBorders>
            <w:vAlign w:val="center"/>
          </w:tcPr>
          <w:p w14:paraId="4D76BAD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食饲医药级碳酸钙</w:t>
            </w:r>
          </w:p>
        </w:tc>
        <w:tc>
          <w:tcPr>
            <w:tcW w:w="1311" w:type="dxa"/>
            <w:tcBorders>
              <w:tl2br w:val="nil"/>
              <w:tr2bl w:val="nil"/>
            </w:tcBorders>
            <w:vAlign w:val="center"/>
          </w:tcPr>
          <w:p w14:paraId="196B972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722705BB">
            <w:pPr>
              <w:pStyle w:val="17"/>
              <w:keepNext w:val="0"/>
              <w:keepLines w:val="0"/>
              <w:pageBreakBefore w:val="0"/>
              <w:widowControl w:val="0"/>
              <w:kinsoku/>
              <w:wordWrap/>
              <w:overflowPunct/>
              <w:topLinePunct w:val="0"/>
              <w:autoSpaceDE/>
              <w:autoSpaceDN/>
              <w:bidi w:val="0"/>
              <w:adjustRightInd/>
              <w:snapToGrid/>
              <w:spacing w:before="0" w:after="0" w:line="360" w:lineRule="auto"/>
              <w:jc w:val="left"/>
              <w:textAlignment w:val="baseline"/>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5</w:t>
            </w:r>
          </w:p>
        </w:tc>
      </w:tr>
      <w:tr w14:paraId="17752B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704" w:type="dxa"/>
            <w:tcBorders>
              <w:tl2br w:val="nil"/>
              <w:tr2bl w:val="nil"/>
            </w:tcBorders>
            <w:vAlign w:val="center"/>
          </w:tcPr>
          <w:p w14:paraId="51B3B7B2">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.1</w:t>
            </w:r>
          </w:p>
        </w:tc>
        <w:tc>
          <w:tcPr>
            <w:tcW w:w="4520" w:type="dxa"/>
            <w:tcBorders>
              <w:tl2br w:val="nil"/>
              <w:tr2bl w:val="nil"/>
            </w:tcBorders>
            <w:vAlign w:val="center"/>
          </w:tcPr>
          <w:p w14:paraId="284738BE">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食品和牙膏专用碳酸钙</w:t>
            </w:r>
          </w:p>
        </w:tc>
        <w:tc>
          <w:tcPr>
            <w:tcW w:w="1311" w:type="dxa"/>
            <w:tcBorders>
              <w:tl2br w:val="nil"/>
              <w:tr2bl w:val="nil"/>
            </w:tcBorders>
            <w:vAlign w:val="center"/>
          </w:tcPr>
          <w:p w14:paraId="0D774AF8">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3BE26150">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r>
      <w:tr w14:paraId="63C2E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04" w:type="dxa"/>
            <w:tcBorders>
              <w:tl2br w:val="nil"/>
              <w:tr2bl w:val="nil"/>
            </w:tcBorders>
            <w:vAlign w:val="center"/>
          </w:tcPr>
          <w:p w14:paraId="0391585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三</w:t>
            </w:r>
          </w:p>
        </w:tc>
        <w:tc>
          <w:tcPr>
            <w:tcW w:w="4520" w:type="dxa"/>
            <w:tcBorders>
              <w:tl2br w:val="nil"/>
              <w:tr2bl w:val="nil"/>
            </w:tcBorders>
            <w:vAlign w:val="center"/>
          </w:tcPr>
          <w:p w14:paraId="3FE025C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其他非金属矿加工</w:t>
            </w:r>
          </w:p>
        </w:tc>
        <w:tc>
          <w:tcPr>
            <w:tcW w:w="1311" w:type="dxa"/>
            <w:tcBorders>
              <w:tl2br w:val="nil"/>
              <w:tr2bl w:val="nil"/>
            </w:tcBorders>
            <w:vAlign w:val="center"/>
          </w:tcPr>
          <w:p w14:paraId="0196BFB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393FA185">
            <w:pPr>
              <w:pStyle w:val="17"/>
              <w:keepNext w:val="0"/>
              <w:keepLines w:val="0"/>
              <w:pageBreakBefore w:val="0"/>
              <w:widowControl w:val="0"/>
              <w:kinsoku/>
              <w:wordWrap/>
              <w:overflowPunct/>
              <w:topLinePunct w:val="0"/>
              <w:autoSpaceDE/>
              <w:autoSpaceDN/>
              <w:bidi w:val="0"/>
              <w:adjustRightInd/>
              <w:snapToGrid/>
              <w:spacing w:before="0" w:after="0" w:line="360" w:lineRule="auto"/>
              <w:jc w:val="left"/>
              <w:textAlignment w:val="baseline"/>
              <w:rPr>
                <w:rFonts w:hint="default" w:ascii="Times New Roman" w:hAnsi="Times New Roman" w:eastAsia="仿宋_GB2312" w:cs="Times New Roman"/>
                <w:color w:val="FF0000"/>
                <w:sz w:val="24"/>
                <w:szCs w:val="24"/>
                <w:lang w:val="en-US" w:eastAsia="zh-CN"/>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400</w:t>
            </w:r>
          </w:p>
        </w:tc>
      </w:tr>
      <w:tr w14:paraId="610178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704" w:type="dxa"/>
            <w:tcBorders>
              <w:tl2br w:val="nil"/>
              <w:tr2bl w:val="nil"/>
            </w:tcBorders>
            <w:vAlign w:val="center"/>
          </w:tcPr>
          <w:p w14:paraId="26B6773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4520" w:type="dxa"/>
            <w:tcBorders>
              <w:tl2br w:val="nil"/>
              <w:tr2bl w:val="nil"/>
            </w:tcBorders>
            <w:shd w:val="clear" w:color="auto" w:fill="auto"/>
            <w:vAlign w:val="center"/>
          </w:tcPr>
          <w:p w14:paraId="0E75884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机制砂</w:t>
            </w:r>
          </w:p>
        </w:tc>
        <w:tc>
          <w:tcPr>
            <w:tcW w:w="1311" w:type="dxa"/>
            <w:tcBorders>
              <w:tl2br w:val="nil"/>
              <w:tr2bl w:val="nil"/>
            </w:tcBorders>
            <w:shd w:val="clear" w:color="auto" w:fill="auto"/>
            <w:vAlign w:val="center"/>
          </w:tcPr>
          <w:p w14:paraId="4FDE4DF0">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7F7EFF4B">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80</w:t>
            </w:r>
          </w:p>
        </w:tc>
      </w:tr>
      <w:tr w14:paraId="6A811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704" w:type="dxa"/>
            <w:tcBorders>
              <w:tl2br w:val="nil"/>
              <w:tr2bl w:val="nil"/>
            </w:tcBorders>
            <w:vAlign w:val="center"/>
          </w:tcPr>
          <w:p w14:paraId="132DAAC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4520" w:type="dxa"/>
            <w:tcBorders>
              <w:tl2br w:val="nil"/>
              <w:tr2bl w:val="nil"/>
            </w:tcBorders>
            <w:vAlign w:val="center"/>
          </w:tcPr>
          <w:p w14:paraId="12F0755B">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砂石骨料等</w:t>
            </w:r>
          </w:p>
        </w:tc>
        <w:tc>
          <w:tcPr>
            <w:tcW w:w="1311" w:type="dxa"/>
            <w:tcBorders>
              <w:tl2br w:val="nil"/>
              <w:tr2bl w:val="nil"/>
            </w:tcBorders>
            <w:vAlign w:val="center"/>
          </w:tcPr>
          <w:p w14:paraId="64ADB7A2">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60145F49">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320</w:t>
            </w:r>
          </w:p>
        </w:tc>
      </w:tr>
      <w:tr w14:paraId="0C7800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04" w:type="dxa"/>
            <w:tcBorders>
              <w:tl2br w:val="nil"/>
              <w:tr2bl w:val="nil"/>
            </w:tcBorders>
            <w:vAlign w:val="center"/>
          </w:tcPr>
          <w:p w14:paraId="7A396200">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四</w:t>
            </w:r>
          </w:p>
        </w:tc>
        <w:tc>
          <w:tcPr>
            <w:tcW w:w="4520" w:type="dxa"/>
            <w:tcBorders>
              <w:tl2br w:val="nil"/>
              <w:tr2bl w:val="nil"/>
            </w:tcBorders>
            <w:vAlign w:val="center"/>
          </w:tcPr>
          <w:p w14:paraId="033AD14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钙基新材料</w:t>
            </w:r>
            <w:r>
              <w:rPr>
                <w:rFonts w:hint="eastAsia" w:ascii="黑体" w:hAnsi="黑体" w:eastAsia="黑体" w:cs="黑体"/>
                <w:b/>
                <w:bCs/>
                <w:color w:val="000000" w:themeColor="text1"/>
                <w:sz w:val="24"/>
                <w:szCs w:val="24"/>
                <w14:textFill>
                  <w14:solidFill>
                    <w14:schemeClr w14:val="tx1"/>
                  </w14:solidFill>
                </w14:textFill>
              </w:rPr>
              <w:t>加工</w:t>
            </w:r>
          </w:p>
        </w:tc>
        <w:tc>
          <w:tcPr>
            <w:tcW w:w="1311" w:type="dxa"/>
            <w:tcBorders>
              <w:tl2br w:val="nil"/>
              <w:tr2bl w:val="nil"/>
            </w:tcBorders>
            <w:vAlign w:val="center"/>
          </w:tcPr>
          <w:p w14:paraId="02B834C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6F582CE2">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p>
        </w:tc>
      </w:tr>
      <w:tr w14:paraId="79553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704" w:type="dxa"/>
            <w:tcBorders>
              <w:tl2br w:val="nil"/>
              <w:tr2bl w:val="nil"/>
            </w:tcBorders>
            <w:vAlign w:val="center"/>
          </w:tcPr>
          <w:p w14:paraId="31AA38F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4520" w:type="dxa"/>
            <w:tcBorders>
              <w:tl2br w:val="nil"/>
              <w:tr2bl w:val="nil"/>
            </w:tcBorders>
            <w:vAlign w:val="center"/>
          </w:tcPr>
          <w:p w14:paraId="42A8C48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塑料加工</w:t>
            </w:r>
          </w:p>
        </w:tc>
        <w:tc>
          <w:tcPr>
            <w:tcW w:w="1311" w:type="dxa"/>
            <w:tcBorders>
              <w:tl2br w:val="nil"/>
              <w:tr2bl w:val="nil"/>
            </w:tcBorders>
            <w:vAlign w:val="center"/>
          </w:tcPr>
          <w:p w14:paraId="27A27964">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4D21A844">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25</w:t>
            </w:r>
          </w:p>
        </w:tc>
      </w:tr>
      <w:tr w14:paraId="0F82D5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704" w:type="dxa"/>
            <w:tcBorders>
              <w:tl2br w:val="nil"/>
              <w:tr2bl w:val="nil"/>
            </w:tcBorders>
            <w:vAlign w:val="center"/>
          </w:tcPr>
          <w:p w14:paraId="5254267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1.1</w:t>
            </w:r>
          </w:p>
        </w:tc>
        <w:tc>
          <w:tcPr>
            <w:tcW w:w="4520" w:type="dxa"/>
            <w:tcBorders>
              <w:tl2br w:val="nil"/>
              <w:tr2bl w:val="nil"/>
            </w:tcBorders>
            <w:vAlign w:val="center"/>
          </w:tcPr>
          <w:p w14:paraId="5C4A071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塑料用功能母粒</w:t>
            </w:r>
          </w:p>
        </w:tc>
        <w:tc>
          <w:tcPr>
            <w:tcW w:w="1311" w:type="dxa"/>
            <w:tcBorders>
              <w:tl2br w:val="nil"/>
              <w:tr2bl w:val="nil"/>
            </w:tcBorders>
            <w:vAlign w:val="center"/>
          </w:tcPr>
          <w:p w14:paraId="5F1EF21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75144469">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r>
      <w:tr w14:paraId="747BB7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704" w:type="dxa"/>
            <w:tcBorders>
              <w:tl2br w:val="nil"/>
              <w:tr2bl w:val="nil"/>
            </w:tcBorders>
            <w:vAlign w:val="center"/>
          </w:tcPr>
          <w:p w14:paraId="54152F98">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1.2</w:t>
            </w:r>
          </w:p>
        </w:tc>
        <w:tc>
          <w:tcPr>
            <w:tcW w:w="4520" w:type="dxa"/>
            <w:tcBorders>
              <w:tl2br w:val="nil"/>
              <w:tr2bl w:val="nil"/>
            </w:tcBorders>
            <w:vAlign w:val="center"/>
          </w:tcPr>
          <w:p w14:paraId="20A55AE9">
            <w:pPr>
              <w:pStyle w:val="17"/>
              <w:keepNext w:val="0"/>
              <w:keepLines w:val="0"/>
              <w:pageBreakBefore w:val="0"/>
              <w:widowControl w:val="0"/>
              <w:kinsoku/>
              <w:wordWrap/>
              <w:overflowPunct/>
              <w:topLinePunct w:val="0"/>
              <w:autoSpaceDE/>
              <w:autoSpaceDN/>
              <w:bidi w:val="0"/>
              <w:adjustRightInd/>
              <w:snapToGrid/>
              <w:spacing w:before="0" w:after="0" w:line="320" w:lineRule="exact"/>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环保功能性</w:t>
            </w:r>
            <w:r>
              <w:rPr>
                <w:rFonts w:hint="default" w:ascii="Times New Roman" w:hAnsi="Times New Roman" w:cs="Times New Roman"/>
                <w:color w:val="000000" w:themeColor="text1"/>
                <w:sz w:val="24"/>
                <w:szCs w:val="24"/>
                <w14:textFill>
                  <w14:solidFill>
                    <w14:schemeClr w14:val="tx1"/>
                  </w14:solidFill>
                </w14:textFill>
              </w:rPr>
              <w:t>母粒（</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高效碱性絮凝母粒</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钙基污水处理母粒</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w:t>
            </w:r>
          </w:p>
        </w:tc>
        <w:tc>
          <w:tcPr>
            <w:tcW w:w="1311" w:type="dxa"/>
            <w:tcBorders>
              <w:tl2br w:val="nil"/>
              <w:tr2bl w:val="nil"/>
            </w:tcBorders>
            <w:vAlign w:val="center"/>
          </w:tcPr>
          <w:p w14:paraId="493E2961">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53524345">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lang w:val="en-US" w:eastAsia="zh-CN"/>
                <w14:textFill>
                  <w14:solidFill>
                    <w14:schemeClr w14:val="tx1"/>
                  </w14:solidFill>
                </w14:textFill>
              </w:rPr>
              <w:t>0</w:t>
            </w:r>
          </w:p>
        </w:tc>
      </w:tr>
      <w:tr w14:paraId="6C417F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704" w:type="dxa"/>
            <w:tcBorders>
              <w:tl2br w:val="nil"/>
              <w:tr2bl w:val="nil"/>
            </w:tcBorders>
            <w:vAlign w:val="center"/>
          </w:tcPr>
          <w:p w14:paraId="0C1D0380">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2</w:t>
            </w:r>
          </w:p>
        </w:tc>
        <w:tc>
          <w:tcPr>
            <w:tcW w:w="4520" w:type="dxa"/>
            <w:tcBorders>
              <w:tl2br w:val="nil"/>
              <w:tr2bl w:val="nil"/>
            </w:tcBorders>
            <w:vAlign w:val="center"/>
          </w:tcPr>
          <w:p w14:paraId="3407F76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绿色涂料</w:t>
            </w:r>
          </w:p>
        </w:tc>
        <w:tc>
          <w:tcPr>
            <w:tcW w:w="1311" w:type="dxa"/>
            <w:tcBorders>
              <w:tl2br w:val="nil"/>
              <w:tr2bl w:val="nil"/>
            </w:tcBorders>
            <w:vAlign w:val="center"/>
          </w:tcPr>
          <w:p w14:paraId="2E87DD31">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394DEB45">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30</w:t>
            </w:r>
          </w:p>
        </w:tc>
      </w:tr>
      <w:tr w14:paraId="008378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04" w:type="dxa"/>
            <w:tcBorders>
              <w:tl2br w:val="nil"/>
              <w:tr2bl w:val="nil"/>
            </w:tcBorders>
            <w:vAlign w:val="center"/>
          </w:tcPr>
          <w:p w14:paraId="2BA3699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2.1</w:t>
            </w:r>
          </w:p>
        </w:tc>
        <w:tc>
          <w:tcPr>
            <w:tcW w:w="4520" w:type="dxa"/>
            <w:tcBorders>
              <w:tl2br w:val="nil"/>
              <w:tr2bl w:val="nil"/>
            </w:tcBorders>
            <w:vAlign w:val="center"/>
          </w:tcPr>
          <w:p w14:paraId="3F30E0B4">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水性建筑内墙涂料</w:t>
            </w:r>
          </w:p>
        </w:tc>
        <w:tc>
          <w:tcPr>
            <w:tcW w:w="1311" w:type="dxa"/>
            <w:tcBorders>
              <w:tl2br w:val="nil"/>
              <w:tr2bl w:val="nil"/>
            </w:tcBorders>
            <w:vAlign w:val="center"/>
          </w:tcPr>
          <w:p w14:paraId="3ACC946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26260CE7">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10</w:t>
            </w:r>
          </w:p>
        </w:tc>
      </w:tr>
      <w:tr w14:paraId="53F1C5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04" w:type="dxa"/>
            <w:tcBorders>
              <w:tl2br w:val="nil"/>
              <w:tr2bl w:val="nil"/>
            </w:tcBorders>
            <w:vAlign w:val="center"/>
          </w:tcPr>
          <w:p w14:paraId="5698E06B">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2.2</w:t>
            </w:r>
          </w:p>
        </w:tc>
        <w:tc>
          <w:tcPr>
            <w:tcW w:w="4520" w:type="dxa"/>
            <w:tcBorders>
              <w:tl2br w:val="nil"/>
              <w:tr2bl w:val="nil"/>
            </w:tcBorders>
            <w:vAlign w:val="center"/>
          </w:tcPr>
          <w:p w14:paraId="7D0CFA3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szCs w:val="28"/>
              </w:rPr>
              <w:t>多功能防水涂料</w:t>
            </w:r>
          </w:p>
        </w:tc>
        <w:tc>
          <w:tcPr>
            <w:tcW w:w="1311" w:type="dxa"/>
            <w:tcBorders>
              <w:tl2br w:val="nil"/>
              <w:tr2bl w:val="nil"/>
            </w:tcBorders>
            <w:vAlign w:val="center"/>
          </w:tcPr>
          <w:p w14:paraId="49C5ED78">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vAlign w:val="center"/>
          </w:tcPr>
          <w:p w14:paraId="5B5E594E">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20</w:t>
            </w:r>
          </w:p>
        </w:tc>
      </w:tr>
      <w:tr w14:paraId="315B79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04" w:type="dxa"/>
            <w:tcBorders>
              <w:tl2br w:val="nil"/>
              <w:tr2bl w:val="nil"/>
            </w:tcBorders>
            <w:vAlign w:val="center"/>
          </w:tcPr>
          <w:p w14:paraId="16F3B2B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3</w:t>
            </w:r>
          </w:p>
        </w:tc>
        <w:tc>
          <w:tcPr>
            <w:tcW w:w="4520" w:type="dxa"/>
            <w:tcBorders>
              <w:tl2br w:val="nil"/>
              <w:tr2bl w:val="nil"/>
            </w:tcBorders>
            <w:vAlign w:val="center"/>
          </w:tcPr>
          <w:p w14:paraId="33A2D27E">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钙基</w:t>
            </w:r>
            <w:r>
              <w:rPr>
                <w:rFonts w:hint="eastAsia" w:ascii="Times New Roman" w:hAnsi="Times New Roman" w:cs="Times New Roman"/>
                <w:b/>
                <w:bCs/>
                <w:color w:val="000000" w:themeColor="text1"/>
                <w:sz w:val="24"/>
                <w:szCs w:val="24"/>
                <w:lang w:val="en-US" w:eastAsia="zh-CN"/>
                <w14:textFill>
                  <w14:solidFill>
                    <w14:schemeClr w14:val="tx1"/>
                  </w14:solidFill>
                </w14:textFill>
              </w:rPr>
              <w:t>新</w:t>
            </w:r>
            <w:r>
              <w:rPr>
                <w:rFonts w:hint="default" w:ascii="Times New Roman" w:hAnsi="Times New Roman" w:cs="Times New Roman"/>
                <w:b/>
                <w:bCs/>
                <w:color w:val="000000" w:themeColor="text1"/>
                <w:sz w:val="24"/>
                <w:szCs w:val="24"/>
                <w:lang w:val="en-US" w:eastAsia="zh-CN"/>
                <w14:textFill>
                  <w14:solidFill>
                    <w14:schemeClr w14:val="tx1"/>
                  </w14:solidFill>
                </w14:textFill>
              </w:rPr>
              <w:t>材料</w:t>
            </w:r>
          </w:p>
        </w:tc>
        <w:tc>
          <w:tcPr>
            <w:tcW w:w="1311" w:type="dxa"/>
            <w:tcBorders>
              <w:tl2br w:val="nil"/>
              <w:tr2bl w:val="nil"/>
            </w:tcBorders>
            <w:shd w:val="clear" w:color="auto" w:fill="auto"/>
            <w:vAlign w:val="center"/>
          </w:tcPr>
          <w:p w14:paraId="761C72A2">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lang w:val="en-US" w:eastAsia="zh-CN"/>
                <w14:textFill>
                  <w14:solidFill>
                    <w14:schemeClr w14:val="tx1"/>
                  </w14:solidFill>
                </w14:textFill>
              </w:rPr>
            </w:pPr>
          </w:p>
        </w:tc>
        <w:tc>
          <w:tcPr>
            <w:tcW w:w="1990" w:type="dxa"/>
            <w:tcBorders>
              <w:tl2br w:val="nil"/>
              <w:tr2bl w:val="nil"/>
            </w:tcBorders>
            <w:shd w:val="clear" w:color="auto" w:fill="auto"/>
            <w:vAlign w:val="center"/>
          </w:tcPr>
          <w:p w14:paraId="5F671E45">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b/>
                <w:bCs/>
                <w:color w:val="000000" w:themeColor="text1"/>
                <w:sz w:val="24"/>
                <w:szCs w:val="24"/>
                <w:lang w:val="en-US" w:eastAsia="zh-CN"/>
                <w14:textFill>
                  <w14:solidFill>
                    <w14:schemeClr w14:val="tx1"/>
                  </w14:solidFill>
                </w14:textFill>
              </w:rPr>
            </w:pPr>
          </w:p>
        </w:tc>
      </w:tr>
      <w:tr w14:paraId="5E43B1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04" w:type="dxa"/>
            <w:tcBorders>
              <w:tl2br w:val="nil"/>
              <w:tr2bl w:val="nil"/>
            </w:tcBorders>
            <w:vAlign w:val="center"/>
          </w:tcPr>
          <w:p w14:paraId="7D6FDDF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3.1</w:t>
            </w:r>
          </w:p>
        </w:tc>
        <w:tc>
          <w:tcPr>
            <w:tcW w:w="4520" w:type="dxa"/>
            <w:tcBorders>
              <w:tl2br w:val="nil"/>
              <w:tr2bl w:val="nil"/>
            </w:tcBorders>
            <w:vAlign w:val="center"/>
          </w:tcPr>
          <w:p w14:paraId="42AEDF2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钙基中空包装材料</w:t>
            </w:r>
          </w:p>
        </w:tc>
        <w:tc>
          <w:tcPr>
            <w:tcW w:w="1311" w:type="dxa"/>
            <w:tcBorders>
              <w:tl2br w:val="nil"/>
              <w:tr2bl w:val="nil"/>
            </w:tcBorders>
            <w:shd w:val="clear" w:color="auto" w:fill="auto"/>
            <w:vAlign w:val="center"/>
          </w:tcPr>
          <w:p w14:paraId="219738C5">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bidi="ar-SA"/>
                <w14:textFill>
                  <w14:solidFill>
                    <w14:schemeClr w14:val="tx1"/>
                  </w14:solidFill>
                </w14:textFill>
              </w:rPr>
              <w:t>万</w:t>
            </w:r>
            <w:r>
              <w:rPr>
                <w:rFonts w:hint="default" w:ascii="Times New Roman" w:hAnsi="Times New Roman" w:cs="Times New Roman"/>
                <w:color w:val="000000" w:themeColor="text1"/>
                <w:sz w:val="24"/>
                <w:szCs w:val="24"/>
                <w:lang w:val="en-US" w:eastAsia="zh-CN"/>
                <w14:textFill>
                  <w14:solidFill>
                    <w14:schemeClr w14:val="tx1"/>
                  </w14:solidFill>
                </w14:textFill>
              </w:rPr>
              <w:t>平方米</w:t>
            </w:r>
          </w:p>
        </w:tc>
        <w:tc>
          <w:tcPr>
            <w:tcW w:w="1990" w:type="dxa"/>
            <w:tcBorders>
              <w:tl2br w:val="nil"/>
              <w:tr2bl w:val="nil"/>
            </w:tcBorders>
            <w:shd w:val="clear" w:color="auto" w:fill="auto"/>
            <w:vAlign w:val="center"/>
          </w:tcPr>
          <w:p w14:paraId="38900E7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bidi="ar-SA"/>
                <w14:textFill>
                  <w14:solidFill>
                    <w14:schemeClr w14:val="tx1"/>
                  </w14:solidFill>
                </w14:textFill>
              </w:rPr>
              <w:t>1</w:t>
            </w:r>
            <w:r>
              <w:rPr>
                <w:rFonts w:hint="eastAsia" w:ascii="Times New Roman" w:hAnsi="Times New Roman" w:cs="Times New Roman"/>
                <w:color w:val="000000" w:themeColor="text1"/>
                <w:sz w:val="24"/>
                <w:szCs w:val="24"/>
                <w:lang w:val="en-US" w:eastAsia="zh-CN" w:bidi="ar-SA"/>
                <w14:textFill>
                  <w14:solidFill>
                    <w14:schemeClr w14:val="tx1"/>
                  </w14:solidFill>
                </w14:textFill>
              </w:rPr>
              <w:t>0</w:t>
            </w:r>
            <w:r>
              <w:rPr>
                <w:rFonts w:hint="default" w:ascii="Times New Roman" w:hAnsi="Times New Roman" w:cs="Times New Roman"/>
                <w:color w:val="000000" w:themeColor="text1"/>
                <w:sz w:val="24"/>
                <w:szCs w:val="24"/>
                <w:lang w:val="en-US" w:eastAsia="zh-CN" w:bidi="ar-SA"/>
                <w14:textFill>
                  <w14:solidFill>
                    <w14:schemeClr w14:val="tx1"/>
                  </w14:solidFill>
                </w14:textFill>
              </w:rPr>
              <w:t>00</w:t>
            </w:r>
          </w:p>
        </w:tc>
      </w:tr>
      <w:tr w14:paraId="72DA12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704" w:type="dxa"/>
            <w:tcBorders>
              <w:tl2br w:val="nil"/>
              <w:tr2bl w:val="nil"/>
            </w:tcBorders>
            <w:vAlign w:val="center"/>
          </w:tcPr>
          <w:p w14:paraId="3F320EC0">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3.2</w:t>
            </w:r>
          </w:p>
        </w:tc>
        <w:tc>
          <w:tcPr>
            <w:tcW w:w="4520" w:type="dxa"/>
            <w:tcBorders>
              <w:tl2br w:val="nil"/>
              <w:tr2bl w:val="nil"/>
            </w:tcBorders>
            <w:vAlign w:val="center"/>
          </w:tcPr>
          <w:p w14:paraId="6B558764">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szCs w:val="28"/>
              </w:rPr>
              <w:t>钙基塑料框架</w:t>
            </w:r>
          </w:p>
        </w:tc>
        <w:tc>
          <w:tcPr>
            <w:tcW w:w="1311" w:type="dxa"/>
            <w:tcBorders>
              <w:tl2br w:val="nil"/>
              <w:tr2bl w:val="nil"/>
            </w:tcBorders>
            <w:shd w:val="clear" w:color="auto" w:fill="auto"/>
            <w:vAlign w:val="center"/>
          </w:tcPr>
          <w:p w14:paraId="399979BE">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bidi="ar-SA"/>
                <w14:textFill>
                  <w14:solidFill>
                    <w14:schemeClr w14:val="tx1"/>
                  </w14:solidFill>
                </w14:textFill>
              </w:rPr>
              <w:t>万个</w:t>
            </w:r>
          </w:p>
        </w:tc>
        <w:tc>
          <w:tcPr>
            <w:tcW w:w="1990" w:type="dxa"/>
            <w:tcBorders>
              <w:tl2br w:val="nil"/>
              <w:tr2bl w:val="nil"/>
            </w:tcBorders>
            <w:shd w:val="clear" w:color="auto" w:fill="auto"/>
            <w:vAlign w:val="center"/>
          </w:tcPr>
          <w:p w14:paraId="1D6E6709">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bidi="ar-SA"/>
                <w14:textFill>
                  <w14:solidFill>
                    <w14:schemeClr w14:val="tx1"/>
                  </w14:solidFill>
                </w14:textFill>
              </w:rPr>
              <w:t>1000</w:t>
            </w:r>
          </w:p>
        </w:tc>
      </w:tr>
      <w:tr w14:paraId="49CE6A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704" w:type="dxa"/>
            <w:tcBorders>
              <w:tl2br w:val="nil"/>
              <w:tr2bl w:val="nil"/>
            </w:tcBorders>
            <w:vAlign w:val="center"/>
          </w:tcPr>
          <w:p w14:paraId="092A038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3.3</w:t>
            </w:r>
          </w:p>
        </w:tc>
        <w:tc>
          <w:tcPr>
            <w:tcW w:w="4520" w:type="dxa"/>
            <w:tcBorders>
              <w:tl2br w:val="nil"/>
              <w:tr2bl w:val="nil"/>
            </w:tcBorders>
            <w:vAlign w:val="center"/>
          </w:tcPr>
          <w:p w14:paraId="1EDE7B9A">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多功能石塑板</w:t>
            </w:r>
          </w:p>
        </w:tc>
        <w:tc>
          <w:tcPr>
            <w:tcW w:w="1311" w:type="dxa"/>
            <w:tcBorders>
              <w:tl2br w:val="nil"/>
              <w:tr2bl w:val="nil"/>
            </w:tcBorders>
            <w:shd w:val="clear" w:color="auto" w:fill="auto"/>
            <w:vAlign w:val="center"/>
          </w:tcPr>
          <w:p w14:paraId="582E8091">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万m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p>
        </w:tc>
        <w:tc>
          <w:tcPr>
            <w:tcW w:w="1990" w:type="dxa"/>
            <w:tcBorders>
              <w:tl2br w:val="nil"/>
              <w:tr2bl w:val="nil"/>
            </w:tcBorders>
            <w:shd w:val="clear" w:color="auto" w:fill="auto"/>
            <w:vAlign w:val="center"/>
          </w:tcPr>
          <w:p w14:paraId="18E34415">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100</w:t>
            </w:r>
          </w:p>
        </w:tc>
      </w:tr>
      <w:tr w14:paraId="4F79D6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04" w:type="dxa"/>
            <w:tcBorders>
              <w:tl2br w:val="nil"/>
              <w:tr2bl w:val="nil"/>
            </w:tcBorders>
            <w:vAlign w:val="center"/>
          </w:tcPr>
          <w:p w14:paraId="36D64049">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3.4</w:t>
            </w:r>
          </w:p>
        </w:tc>
        <w:tc>
          <w:tcPr>
            <w:tcW w:w="4520" w:type="dxa"/>
            <w:tcBorders>
              <w:tl2br w:val="nil"/>
              <w:tr2bl w:val="nil"/>
            </w:tcBorders>
            <w:vAlign w:val="center"/>
          </w:tcPr>
          <w:p w14:paraId="17C5510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复合木塑板</w:t>
            </w:r>
          </w:p>
        </w:tc>
        <w:tc>
          <w:tcPr>
            <w:tcW w:w="1311" w:type="dxa"/>
            <w:tcBorders>
              <w:tl2br w:val="nil"/>
              <w:tr2bl w:val="nil"/>
            </w:tcBorders>
            <w:shd w:val="clear" w:color="auto" w:fill="auto"/>
            <w:vAlign w:val="center"/>
          </w:tcPr>
          <w:p w14:paraId="098475E5">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万m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p>
        </w:tc>
        <w:tc>
          <w:tcPr>
            <w:tcW w:w="1990" w:type="dxa"/>
            <w:tcBorders>
              <w:tl2br w:val="nil"/>
              <w:tr2bl w:val="nil"/>
            </w:tcBorders>
            <w:shd w:val="clear" w:color="auto" w:fill="auto"/>
            <w:vAlign w:val="center"/>
          </w:tcPr>
          <w:p w14:paraId="45007797">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100</w:t>
            </w:r>
          </w:p>
        </w:tc>
      </w:tr>
      <w:tr w14:paraId="7DEB7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4" w:type="dxa"/>
            <w:tcBorders>
              <w:tl2br w:val="nil"/>
              <w:tr2bl w:val="nil"/>
            </w:tcBorders>
            <w:vAlign w:val="center"/>
          </w:tcPr>
          <w:p w14:paraId="41E66E0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3.5</w:t>
            </w:r>
          </w:p>
        </w:tc>
        <w:tc>
          <w:tcPr>
            <w:tcW w:w="4520" w:type="dxa"/>
            <w:tcBorders>
              <w:tl2br w:val="nil"/>
              <w:tr2bl w:val="nil"/>
            </w:tcBorders>
            <w:shd w:val="clear" w:color="auto" w:fill="auto"/>
            <w:vAlign w:val="center"/>
          </w:tcPr>
          <w:p w14:paraId="122533DE">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钙基农膜</w:t>
            </w:r>
          </w:p>
        </w:tc>
        <w:tc>
          <w:tcPr>
            <w:tcW w:w="1311" w:type="dxa"/>
            <w:tcBorders>
              <w:tl2br w:val="nil"/>
              <w:tr2bl w:val="nil"/>
            </w:tcBorders>
            <w:shd w:val="clear" w:color="auto" w:fill="auto"/>
            <w:vAlign w:val="center"/>
          </w:tcPr>
          <w:p w14:paraId="15B8E002">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万吨</w:t>
            </w:r>
          </w:p>
        </w:tc>
        <w:tc>
          <w:tcPr>
            <w:tcW w:w="1990" w:type="dxa"/>
            <w:tcBorders>
              <w:tl2br w:val="nil"/>
              <w:tr2bl w:val="nil"/>
            </w:tcBorders>
            <w:shd w:val="clear" w:color="auto" w:fill="auto"/>
            <w:vAlign w:val="center"/>
          </w:tcPr>
          <w:p w14:paraId="7F5951A9">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5</w:t>
            </w:r>
          </w:p>
        </w:tc>
      </w:tr>
      <w:tr w14:paraId="29C9D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04" w:type="dxa"/>
            <w:tcBorders>
              <w:tl2br w:val="nil"/>
              <w:tr2bl w:val="nil"/>
            </w:tcBorders>
            <w:vAlign w:val="center"/>
          </w:tcPr>
          <w:p w14:paraId="49A9D58C">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3.6</w:t>
            </w:r>
          </w:p>
        </w:tc>
        <w:tc>
          <w:tcPr>
            <w:tcW w:w="4520" w:type="dxa"/>
            <w:tcBorders>
              <w:tl2br w:val="nil"/>
              <w:tr2bl w:val="nil"/>
            </w:tcBorders>
            <w:shd w:val="clear" w:color="auto" w:fill="auto"/>
            <w:vAlign w:val="center"/>
          </w:tcPr>
          <w:p w14:paraId="3F913C2D">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无机石</w:t>
            </w:r>
          </w:p>
        </w:tc>
        <w:tc>
          <w:tcPr>
            <w:tcW w:w="1311" w:type="dxa"/>
            <w:tcBorders>
              <w:tl2br w:val="nil"/>
              <w:tr2bl w:val="nil"/>
            </w:tcBorders>
            <w:shd w:val="clear" w:color="auto" w:fill="auto"/>
            <w:vAlign w:val="center"/>
          </w:tcPr>
          <w:p w14:paraId="01FEDB19">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万m</w:t>
            </w:r>
            <w:r>
              <w:rPr>
                <w:rFonts w:hint="default" w:ascii="Times New Roman" w:hAnsi="Times New Roman" w:cs="Times New Roman"/>
                <w:color w:val="000000" w:themeColor="text1"/>
                <w:sz w:val="24"/>
                <w:szCs w:val="24"/>
                <w:vertAlign w:val="superscript"/>
                <w:lang w:val="en-US" w:eastAsia="zh-CN"/>
                <w14:textFill>
                  <w14:solidFill>
                    <w14:schemeClr w14:val="tx1"/>
                  </w14:solidFill>
                </w14:textFill>
              </w:rPr>
              <w:t>2</w:t>
            </w:r>
          </w:p>
        </w:tc>
        <w:tc>
          <w:tcPr>
            <w:tcW w:w="1990" w:type="dxa"/>
            <w:tcBorders>
              <w:tl2br w:val="nil"/>
              <w:tr2bl w:val="nil"/>
            </w:tcBorders>
            <w:shd w:val="clear" w:color="auto" w:fill="auto"/>
            <w:vAlign w:val="center"/>
          </w:tcPr>
          <w:p w14:paraId="23C304EA">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500</w:t>
            </w:r>
          </w:p>
        </w:tc>
      </w:tr>
      <w:tr w14:paraId="768226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704" w:type="dxa"/>
            <w:tcBorders>
              <w:tl2br w:val="nil"/>
              <w:tr2bl w:val="nil"/>
            </w:tcBorders>
            <w:vAlign w:val="center"/>
          </w:tcPr>
          <w:p w14:paraId="11EAEA47">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lang w:val="en-US" w:eastAsia="zh-CN"/>
                <w14:textFill>
                  <w14:solidFill>
                    <w14:schemeClr w14:val="tx1"/>
                  </w14:solidFill>
                </w14:textFill>
              </w:rPr>
            </w:pPr>
            <w:r>
              <w:rPr>
                <w:rFonts w:hint="eastAsia" w:ascii="黑体" w:hAnsi="黑体" w:eastAsia="黑体" w:cs="黑体"/>
                <w:b/>
                <w:bCs/>
                <w:color w:val="000000" w:themeColor="text1"/>
                <w:sz w:val="24"/>
                <w:szCs w:val="24"/>
                <w:lang w:val="en-US" w:eastAsia="zh-CN"/>
                <w14:textFill>
                  <w14:solidFill>
                    <w14:schemeClr w14:val="tx1"/>
                  </w14:solidFill>
                </w14:textFill>
              </w:rPr>
              <w:t>五</w:t>
            </w:r>
          </w:p>
        </w:tc>
        <w:tc>
          <w:tcPr>
            <w:tcW w:w="4520" w:type="dxa"/>
            <w:tcBorders>
              <w:tl2br w:val="nil"/>
              <w:tr2bl w:val="nil"/>
            </w:tcBorders>
            <w:vAlign w:val="center"/>
          </w:tcPr>
          <w:p w14:paraId="58BBDCFE">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建材产品</w:t>
            </w:r>
          </w:p>
        </w:tc>
        <w:tc>
          <w:tcPr>
            <w:tcW w:w="1311" w:type="dxa"/>
            <w:tcBorders>
              <w:tl2br w:val="nil"/>
              <w:tr2bl w:val="nil"/>
            </w:tcBorders>
            <w:vAlign w:val="center"/>
          </w:tcPr>
          <w:p w14:paraId="2015BEE4">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万t/a</w:t>
            </w:r>
          </w:p>
        </w:tc>
        <w:tc>
          <w:tcPr>
            <w:tcW w:w="1990" w:type="dxa"/>
            <w:tcBorders>
              <w:tl2br w:val="nil"/>
              <w:tr2bl w:val="nil"/>
            </w:tcBorders>
            <w:vAlign w:val="center"/>
          </w:tcPr>
          <w:p w14:paraId="4A260A8E">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eastAsia" w:ascii="Times New Roman" w:hAnsi="Times New Roman" w:cs="Times New Roman"/>
                <w:b/>
                <w:bCs/>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30</w:t>
            </w:r>
          </w:p>
        </w:tc>
      </w:tr>
      <w:tr w14:paraId="6213C2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704" w:type="dxa"/>
            <w:tcBorders>
              <w:tl2br w:val="nil"/>
              <w:tr2bl w:val="nil"/>
            </w:tcBorders>
            <w:vAlign w:val="center"/>
          </w:tcPr>
          <w:p w14:paraId="5A86D6A3">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4520" w:type="dxa"/>
            <w:tcBorders>
              <w:tl2br w:val="nil"/>
              <w:tr2bl w:val="nil"/>
            </w:tcBorders>
            <w:vAlign w:val="center"/>
          </w:tcPr>
          <w:p w14:paraId="07743996">
            <w:pPr>
              <w:pStyle w:val="17"/>
              <w:keepNext w:val="0"/>
              <w:keepLines w:val="0"/>
              <w:pageBreakBefore w:val="0"/>
              <w:widowControl w:val="0"/>
              <w:kinsoku/>
              <w:wordWrap/>
              <w:overflowPunct/>
              <w:topLinePunct w:val="0"/>
              <w:autoSpaceDE/>
              <w:autoSpaceDN/>
              <w:bidi w:val="0"/>
              <w:adjustRightInd/>
              <w:snapToGrid/>
              <w:spacing w:before="0" w:after="0" w:line="360" w:lineRule="auto"/>
              <w:jc w:val="both"/>
              <w:textAlignment w:val="baseline"/>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新型腻子粉</w:t>
            </w:r>
          </w:p>
        </w:tc>
        <w:tc>
          <w:tcPr>
            <w:tcW w:w="1311" w:type="dxa"/>
            <w:tcBorders>
              <w:tl2br w:val="nil"/>
              <w:tr2bl w:val="nil"/>
            </w:tcBorders>
            <w:shd w:val="clear" w:color="auto" w:fill="auto"/>
            <w:vAlign w:val="center"/>
          </w:tcPr>
          <w:p w14:paraId="560A2CE3">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万t/a</w:t>
            </w:r>
          </w:p>
        </w:tc>
        <w:tc>
          <w:tcPr>
            <w:tcW w:w="1990" w:type="dxa"/>
            <w:tcBorders>
              <w:tl2br w:val="nil"/>
              <w:tr2bl w:val="nil"/>
            </w:tcBorders>
            <w:shd w:val="clear" w:color="auto" w:fill="auto"/>
            <w:vAlign w:val="center"/>
          </w:tcPr>
          <w:p w14:paraId="195C9D76">
            <w:pPr>
              <w:pStyle w:val="17"/>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baseline"/>
              <w:rPr>
                <w:rFonts w:hint="default" w:ascii="Times New Roman" w:hAnsi="Times New Roman" w:eastAsia="仿宋_GB2312" w:cs="Times New Roman"/>
                <w:color w:val="000000" w:themeColor="text1"/>
                <w:sz w:val="24"/>
                <w:szCs w:val="24"/>
                <w:lang w:val="en-US" w:eastAsia="zh-CN" w:bidi="ar-SA"/>
                <w14:textFill>
                  <w14:solidFill>
                    <w14:schemeClr w14:val="tx1"/>
                  </w14:solidFill>
                </w14:textFill>
              </w:rPr>
            </w:pPr>
            <w:r>
              <w:rPr>
                <w:rFonts w:hint="eastAsia" w:ascii="Times New Roman" w:hAnsi="Times New Roman" w:cs="Times New Roman"/>
                <w:color w:val="000000" w:themeColor="text1"/>
                <w:sz w:val="24"/>
                <w:szCs w:val="24"/>
                <w:lang w:val="en-US" w:eastAsia="zh-CN" w:bidi="ar-SA"/>
                <w14:textFill>
                  <w14:solidFill>
                    <w14:schemeClr w14:val="tx1"/>
                  </w14:solidFill>
                </w14:textFill>
              </w:rPr>
              <w:t>3</w:t>
            </w:r>
            <w:r>
              <w:rPr>
                <w:rFonts w:hint="default" w:ascii="Times New Roman" w:hAnsi="Times New Roman" w:cs="Times New Roman"/>
                <w:color w:val="000000" w:themeColor="text1"/>
                <w:sz w:val="24"/>
                <w:szCs w:val="24"/>
                <w:lang w:val="en-US" w:eastAsia="zh-CN" w:bidi="ar-SA"/>
                <w14:textFill>
                  <w14:solidFill>
                    <w14:schemeClr w14:val="tx1"/>
                  </w14:solidFill>
                </w14:textFill>
              </w:rPr>
              <w:t>0</w:t>
            </w:r>
          </w:p>
        </w:tc>
      </w:tr>
      <w:bookmarkEnd w:id="9"/>
    </w:tbl>
    <w:p w14:paraId="6ACDF662">
      <w:pPr>
        <w:keepNext w:val="0"/>
        <w:keepLines w:val="0"/>
        <w:pageBreakBefore w:val="0"/>
        <w:widowControl w:val="0"/>
        <w:kinsoku/>
        <w:wordWrap/>
        <w:overflowPunct/>
        <w:topLinePunct w:val="0"/>
        <w:autoSpaceDE w:val="0"/>
        <w:autoSpaceDN w:val="0"/>
        <w:bidi w:val="0"/>
        <w:adjustRightInd/>
        <w:snapToGrid/>
        <w:spacing w:before="518" w:line="360" w:lineRule="auto"/>
        <w:ind w:firstLine="616" w:firstLineChars="200"/>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pPr>
      <w:r>
        <w:rPr>
          <w:rFonts w:hint="default" w:ascii="Times New Roman" w:hAnsi="Times New Roman" w:eastAsia="黑体" w:cs="Times New Roman"/>
          <w:snapToGrid w:val="0"/>
          <w:color w:val="000000"/>
          <w:spacing w:val="-6"/>
          <w:kern w:val="0"/>
          <w:position w:val="-2"/>
          <w:sz w:val="32"/>
          <w:szCs w:val="32"/>
          <w:lang w:val="en-US" w:eastAsia="zh-CN"/>
        </w:rPr>
        <w:t>五、空间布局规划</w:t>
      </w:r>
    </w:p>
    <w:p w14:paraId="75D03C89">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baseline"/>
        <w:outlineLvl w:val="9"/>
        <w:rPr>
          <w:rFonts w:hint="default" w:ascii="Times New Roman" w:hAnsi="Times New Roman" w:eastAsia="方正仿宋_GB2312" w:cs="Times New Roman"/>
          <w:sz w:val="30"/>
          <w:szCs w:val="30"/>
          <w:lang w:eastAsia="zh-CN"/>
        </w:rPr>
      </w:pP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云南省石林县</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总体空间布局为：</w:t>
      </w:r>
      <w:r>
        <w:rPr>
          <w:rFonts w:hint="eastAsia" w:ascii="Times New Roman" w:hAnsi="Times New Roman" w:eastAsia="方正仿宋_GB2312" w:cs="Times New Roman"/>
          <w:sz w:val="30"/>
          <w:szCs w:val="30"/>
          <w:lang w:eastAsia="zh-CN"/>
        </w:rPr>
        <w:t>“一矿两园”</w:t>
      </w:r>
      <w:r>
        <w:rPr>
          <w:rFonts w:hint="default" w:ascii="Times New Roman" w:hAnsi="Times New Roman" w:eastAsia="方正仿宋_GB2312" w:cs="Times New Roman"/>
          <w:sz w:val="30"/>
          <w:szCs w:val="30"/>
          <w:lang w:eastAsia="zh-CN"/>
        </w:rPr>
        <w:t>。</w:t>
      </w:r>
    </w:p>
    <w:p w14:paraId="454FC5C9">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baseline"/>
        <w:outlineLvl w:val="1"/>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val="en-US" w:eastAsia="zh-CN"/>
        </w:rPr>
        <w:t>一）</w:t>
      </w:r>
      <w:r>
        <w:rPr>
          <w:rFonts w:hint="eastAsia" w:ascii="Times New Roman" w:hAnsi="Times New Roman" w:eastAsia="方正仿宋_GB2312" w:cs="Times New Roman"/>
          <w:sz w:val="30"/>
          <w:szCs w:val="30"/>
          <w:lang w:val="en-US" w:eastAsia="zh-CN"/>
        </w:rPr>
        <w:t>一矿</w:t>
      </w:r>
    </w:p>
    <w:p w14:paraId="5584D1EC">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baseline"/>
        <w:outlineLvl w:val="9"/>
        <w:rPr>
          <w:rFonts w:hint="default"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一矿</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：以西街口片区为</w:t>
      </w:r>
      <w:r>
        <w:rPr>
          <w:rFonts w:hint="eastAsia" w:ascii="Times New Roman" w:hAnsi="Times New Roman" w:eastAsia="方正仿宋_GB2312" w:cs="Times New Roman"/>
          <w:sz w:val="30"/>
          <w:szCs w:val="30"/>
          <w:lang w:val="en-US" w:eastAsia="zh-CN"/>
        </w:rPr>
        <w:t>主</w:t>
      </w:r>
      <w:r>
        <w:rPr>
          <w:rFonts w:hint="default" w:ascii="Times New Roman" w:hAnsi="Times New Roman" w:eastAsia="方正仿宋_GB2312" w:cs="Times New Roman"/>
          <w:sz w:val="30"/>
          <w:szCs w:val="30"/>
          <w:lang w:val="en-US" w:eastAsia="zh-CN"/>
        </w:rPr>
        <w:t>核心矿产开采区</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（兼顾生态修复）</w:t>
      </w:r>
      <w:r>
        <w:rPr>
          <w:rFonts w:hint="default"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lang w:val="en-US" w:eastAsia="zh-CN"/>
        </w:rPr>
        <w:t>大可乡中龙村和小新冲村等其他片区为次核心矿产开采区，</w:t>
      </w:r>
      <w:r>
        <w:rPr>
          <w:rFonts w:hint="default" w:ascii="Times New Roman" w:hAnsi="Times New Roman" w:eastAsia="方正仿宋_GB2312" w:cs="Times New Roman"/>
          <w:sz w:val="30"/>
          <w:szCs w:val="30"/>
          <w:lang w:val="en-US" w:eastAsia="zh-CN"/>
        </w:rPr>
        <w:t>集中布局绿色矿山开发，</w:t>
      </w:r>
      <w:r>
        <w:rPr>
          <w:rFonts w:hint="eastAsia" w:ascii="Times New Roman" w:hAnsi="Times New Roman" w:eastAsia="方正仿宋_GB2312" w:cs="Times New Roman"/>
          <w:sz w:val="30"/>
          <w:szCs w:val="30"/>
          <w:lang w:val="en-US" w:eastAsia="zh-CN"/>
        </w:rPr>
        <w:t>适度安排初加工区，</w:t>
      </w:r>
      <w:r>
        <w:rPr>
          <w:rFonts w:hint="default" w:ascii="Times New Roman" w:hAnsi="Times New Roman" w:eastAsia="方正仿宋_GB2312" w:cs="Times New Roman"/>
          <w:sz w:val="30"/>
          <w:szCs w:val="30"/>
          <w:lang w:val="en-US" w:eastAsia="zh-CN"/>
        </w:rPr>
        <w:t>保障产业原料供给</w:t>
      </w:r>
      <w:r>
        <w:rPr>
          <w:rFonts w:hint="eastAsia" w:ascii="Times New Roman" w:hAnsi="Times New Roman" w:eastAsia="方正仿宋_GB2312" w:cs="Times New Roman"/>
          <w:sz w:val="30"/>
          <w:szCs w:val="30"/>
          <w:lang w:val="en-US" w:eastAsia="zh-CN"/>
        </w:rPr>
        <w:t>。</w:t>
      </w:r>
    </w:p>
    <w:p w14:paraId="0246DFFB">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00"/>
        <w:jc w:val="both"/>
        <w:textAlignment w:val="baseline"/>
        <w:outlineLvl w:val="1"/>
        <w:rPr>
          <w:rFonts w:hint="eastAsia" w:ascii="Times New Roman" w:hAnsi="Times New Roman" w:eastAsia="方正仿宋_GB2312" w:cs="Times New Roman"/>
          <w:sz w:val="30"/>
          <w:szCs w:val="30"/>
          <w:lang w:val="en-US" w:eastAsia="zh-CN"/>
        </w:rPr>
      </w:pPr>
      <w:r>
        <w:rPr>
          <w:rFonts w:hint="eastAsia" w:ascii="Times New Roman" w:hAnsi="Times New Roman" w:eastAsia="方正仿宋_GB2312" w:cs="Times New Roman"/>
          <w:sz w:val="30"/>
          <w:szCs w:val="30"/>
          <w:lang w:val="en-US" w:eastAsia="zh-CN"/>
        </w:rPr>
        <w:t>（二）两园</w:t>
      </w:r>
    </w:p>
    <w:p w14:paraId="2E49F8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both"/>
        <w:textAlignment w:val="auto"/>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pP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两</w:t>
      </w:r>
      <w:r>
        <w:rPr>
          <w:rFonts w:hint="eastAsia" w:ascii="Times New Roman" w:hAnsi="Times New Roman" w:eastAsia="方正仿宋_GB2312" w:cs="Times New Roman"/>
          <w:sz w:val="30"/>
          <w:szCs w:val="30"/>
          <w:lang w:val="en-US" w:eastAsia="zh-CN"/>
        </w:rPr>
        <w:t>园”</w:t>
      </w:r>
      <w:r>
        <w:rPr>
          <w:rFonts w:hint="default" w:ascii="Times New Roman" w:hAnsi="Times New Roman" w:eastAsia="方正仿宋_GB2312" w:cs="Times New Roman"/>
          <w:sz w:val="30"/>
          <w:szCs w:val="30"/>
          <w:lang w:val="en-US" w:eastAsia="zh-CN"/>
        </w:rPr>
        <w:t>：一是</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钙基新材料产业园。以</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西街口加工集中区</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为核心，一期规划1214亩（2026-2030年，城镇开发规划，土地已完成征迁，建议将红线、绿线全部纳入一期规划。二期规划至2035年，总规划用地约2500亩，按投资强度测算，可支撑30-50亿元投资规模）。</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聚焦超细钙粉、高端钙基新材料生产</w:t>
      </w:r>
      <w:r>
        <w:rPr>
          <w:rFonts w:hint="default" w:ascii="Times New Roman" w:hAnsi="Times New Roman" w:eastAsia="方正仿宋_GB2312" w:cs="Times New Roman"/>
          <w:sz w:val="30"/>
          <w:szCs w:val="30"/>
          <w:lang w:val="en-US" w:eastAsia="zh-CN"/>
        </w:rPr>
        <w:t>，重点布局矿石初加工、钙基粉体生产、</w:t>
      </w:r>
      <w:r>
        <w:rPr>
          <w:rFonts w:hint="eastAsia" w:ascii="Times New Roman" w:hAnsi="Times New Roman" w:eastAsia="方正仿宋_GB2312" w:cs="Times New Roman"/>
          <w:sz w:val="30"/>
          <w:szCs w:val="30"/>
          <w:lang w:val="en-US" w:eastAsia="zh-CN"/>
        </w:rPr>
        <w:t>天然板材加工、</w:t>
      </w:r>
      <w:r>
        <w:rPr>
          <w:rFonts w:hint="default" w:ascii="Times New Roman" w:hAnsi="Times New Roman" w:eastAsia="方正仿宋_GB2312" w:cs="Times New Roman"/>
          <w:sz w:val="30"/>
          <w:szCs w:val="30"/>
          <w:lang w:val="en-US" w:eastAsia="zh-CN"/>
        </w:rPr>
        <w:t>矿渣</w:t>
      </w:r>
      <w:r>
        <w:rPr>
          <w:rFonts w:hint="eastAsia" w:ascii="Times New Roman" w:hAnsi="Times New Roman" w:eastAsia="方正仿宋_GB2312" w:cs="Times New Roman"/>
          <w:sz w:val="30"/>
          <w:szCs w:val="30"/>
          <w:lang w:val="en-US" w:eastAsia="zh-CN"/>
        </w:rPr>
        <w:t>和板材生产废渣</w:t>
      </w:r>
      <w:r>
        <w:rPr>
          <w:rFonts w:hint="default" w:ascii="Times New Roman" w:hAnsi="Times New Roman" w:eastAsia="方正仿宋_GB2312" w:cs="Times New Roman"/>
          <w:sz w:val="30"/>
          <w:szCs w:val="30"/>
          <w:lang w:val="en-US" w:eastAsia="zh-CN"/>
        </w:rPr>
        <w:t>综合利用</w:t>
      </w:r>
      <w:r>
        <w:rPr>
          <w:rFonts w:hint="eastAsia" w:ascii="Times New Roman" w:hAnsi="Times New Roman" w:eastAsia="方正仿宋_GB2312" w:cs="Times New Roman"/>
          <w:sz w:val="30"/>
          <w:szCs w:val="30"/>
          <w:lang w:val="en-US" w:eastAsia="zh-CN"/>
        </w:rPr>
        <w:t>、现代生产性服务业（含区域现代物流业，与火车站物流中心相匹配）</w:t>
      </w:r>
      <w:r>
        <w:rPr>
          <w:rFonts w:hint="default" w:ascii="Times New Roman" w:hAnsi="Times New Roman" w:eastAsia="方正仿宋_GB2312" w:cs="Times New Roman"/>
          <w:sz w:val="30"/>
          <w:szCs w:val="30"/>
          <w:lang w:val="en-US" w:eastAsia="zh-CN"/>
        </w:rPr>
        <w:t>等产业</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二是</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石材</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新材料</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特色产业园</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。以石林</w:t>
      </w:r>
      <w:r>
        <w:rPr>
          <w:rFonts w:hint="default" w:ascii="Times New Roman" w:hAnsi="Times New Roman" w:eastAsia="方正仿宋_GB2312" w:cs="Times New Roman"/>
          <w:sz w:val="30"/>
          <w:szCs w:val="30"/>
          <w:lang w:val="en-US" w:eastAsia="zh-CN"/>
        </w:rPr>
        <w:t>县中心（火车站周边）</w:t>
      </w:r>
      <w:r>
        <w:rPr>
          <w:rFonts w:hint="eastAsia" w:ascii="Times New Roman" w:hAnsi="Times New Roman" w:eastAsia="方正仿宋_GB2312" w:cs="Times New Roman"/>
          <w:sz w:val="30"/>
          <w:szCs w:val="30"/>
          <w:lang w:val="en-US" w:eastAsia="zh-CN"/>
        </w:rPr>
        <w:t>钙基新材料（石材）</w:t>
      </w:r>
      <w:r>
        <w:rPr>
          <w:rFonts w:hint="default" w:ascii="Times New Roman" w:hAnsi="Times New Roman" w:eastAsia="方正仿宋_GB2312" w:cs="Times New Roman"/>
          <w:sz w:val="30"/>
          <w:szCs w:val="30"/>
          <w:lang w:val="en-US" w:eastAsia="zh-CN"/>
        </w:rPr>
        <w:t>加工</w:t>
      </w:r>
      <w:r>
        <w:rPr>
          <w:rFonts w:hint="eastAsia" w:ascii="Times New Roman" w:hAnsi="Times New Roman" w:eastAsia="方正仿宋_GB2312" w:cs="Times New Roman"/>
          <w:sz w:val="30"/>
          <w:szCs w:val="30"/>
          <w:lang w:val="en-US" w:eastAsia="zh-CN"/>
        </w:rPr>
        <w:t>和</w:t>
      </w:r>
      <w:r>
        <w:rPr>
          <w:rFonts w:hint="default" w:ascii="Times New Roman" w:hAnsi="Times New Roman" w:eastAsia="方正仿宋_GB2312" w:cs="Times New Roman"/>
          <w:sz w:val="30"/>
          <w:szCs w:val="30"/>
          <w:lang w:val="en-US" w:eastAsia="zh-CN"/>
        </w:rPr>
        <w:t>物流基地</w:t>
      </w:r>
      <w:r>
        <w:rPr>
          <w:rFonts w:hint="eastAsia" w:ascii="Times New Roman" w:hAnsi="Times New Roman" w:eastAsia="方正仿宋_GB2312" w:cs="Times New Roman"/>
          <w:sz w:val="30"/>
          <w:szCs w:val="30"/>
          <w:lang w:val="en-US" w:eastAsia="zh-CN"/>
        </w:rPr>
        <w:t>为核心</w:t>
      </w:r>
      <w:r>
        <w:rPr>
          <w:rFonts w:hint="default" w:ascii="Times New Roman" w:hAnsi="Times New Roman" w:eastAsia="方正仿宋_GB2312" w:cs="Times New Roman"/>
          <w:sz w:val="30"/>
          <w:szCs w:val="30"/>
          <w:lang w:val="en-US" w:eastAsia="zh-CN"/>
        </w:rPr>
        <w:t>，依托成熟工业园区及物流园区规划，利用</w:t>
      </w:r>
      <w:r>
        <w:rPr>
          <w:rFonts w:hint="eastAsia" w:ascii="Times New Roman" w:hAnsi="Times New Roman" w:eastAsia="方正仿宋_GB2312" w:cs="Times New Roman"/>
          <w:sz w:val="30"/>
          <w:szCs w:val="30"/>
          <w:lang w:val="en-US" w:eastAsia="zh-CN"/>
        </w:rPr>
        <w:t>集约的</w:t>
      </w:r>
      <w:r>
        <w:rPr>
          <w:rFonts w:hint="default" w:ascii="Times New Roman" w:hAnsi="Times New Roman" w:eastAsia="方正仿宋_GB2312" w:cs="Times New Roman"/>
          <w:sz w:val="30"/>
          <w:szCs w:val="30"/>
          <w:lang w:val="en-US" w:eastAsia="zh-CN"/>
        </w:rPr>
        <w:t>土地约1000多亩（含450亩核心地块），可快速对接项目落地。重点布局钙基高分子材料深加工、产品包装、物流配送</w:t>
      </w:r>
      <w:r>
        <w:rPr>
          <w:rFonts w:hint="eastAsia" w:ascii="Times New Roman" w:hAnsi="Times New Roman" w:eastAsia="方正仿宋_GB2312" w:cs="Times New Roman"/>
          <w:sz w:val="30"/>
          <w:szCs w:val="30"/>
          <w:lang w:val="en-US" w:eastAsia="zh-CN"/>
        </w:rPr>
        <w:t>和科技服务业</w:t>
      </w:r>
      <w:r>
        <w:rPr>
          <w:rFonts w:hint="default" w:ascii="Times New Roman" w:hAnsi="Times New Roman" w:eastAsia="方正仿宋_GB2312" w:cs="Times New Roman"/>
          <w:sz w:val="30"/>
          <w:szCs w:val="30"/>
          <w:lang w:val="en-US" w:eastAsia="zh-CN"/>
        </w:rPr>
        <w:t>等产业</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重点发展</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钙基包装新材、</w:t>
      </w:r>
      <w:r>
        <w:rPr>
          <w:rFonts w:hint="default"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高端板材、智能家居配套石材</w:t>
      </w:r>
      <w:r>
        <w:rPr>
          <w:rFonts w:hint="eastAsia" w:ascii="Times New Roman" w:hAnsi="Times New Roman" w:eastAsia="方正仿宋_GB2312" w:cs="Times New Roman"/>
          <w:b w:val="0"/>
          <w:bCs w:val="0"/>
          <w:color w:val="000000" w:themeColor="text1"/>
          <w:kern w:val="2"/>
          <w:sz w:val="30"/>
          <w:szCs w:val="30"/>
          <w:lang w:val="en-US" w:eastAsia="zh-CN" w:bidi="ar-SA"/>
          <w14:textFill>
            <w14:solidFill>
              <w14:schemeClr w14:val="tx1"/>
            </w14:solidFill>
          </w14:textFill>
        </w:rPr>
        <w:t>和现代物流业等</w:t>
      </w:r>
      <w:r>
        <w:rPr>
          <w:rFonts w:hint="default" w:ascii="Times New Roman" w:hAnsi="Times New Roman" w:eastAsia="方正仿宋_GB2312" w:cs="Times New Roman"/>
          <w:sz w:val="30"/>
          <w:szCs w:val="30"/>
          <w:lang w:val="en-US" w:eastAsia="zh-CN"/>
        </w:rPr>
        <w:t>。</w:t>
      </w:r>
    </w:p>
    <w:p w14:paraId="69136E7B">
      <w:pPr>
        <w:keepNext w:val="0"/>
        <w:keepLines w:val="0"/>
        <w:pageBreakBefore w:val="0"/>
        <w:widowControl w:val="0"/>
        <w:kinsoku/>
        <w:wordWrap/>
        <w:overflowPunct/>
        <w:topLinePunct w:val="0"/>
        <w:autoSpaceDE w:val="0"/>
        <w:autoSpaceDN w:val="0"/>
        <w:bidi w:val="0"/>
        <w:adjustRightInd/>
        <w:snapToGrid/>
        <w:spacing w:before="120" w:line="360" w:lineRule="auto"/>
        <w:ind w:firstLine="616" w:firstLineChars="200"/>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pPr>
      <w:r>
        <w:rPr>
          <w:rFonts w:hint="default" w:ascii="Times New Roman" w:hAnsi="Times New Roman" w:eastAsia="黑体" w:cs="Times New Roman"/>
          <w:snapToGrid w:val="0"/>
          <w:color w:val="000000"/>
          <w:spacing w:val="-6"/>
          <w:kern w:val="0"/>
          <w:position w:val="-2"/>
          <w:sz w:val="32"/>
          <w:szCs w:val="32"/>
          <w:lang w:val="en-US" w:eastAsia="zh-CN"/>
        </w:rPr>
        <w:t>六、主要任务</w:t>
      </w:r>
    </w:p>
    <w:p w14:paraId="3D6FD28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default" w:ascii="Times New Roman" w:hAnsi="Times New Roman" w:eastAsia="方正仿宋_GB2312" w:cs="Times New Roman"/>
          <w:sz w:val="30"/>
          <w:szCs w:val="30"/>
          <w:lang w:eastAsia="zh-CN"/>
        </w:rPr>
      </w:pP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十五五</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末</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为实现石林县钙基新材料（石材）产业建成百亿级产业集群、打造全国重要产业基地的总体目标，紧扣</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精准识矿、以矿定链、以链招商、创新强链</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发展思路，立足</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一矿两园</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lang w:eastAsia="zh-CN"/>
        </w:rPr>
        <w:t>布局，围绕资源利用、产业升级、绿色发展等核心方向，明确以下主要任务，确保各项目标落地见效。</w:t>
      </w:r>
    </w:p>
    <w:p w14:paraId="0EFE355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eastAsia" w:ascii="Times New Roman" w:hAnsi="Times New Roman" w:eastAsia="方正仿宋_GB2312" w:cs="Times New Roman"/>
          <w:b/>
          <w:bCs/>
          <w:sz w:val="30"/>
          <w:szCs w:val="30"/>
          <w:lang w:val="en-US" w:eastAsia="zh-CN"/>
        </w:rPr>
        <w:t>（一）</w:t>
      </w:r>
      <w:r>
        <w:rPr>
          <w:rFonts w:hint="default" w:ascii="Times New Roman" w:hAnsi="Times New Roman" w:eastAsia="方正仿宋_GB2312" w:cs="Times New Roman"/>
          <w:b/>
          <w:bCs/>
          <w:sz w:val="30"/>
          <w:szCs w:val="30"/>
        </w:rPr>
        <w:t>夯实资源根基，推动</w:t>
      </w:r>
      <w:r>
        <w:rPr>
          <w:rFonts w:hint="eastAsia" w:ascii="Times New Roman" w:hAnsi="Times New Roman" w:eastAsia="方正仿宋_GB2312" w:cs="Times New Roman"/>
          <w:b/>
          <w:bCs/>
          <w:sz w:val="30"/>
          <w:szCs w:val="30"/>
          <w:lang w:val="en-US" w:eastAsia="zh-CN"/>
        </w:rPr>
        <w:t>矿产</w:t>
      </w:r>
      <w:r>
        <w:rPr>
          <w:rFonts w:hint="default" w:ascii="Times New Roman" w:hAnsi="Times New Roman" w:eastAsia="方正仿宋_GB2312" w:cs="Times New Roman"/>
          <w:b/>
          <w:bCs/>
          <w:sz w:val="30"/>
          <w:szCs w:val="30"/>
        </w:rPr>
        <w:t>集约高效利用</w:t>
      </w:r>
    </w:p>
    <w:p w14:paraId="0A7CDA2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以</w:t>
      </w:r>
      <w:r>
        <w:rPr>
          <w:rFonts w:hint="eastAsia" w:ascii="Times New Roman" w:hAnsi="Times New Roman" w:eastAsia="方正仿宋_GB2312" w:cs="Times New Roman"/>
          <w:sz w:val="30"/>
          <w:szCs w:val="30"/>
          <w:lang w:val="en-US" w:eastAsia="zh-CN"/>
        </w:rPr>
        <w:t>矿产</w:t>
      </w:r>
      <w:r>
        <w:rPr>
          <w:rFonts w:hint="default" w:ascii="Times New Roman" w:hAnsi="Times New Roman" w:eastAsia="方正仿宋_GB2312" w:cs="Times New Roman"/>
          <w:sz w:val="30"/>
          <w:szCs w:val="30"/>
          <w:lang w:val="en-US" w:eastAsia="zh-CN"/>
        </w:rPr>
        <w:t>资源精准勘探、规范整合为核心，筑牢产业发展基础，实现资源开发与生态保护协同推进。一是开展资源精细化勘探，摸清全县碳酸钙（石灰岩</w:t>
      </w:r>
      <w:r>
        <w:rPr>
          <w:rFonts w:hint="eastAsia" w:ascii="Times New Roman" w:hAnsi="Times New Roman" w:eastAsia="方正仿宋_GB2312" w:cs="Times New Roman"/>
          <w:sz w:val="30"/>
          <w:szCs w:val="30"/>
          <w:lang w:val="en-US" w:eastAsia="zh-CN"/>
        </w:rPr>
        <w:t>、方解石</w:t>
      </w:r>
      <w:r>
        <w:rPr>
          <w:rFonts w:hint="default" w:ascii="Times New Roman" w:hAnsi="Times New Roman" w:eastAsia="方正仿宋_GB2312" w:cs="Times New Roman"/>
          <w:sz w:val="30"/>
          <w:szCs w:val="30"/>
          <w:lang w:val="en-US" w:eastAsia="zh-CN"/>
        </w:rPr>
        <w:t>等）资源储量、品质及分布，按天然型材矿和非型材矿分类完成性能指标测试，建立完善资源数据库；二是推进矿山整合重组，淘汰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小散乱</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矿企，鼓励有实力的企业通过兼并、收购等形式整合，实行</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统一规划、统一开采、统一管理、统一精选、统一配送</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的规模化开采模式；三是优化矿权配置，建立</w:t>
      </w:r>
      <w:r>
        <w:rPr>
          <w:rFonts w:hint="eastAsia" w:ascii="Times New Roman" w:hAnsi="Times New Roman" w:eastAsia="方正仿宋_GB2312" w:cs="Times New Roman"/>
          <w:sz w:val="30"/>
          <w:szCs w:val="30"/>
          <w:lang w:val="en-US" w:eastAsia="zh-CN"/>
        </w:rPr>
        <w:t>“优矿优配”机制，即“</w:t>
      </w:r>
      <w:r>
        <w:rPr>
          <w:rFonts w:hint="default" w:ascii="Times New Roman" w:hAnsi="Times New Roman" w:eastAsia="方正仿宋_GB2312" w:cs="Times New Roman"/>
          <w:sz w:val="30"/>
          <w:szCs w:val="30"/>
          <w:lang w:val="en-US" w:eastAsia="zh-CN"/>
        </w:rPr>
        <w:t>优质矿权优先配置绿色、高端</w:t>
      </w:r>
      <w:r>
        <w:rPr>
          <w:rFonts w:hint="eastAsia" w:ascii="Times New Roman" w:hAnsi="Times New Roman" w:eastAsia="方正仿宋_GB2312" w:cs="Times New Roman"/>
          <w:sz w:val="30"/>
          <w:szCs w:val="30"/>
          <w:lang w:val="en-US" w:eastAsia="zh-CN"/>
        </w:rPr>
        <w:t>和产业链业态丰富</w:t>
      </w:r>
      <w:r>
        <w:rPr>
          <w:rFonts w:hint="default" w:ascii="Times New Roman" w:hAnsi="Times New Roman" w:eastAsia="方正仿宋_GB2312" w:cs="Times New Roman"/>
          <w:sz w:val="30"/>
          <w:szCs w:val="30"/>
          <w:lang w:val="en-US" w:eastAsia="zh-CN"/>
        </w:rPr>
        <w:t>企业，向资源利用率高、技术先进的企业倾斜</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，杜绝大矿小开、一矿多开等浪费现象；四是强化矿山动态监管，推广</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台阶式开采+边采边治</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模式，确保资源开发与生态修复同步进行。</w:t>
      </w:r>
    </w:p>
    <w:p w14:paraId="17426CB3">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eastAsia" w:ascii="Times New Roman" w:hAnsi="Times New Roman" w:eastAsia="方正仿宋_GB2312" w:cs="Times New Roman"/>
          <w:b/>
          <w:bCs/>
          <w:sz w:val="30"/>
          <w:szCs w:val="30"/>
          <w:lang w:val="en-US" w:eastAsia="zh-CN"/>
        </w:rPr>
        <w:t>（二）</w:t>
      </w:r>
      <w:r>
        <w:rPr>
          <w:rFonts w:hint="default" w:ascii="Times New Roman" w:hAnsi="Times New Roman" w:eastAsia="方正仿宋_GB2312" w:cs="Times New Roman"/>
          <w:b/>
          <w:bCs/>
          <w:sz w:val="30"/>
          <w:szCs w:val="30"/>
        </w:rPr>
        <w:t>完善产业布局，推动产业集群集聚发展</w:t>
      </w:r>
    </w:p>
    <w:p w14:paraId="52785B0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严格落实</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一矿两园</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空间布局，强化园区载体功能，推动产业集中集聚、集约发展。一是优化</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一矿两园</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布局，明确矿山集中区（聚焦科学开采与生态修复）、</w:t>
      </w:r>
      <w:r>
        <w:rPr>
          <w:rFonts w:hint="eastAsia" w:ascii="Times New Roman" w:hAnsi="Times New Roman" w:eastAsia="方正仿宋_GB2312" w:cs="Times New Roman"/>
          <w:sz w:val="30"/>
          <w:szCs w:val="30"/>
          <w:lang w:val="en-US" w:eastAsia="zh-CN"/>
        </w:rPr>
        <w:t>钙基新材料产业园（</w:t>
      </w:r>
      <w:r>
        <w:rPr>
          <w:rFonts w:hint="default" w:ascii="Times New Roman" w:hAnsi="Times New Roman" w:eastAsia="方正仿宋_GB2312" w:cs="Times New Roman"/>
          <w:sz w:val="30"/>
          <w:szCs w:val="30"/>
          <w:lang w:val="en-US" w:eastAsia="zh-CN"/>
        </w:rPr>
        <w:t>西街口加工集中区</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聚焦超细钙粉、</w:t>
      </w:r>
      <w:r>
        <w:rPr>
          <w:rFonts w:hint="eastAsia" w:ascii="Times New Roman" w:hAnsi="Times New Roman" w:eastAsia="方正仿宋_GB2312" w:cs="Times New Roman"/>
          <w:sz w:val="30"/>
          <w:szCs w:val="30"/>
          <w:lang w:val="en-US" w:eastAsia="zh-CN"/>
        </w:rPr>
        <w:t>天然石材加工、</w:t>
      </w:r>
      <w:r>
        <w:rPr>
          <w:rFonts w:hint="default" w:ascii="Times New Roman" w:hAnsi="Times New Roman" w:eastAsia="方正仿宋_GB2312" w:cs="Times New Roman"/>
          <w:sz w:val="30"/>
          <w:szCs w:val="30"/>
          <w:lang w:val="en-US" w:eastAsia="zh-CN"/>
        </w:rPr>
        <w:t>高端钙基新材料生产</w:t>
      </w:r>
      <w:r>
        <w:rPr>
          <w:rFonts w:hint="eastAsia" w:ascii="Times New Roman" w:hAnsi="Times New Roman" w:eastAsia="方正仿宋_GB2312" w:cs="Times New Roman"/>
          <w:sz w:val="30"/>
          <w:szCs w:val="30"/>
          <w:lang w:val="en-US" w:eastAsia="zh-CN"/>
        </w:rPr>
        <w:t>、现代生产性服务业和区域现代物流业等</w:t>
      </w:r>
      <w:r>
        <w:rPr>
          <w:rFonts w:hint="default" w:ascii="Times New Roman" w:hAnsi="Times New Roman" w:eastAsia="方正仿宋_GB2312" w:cs="Times New Roman"/>
          <w:sz w:val="30"/>
          <w:szCs w:val="30"/>
          <w:lang w:val="en-US" w:eastAsia="zh-CN"/>
        </w:rPr>
        <w:t>）、石材</w:t>
      </w:r>
      <w:r>
        <w:rPr>
          <w:rFonts w:hint="eastAsia" w:ascii="Times New Roman" w:hAnsi="Times New Roman" w:eastAsia="方正仿宋_GB2312" w:cs="Times New Roman"/>
          <w:sz w:val="30"/>
          <w:szCs w:val="30"/>
          <w:lang w:val="en-US" w:eastAsia="zh-CN"/>
        </w:rPr>
        <w:t>新材料</w:t>
      </w:r>
      <w:r>
        <w:rPr>
          <w:rFonts w:hint="default" w:ascii="Times New Roman" w:hAnsi="Times New Roman" w:eastAsia="方正仿宋_GB2312" w:cs="Times New Roman"/>
          <w:sz w:val="30"/>
          <w:szCs w:val="30"/>
          <w:lang w:val="en-US" w:eastAsia="zh-CN"/>
        </w:rPr>
        <w:t>特色产业园（重点发展</w:t>
      </w:r>
      <w:r>
        <w:rPr>
          <w:rFonts w:hint="eastAsia" w:ascii="Times New Roman" w:hAnsi="Times New Roman" w:eastAsia="方正仿宋_GB2312" w:cs="Times New Roman"/>
          <w:sz w:val="30"/>
          <w:szCs w:val="30"/>
          <w:lang w:val="en-US" w:eastAsia="zh-CN"/>
        </w:rPr>
        <w:t>钙基包装新材、</w:t>
      </w:r>
      <w:r>
        <w:rPr>
          <w:rFonts w:hint="default" w:ascii="Times New Roman" w:hAnsi="Times New Roman" w:eastAsia="方正仿宋_GB2312" w:cs="Times New Roman"/>
          <w:sz w:val="30"/>
          <w:szCs w:val="30"/>
          <w:lang w:val="en-US" w:eastAsia="zh-CN"/>
        </w:rPr>
        <w:t>高端板材、智能家居配套石材</w:t>
      </w:r>
      <w:r>
        <w:rPr>
          <w:rFonts w:hint="eastAsia" w:ascii="Times New Roman" w:hAnsi="Times New Roman" w:eastAsia="方正仿宋_GB2312" w:cs="Times New Roman"/>
          <w:sz w:val="30"/>
          <w:szCs w:val="30"/>
          <w:lang w:val="en-US" w:eastAsia="zh-CN"/>
        </w:rPr>
        <w:t>和现代物流业等</w:t>
      </w:r>
      <w:r>
        <w:rPr>
          <w:rFonts w:hint="default" w:ascii="Times New Roman" w:hAnsi="Times New Roman" w:eastAsia="方正仿宋_GB2312" w:cs="Times New Roman"/>
          <w:sz w:val="30"/>
          <w:szCs w:val="30"/>
          <w:lang w:val="en-US" w:eastAsia="zh-CN"/>
        </w:rPr>
        <w:t>）的功能定位；二是完善园区基础设施，推进</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五通一平</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建设，提升园区承载能力，制定入园企业</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亩均税收、能耗强度、科技含量</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准入标准，引导小微企业整合入园；三是打造产业集聚平台，推动龙头企业、配套企业集中入驻，形成</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矿山开采</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粉体加工</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新材料制造</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固废利用</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的闭环产业链，提升产业协同效应；四是完善交易物流体系，</w:t>
      </w:r>
      <w:r>
        <w:rPr>
          <w:rFonts w:hint="eastAsia" w:ascii="Times New Roman" w:hAnsi="Times New Roman" w:eastAsia="方正仿宋_GB2312" w:cs="Times New Roman"/>
          <w:sz w:val="30"/>
          <w:szCs w:val="30"/>
          <w:lang w:val="en-US" w:eastAsia="zh-CN"/>
        </w:rPr>
        <w:t>以火车站物流基地为中心、西街口区域物流为辅，</w:t>
      </w:r>
      <w:r>
        <w:rPr>
          <w:rFonts w:hint="default" w:ascii="Times New Roman" w:hAnsi="Times New Roman" w:eastAsia="方正仿宋_GB2312" w:cs="Times New Roman"/>
          <w:sz w:val="30"/>
          <w:szCs w:val="30"/>
          <w:lang w:val="en-US" w:eastAsia="zh-CN"/>
        </w:rPr>
        <w:t>建设辐射全国、联动</w:t>
      </w:r>
      <w:r>
        <w:rPr>
          <w:rFonts w:hint="eastAsia" w:ascii="Times New Roman" w:hAnsi="Times New Roman" w:eastAsia="方正仿宋_GB2312" w:cs="Times New Roman"/>
          <w:sz w:val="30"/>
          <w:szCs w:val="30"/>
          <w:lang w:val="en-US" w:eastAsia="zh-CN"/>
        </w:rPr>
        <w:t>南亚</w:t>
      </w:r>
      <w:r>
        <w:rPr>
          <w:rFonts w:hint="default" w:ascii="Times New Roman" w:hAnsi="Times New Roman" w:eastAsia="方正仿宋_GB2312" w:cs="Times New Roman"/>
          <w:sz w:val="30"/>
          <w:szCs w:val="30"/>
          <w:lang w:val="en-US" w:eastAsia="zh-CN"/>
        </w:rPr>
        <w:t>东南亚的钙基新材料（石材）交易中心与物流集散地，搭建石材交易结算平台，</w:t>
      </w:r>
      <w:r>
        <w:rPr>
          <w:rFonts w:hint="eastAsia" w:ascii="Times New Roman" w:hAnsi="Times New Roman" w:eastAsia="方正仿宋_GB2312" w:cs="Times New Roman"/>
          <w:sz w:val="30"/>
          <w:szCs w:val="30"/>
          <w:lang w:val="en-US" w:eastAsia="zh-CN"/>
        </w:rPr>
        <w:t>未来</w:t>
      </w:r>
      <w:r>
        <w:rPr>
          <w:rFonts w:hint="default" w:ascii="Times New Roman" w:hAnsi="Times New Roman" w:eastAsia="方正仿宋_GB2312" w:cs="Times New Roman"/>
          <w:sz w:val="30"/>
          <w:szCs w:val="30"/>
          <w:lang w:val="en-US" w:eastAsia="zh-CN"/>
        </w:rPr>
        <w:t>打造云南石材</w:t>
      </w:r>
      <w:r>
        <w:rPr>
          <w:rFonts w:hint="eastAsia" w:ascii="Times New Roman" w:hAnsi="Times New Roman" w:eastAsia="方正仿宋_GB2312" w:cs="Times New Roman"/>
          <w:sz w:val="30"/>
          <w:szCs w:val="30"/>
          <w:lang w:val="en-US" w:eastAsia="zh-CN"/>
        </w:rPr>
        <w:t>钙基新材料</w:t>
      </w:r>
      <w:r>
        <w:rPr>
          <w:rFonts w:hint="default" w:ascii="Times New Roman" w:hAnsi="Times New Roman" w:eastAsia="方正仿宋_GB2312" w:cs="Times New Roman"/>
          <w:sz w:val="30"/>
          <w:szCs w:val="30"/>
          <w:lang w:val="en-US" w:eastAsia="zh-CN"/>
        </w:rPr>
        <w:t>产业区块链金融供应链结算中心。</w:t>
      </w:r>
    </w:p>
    <w:p w14:paraId="2FC4836F">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eastAsia" w:ascii="Times New Roman" w:hAnsi="Times New Roman" w:eastAsia="方正仿宋_GB2312" w:cs="Times New Roman"/>
          <w:b/>
          <w:bCs/>
          <w:sz w:val="30"/>
          <w:szCs w:val="30"/>
          <w:lang w:val="en-US" w:eastAsia="zh-CN"/>
        </w:rPr>
        <w:t>（三）</w:t>
      </w:r>
      <w:r>
        <w:rPr>
          <w:rFonts w:hint="default" w:ascii="Times New Roman" w:hAnsi="Times New Roman" w:eastAsia="方正仿宋_GB2312" w:cs="Times New Roman"/>
          <w:b/>
          <w:bCs/>
          <w:sz w:val="30"/>
          <w:szCs w:val="30"/>
        </w:rPr>
        <w:t>推动产业升级，构建高端完整产业链条</w:t>
      </w:r>
    </w:p>
    <w:p w14:paraId="4DD0E55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推动产业从传统石材加工向高端</w:t>
      </w:r>
      <w:r>
        <w:rPr>
          <w:rFonts w:hint="eastAsia" w:ascii="Times New Roman" w:hAnsi="Times New Roman" w:eastAsia="方正仿宋_GB2312" w:cs="Times New Roman"/>
          <w:sz w:val="30"/>
          <w:szCs w:val="30"/>
          <w:lang w:val="en-US" w:eastAsia="zh-CN"/>
        </w:rPr>
        <w:t>石材和高性能</w:t>
      </w:r>
      <w:r>
        <w:rPr>
          <w:rFonts w:hint="default" w:ascii="Times New Roman" w:hAnsi="Times New Roman" w:eastAsia="方正仿宋_GB2312" w:cs="Times New Roman"/>
          <w:sz w:val="30"/>
          <w:szCs w:val="30"/>
          <w:lang w:val="en-US" w:eastAsia="zh-CN"/>
        </w:rPr>
        <w:t>钙基新材料转型，完善产业链条，提升产业附加值。一是优化产品结构，</w:t>
      </w:r>
      <w:r>
        <w:rPr>
          <w:rFonts w:hint="eastAsia" w:ascii="Times New Roman" w:hAnsi="Times New Roman" w:eastAsia="方正仿宋_GB2312" w:cs="Times New Roman"/>
          <w:sz w:val="30"/>
          <w:szCs w:val="30"/>
          <w:lang w:val="en-US" w:eastAsia="zh-CN"/>
        </w:rPr>
        <w:t>加快超薄石材、异形石材、功能性石材等新产品开发应用，提升石材艺术化、个性化、功能化、复合化的水平。同时，</w:t>
      </w:r>
      <w:r>
        <w:rPr>
          <w:rFonts w:hint="default" w:ascii="Times New Roman" w:hAnsi="Times New Roman" w:eastAsia="方正仿宋_GB2312" w:cs="Times New Roman"/>
          <w:sz w:val="30"/>
          <w:szCs w:val="30"/>
          <w:lang w:val="en-US" w:eastAsia="zh-CN"/>
        </w:rPr>
        <w:t>逐步降低传统石材板材占比，重点发展粉体精深加工、表面改性等中间环节，发展超细钙、改性钙、纳米钙</w:t>
      </w:r>
      <w:r>
        <w:rPr>
          <w:rFonts w:hint="eastAsia" w:ascii="Times New Roman" w:hAnsi="Times New Roman" w:eastAsia="方正仿宋_GB2312" w:cs="Times New Roman"/>
          <w:sz w:val="30"/>
          <w:szCs w:val="30"/>
          <w:lang w:val="en-US" w:eastAsia="zh-CN"/>
        </w:rPr>
        <w:t>等高性能粉体，并</w:t>
      </w:r>
      <w:r>
        <w:rPr>
          <w:rFonts w:hint="default" w:ascii="Times New Roman" w:hAnsi="Times New Roman" w:eastAsia="方正仿宋_GB2312" w:cs="Times New Roman"/>
          <w:sz w:val="30"/>
          <w:szCs w:val="30"/>
          <w:lang w:val="en-US" w:eastAsia="zh-CN"/>
        </w:rPr>
        <w:t>拓展在塑料、</w:t>
      </w:r>
      <w:r>
        <w:rPr>
          <w:rFonts w:hint="eastAsia" w:ascii="Times New Roman" w:hAnsi="Times New Roman" w:eastAsia="方正仿宋_GB2312" w:cs="Times New Roman"/>
          <w:sz w:val="30"/>
          <w:szCs w:val="30"/>
          <w:lang w:val="en-US" w:eastAsia="zh-CN"/>
        </w:rPr>
        <w:t>食品医药、</w:t>
      </w:r>
      <w:r>
        <w:rPr>
          <w:rFonts w:hint="default" w:ascii="Times New Roman" w:hAnsi="Times New Roman" w:eastAsia="方正仿宋_GB2312" w:cs="Times New Roman"/>
          <w:sz w:val="30"/>
          <w:szCs w:val="30"/>
          <w:lang w:val="en-US" w:eastAsia="zh-CN"/>
        </w:rPr>
        <w:t>化工、</w:t>
      </w:r>
      <w:r>
        <w:rPr>
          <w:rFonts w:hint="eastAsia" w:ascii="Times New Roman" w:hAnsi="Times New Roman" w:eastAsia="方正仿宋_GB2312" w:cs="Times New Roman"/>
          <w:sz w:val="30"/>
          <w:szCs w:val="30"/>
          <w:lang w:val="en-US" w:eastAsia="zh-CN"/>
        </w:rPr>
        <w:t>环保、</w:t>
      </w:r>
      <w:r>
        <w:rPr>
          <w:rFonts w:hint="default" w:ascii="Times New Roman" w:hAnsi="Times New Roman" w:eastAsia="方正仿宋_GB2312" w:cs="Times New Roman"/>
          <w:sz w:val="30"/>
          <w:szCs w:val="30"/>
          <w:lang w:val="en-US" w:eastAsia="zh-CN"/>
        </w:rPr>
        <w:t>造纸、建材</w:t>
      </w:r>
      <w:r>
        <w:rPr>
          <w:rFonts w:hint="eastAsia" w:ascii="Times New Roman" w:hAnsi="Times New Roman" w:eastAsia="方正仿宋_GB2312" w:cs="Times New Roman"/>
          <w:sz w:val="30"/>
          <w:szCs w:val="30"/>
          <w:lang w:val="en-US" w:eastAsia="zh-CN"/>
        </w:rPr>
        <w:t>和农业</w:t>
      </w:r>
      <w:r>
        <w:rPr>
          <w:rFonts w:hint="default" w:ascii="Times New Roman" w:hAnsi="Times New Roman" w:eastAsia="方正仿宋_GB2312" w:cs="Times New Roman"/>
          <w:sz w:val="30"/>
          <w:szCs w:val="30"/>
          <w:lang w:val="en-US" w:eastAsia="zh-CN"/>
        </w:rPr>
        <w:t>等领域的多元应用；二是延伸产业链条，推动下游</w:t>
      </w:r>
      <w:r>
        <w:rPr>
          <w:rFonts w:hint="eastAsia" w:ascii="Times New Roman" w:hAnsi="Times New Roman" w:eastAsia="方正仿宋_GB2312" w:cs="Times New Roman"/>
          <w:sz w:val="30"/>
          <w:szCs w:val="30"/>
          <w:lang w:val="en-US" w:eastAsia="zh-CN"/>
        </w:rPr>
        <w:t>钙基中空包装材料</w:t>
      </w:r>
      <w:r>
        <w:rPr>
          <w:rFonts w:hint="default" w:ascii="Times New Roman" w:hAnsi="Times New Roman" w:eastAsia="方正仿宋_GB2312" w:cs="Times New Roman"/>
          <w:sz w:val="30"/>
          <w:szCs w:val="30"/>
          <w:lang w:val="en-US" w:eastAsia="zh-CN"/>
        </w:rPr>
        <w:t>、人造石</w:t>
      </w:r>
      <w:r>
        <w:rPr>
          <w:rFonts w:hint="eastAsia" w:ascii="Times New Roman" w:hAnsi="Times New Roman" w:eastAsia="方正仿宋_GB2312" w:cs="Times New Roman"/>
          <w:sz w:val="30"/>
          <w:szCs w:val="30"/>
          <w:lang w:val="en-US" w:eastAsia="zh-CN"/>
        </w:rPr>
        <w:t>、人造板、塑料母粒及制品等</w:t>
      </w:r>
      <w:r>
        <w:rPr>
          <w:rFonts w:hint="default" w:ascii="Times New Roman" w:hAnsi="Times New Roman" w:eastAsia="方正仿宋_GB2312" w:cs="Times New Roman"/>
          <w:sz w:val="30"/>
          <w:szCs w:val="30"/>
          <w:lang w:val="en-US" w:eastAsia="zh-CN"/>
        </w:rPr>
        <w:t>复合新材料</w:t>
      </w:r>
      <w:r>
        <w:rPr>
          <w:rFonts w:hint="eastAsia" w:ascii="Times New Roman" w:hAnsi="Times New Roman" w:eastAsia="方正仿宋_GB2312" w:cs="Times New Roman"/>
          <w:sz w:val="30"/>
          <w:szCs w:val="30"/>
          <w:lang w:val="en-US" w:eastAsia="zh-CN"/>
        </w:rPr>
        <w:t>和</w:t>
      </w:r>
      <w:r>
        <w:rPr>
          <w:rFonts w:hint="default" w:ascii="Times New Roman" w:hAnsi="Times New Roman" w:eastAsia="方正仿宋_GB2312" w:cs="Times New Roman"/>
          <w:sz w:val="30"/>
          <w:szCs w:val="30"/>
          <w:lang w:val="en-US" w:eastAsia="zh-CN"/>
        </w:rPr>
        <w:t>固废综合利用产品产业化等</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填补高端钙基新材料领域空白；三是培育龙头企业，通过</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腾笼换鸟</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淘汰落后产能、</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筑巢引凤</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引进优质龙头企业，培育一批规上企业，形成龙头引领、中小企业协同发展的格局；四是推进产业数字化转型，搭建</w:t>
      </w:r>
      <w:r>
        <w:rPr>
          <w:rFonts w:hint="eastAsia" w:ascii="Times New Roman" w:hAnsi="Times New Roman" w:eastAsia="方正仿宋_GB2312" w:cs="Times New Roman"/>
          <w:sz w:val="30"/>
          <w:szCs w:val="30"/>
          <w:lang w:val="en-US" w:eastAsia="zh-CN"/>
        </w:rPr>
        <w:t>“钙基新材料（</w:t>
      </w:r>
      <w:r>
        <w:rPr>
          <w:rFonts w:hint="default" w:ascii="Times New Roman" w:hAnsi="Times New Roman" w:eastAsia="方正仿宋_GB2312" w:cs="Times New Roman"/>
          <w:sz w:val="30"/>
          <w:szCs w:val="30"/>
          <w:lang w:val="en-US" w:eastAsia="zh-CN"/>
        </w:rPr>
        <w:t>石材</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产业云平台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lang w:val="en-US" w:eastAsia="zh-CN"/>
        </w:rPr>
        <w:t>逐步</w:t>
      </w:r>
      <w:r>
        <w:rPr>
          <w:rFonts w:hint="default" w:ascii="Times New Roman" w:hAnsi="Times New Roman" w:eastAsia="方正仿宋_GB2312" w:cs="Times New Roman"/>
          <w:sz w:val="30"/>
          <w:szCs w:val="30"/>
          <w:lang w:val="en-US" w:eastAsia="zh-CN"/>
        </w:rPr>
        <w:t>推动</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矿山开采</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智能加工</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云端交易</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全流程数字化，鼓励企业打造</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黑灯工厂</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智慧车间</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，提升生产效率。</w:t>
      </w:r>
    </w:p>
    <w:p w14:paraId="59E6CCE0">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eastAsia" w:ascii="Times New Roman" w:hAnsi="Times New Roman" w:eastAsia="方正仿宋_GB2312" w:cs="Times New Roman"/>
          <w:b/>
          <w:bCs/>
          <w:sz w:val="30"/>
          <w:szCs w:val="30"/>
          <w:lang w:val="en-US" w:eastAsia="zh-CN"/>
        </w:rPr>
        <w:t>（四）</w:t>
      </w:r>
      <w:r>
        <w:rPr>
          <w:rFonts w:hint="default" w:ascii="Times New Roman" w:hAnsi="Times New Roman" w:eastAsia="方正仿宋_GB2312" w:cs="Times New Roman"/>
          <w:b/>
          <w:bCs/>
          <w:sz w:val="30"/>
          <w:szCs w:val="30"/>
        </w:rPr>
        <w:t>强化创新驱动，提升产业核心竞争力</w:t>
      </w:r>
    </w:p>
    <w:p w14:paraId="54F8468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以技术创新、产学研协同为抓手，突破产业关键技术瓶颈，提升产业科技含量。一是搭建产学研协同创新平台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建</w:t>
      </w:r>
      <w:r>
        <w:rPr>
          <w:rFonts w:hint="eastAsia" w:ascii="Times New Roman" w:hAnsi="Times New Roman" w:eastAsia="方正仿宋_GB2312" w:cs="Times New Roman"/>
          <w:sz w:val="30"/>
          <w:szCs w:val="30"/>
          <w:lang w:val="en-US" w:eastAsia="zh-CN"/>
        </w:rPr>
        <w:t>设</w:t>
      </w:r>
      <w:r>
        <w:rPr>
          <w:rFonts w:hint="default" w:ascii="Times New Roman" w:hAnsi="Times New Roman" w:eastAsia="方正仿宋_GB2312" w:cs="Times New Roman"/>
          <w:sz w:val="30"/>
          <w:szCs w:val="30"/>
          <w:lang w:val="en-US" w:eastAsia="zh-CN"/>
        </w:rPr>
        <w:t>省级专家工作站、钙基新材料（石材）技术创新中心和产业概念验证中心、中试验证基地和检测认证平台，推动企业与高校、科研院所开展产学研合作，加快</w:t>
      </w:r>
      <w:r>
        <w:rPr>
          <w:rFonts w:hint="eastAsia" w:ascii="Times New Roman" w:hAnsi="Times New Roman" w:eastAsia="方正仿宋_GB2312" w:cs="Times New Roman"/>
          <w:sz w:val="30"/>
          <w:szCs w:val="30"/>
          <w:lang w:val="en-US" w:eastAsia="zh-CN"/>
        </w:rPr>
        <w:t>科技研发和</w:t>
      </w:r>
      <w:r>
        <w:rPr>
          <w:rFonts w:hint="default" w:ascii="Times New Roman" w:hAnsi="Times New Roman" w:eastAsia="方正仿宋_GB2312" w:cs="Times New Roman"/>
          <w:sz w:val="30"/>
          <w:szCs w:val="30"/>
          <w:lang w:val="en-US" w:eastAsia="zh-CN"/>
        </w:rPr>
        <w:t>科研成果转化；二是突破核心技术，重点开发具有自洁、抗菌、防滑、耐污、耐酸碱</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隔音、防潮、</w:t>
      </w:r>
      <w:r>
        <w:rPr>
          <w:rFonts w:hint="eastAsia" w:ascii="Times New Roman" w:hAnsi="Times New Roman" w:eastAsia="方正仿宋_GB2312" w:cs="Times New Roman"/>
          <w:sz w:val="30"/>
          <w:szCs w:val="30"/>
          <w:lang w:val="en-US" w:eastAsia="zh-CN"/>
        </w:rPr>
        <w:t>隔热</w:t>
      </w:r>
      <w:r>
        <w:rPr>
          <w:rFonts w:hint="default" w:ascii="Times New Roman" w:hAnsi="Times New Roman" w:eastAsia="方正仿宋_GB2312" w:cs="Times New Roman"/>
          <w:sz w:val="30"/>
          <w:szCs w:val="30"/>
          <w:lang w:val="en-US" w:eastAsia="zh-CN"/>
        </w:rPr>
        <w:t>保温</w:t>
      </w:r>
      <w:r>
        <w:rPr>
          <w:rFonts w:hint="eastAsia" w:ascii="Times New Roman" w:hAnsi="Times New Roman" w:eastAsia="方正仿宋_GB2312" w:cs="Times New Roman"/>
          <w:sz w:val="30"/>
          <w:szCs w:val="30"/>
          <w:lang w:val="en-US" w:eastAsia="zh-CN"/>
        </w:rPr>
        <w:t>等</w:t>
      </w:r>
      <w:r>
        <w:rPr>
          <w:rFonts w:hint="default" w:ascii="Times New Roman" w:hAnsi="Times New Roman" w:eastAsia="方正仿宋_GB2312" w:cs="Times New Roman"/>
          <w:sz w:val="30"/>
          <w:szCs w:val="30"/>
          <w:lang w:val="en-US" w:eastAsia="zh-CN"/>
        </w:rPr>
        <w:t>的高附加值石材产品，攻</w:t>
      </w:r>
      <w:r>
        <w:rPr>
          <w:rFonts w:hint="eastAsia" w:ascii="Times New Roman" w:hAnsi="Times New Roman" w:eastAsia="方正仿宋_GB2312" w:cs="Times New Roman"/>
          <w:sz w:val="30"/>
          <w:szCs w:val="30"/>
          <w:lang w:val="en-US" w:eastAsia="zh-CN"/>
        </w:rPr>
        <w:t>克</w:t>
      </w:r>
      <w:r>
        <w:rPr>
          <w:rFonts w:hint="default" w:ascii="Times New Roman" w:hAnsi="Times New Roman" w:eastAsia="方正仿宋_GB2312" w:cs="Times New Roman"/>
          <w:sz w:val="30"/>
          <w:szCs w:val="30"/>
          <w:lang w:val="en-US" w:eastAsia="zh-CN"/>
        </w:rPr>
        <w:t>超细粉碎、</w:t>
      </w:r>
      <w:r>
        <w:rPr>
          <w:rFonts w:hint="eastAsia" w:ascii="Times New Roman" w:hAnsi="Times New Roman" w:eastAsia="方正仿宋_GB2312" w:cs="Times New Roman"/>
          <w:sz w:val="30"/>
          <w:szCs w:val="30"/>
          <w:lang w:val="en-US" w:eastAsia="zh-CN"/>
        </w:rPr>
        <w:t>纳米制备、</w:t>
      </w:r>
      <w:r>
        <w:rPr>
          <w:rFonts w:hint="default" w:ascii="Times New Roman" w:hAnsi="Times New Roman" w:eastAsia="方正仿宋_GB2312" w:cs="Times New Roman"/>
          <w:sz w:val="30"/>
          <w:szCs w:val="30"/>
          <w:lang w:val="en-US" w:eastAsia="zh-CN"/>
        </w:rPr>
        <w:t>表面改性、</w:t>
      </w:r>
      <w:r>
        <w:rPr>
          <w:rFonts w:hint="eastAsia" w:ascii="Times New Roman" w:hAnsi="Times New Roman" w:eastAsia="方正仿宋_GB2312" w:cs="Times New Roman"/>
          <w:sz w:val="30"/>
          <w:szCs w:val="30"/>
          <w:lang w:val="en-US" w:eastAsia="zh-CN"/>
        </w:rPr>
        <w:t>复合新材料研发和</w:t>
      </w:r>
      <w:r>
        <w:rPr>
          <w:rFonts w:hint="default" w:ascii="Times New Roman" w:hAnsi="Times New Roman" w:eastAsia="方正仿宋_GB2312" w:cs="Times New Roman"/>
          <w:sz w:val="30"/>
          <w:szCs w:val="30"/>
          <w:lang w:val="en-US" w:eastAsia="zh-CN"/>
        </w:rPr>
        <w:t>固废循环利用等关键技术，鼓励企业开发拥有自主知识产权的循环利用核心技术；三是推动</w:t>
      </w:r>
      <w:r>
        <w:rPr>
          <w:rFonts w:hint="eastAsia" w:ascii="Times New Roman" w:hAnsi="Times New Roman" w:eastAsia="方正仿宋_GB2312" w:cs="Times New Roman"/>
          <w:sz w:val="30"/>
          <w:szCs w:val="30"/>
          <w:lang w:val="en-US" w:eastAsia="zh-CN"/>
        </w:rPr>
        <w:t>新技术新工艺和新</w:t>
      </w:r>
      <w:r>
        <w:rPr>
          <w:rFonts w:hint="default" w:ascii="Times New Roman" w:hAnsi="Times New Roman" w:eastAsia="方正仿宋_GB2312" w:cs="Times New Roman"/>
          <w:sz w:val="30"/>
          <w:szCs w:val="30"/>
          <w:lang w:val="en-US" w:eastAsia="zh-CN"/>
        </w:rPr>
        <w:t>产品创新，引进</w:t>
      </w:r>
      <w:r>
        <w:rPr>
          <w:rFonts w:hint="eastAsia" w:ascii="Times New Roman" w:hAnsi="Times New Roman" w:eastAsia="方正仿宋_GB2312" w:cs="Times New Roman"/>
          <w:sz w:val="30"/>
          <w:szCs w:val="30"/>
          <w:lang w:val="en-US" w:eastAsia="zh-CN"/>
        </w:rPr>
        <w:t>矿石和碳酸钙粉沙产品分级分类、</w:t>
      </w:r>
      <w:r>
        <w:rPr>
          <w:rFonts w:hint="default" w:ascii="Times New Roman" w:hAnsi="Times New Roman" w:eastAsia="方正仿宋_GB2312" w:cs="Times New Roman"/>
          <w:sz w:val="30"/>
          <w:szCs w:val="30"/>
          <w:lang w:val="en-US" w:eastAsia="zh-CN"/>
        </w:rPr>
        <w:t>超薄石材加工先进技术，提升产品质量与档次；四是加强人才</w:t>
      </w:r>
      <w:r>
        <w:rPr>
          <w:rFonts w:hint="eastAsia" w:ascii="Times New Roman" w:hAnsi="Times New Roman" w:eastAsia="方正仿宋_GB2312" w:cs="Times New Roman"/>
          <w:sz w:val="30"/>
          <w:szCs w:val="30"/>
          <w:lang w:val="en-US" w:eastAsia="zh-CN"/>
        </w:rPr>
        <w:t>引</w:t>
      </w:r>
      <w:r>
        <w:rPr>
          <w:rFonts w:hint="default" w:ascii="Times New Roman" w:hAnsi="Times New Roman" w:eastAsia="方正仿宋_GB2312" w:cs="Times New Roman"/>
          <w:sz w:val="30"/>
          <w:szCs w:val="30"/>
          <w:lang w:val="en-US" w:eastAsia="zh-CN"/>
        </w:rPr>
        <w:t>培，引进和培育</w:t>
      </w:r>
      <w:r>
        <w:rPr>
          <w:rFonts w:hint="eastAsia" w:ascii="Times New Roman" w:hAnsi="Times New Roman" w:eastAsia="方正仿宋_GB2312" w:cs="Times New Roman"/>
          <w:sz w:val="30"/>
          <w:szCs w:val="30"/>
          <w:lang w:val="en-US" w:eastAsia="zh-CN"/>
        </w:rPr>
        <w:t>各类</w:t>
      </w:r>
      <w:r>
        <w:rPr>
          <w:rFonts w:hint="default" w:ascii="Times New Roman" w:hAnsi="Times New Roman" w:eastAsia="方正仿宋_GB2312" w:cs="Times New Roman"/>
          <w:sz w:val="30"/>
          <w:szCs w:val="30"/>
          <w:lang w:val="en-US" w:eastAsia="zh-CN"/>
        </w:rPr>
        <w:t>产业技术人才、管理人才，为产业升级提供人才支撑。</w:t>
      </w:r>
    </w:p>
    <w:p w14:paraId="648855D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eastAsia" w:ascii="Times New Roman" w:hAnsi="Times New Roman" w:eastAsia="方正仿宋_GB2312" w:cs="Times New Roman"/>
          <w:b/>
          <w:bCs/>
          <w:sz w:val="30"/>
          <w:szCs w:val="30"/>
          <w:lang w:val="en-US" w:eastAsia="zh-CN"/>
        </w:rPr>
        <w:t>（五）</w:t>
      </w:r>
      <w:r>
        <w:rPr>
          <w:rFonts w:hint="default" w:ascii="Times New Roman" w:hAnsi="Times New Roman" w:eastAsia="方正仿宋_GB2312" w:cs="Times New Roman"/>
          <w:b/>
          <w:bCs/>
          <w:sz w:val="30"/>
          <w:szCs w:val="30"/>
        </w:rPr>
        <w:t>坚守绿色底线，推动产业绿色循环发展</w:t>
      </w:r>
    </w:p>
    <w:p w14:paraId="47BF289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践行生态优先理念，推动产业低碳清洁发展，实现生态效益与经济效益双赢。一是推进绿色矿山建设</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加大矿山生态修复投入，落实矿山生态环境补偿机制，确保辖区内所有相关矿山100%建成绿色矿山；二是推动固废资源化利用</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引导企业综合利用石材边角料、石粉等废料，研发生产人造石、加气混凝土砌块、</w:t>
      </w:r>
      <w:r>
        <w:rPr>
          <w:rFonts w:hint="eastAsia" w:ascii="Times New Roman" w:hAnsi="Times New Roman" w:eastAsia="方正仿宋_GB2312" w:cs="Times New Roman"/>
          <w:sz w:val="30"/>
          <w:szCs w:val="30"/>
          <w:lang w:val="en-US" w:eastAsia="zh-CN"/>
        </w:rPr>
        <w:t>透水</w:t>
      </w:r>
      <w:r>
        <w:rPr>
          <w:rFonts w:hint="default" w:ascii="Times New Roman" w:hAnsi="Times New Roman" w:eastAsia="方正仿宋_GB2312" w:cs="Times New Roman"/>
          <w:sz w:val="30"/>
          <w:szCs w:val="30"/>
          <w:lang w:val="en-US" w:eastAsia="zh-CN"/>
        </w:rPr>
        <w:t>砖、</w:t>
      </w:r>
      <w:r>
        <w:rPr>
          <w:rFonts w:hint="eastAsia" w:ascii="Times New Roman" w:hAnsi="Times New Roman" w:eastAsia="方正仿宋_GB2312" w:cs="Times New Roman"/>
          <w:sz w:val="30"/>
          <w:szCs w:val="30"/>
          <w:lang w:val="en-US" w:eastAsia="zh-CN"/>
        </w:rPr>
        <w:t>透水水泥、新型</w:t>
      </w:r>
      <w:r>
        <w:rPr>
          <w:rFonts w:hint="default" w:ascii="Times New Roman" w:hAnsi="Times New Roman" w:eastAsia="方正仿宋_GB2312" w:cs="Times New Roman"/>
          <w:sz w:val="30"/>
          <w:szCs w:val="30"/>
          <w:lang w:val="en-US" w:eastAsia="zh-CN"/>
        </w:rPr>
        <w:t>涂料等产品，确保固废综合利用率达到</w:t>
      </w:r>
      <w:r>
        <w:rPr>
          <w:rFonts w:hint="eastAsia" w:ascii="Times New Roman" w:hAnsi="Times New Roman" w:eastAsia="方正仿宋_GB2312" w:cs="Times New Roman"/>
          <w:sz w:val="30"/>
          <w:szCs w:val="30"/>
          <w:lang w:val="en-US" w:eastAsia="zh-CN"/>
        </w:rPr>
        <w:t>100%</w:t>
      </w:r>
      <w:r>
        <w:rPr>
          <w:rFonts w:hint="default" w:ascii="Times New Roman" w:hAnsi="Times New Roman" w:eastAsia="方正仿宋_GB2312" w:cs="Times New Roman"/>
          <w:sz w:val="30"/>
          <w:szCs w:val="30"/>
          <w:lang w:val="en-US" w:eastAsia="zh-CN"/>
        </w:rPr>
        <w:t>以上；三是推进清洁生产</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淘汰落后生产工艺和设备，严控企业能耗与污染物排放，推动企业节能减排改造，实现单位能耗、排放下降40%；四是强化环保监管，严格执行环保标准，规范企业生产行为，杜绝环境污染问题。</w:t>
      </w:r>
    </w:p>
    <w:p w14:paraId="5D78AE90">
      <w:pPr>
        <w:keepNext w:val="0"/>
        <w:keepLines w:val="0"/>
        <w:pageBreakBefore w:val="0"/>
        <w:widowControl w:val="0"/>
        <w:kinsoku/>
        <w:wordWrap/>
        <w:overflowPunct/>
        <w:topLinePunct w:val="0"/>
        <w:autoSpaceDE w:val="0"/>
        <w:autoSpaceDN w:val="0"/>
        <w:bidi w:val="0"/>
        <w:adjustRightInd/>
        <w:snapToGrid/>
        <w:spacing w:before="120" w:line="360" w:lineRule="auto"/>
        <w:ind w:firstLine="616" w:firstLineChars="200"/>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pPr>
      <w:r>
        <w:rPr>
          <w:rFonts w:hint="eastAsia" w:ascii="Times New Roman" w:hAnsi="Times New Roman" w:eastAsia="黑体" w:cs="Times New Roman"/>
          <w:snapToGrid w:val="0"/>
          <w:color w:val="000000"/>
          <w:spacing w:val="-6"/>
          <w:kern w:val="0"/>
          <w:position w:val="-2"/>
          <w:sz w:val="32"/>
          <w:szCs w:val="32"/>
          <w:lang w:val="en-US" w:eastAsia="zh-CN"/>
        </w:rPr>
        <w:t>七、</w:t>
      </w:r>
      <w:r>
        <w:rPr>
          <w:rFonts w:hint="default" w:ascii="Times New Roman" w:hAnsi="Times New Roman" w:eastAsia="黑体" w:cs="Times New Roman"/>
          <w:snapToGrid w:val="0"/>
          <w:color w:val="000000"/>
          <w:spacing w:val="-6"/>
          <w:kern w:val="0"/>
          <w:position w:val="-2"/>
          <w:sz w:val="32"/>
          <w:szCs w:val="32"/>
          <w:lang w:val="en-US" w:eastAsia="zh-CN"/>
        </w:rPr>
        <w:t>重点工程</w:t>
      </w:r>
    </w:p>
    <w:p w14:paraId="3A9C3E3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（一）资源勘探与矿山整合工程</w:t>
      </w:r>
    </w:p>
    <w:p w14:paraId="1F28C79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1. 碳酸钙资源精细化勘探项目：全面开展县域内碳酸钙矿山资源勘探，完成资源全成分、结构、颗粒度测试，建立资源数据库，明确高纯度矿脉分布，为产业发展提供数据支撑，</w:t>
      </w:r>
      <w:r>
        <w:rPr>
          <w:rFonts w:hint="eastAsia" w:ascii="Times New Roman" w:hAnsi="Times New Roman" w:eastAsia="方正仿宋_GB2312" w:cs="Times New Roman"/>
          <w:sz w:val="30"/>
          <w:szCs w:val="30"/>
          <w:lang w:val="en-US" w:eastAsia="zh-CN"/>
        </w:rPr>
        <w:t>争取</w:t>
      </w:r>
      <w:r>
        <w:rPr>
          <w:rFonts w:hint="default" w:ascii="Times New Roman" w:hAnsi="Times New Roman" w:eastAsia="方正仿宋_GB2312" w:cs="Times New Roman"/>
          <w:sz w:val="30"/>
          <w:szCs w:val="30"/>
          <w:lang w:val="en-US" w:eastAsia="zh-CN"/>
        </w:rPr>
        <w:t>202</w:t>
      </w:r>
      <w:r>
        <w:rPr>
          <w:rFonts w:hint="eastAsia" w:ascii="Times New Roman" w:hAnsi="Times New Roman" w:eastAsia="方正仿宋_GB2312" w:cs="Times New Roman"/>
          <w:sz w:val="30"/>
          <w:szCs w:val="30"/>
          <w:lang w:val="en-US" w:eastAsia="zh-CN"/>
        </w:rPr>
        <w:t>7</w:t>
      </w:r>
      <w:r>
        <w:rPr>
          <w:rFonts w:hint="default" w:ascii="Times New Roman" w:hAnsi="Times New Roman" w:eastAsia="方正仿宋_GB2312" w:cs="Times New Roman"/>
          <w:sz w:val="30"/>
          <w:szCs w:val="30"/>
          <w:lang w:val="en-US" w:eastAsia="zh-CN"/>
        </w:rPr>
        <w:t>年底前完成勘探工作。</w:t>
      </w:r>
    </w:p>
    <w:p w14:paraId="50145F8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2. 矿山整合与绿色矿山建设项目：推进矿山企业兼并重组，淘汰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小散乱</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矿企，整合形成若干规模化矿山企业；推广</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台阶式开采+边采边治</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模式，开展矿山生态修复</w:t>
      </w:r>
      <w:r>
        <w:rPr>
          <w:rFonts w:hint="eastAsia" w:ascii="Times New Roman" w:hAnsi="Times New Roman" w:eastAsia="方正仿宋_GB2312" w:cs="Times New Roman"/>
          <w:sz w:val="30"/>
          <w:szCs w:val="30"/>
          <w:lang w:val="en-US" w:eastAsia="zh-CN"/>
        </w:rPr>
        <w:t>建设</w:t>
      </w:r>
      <w:r>
        <w:rPr>
          <w:rFonts w:hint="default" w:ascii="Times New Roman" w:hAnsi="Times New Roman" w:eastAsia="方正仿宋_GB2312" w:cs="Times New Roman"/>
          <w:sz w:val="30"/>
          <w:szCs w:val="30"/>
          <w:lang w:val="en-US" w:eastAsia="zh-CN"/>
        </w:rPr>
        <w:t>绿色矿山；强化矿产资源管理系统应用，实现</w:t>
      </w:r>
      <w:r>
        <w:rPr>
          <w:rFonts w:hint="eastAsia" w:ascii="Times New Roman" w:hAnsi="Times New Roman" w:eastAsia="方正仿宋_GB2312" w:cs="Times New Roman"/>
          <w:sz w:val="30"/>
          <w:szCs w:val="30"/>
          <w:lang w:val="en-US" w:eastAsia="zh-CN"/>
        </w:rPr>
        <w:t>矿石</w:t>
      </w:r>
      <w:r>
        <w:rPr>
          <w:rFonts w:hint="default" w:ascii="Times New Roman" w:hAnsi="Times New Roman" w:eastAsia="方正仿宋_GB2312" w:cs="Times New Roman"/>
          <w:sz w:val="30"/>
          <w:szCs w:val="30"/>
          <w:lang w:val="en-US" w:eastAsia="zh-CN"/>
        </w:rPr>
        <w:t>车辆半封闭、全覆盖运输，规范矿山生产经营管理。</w:t>
      </w:r>
    </w:p>
    <w:p w14:paraId="5F3BF52C">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（二）产业园区提质增效工程</w:t>
      </w:r>
    </w:p>
    <w:p w14:paraId="5AB0A29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1. 石材</w:t>
      </w:r>
      <w:r>
        <w:rPr>
          <w:rFonts w:hint="eastAsia" w:ascii="Times New Roman" w:hAnsi="Times New Roman" w:eastAsia="方正仿宋_GB2312" w:cs="Times New Roman"/>
          <w:sz w:val="30"/>
          <w:szCs w:val="30"/>
          <w:lang w:val="en-US" w:eastAsia="zh-CN"/>
        </w:rPr>
        <w:t>新材料</w:t>
      </w:r>
      <w:r>
        <w:rPr>
          <w:rFonts w:hint="default" w:ascii="Times New Roman" w:hAnsi="Times New Roman" w:eastAsia="方正仿宋_GB2312" w:cs="Times New Roman"/>
          <w:sz w:val="30"/>
          <w:szCs w:val="30"/>
          <w:lang w:val="en-US" w:eastAsia="zh-CN"/>
        </w:rPr>
        <w:t>特色产业园升级项目：加快园区基础设施建设，完善</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五通一平</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配套，推进7号地块ICBD项目招商、2-3号地块新型建材智慧产业园竣工验收，</w:t>
      </w:r>
      <w:r>
        <w:rPr>
          <w:rFonts w:hint="eastAsia" w:ascii="Times New Roman" w:hAnsi="Times New Roman" w:eastAsia="方正仿宋_GB2312" w:cs="Times New Roman"/>
          <w:sz w:val="30"/>
          <w:szCs w:val="30"/>
          <w:lang w:val="en-US" w:eastAsia="zh-CN"/>
        </w:rPr>
        <w:t>形成较为完善的现代物流体系，</w:t>
      </w:r>
      <w:r>
        <w:rPr>
          <w:rFonts w:hint="default" w:ascii="Times New Roman" w:hAnsi="Times New Roman" w:eastAsia="方正仿宋_GB2312" w:cs="Times New Roman"/>
          <w:sz w:val="30"/>
          <w:szCs w:val="30"/>
          <w:lang w:val="en-US" w:eastAsia="zh-CN"/>
        </w:rPr>
        <w:t>建设展示中心</w:t>
      </w:r>
      <w:r>
        <w:rPr>
          <w:rFonts w:hint="eastAsia" w:ascii="Times New Roman" w:hAnsi="Times New Roman" w:eastAsia="方正仿宋_GB2312" w:cs="Times New Roman"/>
          <w:sz w:val="30"/>
          <w:szCs w:val="30"/>
          <w:lang w:val="en-US" w:eastAsia="zh-CN"/>
        </w:rPr>
        <w:t>和</w:t>
      </w:r>
      <w:r>
        <w:rPr>
          <w:rFonts w:hint="default" w:ascii="Times New Roman" w:hAnsi="Times New Roman" w:eastAsia="方正仿宋_GB2312" w:cs="Times New Roman"/>
          <w:sz w:val="30"/>
          <w:szCs w:val="30"/>
          <w:lang w:val="en-US" w:eastAsia="zh-CN"/>
        </w:rPr>
        <w:t>园区研发中心，制定入园企业扶持政策，引导高端板材、</w:t>
      </w:r>
      <w:r>
        <w:rPr>
          <w:rFonts w:hint="eastAsia" w:ascii="Times New Roman" w:hAnsi="Times New Roman" w:eastAsia="方正仿宋_GB2312" w:cs="Times New Roman"/>
          <w:sz w:val="30"/>
          <w:szCs w:val="30"/>
          <w:lang w:val="en-US" w:eastAsia="zh-CN"/>
        </w:rPr>
        <w:t>钙基包装新材、</w:t>
      </w:r>
      <w:r>
        <w:rPr>
          <w:rFonts w:hint="default" w:ascii="Times New Roman" w:hAnsi="Times New Roman" w:eastAsia="方正仿宋_GB2312" w:cs="Times New Roman"/>
          <w:sz w:val="30"/>
          <w:szCs w:val="30"/>
          <w:lang w:val="en-US" w:eastAsia="zh-CN"/>
        </w:rPr>
        <w:t>智能家居配套石材</w:t>
      </w:r>
      <w:r>
        <w:rPr>
          <w:rFonts w:hint="eastAsia" w:ascii="Times New Roman" w:hAnsi="Times New Roman" w:eastAsia="方正仿宋_GB2312" w:cs="Times New Roman"/>
          <w:sz w:val="30"/>
          <w:szCs w:val="30"/>
          <w:lang w:val="en-US" w:eastAsia="zh-CN"/>
        </w:rPr>
        <w:t>等</w:t>
      </w:r>
      <w:r>
        <w:rPr>
          <w:rFonts w:hint="default" w:ascii="Times New Roman" w:hAnsi="Times New Roman" w:eastAsia="方正仿宋_GB2312" w:cs="Times New Roman"/>
          <w:sz w:val="30"/>
          <w:szCs w:val="30"/>
          <w:lang w:val="en-US" w:eastAsia="zh-CN"/>
        </w:rPr>
        <w:t>企业入园。</w:t>
      </w:r>
    </w:p>
    <w:p w14:paraId="13A6311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 xml:space="preserve">2. </w:t>
      </w:r>
      <w:r>
        <w:rPr>
          <w:rFonts w:hint="eastAsia" w:ascii="Times New Roman" w:hAnsi="Times New Roman" w:eastAsia="方正仿宋_GB2312" w:cs="Times New Roman"/>
          <w:sz w:val="30"/>
          <w:szCs w:val="30"/>
          <w:lang w:val="en-US" w:eastAsia="zh-CN"/>
        </w:rPr>
        <w:t>钙基新材料产业园（</w:t>
      </w:r>
      <w:r>
        <w:rPr>
          <w:rFonts w:hint="default" w:ascii="Times New Roman" w:hAnsi="Times New Roman" w:eastAsia="方正仿宋_GB2312" w:cs="Times New Roman"/>
          <w:sz w:val="30"/>
          <w:szCs w:val="30"/>
          <w:lang w:val="en-US" w:eastAsia="zh-CN"/>
        </w:rPr>
        <w:t>西街口加工集中区</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建设项目：加快片区控制性详细规划落地，推进基础设施</w:t>
      </w:r>
      <w:r>
        <w:rPr>
          <w:rFonts w:hint="eastAsia" w:ascii="Times New Roman" w:hAnsi="Times New Roman" w:eastAsia="方正仿宋_GB2312" w:cs="Times New Roman"/>
          <w:sz w:val="30"/>
          <w:szCs w:val="30"/>
          <w:lang w:val="en-US" w:eastAsia="zh-CN"/>
        </w:rPr>
        <w:t>及区域物流中心的</w:t>
      </w:r>
      <w:r>
        <w:rPr>
          <w:rFonts w:hint="default" w:ascii="Times New Roman" w:hAnsi="Times New Roman" w:eastAsia="方正仿宋_GB2312" w:cs="Times New Roman"/>
          <w:sz w:val="30"/>
          <w:szCs w:val="30"/>
          <w:lang w:val="en-US" w:eastAsia="zh-CN"/>
        </w:rPr>
        <w:t>建设，重点引进超细钙、改性钙、纳米钙等高性能粉体和拓展在塑料、健康、化工、环保、造纸、建材和农业领域的多元应用等钙基新材料生产项目，打造精深加工产业集群，2027年底前完成核心区域建设并实现企业入驻。</w:t>
      </w:r>
    </w:p>
    <w:p w14:paraId="467D8A2F">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（三）产业链完善工程</w:t>
      </w:r>
    </w:p>
    <w:p w14:paraId="3DD0A77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lang w:val="en-US" w:eastAsia="zh-CN"/>
        </w:rPr>
        <w:t xml:space="preserve">1. </w:t>
      </w:r>
      <w:r>
        <w:rPr>
          <w:rFonts w:hint="eastAsia" w:ascii="Times New Roman" w:hAnsi="Times New Roman" w:eastAsia="方正仿宋_GB2312" w:cs="Times New Roman"/>
          <w:sz w:val="30"/>
          <w:szCs w:val="30"/>
          <w:lang w:val="en-US" w:eastAsia="zh-CN"/>
        </w:rPr>
        <w:t>高性能粉体产业化工程：重点引进培育</w:t>
      </w:r>
      <w:r>
        <w:rPr>
          <w:rFonts w:hint="default" w:ascii="Times New Roman" w:hAnsi="Times New Roman" w:eastAsia="方正仿宋_GB2312" w:cs="Times New Roman"/>
          <w:sz w:val="30"/>
          <w:szCs w:val="30"/>
          <w:lang w:val="en-US" w:eastAsia="zh-CN"/>
        </w:rPr>
        <w:t>超细重质碳酸钙</w:t>
      </w:r>
      <w:r>
        <w:rPr>
          <w:rFonts w:hint="eastAsia" w:ascii="Times New Roman" w:hAnsi="Times New Roman" w:eastAsia="方正仿宋_GB2312" w:cs="Times New Roman"/>
          <w:sz w:val="30"/>
          <w:szCs w:val="30"/>
          <w:lang w:val="en-US" w:eastAsia="zh-CN"/>
        </w:rPr>
        <w:t>、超细轻质碳酸钙、纳米碳酸钙粉体生产规模化企业</w:t>
      </w:r>
      <w:r>
        <w:rPr>
          <w:rFonts w:hint="default" w:ascii="Times New Roman" w:hAnsi="Times New Roman" w:eastAsia="方正仿宋_GB2312" w:cs="Times New Roman"/>
          <w:sz w:val="30"/>
          <w:szCs w:val="30"/>
          <w:lang w:val="en-US" w:eastAsia="zh-CN"/>
        </w:rPr>
        <w:t>，填补</w:t>
      </w:r>
      <w:r>
        <w:rPr>
          <w:rFonts w:hint="eastAsia" w:ascii="Times New Roman" w:hAnsi="Times New Roman" w:eastAsia="方正仿宋_GB2312" w:cs="Times New Roman"/>
          <w:sz w:val="30"/>
          <w:szCs w:val="30"/>
          <w:lang w:val="en-US" w:eastAsia="zh-CN"/>
        </w:rPr>
        <w:t>高性能粉体</w:t>
      </w:r>
      <w:r>
        <w:rPr>
          <w:rFonts w:hint="default" w:ascii="Times New Roman" w:hAnsi="Times New Roman" w:eastAsia="方正仿宋_GB2312" w:cs="Times New Roman"/>
          <w:sz w:val="30"/>
          <w:szCs w:val="30"/>
          <w:lang w:val="en-US" w:eastAsia="zh-CN"/>
        </w:rPr>
        <w:t>领域空白</w:t>
      </w:r>
      <w:r>
        <w:rPr>
          <w:rFonts w:hint="eastAsia" w:ascii="Times New Roman" w:hAnsi="Times New Roman" w:eastAsia="方正仿宋_GB2312" w:cs="Times New Roman"/>
          <w:sz w:val="30"/>
          <w:szCs w:val="30"/>
          <w:lang w:val="en-US" w:eastAsia="zh-CN"/>
        </w:rPr>
        <w:t>，引进培育龙头企业2-3家。</w:t>
      </w:r>
    </w:p>
    <w:p w14:paraId="4CB4866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eastAsia" w:ascii="Times New Roman" w:hAnsi="Times New Roman" w:eastAsia="方正仿宋_GB2312" w:cs="Times New Roman"/>
          <w:sz w:val="30"/>
          <w:szCs w:val="30"/>
          <w:lang w:val="en-US" w:eastAsia="zh-CN"/>
        </w:rPr>
        <w:t>2、</w:t>
      </w:r>
      <w:r>
        <w:rPr>
          <w:rFonts w:hint="default" w:ascii="Times New Roman" w:hAnsi="Times New Roman" w:eastAsia="方正仿宋_GB2312" w:cs="Times New Roman"/>
          <w:sz w:val="30"/>
          <w:szCs w:val="30"/>
          <w:lang w:val="en-US" w:eastAsia="zh-CN"/>
        </w:rPr>
        <w:t>高端钙基新材料产业化</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lang w:val="en-US" w:eastAsia="zh-CN"/>
        </w:rPr>
        <w:t>重点引进培育钙基中空包装材料</w:t>
      </w:r>
      <w:r>
        <w:rPr>
          <w:rFonts w:hint="default" w:ascii="Times New Roman" w:hAnsi="Times New Roman" w:eastAsia="方正仿宋_GB2312" w:cs="Times New Roman"/>
          <w:sz w:val="30"/>
          <w:szCs w:val="30"/>
          <w:lang w:val="en-US" w:eastAsia="zh-CN"/>
        </w:rPr>
        <w:t>、人造石</w:t>
      </w:r>
      <w:r>
        <w:rPr>
          <w:rFonts w:hint="eastAsia" w:ascii="Times New Roman" w:hAnsi="Times New Roman" w:eastAsia="方正仿宋_GB2312" w:cs="Times New Roman"/>
          <w:sz w:val="30"/>
          <w:szCs w:val="30"/>
          <w:lang w:val="en-US" w:eastAsia="zh-CN"/>
        </w:rPr>
        <w:t>、人造板、塑料母粒及制品、新型涂料等</w:t>
      </w:r>
      <w:r>
        <w:rPr>
          <w:rFonts w:hint="default" w:ascii="Times New Roman" w:hAnsi="Times New Roman" w:eastAsia="方正仿宋_GB2312" w:cs="Times New Roman"/>
          <w:sz w:val="30"/>
          <w:szCs w:val="30"/>
          <w:lang w:val="en-US" w:eastAsia="zh-CN"/>
        </w:rPr>
        <w:t>新材料</w:t>
      </w:r>
      <w:r>
        <w:rPr>
          <w:rFonts w:hint="eastAsia" w:ascii="Times New Roman" w:hAnsi="Times New Roman" w:eastAsia="方正仿宋_GB2312" w:cs="Times New Roman"/>
          <w:sz w:val="30"/>
          <w:szCs w:val="30"/>
          <w:lang w:val="en-US" w:eastAsia="zh-CN"/>
        </w:rPr>
        <w:t>企业，</w:t>
      </w:r>
      <w:r>
        <w:rPr>
          <w:rFonts w:hint="default" w:ascii="Times New Roman" w:hAnsi="Times New Roman" w:eastAsia="方正仿宋_GB2312" w:cs="Times New Roman"/>
          <w:sz w:val="30"/>
          <w:szCs w:val="30"/>
          <w:lang w:val="en-US" w:eastAsia="zh-CN"/>
        </w:rPr>
        <w:t>填补高端钙基新材料领域空白</w:t>
      </w:r>
      <w:r>
        <w:rPr>
          <w:rFonts w:hint="eastAsia" w:ascii="Times New Roman" w:hAnsi="Times New Roman" w:eastAsia="方正仿宋_GB2312" w:cs="Times New Roman"/>
          <w:sz w:val="30"/>
          <w:szCs w:val="30"/>
          <w:lang w:val="en-US" w:eastAsia="zh-CN"/>
        </w:rPr>
        <w:t>，引进</w:t>
      </w:r>
      <w:r>
        <w:rPr>
          <w:rFonts w:hint="default" w:ascii="Times New Roman" w:hAnsi="Times New Roman" w:eastAsia="方正仿宋_GB2312" w:cs="Times New Roman"/>
          <w:sz w:val="30"/>
          <w:szCs w:val="30"/>
          <w:lang w:val="en-US" w:eastAsia="zh-CN"/>
        </w:rPr>
        <w:t>培育3-5家下游龙头企业，2030年底前实现高端产品占比达70%以上。</w:t>
      </w:r>
    </w:p>
    <w:p w14:paraId="2C53BFA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eastAsia" w:ascii="Times New Roman" w:hAnsi="Times New Roman" w:eastAsia="方正仿宋_GB2312" w:cs="Times New Roman"/>
          <w:sz w:val="30"/>
          <w:szCs w:val="30"/>
          <w:lang w:val="en-US" w:eastAsia="zh-CN"/>
        </w:rPr>
        <w:t>3</w:t>
      </w:r>
      <w:r>
        <w:rPr>
          <w:rFonts w:hint="default" w:ascii="Times New Roman" w:hAnsi="Times New Roman" w:eastAsia="方正仿宋_GB2312" w:cs="Times New Roman"/>
          <w:sz w:val="30"/>
          <w:szCs w:val="30"/>
          <w:lang w:val="en-US" w:eastAsia="zh-CN"/>
        </w:rPr>
        <w:t>. 固废综合利用</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：建设石材</w:t>
      </w:r>
      <w:r>
        <w:rPr>
          <w:rFonts w:hint="eastAsia" w:ascii="Times New Roman" w:hAnsi="Times New Roman" w:eastAsia="方正仿宋_GB2312" w:cs="Times New Roman"/>
          <w:sz w:val="30"/>
          <w:szCs w:val="30"/>
          <w:lang w:val="en-US" w:eastAsia="zh-CN"/>
        </w:rPr>
        <w:t>和矿山</w:t>
      </w:r>
      <w:r>
        <w:rPr>
          <w:rFonts w:hint="default" w:ascii="Times New Roman" w:hAnsi="Times New Roman" w:eastAsia="方正仿宋_GB2312" w:cs="Times New Roman"/>
          <w:sz w:val="30"/>
          <w:szCs w:val="30"/>
          <w:lang w:val="en-US" w:eastAsia="zh-CN"/>
        </w:rPr>
        <w:t>固废综合利用生产线，综合利用石材边角料、石粉</w:t>
      </w:r>
      <w:r>
        <w:rPr>
          <w:rFonts w:hint="eastAsia" w:ascii="Times New Roman" w:hAnsi="Times New Roman" w:eastAsia="方正仿宋_GB2312" w:cs="Times New Roman"/>
          <w:sz w:val="30"/>
          <w:szCs w:val="30"/>
          <w:lang w:val="en-US" w:eastAsia="zh-CN"/>
        </w:rPr>
        <w:t>及废渣</w:t>
      </w:r>
      <w:r>
        <w:rPr>
          <w:rFonts w:hint="default" w:ascii="Times New Roman" w:hAnsi="Times New Roman" w:eastAsia="方正仿宋_GB2312" w:cs="Times New Roman"/>
          <w:sz w:val="30"/>
          <w:szCs w:val="30"/>
          <w:lang w:val="en-US" w:eastAsia="zh-CN"/>
        </w:rPr>
        <w:t>生产</w:t>
      </w:r>
      <w:r>
        <w:rPr>
          <w:rFonts w:hint="eastAsia" w:ascii="Times New Roman" w:hAnsi="Times New Roman" w:eastAsia="方正仿宋_GB2312" w:cs="Times New Roman"/>
          <w:sz w:val="30"/>
          <w:szCs w:val="30"/>
          <w:lang w:val="en-US" w:eastAsia="zh-CN"/>
        </w:rPr>
        <w:t>人造石、</w:t>
      </w:r>
      <w:r>
        <w:rPr>
          <w:rFonts w:hint="default" w:ascii="Times New Roman" w:hAnsi="Times New Roman" w:eastAsia="方正仿宋_GB2312" w:cs="Times New Roman"/>
          <w:sz w:val="30"/>
          <w:szCs w:val="30"/>
          <w:lang w:val="en-US" w:eastAsia="zh-CN"/>
        </w:rPr>
        <w:t>加气混凝土砌块、透水砖、透水水泥、涂料等产品，提升固废综合利用率，2028年底前实现固废综合利用率≥70%，2030年底前</w:t>
      </w:r>
      <w:r>
        <w:rPr>
          <w:rFonts w:hint="eastAsia" w:ascii="Times New Roman" w:hAnsi="Times New Roman" w:eastAsia="方正仿宋_GB2312" w:cs="Times New Roman"/>
          <w:sz w:val="30"/>
          <w:szCs w:val="30"/>
          <w:lang w:val="en-US" w:eastAsia="zh-CN"/>
        </w:rPr>
        <w:t>实现95%以上综合利用率，</w:t>
      </w:r>
      <w:r>
        <w:rPr>
          <w:rFonts w:hint="default" w:ascii="Times New Roman" w:hAnsi="Times New Roman" w:eastAsia="方正仿宋_GB2312" w:cs="Times New Roman"/>
          <w:sz w:val="30"/>
          <w:szCs w:val="30"/>
          <w:lang w:val="en-US" w:eastAsia="zh-CN"/>
        </w:rPr>
        <w:t>打造区域性固废综合利用示范基地。</w:t>
      </w:r>
    </w:p>
    <w:p w14:paraId="400BF8F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eastAsia" w:ascii="Times New Roman" w:hAnsi="Times New Roman" w:eastAsia="方正仿宋_GB2312" w:cs="Times New Roman"/>
          <w:sz w:val="30"/>
          <w:szCs w:val="30"/>
          <w:lang w:val="en-US" w:eastAsia="zh-CN"/>
        </w:rPr>
        <w:t>4</w:t>
      </w:r>
      <w:r>
        <w:rPr>
          <w:rFonts w:hint="default" w:ascii="Times New Roman" w:hAnsi="Times New Roman" w:eastAsia="方正仿宋_GB2312" w:cs="Times New Roman"/>
          <w:sz w:val="30"/>
          <w:szCs w:val="30"/>
          <w:lang w:val="en-US" w:eastAsia="zh-CN"/>
        </w:rPr>
        <w:t>. 交易物流与结算中心建设</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：建设钙基新材料（石材）交易中心、物流仓储基地，搭建</w:t>
      </w:r>
      <w:r>
        <w:rPr>
          <w:rFonts w:hint="eastAsia" w:ascii="Times New Roman" w:hAnsi="Times New Roman" w:eastAsia="方正仿宋_GB2312" w:cs="Times New Roman"/>
          <w:sz w:val="30"/>
          <w:szCs w:val="30"/>
          <w:lang w:val="en-US" w:eastAsia="zh-CN"/>
        </w:rPr>
        <w:t>钙基新材料（石材）</w:t>
      </w:r>
      <w:r>
        <w:rPr>
          <w:rFonts w:hint="default" w:ascii="Times New Roman" w:hAnsi="Times New Roman" w:eastAsia="方正仿宋_GB2312" w:cs="Times New Roman"/>
          <w:sz w:val="30"/>
          <w:szCs w:val="30"/>
          <w:lang w:val="en-US" w:eastAsia="zh-CN"/>
        </w:rPr>
        <w:t>交易结算平台，引入第三方运营，制定交易规则，成立</w:t>
      </w:r>
      <w:r>
        <w:rPr>
          <w:rFonts w:hint="eastAsia" w:ascii="Times New Roman" w:hAnsi="Times New Roman" w:eastAsia="方正仿宋_GB2312" w:cs="Times New Roman"/>
          <w:sz w:val="30"/>
          <w:szCs w:val="30"/>
          <w:lang w:val="en-US" w:eastAsia="zh-CN"/>
        </w:rPr>
        <w:t>钙基新材料（</w:t>
      </w:r>
      <w:r>
        <w:rPr>
          <w:rFonts w:hint="default" w:ascii="Times New Roman" w:hAnsi="Times New Roman" w:eastAsia="方正仿宋_GB2312" w:cs="Times New Roman"/>
          <w:sz w:val="30"/>
          <w:szCs w:val="30"/>
          <w:lang w:val="en-US" w:eastAsia="zh-CN"/>
        </w:rPr>
        <w:t>石材</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产业发展基金</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2029年底前建成以火车站物流基地为中心、西街口区域物流为辅，</w:t>
      </w:r>
      <w:r>
        <w:rPr>
          <w:rFonts w:hint="eastAsia" w:ascii="Times New Roman" w:hAnsi="Times New Roman" w:eastAsia="方正仿宋_GB2312" w:cs="Times New Roman"/>
          <w:sz w:val="30"/>
          <w:szCs w:val="30"/>
          <w:lang w:val="en-US" w:eastAsia="zh-CN"/>
        </w:rPr>
        <w:t>立足石林、</w:t>
      </w:r>
      <w:r>
        <w:rPr>
          <w:rFonts w:hint="default" w:ascii="Times New Roman" w:hAnsi="Times New Roman" w:eastAsia="方正仿宋_GB2312" w:cs="Times New Roman"/>
          <w:sz w:val="30"/>
          <w:szCs w:val="30"/>
          <w:lang w:val="en-US" w:eastAsia="zh-CN"/>
        </w:rPr>
        <w:t>辐射</w:t>
      </w:r>
      <w:r>
        <w:rPr>
          <w:rFonts w:hint="eastAsia" w:ascii="Times New Roman" w:hAnsi="Times New Roman" w:eastAsia="方正仿宋_GB2312" w:cs="Times New Roman"/>
          <w:sz w:val="30"/>
          <w:szCs w:val="30"/>
          <w:lang w:val="en-US" w:eastAsia="zh-CN"/>
        </w:rPr>
        <w:t>云南</w:t>
      </w:r>
      <w:r>
        <w:rPr>
          <w:rFonts w:hint="default" w:ascii="Times New Roman" w:hAnsi="Times New Roman" w:eastAsia="方正仿宋_GB2312" w:cs="Times New Roman"/>
          <w:sz w:val="30"/>
          <w:szCs w:val="30"/>
          <w:lang w:val="en-US" w:eastAsia="zh-CN"/>
        </w:rPr>
        <w:t>、联动</w:t>
      </w:r>
      <w:r>
        <w:rPr>
          <w:rFonts w:hint="eastAsia" w:ascii="Times New Roman" w:hAnsi="Times New Roman" w:eastAsia="方正仿宋_GB2312" w:cs="Times New Roman"/>
          <w:sz w:val="30"/>
          <w:szCs w:val="30"/>
          <w:lang w:val="en-US" w:eastAsia="zh-CN"/>
        </w:rPr>
        <w:t>南亚</w:t>
      </w:r>
      <w:r>
        <w:rPr>
          <w:rFonts w:hint="default" w:ascii="Times New Roman" w:hAnsi="Times New Roman" w:eastAsia="方正仿宋_GB2312" w:cs="Times New Roman"/>
          <w:sz w:val="30"/>
          <w:szCs w:val="30"/>
          <w:lang w:val="en-US" w:eastAsia="zh-CN"/>
        </w:rPr>
        <w:t>东南亚的交易与物流集散地，打造云南</w:t>
      </w:r>
      <w:r>
        <w:rPr>
          <w:rFonts w:hint="eastAsia" w:ascii="Times New Roman" w:hAnsi="Times New Roman" w:eastAsia="方正仿宋_GB2312" w:cs="Times New Roman"/>
          <w:sz w:val="30"/>
          <w:szCs w:val="30"/>
          <w:lang w:val="en-US" w:eastAsia="zh-CN"/>
        </w:rPr>
        <w:t>钙基新材料（石材）</w:t>
      </w:r>
      <w:r>
        <w:rPr>
          <w:rFonts w:hint="default" w:ascii="Times New Roman" w:hAnsi="Times New Roman" w:eastAsia="方正仿宋_GB2312" w:cs="Times New Roman"/>
          <w:sz w:val="30"/>
          <w:szCs w:val="30"/>
          <w:lang w:val="en-US" w:eastAsia="zh-CN"/>
        </w:rPr>
        <w:t>产业区块链金融供应链结算中心。</w:t>
      </w:r>
    </w:p>
    <w:p w14:paraId="24081E66">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（四）创新驱动提升工程</w:t>
      </w:r>
    </w:p>
    <w:p w14:paraId="1055205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1. 创新平台建设</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：2027年底前建成省级</w:t>
      </w:r>
      <w:r>
        <w:rPr>
          <w:rFonts w:hint="eastAsia" w:ascii="Times New Roman" w:hAnsi="Times New Roman" w:eastAsia="方正仿宋_GB2312" w:cs="Times New Roman"/>
          <w:sz w:val="30"/>
          <w:szCs w:val="30"/>
          <w:lang w:val="en-US" w:eastAsia="zh-CN"/>
        </w:rPr>
        <w:t>专家工作站、</w:t>
      </w:r>
      <w:r>
        <w:rPr>
          <w:rFonts w:hint="default" w:ascii="Times New Roman" w:hAnsi="Times New Roman" w:eastAsia="方正仿宋_GB2312" w:cs="Times New Roman"/>
          <w:sz w:val="30"/>
          <w:szCs w:val="30"/>
          <w:lang w:val="en-US" w:eastAsia="zh-CN"/>
        </w:rPr>
        <w:t>省级钙基新材料（石材）技术创新中心</w:t>
      </w:r>
      <w:r>
        <w:rPr>
          <w:rFonts w:hint="eastAsia" w:ascii="Times New Roman" w:hAnsi="Times New Roman" w:eastAsia="方正仿宋_GB2312" w:cs="Times New Roman"/>
          <w:sz w:val="30"/>
          <w:szCs w:val="30"/>
          <w:lang w:val="en-US" w:eastAsia="zh-CN"/>
        </w:rPr>
        <w:t>，2028年建成钙基新材料（石材）</w:t>
      </w:r>
      <w:r>
        <w:rPr>
          <w:rFonts w:hint="default" w:ascii="Times New Roman" w:hAnsi="Times New Roman" w:eastAsia="方正仿宋_GB2312" w:cs="Times New Roman"/>
          <w:sz w:val="30"/>
          <w:szCs w:val="30"/>
          <w:lang w:val="en-US" w:eastAsia="zh-CN"/>
        </w:rPr>
        <w:t>产业概念验证中心、中试验证基地和检测认证平台，推动企业与高校、科研院所合作，开展</w:t>
      </w:r>
      <w:r>
        <w:rPr>
          <w:rFonts w:hint="eastAsia" w:ascii="Times New Roman" w:hAnsi="Times New Roman" w:eastAsia="方正仿宋_GB2312" w:cs="Times New Roman"/>
          <w:sz w:val="30"/>
          <w:szCs w:val="30"/>
          <w:lang w:val="en-US" w:eastAsia="zh-CN"/>
        </w:rPr>
        <w:t>高端天然石材、高性能粉体、钙基复合新材料等</w:t>
      </w:r>
      <w:r>
        <w:rPr>
          <w:rFonts w:hint="default" w:ascii="Times New Roman" w:hAnsi="Times New Roman" w:eastAsia="方正仿宋_GB2312" w:cs="Times New Roman"/>
          <w:sz w:val="30"/>
          <w:szCs w:val="30"/>
          <w:lang w:val="en-US" w:eastAsia="zh-CN"/>
        </w:rPr>
        <w:t>关键技术</w:t>
      </w:r>
      <w:r>
        <w:rPr>
          <w:rFonts w:hint="eastAsia" w:ascii="Times New Roman" w:hAnsi="Times New Roman" w:eastAsia="方正仿宋_GB2312" w:cs="Times New Roman"/>
          <w:sz w:val="30"/>
          <w:szCs w:val="30"/>
          <w:lang w:val="en-US" w:eastAsia="zh-CN"/>
        </w:rPr>
        <w:t>和产品</w:t>
      </w:r>
      <w:r>
        <w:rPr>
          <w:rFonts w:hint="default" w:ascii="Times New Roman" w:hAnsi="Times New Roman" w:eastAsia="方正仿宋_GB2312" w:cs="Times New Roman"/>
          <w:sz w:val="30"/>
          <w:szCs w:val="30"/>
          <w:lang w:val="en-US" w:eastAsia="zh-CN"/>
        </w:rPr>
        <w:t>攻关，每年</w:t>
      </w:r>
      <w:r>
        <w:rPr>
          <w:rFonts w:hint="eastAsia" w:ascii="Times New Roman" w:hAnsi="Times New Roman" w:eastAsia="方正仿宋_GB2312" w:cs="Times New Roman"/>
          <w:sz w:val="30"/>
          <w:szCs w:val="30"/>
          <w:lang w:val="en-US" w:eastAsia="zh-CN"/>
        </w:rPr>
        <w:t>研发及</w:t>
      </w:r>
      <w:r>
        <w:rPr>
          <w:rFonts w:hint="default" w:ascii="Times New Roman" w:hAnsi="Times New Roman" w:eastAsia="方正仿宋_GB2312" w:cs="Times New Roman"/>
          <w:sz w:val="30"/>
          <w:szCs w:val="30"/>
          <w:lang w:val="en-US" w:eastAsia="zh-CN"/>
        </w:rPr>
        <w:t>转化科研成果3-5项。</w:t>
      </w:r>
    </w:p>
    <w:p w14:paraId="48BD87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2. 企业数字化改造</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：引导企业应用AI设计、5G远程控制、工业机器人等技术，对生产设备进行智能化改造，打造</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黑灯工厂</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智慧车间</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，实现生产效率提升30%以上；搭建</w:t>
      </w:r>
      <w:r>
        <w:rPr>
          <w:rFonts w:hint="eastAsia" w:ascii="Times New Roman" w:hAnsi="Times New Roman" w:eastAsia="方正仿宋_GB2312" w:cs="Times New Roman"/>
          <w:sz w:val="30"/>
          <w:szCs w:val="30"/>
          <w:lang w:val="en-US" w:eastAsia="zh-CN"/>
        </w:rPr>
        <w:t>“钙基新材料（</w:t>
      </w:r>
      <w:r>
        <w:rPr>
          <w:rFonts w:hint="default" w:ascii="Times New Roman" w:hAnsi="Times New Roman" w:eastAsia="方正仿宋_GB2312" w:cs="Times New Roman"/>
          <w:sz w:val="30"/>
          <w:szCs w:val="30"/>
          <w:lang w:val="en-US" w:eastAsia="zh-CN"/>
        </w:rPr>
        <w:t>石材</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产业云平台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，实现全产业链信息共享、资源协同，2028年底前完成重点企业数字化改造。</w:t>
      </w:r>
    </w:p>
    <w:p w14:paraId="7B08889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（五）绿色发展示范工程</w:t>
      </w:r>
    </w:p>
    <w:p w14:paraId="5A0E735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1. 矿山生态修复示范</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：选取2-3个重点矿山，开展生态修复试点，打造绿色矿山示范样板，推广先进修复技术，带动全县矿山生态修复工作，2027年底前完成试点建设并全面推广。</w:t>
      </w:r>
    </w:p>
    <w:p w14:paraId="6FDBF01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2. 清洁生产改造</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：引导企业淘汰落后生产工艺和设备，推进节能减排改造，推广清洁生产技术，对重点企业实施能耗、排放管控，2029年底前实现产业单位能耗、排放较当前下降40%。</w:t>
      </w:r>
    </w:p>
    <w:p w14:paraId="77486DFD">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1"/>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（六）品牌培育与保障工程</w:t>
      </w:r>
    </w:p>
    <w:p w14:paraId="1B734FE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1. 区域品牌培育</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lang w:val="en-US" w:eastAsia="zh-CN"/>
        </w:rPr>
        <w:t>完善</w:t>
      </w:r>
      <w:r>
        <w:rPr>
          <w:rFonts w:hint="default" w:ascii="Times New Roman" w:hAnsi="Times New Roman" w:eastAsia="方正仿宋_GB2312" w:cs="Times New Roman"/>
          <w:sz w:val="30"/>
          <w:szCs w:val="30"/>
          <w:lang w:val="en-US" w:eastAsia="zh-CN"/>
        </w:rPr>
        <w:t>白海棠、石林米黄</w:t>
      </w:r>
      <w:r>
        <w:rPr>
          <w:rFonts w:hint="eastAsia" w:ascii="Times New Roman" w:hAnsi="Times New Roman" w:eastAsia="方正仿宋_GB2312" w:cs="Times New Roman"/>
          <w:sz w:val="30"/>
          <w:szCs w:val="30"/>
          <w:lang w:val="en-US" w:eastAsia="zh-CN"/>
        </w:rPr>
        <w:t>等天然石材的标准，</w:t>
      </w:r>
      <w:r>
        <w:rPr>
          <w:rFonts w:hint="default" w:ascii="Times New Roman" w:hAnsi="Times New Roman" w:eastAsia="方正仿宋_GB2312" w:cs="Times New Roman"/>
          <w:sz w:val="30"/>
          <w:szCs w:val="30"/>
          <w:lang w:val="en-US" w:eastAsia="zh-CN"/>
        </w:rPr>
        <w:t>打造</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石林石材</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区域公共品牌，开展品牌宣传推广活动，组织企业参加国内外行业展会，提升品牌知名度；推动石林彩玉、观赏石等特色品类品牌升级，规范</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石林彩玉一条街</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运营，培育特色品牌商户，2030年底前将</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石林石材</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打造为全国知名品牌。</w:t>
      </w:r>
    </w:p>
    <w:p w14:paraId="408EC7C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lang w:val="en-US" w:eastAsia="zh-CN"/>
        </w:rPr>
        <w:t>2. 要素保障提升</w:t>
      </w:r>
      <w:r>
        <w:rPr>
          <w:rFonts w:hint="eastAsia" w:ascii="Times New Roman" w:hAnsi="Times New Roman" w:eastAsia="方正仿宋_GB2312" w:cs="Times New Roman"/>
          <w:sz w:val="30"/>
          <w:szCs w:val="30"/>
          <w:lang w:val="en-US" w:eastAsia="zh-CN"/>
        </w:rPr>
        <w:t>工程</w:t>
      </w:r>
      <w:r>
        <w:rPr>
          <w:rFonts w:hint="default" w:ascii="Times New Roman" w:hAnsi="Times New Roman" w:eastAsia="方正仿宋_GB2312" w:cs="Times New Roman"/>
          <w:sz w:val="30"/>
          <w:szCs w:val="30"/>
          <w:lang w:val="en-US" w:eastAsia="zh-CN"/>
        </w:rPr>
        <w:t>：争取省级地方专项债券支持，加大产业发展资金投入；优先保障产业用地、能耗指标，优化物流体系，降低企业物流成本；简化项目审批流程，建立企业服务专班，及时解决企业发展难题，为产业发展提供全方位保障。</w:t>
      </w:r>
    </w:p>
    <w:p w14:paraId="3587CF55">
      <w:pPr>
        <w:keepNext w:val="0"/>
        <w:keepLines w:val="0"/>
        <w:pageBreakBefore w:val="0"/>
        <w:widowControl w:val="0"/>
        <w:kinsoku/>
        <w:wordWrap/>
        <w:overflowPunct/>
        <w:topLinePunct w:val="0"/>
        <w:autoSpaceDE w:val="0"/>
        <w:autoSpaceDN w:val="0"/>
        <w:bidi w:val="0"/>
        <w:adjustRightInd/>
        <w:snapToGrid/>
        <w:spacing w:before="158" w:line="360" w:lineRule="auto"/>
        <w:ind w:firstLine="616" w:firstLineChars="200"/>
        <w:jc w:val="both"/>
        <w:textAlignment w:val="baseline"/>
        <w:outlineLvl w:val="0"/>
        <w:rPr>
          <w:rFonts w:hint="default" w:ascii="Times New Roman" w:hAnsi="Times New Roman" w:eastAsia="黑体" w:cs="Times New Roman"/>
          <w:snapToGrid w:val="0"/>
          <w:color w:val="000000"/>
          <w:spacing w:val="-6"/>
          <w:kern w:val="0"/>
          <w:position w:val="-2"/>
          <w:sz w:val="32"/>
          <w:szCs w:val="32"/>
          <w:lang w:val="en-US" w:eastAsia="zh-CN"/>
        </w:rPr>
      </w:pPr>
      <w:r>
        <w:rPr>
          <w:rFonts w:hint="default" w:ascii="Times New Roman" w:hAnsi="Times New Roman" w:eastAsia="黑体" w:cs="Times New Roman"/>
          <w:snapToGrid w:val="0"/>
          <w:color w:val="000000"/>
          <w:spacing w:val="-6"/>
          <w:kern w:val="0"/>
          <w:position w:val="-2"/>
          <w:sz w:val="32"/>
          <w:szCs w:val="32"/>
          <w:lang w:val="en-US" w:eastAsia="zh-CN"/>
        </w:rPr>
        <w:t>八、保障措施</w:t>
      </w:r>
    </w:p>
    <w:p w14:paraId="1F53257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为确保石林县</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十五五</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钙基新材料（石材）产业规划全面落地见效，如期实现百亿级产业集群、全国重要产业基地的发展目标，</w:t>
      </w:r>
      <w:r>
        <w:rPr>
          <w:rFonts w:hint="eastAsia" w:ascii="Times New Roman" w:hAnsi="Times New Roman" w:eastAsia="方正仿宋_GB2312" w:cs="Times New Roman"/>
          <w:sz w:val="30"/>
          <w:szCs w:val="30"/>
          <w:lang w:val="en-US" w:eastAsia="zh-CN"/>
        </w:rPr>
        <w:t>需</w:t>
      </w:r>
      <w:r>
        <w:rPr>
          <w:rFonts w:hint="default" w:ascii="Times New Roman" w:hAnsi="Times New Roman" w:eastAsia="方正仿宋_GB2312" w:cs="Times New Roman"/>
          <w:sz w:val="30"/>
          <w:szCs w:val="30"/>
        </w:rPr>
        <w:t>立足产业发展实际，紧扣</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高端化、绿色化、集群化</w:t>
      </w:r>
      <w:r>
        <w:rPr>
          <w:rFonts w:hint="eastAsia" w:ascii="Times New Roman" w:hAnsi="Times New Roman" w:eastAsia="方正仿宋_GB2312" w:cs="Times New Roman"/>
          <w:sz w:val="30"/>
          <w:szCs w:val="30"/>
          <w:lang w:eastAsia="zh-CN"/>
        </w:rPr>
        <w:t>、</w:t>
      </w:r>
      <w:r>
        <w:rPr>
          <w:rFonts w:hint="eastAsia" w:ascii="Times New Roman" w:hAnsi="Times New Roman" w:eastAsia="方正仿宋_GB2312" w:cs="Times New Roman"/>
          <w:sz w:val="30"/>
          <w:szCs w:val="30"/>
          <w:lang w:val="en-US" w:eastAsia="zh-CN"/>
        </w:rPr>
        <w:t>智能化</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发展方向，结合县域产业发展保障体系现状，构建</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组织引领、政策支撑、要素保障、监管服务、创新驱动、协同联动</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 xml:space="preserve">六大系统性保障措施，全方位护航产业规划有序推进、落地生根。  </w:t>
      </w:r>
    </w:p>
    <w:p w14:paraId="1515946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（一）</w:t>
      </w:r>
      <w:r>
        <w:rPr>
          <w:rFonts w:hint="default" w:ascii="Times New Roman" w:hAnsi="Times New Roman" w:eastAsia="方正仿宋_GB2312" w:cs="Times New Roman"/>
          <w:b/>
          <w:bCs/>
          <w:kern w:val="2"/>
          <w:sz w:val="30"/>
          <w:szCs w:val="30"/>
          <w:lang w:val="en-US" w:eastAsia="zh-CN" w:bidi="ar-SA"/>
        </w:rPr>
        <w:t>组织保障：强化统筹引领，压实工作责任</w:t>
      </w:r>
    </w:p>
    <w:p w14:paraId="7BE6ECC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outlineLvl w:val="9"/>
        <w:rPr>
          <w:rFonts w:hint="default" w:ascii="Times New Roman" w:hAnsi="Times New Roman" w:eastAsia="方正仿宋_GB2312" w:cs="Times New Roman"/>
          <w:b w:val="0"/>
          <w:bCs w:val="0"/>
          <w:kern w:val="2"/>
          <w:sz w:val="30"/>
          <w:szCs w:val="30"/>
          <w:lang w:val="en-US" w:eastAsia="zh-CN" w:bidi="ar-SA"/>
        </w:rPr>
      </w:pPr>
      <w:r>
        <w:rPr>
          <w:rFonts w:hint="default" w:ascii="Times New Roman" w:hAnsi="Times New Roman" w:eastAsia="方正仿宋_GB2312" w:cs="Times New Roman"/>
          <w:b w:val="0"/>
          <w:bCs w:val="0"/>
          <w:kern w:val="2"/>
          <w:sz w:val="30"/>
          <w:szCs w:val="30"/>
          <w:lang w:val="en-US" w:eastAsia="zh-CN" w:bidi="ar-SA"/>
        </w:rPr>
        <w:t>构建</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统一部署、分级负责、部门协同、各方联动</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的组织领导体系，确保规划实施方向不偏、力度不减。一是健全专项工作机制，依托石林县非煤矿山转型升级工作专班，增设钙基新材料（石材）产业发展专项工作组，下设办公室、矿山整合审批工作组、产业转型升级工作组3个专项机构，明确各机构职能分工，统筹推进规划</w:t>
      </w:r>
      <w:r>
        <w:rPr>
          <w:rFonts w:hint="eastAsia" w:ascii="Times New Roman" w:hAnsi="Times New Roman" w:eastAsia="方正仿宋_GB2312" w:cs="Times New Roman"/>
          <w:b w:val="0"/>
          <w:bCs w:val="0"/>
          <w:kern w:val="2"/>
          <w:sz w:val="30"/>
          <w:szCs w:val="30"/>
          <w:lang w:val="en-US" w:eastAsia="zh-CN" w:bidi="ar-SA"/>
        </w:rPr>
        <w:t>贯彻、人员培训、组织</w:t>
      </w:r>
      <w:r>
        <w:rPr>
          <w:rFonts w:hint="default" w:ascii="Times New Roman" w:hAnsi="Times New Roman" w:eastAsia="方正仿宋_GB2312" w:cs="Times New Roman"/>
          <w:b w:val="0"/>
          <w:bCs w:val="0"/>
          <w:kern w:val="2"/>
          <w:sz w:val="30"/>
          <w:szCs w:val="30"/>
          <w:lang w:val="en-US" w:eastAsia="zh-CN" w:bidi="ar-SA"/>
        </w:rPr>
        <w:t>实施、重点工程建设、政策落地等各项工作。二是压实各级责任，严格落实乡镇（街道）属地责任、相关部门监管责任和企业主体责任，各乡镇（街道）对照规划建立相应工作机制并明确牵头责任人，将产业发展目标任务分解到具体部门、具体岗位、具体人员，形成</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一级抓一级、层层抓落实</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的工作格局。三是强化调度督导，定期召开产业发展联席会议，调度规划实施进展情况，集中研究解决规划推进中的难点、堵点问题；县政府目督办对各单位履行职责情况进行全程跟进，实行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周调度、月通报、季考核</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，确保各项工作有序推进、落地见效。</w:t>
      </w:r>
    </w:p>
    <w:p w14:paraId="2B3C458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二</w:t>
      </w: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政策保障：完善政策体系，强化导向支撑</w:t>
      </w:r>
    </w:p>
    <w:p w14:paraId="7950CDE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outlineLvl w:val="9"/>
        <w:rPr>
          <w:rFonts w:hint="default" w:ascii="Times New Roman" w:hAnsi="Times New Roman" w:eastAsia="方正仿宋_GB2312" w:cs="Times New Roman"/>
          <w:b w:val="0"/>
          <w:bCs w:val="0"/>
          <w:kern w:val="2"/>
          <w:sz w:val="30"/>
          <w:szCs w:val="30"/>
          <w:lang w:val="en-US" w:eastAsia="zh-CN" w:bidi="ar-SA"/>
        </w:rPr>
      </w:pPr>
      <w:r>
        <w:rPr>
          <w:rFonts w:hint="default" w:ascii="Times New Roman" w:hAnsi="Times New Roman" w:eastAsia="方正仿宋_GB2312" w:cs="Times New Roman"/>
          <w:b w:val="0"/>
          <w:bCs w:val="0"/>
          <w:kern w:val="2"/>
          <w:sz w:val="30"/>
          <w:szCs w:val="30"/>
          <w:lang w:val="en-US" w:eastAsia="zh-CN" w:bidi="ar-SA"/>
        </w:rPr>
        <w:t>立足产业发展需求，构建</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精准化、差异化、多元化</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的政策支持体系，为规划实施提供坚实政策支撑。一是出台专项扶持政策，结合产业转型升级方向，制定钙基新材料（石材）产业发展专项政策，重点围绕矿山整合、园区建设、技术创新、绿色发展、招商引资等领域，明确扶持措施，优化政策兑现流程，确保政策精准直达企业、发挥实效。二是优化政策衔接配套，加强与国家、省、市关于新材料产业、绿色矿山建设、循环经济发展等相关政策的衔接，积极争取上级政策、资金支持，整合县域各类产业扶持资金，向钙基新材料（石材）产业重点领域、重点项目倾斜，重点支持矿山生态修复、企业转型升级和科技研发。三是强化政策宣传解读，通过</w:t>
      </w:r>
      <w:r>
        <w:rPr>
          <w:rFonts w:hint="eastAsia" w:ascii="Times New Roman" w:hAnsi="Times New Roman" w:eastAsia="方正仿宋_GB2312" w:cs="Times New Roman"/>
          <w:b w:val="0"/>
          <w:bCs w:val="0"/>
          <w:kern w:val="2"/>
          <w:sz w:val="30"/>
          <w:szCs w:val="30"/>
          <w:lang w:val="en-US" w:eastAsia="zh-CN" w:bidi="ar-SA"/>
        </w:rPr>
        <w:t>规划</w:t>
      </w:r>
      <w:r>
        <w:rPr>
          <w:rFonts w:hint="default" w:ascii="Times New Roman" w:hAnsi="Times New Roman" w:eastAsia="方正仿宋_GB2312" w:cs="Times New Roman"/>
          <w:b w:val="0"/>
          <w:bCs w:val="0"/>
          <w:kern w:val="2"/>
          <w:sz w:val="30"/>
          <w:szCs w:val="30"/>
          <w:lang w:val="en-US" w:eastAsia="zh-CN" w:bidi="ar-SA"/>
        </w:rPr>
        <w:t>宣</w:t>
      </w:r>
      <w:r>
        <w:rPr>
          <w:rFonts w:hint="eastAsia" w:ascii="Times New Roman" w:hAnsi="Times New Roman" w:eastAsia="方正仿宋_GB2312" w:cs="Times New Roman"/>
          <w:b w:val="0"/>
          <w:bCs w:val="0"/>
          <w:kern w:val="2"/>
          <w:sz w:val="30"/>
          <w:szCs w:val="30"/>
          <w:lang w:val="en-US" w:eastAsia="zh-CN" w:bidi="ar-SA"/>
        </w:rPr>
        <w:t>介、</w:t>
      </w:r>
      <w:r>
        <w:rPr>
          <w:rFonts w:hint="default" w:ascii="Times New Roman" w:hAnsi="Times New Roman" w:eastAsia="方正仿宋_GB2312" w:cs="Times New Roman"/>
          <w:b w:val="0"/>
          <w:bCs w:val="0"/>
          <w:kern w:val="2"/>
          <w:sz w:val="30"/>
          <w:szCs w:val="30"/>
          <w:lang w:val="en-US" w:eastAsia="zh-CN" w:bidi="ar-SA"/>
        </w:rPr>
        <w:t>园区宣讲、企业座谈</w:t>
      </w:r>
      <w:r>
        <w:rPr>
          <w:rFonts w:hint="eastAsia" w:ascii="Times New Roman" w:hAnsi="Times New Roman" w:eastAsia="方正仿宋_GB2312" w:cs="Times New Roman"/>
          <w:b w:val="0"/>
          <w:bCs w:val="0"/>
          <w:kern w:val="2"/>
          <w:sz w:val="30"/>
          <w:szCs w:val="30"/>
          <w:lang w:val="en-US" w:eastAsia="zh-CN" w:bidi="ar-SA"/>
        </w:rPr>
        <w:t>，交流学习</w:t>
      </w:r>
      <w:r>
        <w:rPr>
          <w:rFonts w:hint="default" w:ascii="Times New Roman" w:hAnsi="Times New Roman" w:eastAsia="方正仿宋_GB2312" w:cs="Times New Roman"/>
          <w:b w:val="0"/>
          <w:bCs w:val="0"/>
          <w:kern w:val="2"/>
          <w:sz w:val="30"/>
          <w:szCs w:val="30"/>
          <w:lang w:val="en-US" w:eastAsia="zh-CN" w:bidi="ar-SA"/>
        </w:rPr>
        <w:t>、线上推送等多种形式，全面解读</w:t>
      </w:r>
      <w:r>
        <w:rPr>
          <w:rFonts w:hint="eastAsia" w:ascii="Times New Roman" w:hAnsi="Times New Roman" w:eastAsia="方正仿宋_GB2312" w:cs="Times New Roman"/>
          <w:b w:val="0"/>
          <w:bCs w:val="0"/>
          <w:kern w:val="2"/>
          <w:sz w:val="30"/>
          <w:szCs w:val="30"/>
          <w:lang w:val="en-US" w:eastAsia="zh-CN" w:bidi="ar-SA"/>
        </w:rPr>
        <w:t>规划和</w:t>
      </w:r>
      <w:r>
        <w:rPr>
          <w:rFonts w:hint="default" w:ascii="Times New Roman" w:hAnsi="Times New Roman" w:eastAsia="方正仿宋_GB2312" w:cs="Times New Roman"/>
          <w:b w:val="0"/>
          <w:bCs w:val="0"/>
          <w:kern w:val="2"/>
          <w:sz w:val="30"/>
          <w:szCs w:val="30"/>
          <w:lang w:val="en-US" w:eastAsia="zh-CN" w:bidi="ar-SA"/>
        </w:rPr>
        <w:t>产业发展政策，确保企业精准把握政策导向，引导企业主动对接政策、用好政策，激发企业发展活力。</w:t>
      </w:r>
    </w:p>
    <w:p w14:paraId="4F37957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（三）</w:t>
      </w:r>
      <w:r>
        <w:rPr>
          <w:rFonts w:hint="default" w:ascii="Times New Roman" w:hAnsi="Times New Roman" w:eastAsia="方正仿宋_GB2312" w:cs="Times New Roman"/>
          <w:b/>
          <w:bCs/>
          <w:kern w:val="2"/>
          <w:sz w:val="30"/>
          <w:szCs w:val="30"/>
          <w:lang w:val="en-US" w:eastAsia="zh-CN" w:bidi="ar-SA"/>
        </w:rPr>
        <w:t>要素保障：优化资源配置，破解发展瓶颈</w:t>
      </w:r>
    </w:p>
    <w:p w14:paraId="7D01C11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outlineLvl w:val="9"/>
        <w:rPr>
          <w:rFonts w:hint="default" w:ascii="Times New Roman" w:hAnsi="Times New Roman" w:eastAsia="方正仿宋_GB2312" w:cs="Times New Roman"/>
          <w:b w:val="0"/>
          <w:bCs w:val="0"/>
          <w:kern w:val="2"/>
          <w:sz w:val="30"/>
          <w:szCs w:val="30"/>
          <w:lang w:val="en-US" w:eastAsia="zh-CN" w:bidi="ar-SA"/>
        </w:rPr>
      </w:pPr>
      <w:r>
        <w:rPr>
          <w:rFonts w:hint="default" w:ascii="Times New Roman" w:hAnsi="Times New Roman" w:eastAsia="方正仿宋_GB2312" w:cs="Times New Roman"/>
          <w:b w:val="0"/>
          <w:bCs w:val="0"/>
          <w:kern w:val="2"/>
          <w:sz w:val="30"/>
          <w:szCs w:val="30"/>
          <w:lang w:val="en-US" w:eastAsia="zh-CN" w:bidi="ar-SA"/>
        </w:rPr>
        <w:t>聚焦产业发展核心要素，强化土地、</w:t>
      </w:r>
      <w:r>
        <w:rPr>
          <w:rFonts w:hint="eastAsia" w:ascii="Times New Roman" w:hAnsi="Times New Roman" w:eastAsia="方正仿宋_GB2312" w:cs="Times New Roman"/>
          <w:b w:val="0"/>
          <w:bCs w:val="0"/>
          <w:kern w:val="2"/>
          <w:sz w:val="30"/>
          <w:szCs w:val="30"/>
          <w:lang w:val="en-US" w:eastAsia="zh-CN" w:bidi="ar-SA"/>
        </w:rPr>
        <w:t>能耗、</w:t>
      </w:r>
      <w:r>
        <w:rPr>
          <w:rFonts w:hint="default" w:ascii="Times New Roman" w:hAnsi="Times New Roman" w:eastAsia="方正仿宋_GB2312" w:cs="Times New Roman"/>
          <w:b w:val="0"/>
          <w:bCs w:val="0"/>
          <w:kern w:val="2"/>
          <w:sz w:val="30"/>
          <w:szCs w:val="30"/>
          <w:lang w:val="en-US" w:eastAsia="zh-CN" w:bidi="ar-SA"/>
        </w:rPr>
        <w:t>资金、人才、物流</w:t>
      </w:r>
      <w:r>
        <w:rPr>
          <w:rFonts w:hint="eastAsia" w:ascii="Times New Roman" w:hAnsi="Times New Roman" w:eastAsia="方正仿宋_GB2312" w:cs="Times New Roman"/>
          <w:b w:val="0"/>
          <w:bCs w:val="0"/>
          <w:kern w:val="2"/>
          <w:sz w:val="30"/>
          <w:szCs w:val="30"/>
          <w:lang w:val="en-US" w:eastAsia="zh-CN" w:bidi="ar-SA"/>
        </w:rPr>
        <w:t>、环保</w:t>
      </w:r>
      <w:r>
        <w:rPr>
          <w:rFonts w:hint="default" w:ascii="Times New Roman" w:hAnsi="Times New Roman" w:eastAsia="方正仿宋_GB2312" w:cs="Times New Roman"/>
          <w:b w:val="0"/>
          <w:bCs w:val="0"/>
          <w:kern w:val="2"/>
          <w:sz w:val="30"/>
          <w:szCs w:val="30"/>
          <w:lang w:val="en-US" w:eastAsia="zh-CN" w:bidi="ar-SA"/>
        </w:rPr>
        <w:t>等全方位保障，为规划实施破解要素制约。一是土地要素保障</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优先统筹安排年度土地计划指标，重点保障</w:t>
      </w:r>
      <w:r>
        <w:rPr>
          <w:rFonts w:hint="eastAsia" w:ascii="Times New Roman" w:hAnsi="Times New Roman" w:eastAsia="方正仿宋_GB2312" w:cs="Times New Roman"/>
          <w:b w:val="0"/>
          <w:bCs w:val="0"/>
          <w:kern w:val="2"/>
          <w:sz w:val="30"/>
          <w:szCs w:val="30"/>
          <w:lang w:val="en-US" w:eastAsia="zh-CN" w:bidi="ar-SA"/>
        </w:rPr>
        <w:t>钙基新材料产业园（</w:t>
      </w:r>
      <w:r>
        <w:rPr>
          <w:rFonts w:hint="default" w:ascii="Times New Roman" w:hAnsi="Times New Roman" w:eastAsia="方正仿宋_GB2312" w:cs="Times New Roman"/>
          <w:b w:val="0"/>
          <w:bCs w:val="0"/>
          <w:kern w:val="2"/>
          <w:sz w:val="30"/>
          <w:szCs w:val="30"/>
          <w:lang w:val="en-US" w:eastAsia="zh-CN" w:bidi="ar-SA"/>
        </w:rPr>
        <w:t>西街口加工集中区</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、石材</w:t>
      </w:r>
      <w:r>
        <w:rPr>
          <w:rFonts w:hint="eastAsia" w:ascii="Times New Roman" w:hAnsi="Times New Roman" w:eastAsia="方正仿宋_GB2312" w:cs="Times New Roman"/>
          <w:b w:val="0"/>
          <w:bCs w:val="0"/>
          <w:kern w:val="2"/>
          <w:sz w:val="30"/>
          <w:szCs w:val="30"/>
          <w:lang w:val="en-US" w:eastAsia="zh-CN" w:bidi="ar-SA"/>
        </w:rPr>
        <w:t>新材料</w:t>
      </w:r>
      <w:r>
        <w:rPr>
          <w:rFonts w:hint="default" w:ascii="Times New Roman" w:hAnsi="Times New Roman" w:eastAsia="方正仿宋_GB2312" w:cs="Times New Roman"/>
          <w:b w:val="0"/>
          <w:bCs w:val="0"/>
          <w:kern w:val="2"/>
          <w:sz w:val="30"/>
          <w:szCs w:val="30"/>
          <w:lang w:val="en-US" w:eastAsia="zh-CN" w:bidi="ar-SA"/>
        </w:rPr>
        <w:t>特色产业园等重点区域建设，简化用地审批流程，加快用地报批速度，推动项目快速落地；同时加大拆迁用地整合力度，盘活闲置工业用地，提高土地利用效率。二是资金要素保障</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整合财政资金、省级地方专项债券、社会资本，加大对重点工程、创新项目、绿色发展项目的资金投入；成立</w:t>
      </w:r>
      <w:r>
        <w:rPr>
          <w:rFonts w:hint="eastAsia" w:ascii="Times New Roman" w:hAnsi="Times New Roman" w:eastAsia="方正仿宋_GB2312" w:cs="Times New Roman"/>
          <w:b w:val="0"/>
          <w:bCs w:val="0"/>
          <w:kern w:val="2"/>
          <w:sz w:val="30"/>
          <w:szCs w:val="30"/>
          <w:lang w:val="en-US" w:eastAsia="zh-CN" w:bidi="ar-SA"/>
        </w:rPr>
        <w:t>钙基新材料（</w:t>
      </w:r>
      <w:r>
        <w:rPr>
          <w:rFonts w:hint="default" w:ascii="Times New Roman" w:hAnsi="Times New Roman" w:eastAsia="方正仿宋_GB2312" w:cs="Times New Roman"/>
          <w:b w:val="0"/>
          <w:bCs w:val="0"/>
          <w:kern w:val="2"/>
          <w:sz w:val="30"/>
          <w:szCs w:val="30"/>
          <w:lang w:val="en-US" w:eastAsia="zh-CN" w:bidi="ar-SA"/>
        </w:rPr>
        <w:t>石材</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产业发展基金，重点支持矿山生态修复、企业转型升级、科技研发和品牌创建；搭建政银企对接平台，鼓励金融机构推出针对性信贷产品，解决企业融资难、融资贵问题，支持园区国有资本投资运营平台与金融机构、战略投资者合作，探索多样化投融资模式。三是人才要素保障</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建立</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引育并举</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的人才培养机制，引进</w:t>
      </w:r>
      <w:r>
        <w:rPr>
          <w:rFonts w:hint="eastAsia" w:ascii="Times New Roman" w:hAnsi="Times New Roman" w:eastAsia="方正仿宋_GB2312" w:cs="Times New Roman"/>
          <w:b w:val="0"/>
          <w:bCs w:val="0"/>
          <w:kern w:val="2"/>
          <w:sz w:val="30"/>
          <w:szCs w:val="30"/>
          <w:lang w:val="en-US" w:eastAsia="zh-CN" w:bidi="ar-SA"/>
        </w:rPr>
        <w:t>培育</w:t>
      </w:r>
      <w:r>
        <w:rPr>
          <w:rFonts w:hint="default" w:ascii="Times New Roman" w:hAnsi="Times New Roman" w:eastAsia="方正仿宋_GB2312" w:cs="Times New Roman"/>
          <w:b w:val="0"/>
          <w:bCs w:val="0"/>
          <w:kern w:val="2"/>
          <w:sz w:val="30"/>
          <w:szCs w:val="30"/>
          <w:lang w:val="en-US" w:eastAsia="zh-CN" w:bidi="ar-SA"/>
        </w:rPr>
        <w:t>产业技术人才、管理人才和高端科研人才，与云南</w:t>
      </w:r>
      <w:r>
        <w:rPr>
          <w:rFonts w:hint="eastAsia" w:ascii="Times New Roman" w:hAnsi="Times New Roman" w:eastAsia="方正仿宋_GB2312" w:cs="Times New Roman"/>
          <w:b w:val="0"/>
          <w:bCs w:val="0"/>
          <w:kern w:val="2"/>
          <w:sz w:val="30"/>
          <w:szCs w:val="30"/>
          <w:lang w:val="en-US" w:eastAsia="zh-CN" w:bidi="ar-SA"/>
        </w:rPr>
        <w:t>省相关</w:t>
      </w:r>
      <w:r>
        <w:rPr>
          <w:rFonts w:hint="default" w:ascii="Times New Roman" w:hAnsi="Times New Roman" w:eastAsia="方正仿宋_GB2312" w:cs="Times New Roman"/>
          <w:b w:val="0"/>
          <w:bCs w:val="0"/>
          <w:kern w:val="2"/>
          <w:sz w:val="30"/>
          <w:szCs w:val="30"/>
          <w:lang w:val="en-US" w:eastAsia="zh-CN" w:bidi="ar-SA"/>
        </w:rPr>
        <w:t>高校、科研院所合作，开展产学研协同育人，培育本土技术技能人才；完善人才激励政策，优化人才就业、生活配套服务，留住优秀人才，为产业发展提供人才支撑。四是物流要素保障</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加快推进现代物流产业园区、火车南站物流园、大宗商品交易中心建设，完善物流仓储配套设施，优化物流运输线路，降低企业物流成本；依托矿产资源综合管理系统，实现</w:t>
      </w:r>
      <w:r>
        <w:rPr>
          <w:rFonts w:hint="eastAsia" w:ascii="Times New Roman" w:hAnsi="Times New Roman" w:eastAsia="方正仿宋_GB2312" w:cs="Times New Roman"/>
          <w:b w:val="0"/>
          <w:bCs w:val="0"/>
          <w:kern w:val="2"/>
          <w:sz w:val="30"/>
          <w:szCs w:val="30"/>
          <w:lang w:val="en-US" w:eastAsia="zh-CN" w:bidi="ar-SA"/>
        </w:rPr>
        <w:t>矿石</w:t>
      </w:r>
      <w:r>
        <w:rPr>
          <w:rFonts w:hint="default" w:ascii="Times New Roman" w:hAnsi="Times New Roman" w:eastAsia="方正仿宋_GB2312" w:cs="Times New Roman"/>
          <w:b w:val="0"/>
          <w:bCs w:val="0"/>
          <w:kern w:val="2"/>
          <w:sz w:val="30"/>
          <w:szCs w:val="30"/>
          <w:lang w:val="en-US" w:eastAsia="zh-CN" w:bidi="ar-SA"/>
        </w:rPr>
        <w:t>车辆半封闭、全覆盖运输，规范运输管理，保障原材料和产品运输畅通。</w:t>
      </w:r>
    </w:p>
    <w:p w14:paraId="60012D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四</w:t>
      </w: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监管服务：规范市场秩序，优化营商环境</w:t>
      </w:r>
    </w:p>
    <w:p w14:paraId="29AFFB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outlineLvl w:val="9"/>
        <w:rPr>
          <w:rFonts w:hint="default" w:ascii="Times New Roman" w:hAnsi="Times New Roman" w:eastAsia="方正仿宋_GB2312" w:cs="Times New Roman"/>
          <w:b w:val="0"/>
          <w:bCs w:val="0"/>
          <w:kern w:val="2"/>
          <w:sz w:val="30"/>
          <w:szCs w:val="30"/>
          <w:lang w:val="en-US" w:eastAsia="zh-CN" w:bidi="ar-SA"/>
        </w:rPr>
      </w:pPr>
      <w:r>
        <w:rPr>
          <w:rFonts w:hint="default" w:ascii="Times New Roman" w:hAnsi="Times New Roman" w:eastAsia="方正仿宋_GB2312" w:cs="Times New Roman"/>
          <w:b w:val="0"/>
          <w:bCs w:val="0"/>
          <w:kern w:val="2"/>
          <w:sz w:val="30"/>
          <w:szCs w:val="30"/>
          <w:lang w:val="en-US" w:eastAsia="zh-CN" w:bidi="ar-SA"/>
        </w:rPr>
        <w:t>坚持</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监管与服务并重、规范与发展同步</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，提升服务效能为规划实施营造良好发展氛围。一是强化行业监管</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严格落实</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三管三必须</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要求，加强对矿山开采、生产加工、环保排放、安全生产等环节的监管，严厉打击非法开采、违规生产、超标排放等行为；建立企业信用评价体系，实行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守信激励、失信惩戒</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，规范企业生产经营行为，维护公平竞争的市场秩序；严格园区节能环保准入门槛，强化节能减排总量和强度</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双控</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机制，推进产业低碳化、循环化发展。二是优化政务服务</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深化</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放管服</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改革，简化项目审批流程，推行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一窗受理、并联审批、限时办结</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模式，在石林产业园区党群服务中心设立企业服务窗口，实现</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一站式接件办理</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，打通政企服务</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神经末梢</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；建立企业服务专班，实行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一对一</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精准服务，梳理企业诉求清单、责任清单、落实清单，闭环解决企业生产经营中的难点、堵点问题，实现</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园区事园区办</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。三是规范市场环境</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主动服务和融入全国统一大市场，认真开展公平竞争审查，全面清除公共资源交易过程中设置的各类不合理限制和隐性壁垒；加强对公共资源交易领域专家和代理机构监管，实施</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双随机、一公开</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抽查检查，守护公平竞争的市场环境，让企业安心经营、放心投资、专心创新。</w:t>
      </w:r>
    </w:p>
    <w:p w14:paraId="440092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五</w:t>
      </w: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创新保障：强化科技赋能，提升核心竞争力</w:t>
      </w:r>
    </w:p>
    <w:p w14:paraId="2F0982A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b w:val="0"/>
          <w:bCs w:val="0"/>
          <w:kern w:val="2"/>
          <w:sz w:val="30"/>
          <w:szCs w:val="30"/>
          <w:lang w:val="en-US" w:eastAsia="zh-CN" w:bidi="ar-SA"/>
        </w:rPr>
        <w:t>以创新驱动为核心，</w:t>
      </w:r>
      <w:r>
        <w:rPr>
          <w:rFonts w:hint="eastAsia" w:ascii="Times New Roman" w:hAnsi="Times New Roman" w:eastAsia="方正仿宋_GB2312" w:cs="Times New Roman"/>
          <w:b w:val="0"/>
          <w:bCs w:val="0"/>
          <w:kern w:val="2"/>
          <w:sz w:val="30"/>
          <w:szCs w:val="30"/>
          <w:lang w:val="en-US" w:eastAsia="zh-CN" w:bidi="ar-SA"/>
        </w:rPr>
        <w:t>重点加大科技投入。县级研发经费占GDP比列不低于2%，重点支持“</w:t>
      </w:r>
      <w:r>
        <w:rPr>
          <w:rFonts w:hint="default" w:ascii="Times New Roman" w:hAnsi="Times New Roman" w:eastAsia="方正仿宋_GB2312" w:cs="Times New Roman"/>
          <w:sz w:val="30"/>
          <w:szCs w:val="30"/>
          <w:lang w:val="en-US" w:eastAsia="zh-CN"/>
        </w:rPr>
        <w:t>省级钙基新材料（石材）技术创新中心</w:t>
      </w:r>
      <w:r>
        <w:rPr>
          <w:rFonts w:hint="eastAsia" w:ascii="Times New Roman" w:hAnsi="Times New Roman" w:eastAsia="方正仿宋_GB2312" w:cs="Times New Roman"/>
          <w:sz w:val="30"/>
          <w:szCs w:val="30"/>
          <w:lang w:val="en-US" w:eastAsia="zh-CN"/>
        </w:rPr>
        <w:t>、钙基新材料（石材）</w:t>
      </w:r>
      <w:r>
        <w:rPr>
          <w:rFonts w:hint="default" w:ascii="Times New Roman" w:hAnsi="Times New Roman" w:eastAsia="方正仿宋_GB2312" w:cs="Times New Roman"/>
          <w:sz w:val="30"/>
          <w:szCs w:val="30"/>
          <w:lang w:val="en-US" w:eastAsia="zh-CN"/>
        </w:rPr>
        <w:t>产业概念验证中心、中试验证基地和检测认证平台</w:t>
      </w:r>
      <w:r>
        <w:rPr>
          <w:rFonts w:hint="eastAsia" w:ascii="Times New Roman" w:hAnsi="Times New Roman" w:eastAsia="方正仿宋_GB2312" w:cs="Times New Roman"/>
          <w:sz w:val="30"/>
          <w:szCs w:val="30"/>
          <w:lang w:val="en-US" w:eastAsia="zh-CN"/>
        </w:rPr>
        <w:t>”、</w:t>
      </w:r>
      <w:r>
        <w:rPr>
          <w:rFonts w:hint="default" w:ascii="Times New Roman" w:hAnsi="Times New Roman" w:eastAsia="方正仿宋_GB2312" w:cs="Times New Roman"/>
          <w:sz w:val="30"/>
          <w:szCs w:val="30"/>
          <w:lang w:val="en-US" w:eastAsia="zh-CN"/>
        </w:rPr>
        <w:t>企业数字化改造项目</w:t>
      </w:r>
      <w:r>
        <w:rPr>
          <w:rFonts w:hint="eastAsia" w:ascii="Times New Roman" w:hAnsi="Times New Roman" w:eastAsia="方正仿宋_GB2312" w:cs="Times New Roman"/>
          <w:sz w:val="30"/>
          <w:szCs w:val="30"/>
          <w:lang w:val="en-US" w:eastAsia="zh-CN"/>
        </w:rPr>
        <w:t>和钙基新材料（</w:t>
      </w:r>
      <w:r>
        <w:rPr>
          <w:rFonts w:hint="default" w:ascii="Times New Roman" w:hAnsi="Times New Roman" w:eastAsia="方正仿宋_GB2312" w:cs="Times New Roman"/>
          <w:b w:val="0"/>
          <w:bCs w:val="0"/>
          <w:kern w:val="2"/>
          <w:sz w:val="30"/>
          <w:szCs w:val="30"/>
          <w:lang w:val="en-US" w:eastAsia="zh-CN" w:bidi="ar-SA"/>
        </w:rPr>
        <w:t>石材</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产业发展基金</w:t>
      </w:r>
      <w:r>
        <w:rPr>
          <w:rFonts w:hint="eastAsia" w:ascii="Times New Roman" w:hAnsi="Times New Roman" w:eastAsia="方正仿宋_GB2312" w:cs="Times New Roman"/>
          <w:b w:val="0"/>
          <w:bCs w:val="0"/>
          <w:kern w:val="2"/>
          <w:sz w:val="30"/>
          <w:szCs w:val="30"/>
          <w:lang w:val="en-US" w:eastAsia="zh-CN" w:bidi="ar-SA"/>
        </w:rPr>
        <w:t>建设</w:t>
      </w:r>
      <w:r>
        <w:rPr>
          <w:rFonts w:hint="default" w:ascii="Times New Roman" w:hAnsi="Times New Roman" w:eastAsia="方正仿宋_GB2312" w:cs="Times New Roman"/>
          <w:sz w:val="30"/>
          <w:szCs w:val="30"/>
          <w:lang w:val="en-US" w:eastAsia="zh-CN"/>
        </w:rPr>
        <w:t>，推动企业与高校、科研院所合作，开展关键技术攻关。</w:t>
      </w:r>
      <w:r>
        <w:rPr>
          <w:rFonts w:hint="default" w:ascii="Times New Roman" w:hAnsi="Times New Roman" w:eastAsia="方正仿宋_GB2312" w:cs="Times New Roman"/>
          <w:b w:val="0"/>
          <w:bCs w:val="0"/>
          <w:kern w:val="2"/>
          <w:sz w:val="30"/>
          <w:szCs w:val="30"/>
          <w:lang w:val="en-US" w:eastAsia="zh-CN" w:bidi="ar-SA"/>
        </w:rPr>
        <w:t>构建</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产学研用协同、技术成果转化、数字化赋能</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的创新保障体系，为产业转型升级提供动力支撑。</w:t>
      </w:r>
    </w:p>
    <w:p w14:paraId="5D0AA34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六</w:t>
      </w:r>
      <w:r>
        <w:rPr>
          <w:rFonts w:hint="eastAsia" w:ascii="Times New Roman" w:hAnsi="Times New Roman" w:eastAsia="方正仿宋_GB2312" w:cs="Times New Roman"/>
          <w:b/>
          <w:bCs/>
          <w:kern w:val="2"/>
          <w:sz w:val="30"/>
          <w:szCs w:val="30"/>
          <w:lang w:val="en-US" w:eastAsia="zh-CN" w:bidi="ar-SA"/>
        </w:rPr>
        <w:t>）</w:t>
      </w:r>
      <w:r>
        <w:rPr>
          <w:rFonts w:hint="default" w:ascii="Times New Roman" w:hAnsi="Times New Roman" w:eastAsia="方正仿宋_GB2312" w:cs="Times New Roman"/>
          <w:b/>
          <w:bCs/>
          <w:kern w:val="2"/>
          <w:sz w:val="30"/>
          <w:szCs w:val="30"/>
          <w:lang w:val="en-US" w:eastAsia="zh-CN" w:bidi="ar-SA"/>
        </w:rPr>
        <w:t>协同联动：凝聚工作合力，拓宽发展空间</w:t>
      </w:r>
    </w:p>
    <w:p w14:paraId="7111B18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0" w:firstLineChars="200"/>
        <w:jc w:val="left"/>
        <w:textAlignment w:val="auto"/>
        <w:outlineLvl w:val="9"/>
        <w:rPr>
          <w:rFonts w:hint="default" w:ascii="Times New Roman" w:hAnsi="Times New Roman" w:eastAsia="方正仿宋_GB2312" w:cs="Times New Roman"/>
          <w:b w:val="0"/>
          <w:bCs w:val="0"/>
          <w:kern w:val="2"/>
          <w:sz w:val="30"/>
          <w:szCs w:val="30"/>
          <w:lang w:val="en-US" w:eastAsia="zh-CN" w:bidi="ar-SA"/>
        </w:rPr>
      </w:pPr>
      <w:r>
        <w:rPr>
          <w:rFonts w:hint="default" w:ascii="Times New Roman" w:hAnsi="Times New Roman" w:eastAsia="方正仿宋_GB2312" w:cs="Times New Roman"/>
          <w:b w:val="0"/>
          <w:bCs w:val="0"/>
          <w:kern w:val="2"/>
          <w:sz w:val="30"/>
          <w:szCs w:val="30"/>
          <w:lang w:val="en-US" w:eastAsia="zh-CN" w:bidi="ar-SA"/>
        </w:rPr>
        <w:t>构建</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内外协同、上下联动、政企同心</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的协同发展机制，凝聚产业发展强大合力。一是强化部门协同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加强县科工信局、自然资源局、</w:t>
      </w:r>
      <w:r>
        <w:rPr>
          <w:rFonts w:hint="eastAsia" w:ascii="Times New Roman" w:hAnsi="Times New Roman" w:eastAsia="方正仿宋_GB2312" w:cs="Times New Roman"/>
          <w:b w:val="0"/>
          <w:bCs w:val="0"/>
          <w:kern w:val="2"/>
          <w:sz w:val="30"/>
          <w:szCs w:val="30"/>
          <w:lang w:val="en-US" w:eastAsia="zh-CN" w:bidi="ar-SA"/>
        </w:rPr>
        <w:t>应急局、</w:t>
      </w:r>
      <w:r>
        <w:rPr>
          <w:rFonts w:hint="default" w:ascii="Times New Roman" w:hAnsi="Times New Roman" w:eastAsia="方正仿宋_GB2312" w:cs="Times New Roman"/>
          <w:b w:val="0"/>
          <w:bCs w:val="0"/>
          <w:kern w:val="2"/>
          <w:sz w:val="30"/>
          <w:szCs w:val="30"/>
          <w:lang w:val="en-US" w:eastAsia="zh-CN" w:bidi="ar-SA"/>
        </w:rPr>
        <w:t>生态环境局、住建局、招商和投资促进局等相关部门的协同联动，明确各部门职责分工，打破部门壁垒，形成工作合力，共同推进规划实施、重点工程建设和产业转型升级工作，定期组织开展园区专项融资对接等协同活动，提升保障效能。二是深化政企协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健全常态化政企沟通机制，定期开展企业座谈、调研走访，倾听企业诉求，引导企业主动融入产业发展规划，履行主体责任，加大技术改造、研发投入和品牌培育力度，主动参与产业链协同发展，抱团发展、合作共赢，共同推动产业做大做强、做优做精。三是拓展内外协同</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立足石林资源优势，加强与周边地区、长三角、珠三角等钙基新材料产业发达地区的合作，引进先进技术、管理经验和优质企业；依托</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一带一路</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倡议，拓展</w:t>
      </w:r>
      <w:r>
        <w:rPr>
          <w:rFonts w:hint="eastAsia" w:ascii="Times New Roman" w:hAnsi="Times New Roman" w:eastAsia="方正仿宋_GB2312" w:cs="Times New Roman"/>
          <w:b w:val="0"/>
          <w:bCs w:val="0"/>
          <w:kern w:val="2"/>
          <w:sz w:val="30"/>
          <w:szCs w:val="30"/>
          <w:lang w:val="en-US" w:eastAsia="zh-CN" w:bidi="ar-SA"/>
        </w:rPr>
        <w:t>南亚</w:t>
      </w:r>
      <w:r>
        <w:rPr>
          <w:rFonts w:hint="default" w:ascii="Times New Roman" w:hAnsi="Times New Roman" w:eastAsia="方正仿宋_GB2312" w:cs="Times New Roman"/>
          <w:b w:val="0"/>
          <w:bCs w:val="0"/>
          <w:kern w:val="2"/>
          <w:sz w:val="30"/>
          <w:szCs w:val="30"/>
          <w:lang w:val="en-US" w:eastAsia="zh-CN" w:bidi="ar-SA"/>
        </w:rPr>
        <w:t>东南亚市场，推动钙基新材料（石材）产品出口，提升产业市场辐射力和影响力；积极组织企业参加国内外行业展会，提升</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石林石材</w:t>
      </w:r>
      <w:r>
        <w:rPr>
          <w:rFonts w:hint="eastAsia" w:ascii="Times New Roman" w:hAnsi="Times New Roman" w:eastAsia="方正仿宋_GB2312" w:cs="Times New Roman"/>
          <w:b w:val="0"/>
          <w:bCs w:val="0"/>
          <w:kern w:val="2"/>
          <w:sz w:val="30"/>
          <w:szCs w:val="30"/>
          <w:lang w:val="en-US" w:eastAsia="zh-CN" w:bidi="ar-SA"/>
        </w:rPr>
        <w:t>”</w:t>
      </w:r>
      <w:r>
        <w:rPr>
          <w:rFonts w:hint="default" w:ascii="Times New Roman" w:hAnsi="Times New Roman" w:eastAsia="方正仿宋_GB2312" w:cs="Times New Roman"/>
          <w:b w:val="0"/>
          <w:bCs w:val="0"/>
          <w:kern w:val="2"/>
          <w:sz w:val="30"/>
          <w:szCs w:val="30"/>
          <w:lang w:val="en-US" w:eastAsia="zh-CN" w:bidi="ar-SA"/>
        </w:rPr>
        <w:t>区域公共品牌知名度，拓宽产业发展空间，助力百亿级产业集群建设目标实现。</w:t>
      </w:r>
    </w:p>
    <w:p w14:paraId="48B80EA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02" w:firstLineChars="200"/>
        <w:jc w:val="left"/>
        <w:textAlignment w:val="auto"/>
        <w:outlineLvl w:val="1"/>
        <w:rPr>
          <w:rFonts w:hint="default" w:ascii="Times New Roman" w:hAnsi="Times New Roman" w:eastAsia="方正仿宋_GB2312" w:cs="Times New Roman"/>
          <w:b/>
          <w:bCs/>
          <w:kern w:val="2"/>
          <w:sz w:val="30"/>
          <w:szCs w:val="30"/>
          <w:lang w:val="en-US" w:eastAsia="zh-CN" w:bidi="ar-SA"/>
        </w:rPr>
      </w:pPr>
      <w:r>
        <w:rPr>
          <w:rFonts w:hint="default" w:ascii="Times New Roman" w:hAnsi="Times New Roman" w:eastAsia="方正仿宋_GB2312" w:cs="Times New Roman"/>
          <w:b/>
          <w:bCs/>
          <w:kern w:val="2"/>
          <w:sz w:val="30"/>
          <w:szCs w:val="30"/>
          <w:lang w:val="en-US" w:eastAsia="zh-CN" w:bidi="ar-SA"/>
        </w:rPr>
        <w:t>（</w:t>
      </w:r>
      <w:r>
        <w:rPr>
          <w:rFonts w:hint="eastAsia" w:ascii="Times New Roman" w:hAnsi="Times New Roman" w:eastAsia="方正仿宋_GB2312" w:cs="Times New Roman"/>
          <w:b/>
          <w:bCs/>
          <w:kern w:val="2"/>
          <w:sz w:val="30"/>
          <w:szCs w:val="30"/>
          <w:lang w:val="en-US" w:eastAsia="zh-CN" w:bidi="ar-SA"/>
        </w:rPr>
        <w:t>七</w:t>
      </w:r>
      <w:r>
        <w:rPr>
          <w:rFonts w:hint="default" w:ascii="Times New Roman" w:hAnsi="Times New Roman" w:eastAsia="方正仿宋_GB2312" w:cs="Times New Roman"/>
          <w:b/>
          <w:bCs/>
          <w:kern w:val="2"/>
          <w:sz w:val="30"/>
          <w:szCs w:val="30"/>
          <w:lang w:val="en-US" w:eastAsia="zh-CN" w:bidi="ar-SA"/>
        </w:rPr>
        <w:t>）风险防控：</w:t>
      </w:r>
      <w:r>
        <w:rPr>
          <w:rFonts w:hint="eastAsia" w:ascii="Times New Roman" w:hAnsi="Times New Roman" w:eastAsia="方正仿宋_GB2312" w:cs="Times New Roman"/>
          <w:b/>
          <w:bCs/>
          <w:kern w:val="2"/>
          <w:sz w:val="30"/>
          <w:szCs w:val="30"/>
          <w:lang w:val="en-US" w:eastAsia="zh-CN" w:bidi="ar-SA"/>
        </w:rPr>
        <w:t>强化风险意识，</w:t>
      </w:r>
      <w:r>
        <w:rPr>
          <w:rFonts w:hint="default" w:ascii="Times New Roman" w:hAnsi="Times New Roman" w:eastAsia="方正仿宋_GB2312" w:cs="Times New Roman"/>
          <w:b/>
          <w:bCs/>
          <w:kern w:val="2"/>
          <w:sz w:val="30"/>
          <w:szCs w:val="30"/>
          <w:lang w:val="en-US" w:eastAsia="zh-CN" w:bidi="ar-SA"/>
        </w:rPr>
        <w:t xml:space="preserve">筑牢发展防线 </w:t>
      </w:r>
    </w:p>
    <w:p w14:paraId="48466BC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default" w:ascii="Times New Roman" w:hAnsi="Times New Roman" w:eastAsia="方正仿宋_GB2312" w:cs="Times New Roman"/>
          <w:sz w:val="30"/>
          <w:szCs w:val="30"/>
          <w:lang w:eastAsia="zh-CN"/>
        </w:rPr>
      </w:pPr>
      <w:r>
        <w:rPr>
          <w:rFonts w:hint="eastAsia" w:ascii="Times New Roman" w:hAnsi="Times New Roman" w:eastAsia="方正仿宋_GB2312" w:cs="Times New Roman"/>
          <w:sz w:val="30"/>
          <w:szCs w:val="30"/>
          <w:lang w:val="en-US" w:eastAsia="zh-CN"/>
        </w:rPr>
        <w:t>加强风险意识的教育与学习，系统性的强化风险意识。一是加强</w:t>
      </w:r>
      <w:r>
        <w:rPr>
          <w:rFonts w:hint="default" w:ascii="Times New Roman" w:hAnsi="Times New Roman" w:eastAsia="方正仿宋_GB2312" w:cs="Times New Roman"/>
          <w:sz w:val="30"/>
          <w:szCs w:val="30"/>
        </w:rPr>
        <w:t>技术风险防控</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 xml:space="preserve">建立技术风险预警机制，对关键技术进行专利布局（每年申请专利不少于 </w:t>
      </w:r>
      <w:r>
        <w:rPr>
          <w:rFonts w:hint="eastAsia" w:ascii="Times New Roman" w:hAnsi="Times New Roman" w:eastAsia="方正仿宋_GB2312" w:cs="Times New Roman"/>
          <w:sz w:val="30"/>
          <w:szCs w:val="30"/>
          <w:lang w:val="en-US" w:eastAsia="zh-CN"/>
        </w:rPr>
        <w:t>3</w:t>
      </w:r>
      <w:r>
        <w:rPr>
          <w:rFonts w:hint="default" w:ascii="Times New Roman" w:hAnsi="Times New Roman" w:eastAsia="方正仿宋_GB2312" w:cs="Times New Roman"/>
          <w:sz w:val="30"/>
          <w:szCs w:val="30"/>
        </w:rPr>
        <w:t>项），防范技术泄露与侵权风险。实行技术多元化策略，避免单一技术路线依赖，降低技术研发失败风险。加强知识产权保护，建立专利数据库，开展专利分析与预警，为技术研发提供方向指引。</w:t>
      </w:r>
      <w:r>
        <w:rPr>
          <w:rFonts w:hint="eastAsia" w:ascii="Times New Roman" w:hAnsi="Times New Roman" w:eastAsia="方正仿宋_GB2312" w:cs="Times New Roman"/>
          <w:sz w:val="30"/>
          <w:szCs w:val="30"/>
          <w:lang w:val="en-US" w:eastAsia="zh-CN"/>
        </w:rPr>
        <w:t>二是强化</w:t>
      </w:r>
      <w:r>
        <w:rPr>
          <w:rFonts w:hint="default" w:ascii="Times New Roman" w:hAnsi="Times New Roman" w:eastAsia="方正仿宋_GB2312" w:cs="Times New Roman"/>
          <w:sz w:val="30"/>
          <w:szCs w:val="30"/>
        </w:rPr>
        <w:t>市场风险防控</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 xml:space="preserve"> 建立市场风险监测体系，及时跟踪市场价格、需求变化，制定应急预案。实行产品多元化策略，避免单一产品市场波动影响企业整体效益</w:t>
      </w:r>
      <w:r>
        <w:rPr>
          <w:rFonts w:hint="eastAsia" w:ascii="Times New Roman" w:hAnsi="Times New Roman" w:eastAsia="方正仿宋_GB2312" w:cs="Times New Roman"/>
          <w:sz w:val="30"/>
          <w:szCs w:val="30"/>
          <w:lang w:eastAsia="zh-CN"/>
        </w:rPr>
        <w:t>。</w:t>
      </w:r>
      <w:r>
        <w:rPr>
          <w:rFonts w:hint="eastAsia" w:ascii="Times New Roman" w:hAnsi="Times New Roman" w:eastAsia="方正仿宋_GB2312" w:cs="Times New Roman"/>
          <w:sz w:val="30"/>
          <w:szCs w:val="30"/>
          <w:lang w:val="en-US" w:eastAsia="zh-CN"/>
        </w:rPr>
        <w:t>三是强化</w:t>
      </w:r>
      <w:r>
        <w:rPr>
          <w:rFonts w:hint="default" w:ascii="Times New Roman" w:hAnsi="Times New Roman" w:eastAsia="方正仿宋_GB2312" w:cs="Times New Roman"/>
          <w:sz w:val="30"/>
          <w:szCs w:val="30"/>
        </w:rPr>
        <w:t>环保与安全风险防控</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 xml:space="preserve">严格遵守环保法规，加大环保投入，确保 </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三废</w:t>
      </w:r>
      <w:r>
        <w:rPr>
          <w:rFonts w:hint="eastAsia" w:ascii="Times New Roman" w:hAnsi="Times New Roman" w:eastAsia="方正仿宋_GB2312" w:cs="Times New Roman"/>
          <w:sz w:val="30"/>
          <w:szCs w:val="30"/>
          <w:lang w:eastAsia="zh-CN"/>
        </w:rPr>
        <w:t>”</w:t>
      </w:r>
      <w:r>
        <w:rPr>
          <w:rFonts w:hint="default" w:ascii="Times New Roman" w:hAnsi="Times New Roman" w:eastAsia="方正仿宋_GB2312" w:cs="Times New Roman"/>
          <w:sz w:val="30"/>
          <w:szCs w:val="30"/>
        </w:rPr>
        <w:t xml:space="preserve"> 达标排放，建设绿色工厂。</w:t>
      </w:r>
      <w:r>
        <w:rPr>
          <w:rFonts w:hint="default" w:ascii="Times New Roman" w:hAnsi="Times New Roman" w:eastAsia="方正仿宋_GB2312" w:cs="Times New Roman"/>
          <w:sz w:val="30"/>
          <w:szCs w:val="30"/>
          <w:lang w:val="en-US" w:eastAsia="zh-CN"/>
        </w:rPr>
        <w:t>进一步完善</w:t>
      </w:r>
      <w:r>
        <w:rPr>
          <w:rFonts w:hint="default" w:ascii="Times New Roman" w:hAnsi="Times New Roman" w:eastAsia="方正仿宋_GB2312" w:cs="Times New Roman"/>
          <w:sz w:val="30"/>
          <w:szCs w:val="30"/>
        </w:rPr>
        <w:t>建立安全生产责任制，加强安全培训与隐患排查，杜绝重大安全事故发生。制定突发环境事件应急预案，定期开展演练，提高应急处置能力，保障企业可持续发展</w:t>
      </w:r>
      <w:r>
        <w:rPr>
          <w:rFonts w:hint="default" w:ascii="Times New Roman" w:hAnsi="Times New Roman" w:eastAsia="方正仿宋_GB2312" w:cs="Times New Roman"/>
          <w:sz w:val="30"/>
          <w:szCs w:val="30"/>
          <w:lang w:eastAsia="zh-CN"/>
        </w:rPr>
        <w:t>。</w:t>
      </w:r>
    </w:p>
    <w:p w14:paraId="19AA59CD">
      <w:pPr>
        <w:pStyle w:val="7"/>
        <w:keepNext w:val="0"/>
        <w:keepLines w:val="0"/>
        <w:pageBreakBefore w:val="0"/>
        <w:widowControl w:val="0"/>
        <w:kinsoku/>
        <w:wordWrap/>
        <w:topLinePunct w:val="0"/>
        <w:bidi w:val="0"/>
        <w:adjustRightInd/>
        <w:snapToGrid/>
        <w:spacing w:line="360" w:lineRule="auto"/>
        <w:rPr>
          <w:rFonts w:hint="default" w:ascii="Times New Roman" w:hAnsi="Times New Roman" w:eastAsia="方正仿宋_GB2312" w:cs="Times New Roman"/>
          <w:sz w:val="30"/>
          <w:szCs w:val="30"/>
          <w:lang w:eastAsia="zh-CN"/>
        </w:rPr>
      </w:pPr>
    </w:p>
    <w:p w14:paraId="209DD365">
      <w:pPr>
        <w:rPr>
          <w:rFonts w:hint="default" w:ascii="Times New Roman" w:hAnsi="Times New Roman" w:eastAsia="方正仿宋_GB2312" w:cs="Times New Roman"/>
          <w:sz w:val="30"/>
          <w:szCs w:val="30"/>
          <w:lang w:eastAsia="zh-CN"/>
        </w:rPr>
      </w:pPr>
      <w:r>
        <w:rPr>
          <w:rFonts w:hint="default" w:ascii="Times New Roman" w:hAnsi="Times New Roman" w:eastAsia="方正仿宋_GB2312" w:cs="Times New Roman"/>
          <w:sz w:val="30"/>
          <w:szCs w:val="30"/>
          <w:lang w:eastAsia="zh-CN"/>
        </w:rPr>
        <w:br w:type="page"/>
      </w:r>
    </w:p>
    <w:p w14:paraId="43A2590A">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7F5AB5-8DAC-4917-B19A-427DC72963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CD63F2F7-15AF-4845-8FCF-3A57A5226E28}"/>
  </w:font>
  <w:font w:name="仿宋_GB2312">
    <w:panose1 w:val="02010609030101010101"/>
    <w:charset w:val="86"/>
    <w:family w:val="modern"/>
    <w:pitch w:val="default"/>
    <w:sig w:usb0="00000001" w:usb1="080E0000" w:usb2="00000000" w:usb3="00000000" w:csb0="00040000" w:csb1="00000000"/>
    <w:embedRegular r:id="rId3" w:fontKey="{A5F25A63-7914-47AC-82B9-0A7895589DC1}"/>
  </w:font>
  <w:font w:name="仿宋">
    <w:panose1 w:val="02010609060101010101"/>
    <w:charset w:val="86"/>
    <w:family w:val="auto"/>
    <w:pitch w:val="default"/>
    <w:sig w:usb0="800002BF" w:usb1="38CF7CFA" w:usb2="00000016" w:usb3="00000000" w:csb0="00040001" w:csb1="00000000"/>
    <w:embedRegular r:id="rId4" w:fontKey="{F49736DE-1714-434E-BE85-E788A0D33E73}"/>
  </w:font>
  <w:font w:name="WPSEMBED7">
    <w:panose1 w:val="02000000000000000000"/>
    <w:charset w:val="86"/>
    <w:family w:val="auto"/>
    <w:pitch w:val="default"/>
    <w:sig w:usb0="A00002BF" w:usb1="184F6CFA" w:usb2="00000012" w:usb3="00000000" w:csb0="00040001" w:csb1="00000000"/>
  </w:font>
  <w:font w:name="WPSEMBED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034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1809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01809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E3142"/>
    <w:multiLevelType w:val="singleLevel"/>
    <w:tmpl w:val="875E3142"/>
    <w:lvl w:ilvl="0" w:tentative="0">
      <w:start w:val="2"/>
      <w:numFmt w:val="decimal"/>
      <w:suff w:val="space"/>
      <w:lvlText w:val="%1."/>
      <w:lvlJc w:val="left"/>
    </w:lvl>
  </w:abstractNum>
  <w:abstractNum w:abstractNumId="1">
    <w:nsid w:val="CEC3352B"/>
    <w:multiLevelType w:val="singleLevel"/>
    <w:tmpl w:val="CEC3352B"/>
    <w:lvl w:ilvl="0" w:tentative="0">
      <w:start w:val="4"/>
      <w:numFmt w:val="chineseCounting"/>
      <w:suff w:val="nothing"/>
      <w:lvlText w:val="（%1）"/>
      <w:lvlJc w:val="left"/>
      <w:rPr>
        <w:rFonts w:hint="eastAsia"/>
      </w:rPr>
    </w:lvl>
  </w:abstractNum>
  <w:abstractNum w:abstractNumId="2">
    <w:nsid w:val="D1CAFE1A"/>
    <w:multiLevelType w:val="singleLevel"/>
    <w:tmpl w:val="D1CAFE1A"/>
    <w:lvl w:ilvl="0" w:tentative="0">
      <w:start w:val="3"/>
      <w:numFmt w:val="decimal"/>
      <w:suff w:val="space"/>
      <w:lvlText w:val="%1."/>
      <w:lvlJc w:val="left"/>
    </w:lvl>
  </w:abstractNum>
  <w:abstractNum w:abstractNumId="3">
    <w:nsid w:val="D54A3E37"/>
    <w:multiLevelType w:val="singleLevel"/>
    <w:tmpl w:val="D54A3E37"/>
    <w:lvl w:ilvl="0" w:tentative="0">
      <w:start w:val="1"/>
      <w:numFmt w:val="decimal"/>
      <w:suff w:val="space"/>
      <w:lvlText w:val="%1."/>
      <w:lvlJc w:val="left"/>
    </w:lvl>
  </w:abstractNum>
  <w:abstractNum w:abstractNumId="4">
    <w:nsid w:val="D9949AC6"/>
    <w:multiLevelType w:val="singleLevel"/>
    <w:tmpl w:val="D9949AC6"/>
    <w:lvl w:ilvl="0" w:tentative="0">
      <w:start w:val="5"/>
      <w:numFmt w:val="decimal"/>
      <w:suff w:val="space"/>
      <w:lvlText w:val="%1."/>
      <w:lvlJc w:val="left"/>
    </w:lvl>
  </w:abstractNum>
  <w:abstractNum w:abstractNumId="5">
    <w:nsid w:val="E5299175"/>
    <w:multiLevelType w:val="singleLevel"/>
    <w:tmpl w:val="E5299175"/>
    <w:lvl w:ilvl="0" w:tentative="0">
      <w:start w:val="4"/>
      <w:numFmt w:val="decimal"/>
      <w:suff w:val="space"/>
      <w:lvlText w:val="%1."/>
      <w:lvlJc w:val="left"/>
    </w:lvl>
  </w:abstractNum>
  <w:abstractNum w:abstractNumId="6">
    <w:nsid w:val="F0B1C171"/>
    <w:multiLevelType w:val="singleLevel"/>
    <w:tmpl w:val="F0B1C171"/>
    <w:lvl w:ilvl="0" w:tentative="0">
      <w:start w:val="2"/>
      <w:numFmt w:val="decimal"/>
      <w:suff w:val="space"/>
      <w:lvlText w:val="%1."/>
      <w:lvlJc w:val="left"/>
    </w:lvl>
  </w:abstractNum>
  <w:abstractNum w:abstractNumId="7">
    <w:nsid w:val="FDA572A9"/>
    <w:multiLevelType w:val="singleLevel"/>
    <w:tmpl w:val="FDA572A9"/>
    <w:lvl w:ilvl="0" w:tentative="0">
      <w:start w:val="5"/>
      <w:numFmt w:val="decimal"/>
      <w:suff w:val="space"/>
      <w:lvlText w:val="%1."/>
      <w:lvlJc w:val="left"/>
    </w:lvl>
  </w:abstractNum>
  <w:abstractNum w:abstractNumId="8">
    <w:nsid w:val="FEEE5DDD"/>
    <w:multiLevelType w:val="singleLevel"/>
    <w:tmpl w:val="FEEE5DDD"/>
    <w:lvl w:ilvl="0" w:tentative="0">
      <w:start w:val="2"/>
      <w:numFmt w:val="decimal"/>
      <w:suff w:val="space"/>
      <w:lvlText w:val="%1."/>
      <w:lvlJc w:val="left"/>
    </w:lvl>
  </w:abstractNum>
  <w:abstractNum w:abstractNumId="9">
    <w:nsid w:val="0DC36E68"/>
    <w:multiLevelType w:val="singleLevel"/>
    <w:tmpl w:val="0DC36E68"/>
    <w:lvl w:ilvl="0" w:tentative="0">
      <w:start w:val="1"/>
      <w:numFmt w:val="decimal"/>
      <w:suff w:val="space"/>
      <w:lvlText w:val="%1."/>
      <w:lvlJc w:val="left"/>
    </w:lvl>
  </w:abstractNum>
  <w:abstractNum w:abstractNumId="10">
    <w:nsid w:val="1F33F909"/>
    <w:multiLevelType w:val="singleLevel"/>
    <w:tmpl w:val="1F33F909"/>
    <w:lvl w:ilvl="0" w:tentative="0">
      <w:start w:val="3"/>
      <w:numFmt w:val="chineseCounting"/>
      <w:suff w:val="nothing"/>
      <w:lvlText w:val="（%1）"/>
      <w:lvlJc w:val="left"/>
      <w:rPr>
        <w:rFonts w:hint="eastAsia"/>
      </w:rPr>
    </w:lvl>
  </w:abstractNum>
  <w:abstractNum w:abstractNumId="11">
    <w:nsid w:val="265FB101"/>
    <w:multiLevelType w:val="singleLevel"/>
    <w:tmpl w:val="265FB101"/>
    <w:lvl w:ilvl="0" w:tentative="0">
      <w:start w:val="4"/>
      <w:numFmt w:val="decimal"/>
      <w:suff w:val="space"/>
      <w:lvlText w:val="%1."/>
      <w:lvlJc w:val="left"/>
    </w:lvl>
  </w:abstractNum>
  <w:abstractNum w:abstractNumId="12">
    <w:nsid w:val="30DBC686"/>
    <w:multiLevelType w:val="singleLevel"/>
    <w:tmpl w:val="30DBC686"/>
    <w:lvl w:ilvl="0" w:tentative="0">
      <w:start w:val="2"/>
      <w:numFmt w:val="decimal"/>
      <w:suff w:val="nothing"/>
      <w:lvlText w:val="（%1）"/>
      <w:lvlJc w:val="left"/>
    </w:lvl>
  </w:abstractNum>
  <w:abstractNum w:abstractNumId="13">
    <w:nsid w:val="510F8ECD"/>
    <w:multiLevelType w:val="singleLevel"/>
    <w:tmpl w:val="510F8ECD"/>
    <w:lvl w:ilvl="0" w:tentative="0">
      <w:start w:val="1"/>
      <w:numFmt w:val="decimal"/>
      <w:suff w:val="space"/>
      <w:lvlText w:val="%1."/>
      <w:lvlJc w:val="left"/>
    </w:lvl>
  </w:abstractNum>
  <w:abstractNum w:abstractNumId="14">
    <w:nsid w:val="53E79258"/>
    <w:multiLevelType w:val="singleLevel"/>
    <w:tmpl w:val="53E79258"/>
    <w:lvl w:ilvl="0" w:tentative="0">
      <w:start w:val="3"/>
      <w:numFmt w:val="decimal"/>
      <w:suff w:val="space"/>
      <w:lvlText w:val="%1."/>
      <w:lvlJc w:val="left"/>
    </w:lvl>
  </w:abstractNum>
  <w:abstractNum w:abstractNumId="15">
    <w:nsid w:val="560F9133"/>
    <w:multiLevelType w:val="singleLevel"/>
    <w:tmpl w:val="560F9133"/>
    <w:lvl w:ilvl="0" w:tentative="0">
      <w:start w:val="2"/>
      <w:numFmt w:val="decimal"/>
      <w:suff w:val="space"/>
      <w:lvlText w:val="%1."/>
      <w:lvlJc w:val="left"/>
    </w:lvl>
  </w:abstractNum>
  <w:abstractNum w:abstractNumId="16">
    <w:nsid w:val="563959E5"/>
    <w:multiLevelType w:val="singleLevel"/>
    <w:tmpl w:val="563959E5"/>
    <w:lvl w:ilvl="0" w:tentative="0">
      <w:start w:val="1"/>
      <w:numFmt w:val="decimal"/>
      <w:suff w:val="space"/>
      <w:lvlText w:val="%1."/>
      <w:lvlJc w:val="left"/>
    </w:lvl>
  </w:abstractNum>
  <w:abstractNum w:abstractNumId="17">
    <w:nsid w:val="6025EB48"/>
    <w:multiLevelType w:val="singleLevel"/>
    <w:tmpl w:val="6025EB48"/>
    <w:lvl w:ilvl="0" w:tentative="0">
      <w:start w:val="3"/>
      <w:numFmt w:val="decimal"/>
      <w:suff w:val="space"/>
      <w:lvlText w:val="%1."/>
      <w:lvlJc w:val="left"/>
    </w:lvl>
  </w:abstractNum>
  <w:abstractNum w:abstractNumId="18">
    <w:nsid w:val="695B4D38"/>
    <w:multiLevelType w:val="singleLevel"/>
    <w:tmpl w:val="695B4D38"/>
    <w:lvl w:ilvl="0" w:tentative="0">
      <w:start w:val="6"/>
      <w:numFmt w:val="decimal"/>
      <w:suff w:val="space"/>
      <w:lvlText w:val="%1."/>
      <w:lvlJc w:val="left"/>
    </w:lvl>
  </w:abstractNum>
  <w:abstractNum w:abstractNumId="19">
    <w:nsid w:val="740F6B02"/>
    <w:multiLevelType w:val="singleLevel"/>
    <w:tmpl w:val="740F6B02"/>
    <w:lvl w:ilvl="0" w:tentative="0">
      <w:start w:val="18"/>
      <w:numFmt w:val="decimal"/>
      <w:suff w:val="nothing"/>
      <w:lvlText w:val="（%1）"/>
      <w:lvlJc w:val="left"/>
    </w:lvl>
  </w:abstractNum>
  <w:abstractNum w:abstractNumId="20">
    <w:nsid w:val="7B654977"/>
    <w:multiLevelType w:val="singleLevel"/>
    <w:tmpl w:val="7B654977"/>
    <w:lvl w:ilvl="0" w:tentative="0">
      <w:start w:val="4"/>
      <w:numFmt w:val="decimal"/>
      <w:suff w:val="space"/>
      <w:lvlText w:val="%1."/>
      <w:lvlJc w:val="left"/>
    </w:lvl>
  </w:abstractNum>
  <w:abstractNum w:abstractNumId="21">
    <w:nsid w:val="7E7DBAA0"/>
    <w:multiLevelType w:val="singleLevel"/>
    <w:tmpl w:val="7E7DBAA0"/>
    <w:lvl w:ilvl="0" w:tentative="0">
      <w:start w:val="2"/>
      <w:numFmt w:val="decimal"/>
      <w:suff w:val="space"/>
      <w:lvlText w:val="%1."/>
      <w:lvlJc w:val="left"/>
    </w:lvl>
  </w:abstractNum>
  <w:num w:numId="1">
    <w:abstractNumId w:val="0"/>
  </w:num>
  <w:num w:numId="2">
    <w:abstractNumId w:val="1"/>
  </w:num>
  <w:num w:numId="3">
    <w:abstractNumId w:val="16"/>
  </w:num>
  <w:num w:numId="4">
    <w:abstractNumId w:val="19"/>
  </w:num>
  <w:num w:numId="5">
    <w:abstractNumId w:val="10"/>
  </w:num>
  <w:num w:numId="6">
    <w:abstractNumId w:val="9"/>
  </w:num>
  <w:num w:numId="7">
    <w:abstractNumId w:val="8"/>
  </w:num>
  <w:num w:numId="8">
    <w:abstractNumId w:val="13"/>
  </w:num>
  <w:num w:numId="9">
    <w:abstractNumId w:val="12"/>
  </w:num>
  <w:num w:numId="10">
    <w:abstractNumId w:val="21"/>
  </w:num>
  <w:num w:numId="11">
    <w:abstractNumId w:val="14"/>
  </w:num>
  <w:num w:numId="12">
    <w:abstractNumId w:val="5"/>
  </w:num>
  <w:num w:numId="13">
    <w:abstractNumId w:val="3"/>
  </w:num>
  <w:num w:numId="14">
    <w:abstractNumId w:val="6"/>
  </w:num>
  <w:num w:numId="15">
    <w:abstractNumId w:val="2"/>
  </w:num>
  <w:num w:numId="16">
    <w:abstractNumId w:val="11"/>
  </w:num>
  <w:num w:numId="17">
    <w:abstractNumId w:val="4"/>
  </w:num>
  <w:num w:numId="18">
    <w:abstractNumId w:val="15"/>
  </w:num>
  <w:num w:numId="19">
    <w:abstractNumId w:val="17"/>
  </w:num>
  <w:num w:numId="20">
    <w:abstractNumId w:val="20"/>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470D"/>
    <w:rsid w:val="018A4042"/>
    <w:rsid w:val="024C492F"/>
    <w:rsid w:val="035577DD"/>
    <w:rsid w:val="03DB2583"/>
    <w:rsid w:val="04541BCE"/>
    <w:rsid w:val="05546A8B"/>
    <w:rsid w:val="05FB7DA9"/>
    <w:rsid w:val="077B7F86"/>
    <w:rsid w:val="07DB2536"/>
    <w:rsid w:val="0A596AF8"/>
    <w:rsid w:val="0B076C99"/>
    <w:rsid w:val="0B6C1374"/>
    <w:rsid w:val="0D03174D"/>
    <w:rsid w:val="0D1C170F"/>
    <w:rsid w:val="0D205025"/>
    <w:rsid w:val="0DDF44E0"/>
    <w:rsid w:val="101271B8"/>
    <w:rsid w:val="10F845FF"/>
    <w:rsid w:val="12712CB7"/>
    <w:rsid w:val="13C57B93"/>
    <w:rsid w:val="14806E2C"/>
    <w:rsid w:val="16526CE1"/>
    <w:rsid w:val="17E0069A"/>
    <w:rsid w:val="19141F50"/>
    <w:rsid w:val="1AF4404B"/>
    <w:rsid w:val="1D4A1C18"/>
    <w:rsid w:val="1E3E73CA"/>
    <w:rsid w:val="1F5F512B"/>
    <w:rsid w:val="1FB57B5F"/>
    <w:rsid w:val="201722E2"/>
    <w:rsid w:val="235113ED"/>
    <w:rsid w:val="23FD024B"/>
    <w:rsid w:val="24632D1A"/>
    <w:rsid w:val="24724CA4"/>
    <w:rsid w:val="2867051D"/>
    <w:rsid w:val="2A6B081B"/>
    <w:rsid w:val="2B841BC4"/>
    <w:rsid w:val="306445BE"/>
    <w:rsid w:val="31D202DE"/>
    <w:rsid w:val="32743572"/>
    <w:rsid w:val="34814F53"/>
    <w:rsid w:val="35DD296E"/>
    <w:rsid w:val="35E3445E"/>
    <w:rsid w:val="36255EDF"/>
    <w:rsid w:val="36A559FF"/>
    <w:rsid w:val="37716B31"/>
    <w:rsid w:val="390E2362"/>
    <w:rsid w:val="3B675904"/>
    <w:rsid w:val="3F0A7128"/>
    <w:rsid w:val="3FE50E58"/>
    <w:rsid w:val="441E042D"/>
    <w:rsid w:val="4450513D"/>
    <w:rsid w:val="45A35599"/>
    <w:rsid w:val="46A148F6"/>
    <w:rsid w:val="46AC090C"/>
    <w:rsid w:val="46D22C21"/>
    <w:rsid w:val="48C62EBF"/>
    <w:rsid w:val="4943027A"/>
    <w:rsid w:val="4B5E0F27"/>
    <w:rsid w:val="4E374A05"/>
    <w:rsid w:val="5169240F"/>
    <w:rsid w:val="52CA7AB4"/>
    <w:rsid w:val="52E2026F"/>
    <w:rsid w:val="52F61048"/>
    <w:rsid w:val="54232D0E"/>
    <w:rsid w:val="54237FC8"/>
    <w:rsid w:val="54CB23F3"/>
    <w:rsid w:val="5558730C"/>
    <w:rsid w:val="56C67981"/>
    <w:rsid w:val="59DE3EA3"/>
    <w:rsid w:val="5B351579"/>
    <w:rsid w:val="5DB558A9"/>
    <w:rsid w:val="5EF3152F"/>
    <w:rsid w:val="5F21609C"/>
    <w:rsid w:val="5FCA380B"/>
    <w:rsid w:val="62151827"/>
    <w:rsid w:val="62B562EF"/>
    <w:rsid w:val="63193842"/>
    <w:rsid w:val="63BE3381"/>
    <w:rsid w:val="65436640"/>
    <w:rsid w:val="65E34F08"/>
    <w:rsid w:val="660D6E6D"/>
    <w:rsid w:val="672429E1"/>
    <w:rsid w:val="6A8C22D6"/>
    <w:rsid w:val="6AB00CE7"/>
    <w:rsid w:val="6B0D5727"/>
    <w:rsid w:val="6B3608D4"/>
    <w:rsid w:val="6CF75867"/>
    <w:rsid w:val="6DF23623"/>
    <w:rsid w:val="6F1B52A9"/>
    <w:rsid w:val="705E16A5"/>
    <w:rsid w:val="706F682E"/>
    <w:rsid w:val="72A26D39"/>
    <w:rsid w:val="72CD7759"/>
    <w:rsid w:val="750E0A19"/>
    <w:rsid w:val="75734D20"/>
    <w:rsid w:val="78267E28"/>
    <w:rsid w:val="7A41719B"/>
    <w:rsid w:val="7C6453C2"/>
    <w:rsid w:val="7E00705F"/>
    <w:rsid w:val="7E92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99"/>
    <w:pPr>
      <w:spacing w:before="100" w:beforeAutospacing="1" w:after="100" w:afterAutospacing="1"/>
    </w:pPr>
    <w:rPr>
      <w:rFonts w:ascii="宋体" w:hAnsi="宋体" w:eastAsia="宋体" w:cs="宋体"/>
      <w:sz w:val="24"/>
      <w:szCs w:val="24"/>
      <w:lang w:bidi="hi-IN"/>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0正文 + 首行缩进:  2 字符1"/>
    <w:next w:val="9"/>
    <w:qFormat/>
    <w:uiPriority w:val="0"/>
    <w:pPr>
      <w:widowControl w:val="0"/>
      <w:spacing w:line="360" w:lineRule="auto"/>
      <w:ind w:firstLine="200" w:firstLineChars="200"/>
      <w:jc w:val="both"/>
    </w:pPr>
    <w:rPr>
      <w:rFonts w:ascii="Calibri" w:hAnsi="Calibri" w:eastAsia="方正仿宋_GB2312" w:cs="Times New Roman"/>
      <w:kern w:val="2"/>
      <w:sz w:val="28"/>
      <w:szCs w:val="28"/>
      <w:lang w:val="en-US" w:eastAsia="zh-CN" w:bidi="ar-SA"/>
    </w:rPr>
  </w:style>
  <w:style w:type="paragraph" w:customStyle="1" w:styleId="15">
    <w:name w:val="正文-公1"/>
    <w:basedOn w:val="1"/>
    <w:qFormat/>
    <w:uiPriority w:val="99"/>
    <w:pPr>
      <w:ind w:firstLine="200" w:firstLineChars="200"/>
      <w:jc w:val="left"/>
    </w:pPr>
    <w:rPr>
      <w:rFonts w:eastAsia="方正仿宋_GB2312"/>
    </w:rPr>
  </w:style>
  <w:style w:type="paragraph" w:customStyle="1" w:styleId="16">
    <w:name w:val="表标题"/>
    <w:qFormat/>
    <w:uiPriority w:val="0"/>
    <w:pPr>
      <w:keepNext/>
      <w:adjustRightInd w:val="0"/>
      <w:spacing w:before="360" w:after="120"/>
      <w:jc w:val="center"/>
      <w:textAlignment w:val="baseline"/>
    </w:pPr>
    <w:rPr>
      <w:rFonts w:ascii="Arial" w:hAnsi="Arial" w:eastAsia="黑体" w:cs="仿宋_GB2312"/>
      <w:b/>
      <w:sz w:val="24"/>
      <w:szCs w:val="28"/>
      <w:lang w:val="en-US" w:eastAsia="zh-CN" w:bidi="ar-SA"/>
    </w:rPr>
  </w:style>
  <w:style w:type="paragraph" w:customStyle="1" w:styleId="17">
    <w:name w:val="表内容"/>
    <w:qFormat/>
    <w:uiPriority w:val="99"/>
    <w:pPr>
      <w:adjustRightInd w:val="0"/>
      <w:spacing w:before="40" w:after="60" w:line="200" w:lineRule="atLeast"/>
      <w:textAlignment w:val="baseline"/>
    </w:pPr>
    <w:rPr>
      <w:rFonts w:ascii="Arial" w:hAnsi="Arial"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14453</Words>
  <Characters>14940</Characters>
  <Lines>0</Lines>
  <Paragraphs>0</Paragraphs>
  <TotalTime>8</TotalTime>
  <ScaleCrop>false</ScaleCrop>
  <LinksUpToDate>false</LinksUpToDate>
  <CharactersWithSpaces>15057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2026-01-14T12:52:00Z</dcterms:created>
  <dc:creator>36084</dc:creator>
  <cp:lastModifiedBy>杨伟</cp:lastModifiedBy>
  <dcterms:modified xsi:type="dcterms:W3CDTF">2026-06-08T01:57:48Z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eyJoZGlkIjoiOGM5NjM0MDQyOTNjYTljZDc0NjI4NTE0NWExNGZhOTQiLCJ1c2VySWQiOiIxNTI2NzAyMzY1In0=</vt:lpwstr>
  </property>
  <property fmtid="{D5CDD505-2E9C-101B-9397-08002B2CF9AE}" pid="4" name="ICV">
    <vt:lpwstr>9E96CA5C7C70450C88232B6DC74B2A69_13</vt:lpwstr>
  </property>
</Properties>
</file>