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E2F0D9" w:themeColor="accent6" w:themeTint="33"/>
  <w:body>
    <w:p w14:paraId="64B312F5">
      <w:pPr>
        <w:spacing w:line="240" w:lineRule="auto"/>
        <w:jc w:val="center"/>
        <w:rPr>
          <w:rFonts w:hint="eastAsia" w:ascii="宋体" w:hAnsi="宋体" w:eastAsia="方正小标宋_GBK" w:cs="方正小标宋_GBK"/>
          <w:sz w:val="44"/>
          <w:szCs w:val="44"/>
          <w:highlight w:val="none"/>
        </w:rPr>
      </w:pPr>
    </w:p>
    <w:p w14:paraId="3EC090D4">
      <w:pPr>
        <w:spacing w:line="240" w:lineRule="auto"/>
        <w:jc w:val="center"/>
        <w:rPr>
          <w:rFonts w:hint="eastAsia" w:ascii="宋体" w:hAnsi="宋体" w:eastAsia="方正小标宋_GBK" w:cs="方正小标宋_GBK"/>
          <w:sz w:val="44"/>
          <w:szCs w:val="44"/>
          <w:highlight w:val="none"/>
        </w:rPr>
      </w:pPr>
      <w:r>
        <w:rPr>
          <w:rFonts w:hint="eastAsia" w:ascii="宋体" w:hAnsi="宋体" w:eastAsia="方正小标宋_GBK" w:cs="方正小标宋_GBK"/>
          <w:sz w:val="44"/>
          <w:szCs w:val="44"/>
          <w:highlight w:val="none"/>
          <w:lang w:val="en-US" w:eastAsia="zh-CN"/>
        </w:rPr>
        <w:t>石林彝族自治县</w:t>
      </w:r>
      <w:r>
        <w:rPr>
          <w:rFonts w:hint="eastAsia" w:ascii="宋体" w:hAnsi="宋体" w:eastAsia="方正小标宋_GBK" w:cs="方正小标宋_GBK"/>
          <w:sz w:val="44"/>
          <w:szCs w:val="44"/>
          <w:highlight w:val="none"/>
        </w:rPr>
        <w:t>“十五五”综合交通运输</w:t>
      </w:r>
    </w:p>
    <w:p w14:paraId="0BC3D590">
      <w:pPr>
        <w:spacing w:line="240" w:lineRule="auto"/>
        <w:jc w:val="center"/>
        <w:rPr>
          <w:rFonts w:hint="eastAsia" w:ascii="宋体" w:hAnsi="宋体" w:eastAsia="方正小标宋_GBK" w:cs="方正小标宋_GBK"/>
          <w:sz w:val="44"/>
          <w:szCs w:val="44"/>
          <w:highlight w:val="none"/>
        </w:rPr>
      </w:pPr>
      <w:r>
        <w:rPr>
          <w:rFonts w:hint="eastAsia" w:ascii="宋体" w:hAnsi="宋体" w:eastAsia="方正小标宋_GBK" w:cs="方正小标宋_GBK"/>
          <w:sz w:val="44"/>
          <w:szCs w:val="44"/>
          <w:highlight w:val="none"/>
        </w:rPr>
        <w:t>发展规划</w:t>
      </w:r>
    </w:p>
    <w:p w14:paraId="42D396A3">
      <w:pPr>
        <w:spacing w:line="240" w:lineRule="auto"/>
        <w:jc w:val="center"/>
        <w:rPr>
          <w:rFonts w:hint="eastAsia" w:ascii="方正楷体_GBK" w:hAnsi="宋体" w:eastAsia="方正楷体_GBK" w:cs="方正小标宋_GBK"/>
          <w:sz w:val="32"/>
          <w:szCs w:val="32"/>
          <w:highlight w:val="none"/>
        </w:rPr>
      </w:pPr>
      <w:r>
        <w:rPr>
          <w:rFonts w:hint="eastAsia" w:ascii="方正楷体_GBK" w:hAnsi="宋体" w:eastAsia="方正楷体_GBK" w:cs="方正小标宋_GBK"/>
          <w:sz w:val="32"/>
          <w:szCs w:val="32"/>
          <w:highlight w:val="none"/>
        </w:rPr>
        <w:t>（</w:t>
      </w:r>
      <w:r>
        <w:rPr>
          <w:rFonts w:hint="eastAsia" w:ascii="方正楷体_GBK" w:hAnsi="宋体" w:eastAsia="方正楷体_GBK" w:cs="方正小标宋_GBK"/>
          <w:sz w:val="32"/>
          <w:szCs w:val="32"/>
          <w:highlight w:val="none"/>
          <w:lang w:val="en-US" w:eastAsia="zh-CN"/>
        </w:rPr>
        <w:t>修改</w:t>
      </w:r>
      <w:r>
        <w:rPr>
          <w:rFonts w:hint="eastAsia" w:ascii="方正楷体_GBK" w:hAnsi="宋体" w:eastAsia="方正楷体_GBK" w:cs="方正小标宋_GBK"/>
          <w:sz w:val="32"/>
          <w:szCs w:val="32"/>
          <w:highlight w:val="none"/>
        </w:rPr>
        <w:t>稿）</w:t>
      </w:r>
    </w:p>
    <w:p w14:paraId="43609DBA">
      <w:pPr>
        <w:spacing w:line="240" w:lineRule="auto"/>
        <w:jc w:val="center"/>
        <w:rPr>
          <w:rFonts w:hint="eastAsia" w:ascii="宋体" w:hAnsi="宋体" w:eastAsia="方正小标宋_GBK" w:cs="方正小标宋_GBK"/>
          <w:sz w:val="44"/>
          <w:szCs w:val="44"/>
          <w:highlight w:val="none"/>
        </w:rPr>
      </w:pPr>
    </w:p>
    <w:p w14:paraId="487CAD42">
      <w:pPr>
        <w:spacing w:line="240" w:lineRule="auto"/>
        <w:jc w:val="center"/>
        <w:rPr>
          <w:rFonts w:hint="eastAsia" w:ascii="宋体" w:hAnsi="宋体" w:eastAsia="方正小标宋_GBK" w:cs="方正小标宋_GBK"/>
          <w:sz w:val="44"/>
          <w:szCs w:val="44"/>
          <w:highlight w:val="none"/>
        </w:rPr>
      </w:pPr>
    </w:p>
    <w:p w14:paraId="2493D2DA">
      <w:pPr>
        <w:spacing w:line="240" w:lineRule="auto"/>
        <w:jc w:val="center"/>
        <w:rPr>
          <w:rFonts w:hint="eastAsia" w:ascii="宋体" w:hAnsi="宋体" w:eastAsia="方正小标宋_GBK" w:cs="方正小标宋_GBK"/>
          <w:sz w:val="44"/>
          <w:szCs w:val="44"/>
          <w:highlight w:val="none"/>
        </w:rPr>
      </w:pPr>
    </w:p>
    <w:p w14:paraId="6ED98F28">
      <w:pPr>
        <w:spacing w:line="240" w:lineRule="auto"/>
        <w:jc w:val="center"/>
        <w:rPr>
          <w:rFonts w:hint="eastAsia" w:ascii="宋体" w:hAnsi="宋体" w:eastAsia="方正小标宋_GBK" w:cs="方正小标宋_GBK"/>
          <w:sz w:val="44"/>
          <w:szCs w:val="44"/>
          <w:highlight w:val="none"/>
        </w:rPr>
      </w:pPr>
    </w:p>
    <w:p w14:paraId="0E5C4EFE">
      <w:pPr>
        <w:spacing w:line="240" w:lineRule="auto"/>
        <w:jc w:val="center"/>
        <w:rPr>
          <w:rFonts w:hint="eastAsia" w:ascii="宋体" w:hAnsi="宋体" w:eastAsia="方正小标宋_GBK" w:cs="方正小标宋_GBK"/>
          <w:sz w:val="44"/>
          <w:szCs w:val="44"/>
          <w:highlight w:val="none"/>
        </w:rPr>
      </w:pPr>
    </w:p>
    <w:p w14:paraId="69D7BD97">
      <w:pPr>
        <w:spacing w:line="240" w:lineRule="auto"/>
        <w:jc w:val="center"/>
        <w:rPr>
          <w:rFonts w:hint="eastAsia" w:ascii="宋体" w:hAnsi="宋体" w:eastAsia="方正小标宋_GBK" w:cs="方正小标宋_GBK"/>
          <w:sz w:val="44"/>
          <w:szCs w:val="44"/>
          <w:highlight w:val="none"/>
        </w:rPr>
      </w:pPr>
    </w:p>
    <w:p w14:paraId="409337E7">
      <w:pPr>
        <w:spacing w:line="240" w:lineRule="auto"/>
        <w:jc w:val="center"/>
        <w:rPr>
          <w:rFonts w:hint="eastAsia" w:ascii="宋体" w:hAnsi="宋体" w:eastAsia="方正小标宋_GBK" w:cs="方正小标宋_GBK"/>
          <w:sz w:val="44"/>
          <w:szCs w:val="44"/>
          <w:highlight w:val="none"/>
        </w:rPr>
      </w:pPr>
    </w:p>
    <w:p w14:paraId="3105CE7F">
      <w:pPr>
        <w:spacing w:line="240" w:lineRule="auto"/>
        <w:jc w:val="center"/>
        <w:rPr>
          <w:rFonts w:hint="eastAsia" w:ascii="宋体" w:hAnsi="宋体" w:eastAsia="方正小标宋_GBK" w:cs="方正小标宋_GBK"/>
          <w:sz w:val="44"/>
          <w:szCs w:val="44"/>
          <w:highlight w:val="none"/>
        </w:rPr>
      </w:pPr>
    </w:p>
    <w:p w14:paraId="4AFE8C45">
      <w:pPr>
        <w:spacing w:line="240" w:lineRule="auto"/>
        <w:jc w:val="center"/>
        <w:rPr>
          <w:rFonts w:hint="eastAsia" w:ascii="宋体" w:hAnsi="宋体" w:eastAsia="方正小标宋_GBK" w:cs="方正小标宋_GBK"/>
          <w:sz w:val="44"/>
          <w:szCs w:val="44"/>
          <w:highlight w:val="none"/>
        </w:rPr>
      </w:pPr>
    </w:p>
    <w:p w14:paraId="5ACDA2DD">
      <w:pPr>
        <w:spacing w:line="240" w:lineRule="auto"/>
        <w:jc w:val="center"/>
        <w:rPr>
          <w:rFonts w:hint="eastAsia" w:ascii="宋体" w:hAnsi="宋体" w:eastAsia="方正小标宋_GBK" w:cs="方正小标宋_GBK"/>
          <w:sz w:val="44"/>
          <w:szCs w:val="44"/>
          <w:highlight w:val="none"/>
        </w:rPr>
      </w:pPr>
    </w:p>
    <w:p w14:paraId="5315B924">
      <w:pPr>
        <w:spacing w:line="240" w:lineRule="auto"/>
        <w:jc w:val="center"/>
        <w:rPr>
          <w:rFonts w:hint="eastAsia" w:ascii="宋体" w:hAnsi="宋体" w:eastAsia="方正小标宋_GBK" w:cs="方正小标宋_GBK"/>
          <w:sz w:val="44"/>
          <w:szCs w:val="44"/>
          <w:highlight w:val="none"/>
        </w:rPr>
      </w:pPr>
    </w:p>
    <w:p w14:paraId="7029D76A">
      <w:pPr>
        <w:spacing w:line="240" w:lineRule="auto"/>
        <w:jc w:val="center"/>
        <w:rPr>
          <w:rFonts w:hint="eastAsia" w:ascii="宋体" w:hAnsi="宋体" w:eastAsia="方正小标宋_GBK" w:cs="方正小标宋_GBK"/>
          <w:sz w:val="44"/>
          <w:szCs w:val="44"/>
          <w:highlight w:val="none"/>
        </w:rPr>
      </w:pPr>
    </w:p>
    <w:p w14:paraId="712BE1AF">
      <w:pPr>
        <w:spacing w:line="240" w:lineRule="auto"/>
        <w:jc w:val="center"/>
        <w:rPr>
          <w:rFonts w:hint="eastAsia" w:ascii="宋体" w:hAnsi="宋体" w:eastAsia="方正小标宋_GBK" w:cs="方正小标宋_GBK"/>
          <w:sz w:val="44"/>
          <w:szCs w:val="44"/>
          <w:highlight w:val="none"/>
        </w:rPr>
      </w:pPr>
    </w:p>
    <w:p w14:paraId="0BDD5BF4">
      <w:pPr>
        <w:spacing w:line="240" w:lineRule="auto"/>
        <w:jc w:val="center"/>
        <w:rPr>
          <w:rFonts w:hint="eastAsia" w:ascii="宋体" w:hAnsi="宋体" w:eastAsia="方正楷体_GBK" w:cs="方正小标宋_GBK"/>
          <w:sz w:val="32"/>
          <w:szCs w:val="44"/>
          <w:highlight w:val="none"/>
        </w:rPr>
      </w:pPr>
      <w:r>
        <w:rPr>
          <w:rFonts w:hint="eastAsia" w:ascii="宋体" w:hAnsi="宋体" w:eastAsia="方正楷体_GBK" w:cs="方正小标宋_GBK"/>
          <w:sz w:val="32"/>
          <w:szCs w:val="44"/>
          <w:highlight w:val="none"/>
          <w:lang w:val="en-US" w:eastAsia="zh-CN"/>
        </w:rPr>
        <w:t>石林彝族自治县</w:t>
      </w:r>
      <w:r>
        <w:rPr>
          <w:rFonts w:hint="eastAsia" w:ascii="宋体" w:hAnsi="宋体" w:eastAsia="方正楷体_GBK" w:cs="方正小标宋_GBK"/>
          <w:sz w:val="32"/>
          <w:szCs w:val="44"/>
          <w:highlight w:val="none"/>
        </w:rPr>
        <w:t>交通运输局</w:t>
      </w:r>
    </w:p>
    <w:p w14:paraId="6482AE49">
      <w:pPr>
        <w:spacing w:line="240" w:lineRule="auto"/>
        <w:jc w:val="center"/>
        <w:rPr>
          <w:rFonts w:hint="eastAsia" w:ascii="宋体" w:hAnsi="宋体" w:eastAsia="方正楷体_GBK" w:cs="方正小标宋_GBK"/>
          <w:sz w:val="32"/>
          <w:szCs w:val="44"/>
          <w:highlight w:val="none"/>
        </w:rPr>
      </w:pPr>
      <w:r>
        <w:rPr>
          <w:rFonts w:hint="eastAsia" w:ascii="宋体" w:hAnsi="宋体" w:eastAsia="方正楷体_GBK" w:cs="方正小标宋_GBK"/>
          <w:sz w:val="32"/>
          <w:szCs w:val="44"/>
          <w:highlight w:val="none"/>
        </w:rPr>
        <w:t>202</w:t>
      </w:r>
      <w:r>
        <w:rPr>
          <w:rFonts w:hint="eastAsia" w:ascii="宋体" w:hAnsi="宋体" w:eastAsia="方正楷体_GBK" w:cs="方正小标宋_GBK"/>
          <w:sz w:val="32"/>
          <w:szCs w:val="44"/>
          <w:highlight w:val="none"/>
          <w:lang w:val="en-US" w:eastAsia="zh-CN"/>
        </w:rPr>
        <w:t>6</w:t>
      </w:r>
      <w:r>
        <w:rPr>
          <w:rFonts w:hint="eastAsia" w:ascii="宋体" w:hAnsi="宋体" w:eastAsia="方正楷体_GBK" w:cs="方正小标宋_GBK"/>
          <w:sz w:val="32"/>
          <w:szCs w:val="44"/>
          <w:highlight w:val="none"/>
        </w:rPr>
        <w:t>年</w:t>
      </w:r>
      <w:r>
        <w:rPr>
          <w:rFonts w:hint="eastAsia" w:ascii="宋体" w:hAnsi="宋体" w:eastAsia="方正楷体_GBK" w:cs="方正小标宋_GBK"/>
          <w:sz w:val="32"/>
          <w:szCs w:val="44"/>
          <w:highlight w:val="none"/>
          <w:lang w:val="en-US" w:eastAsia="zh-CN"/>
        </w:rPr>
        <w:t>4</w:t>
      </w:r>
      <w:r>
        <w:rPr>
          <w:rFonts w:hint="eastAsia" w:ascii="宋体" w:hAnsi="宋体" w:eastAsia="方正楷体_GBK" w:cs="方正小标宋_GBK"/>
          <w:sz w:val="32"/>
          <w:szCs w:val="44"/>
          <w:highlight w:val="none"/>
        </w:rPr>
        <w:t>月</w:t>
      </w:r>
    </w:p>
    <w:p w14:paraId="11B1F687">
      <w:pPr>
        <w:spacing w:line="240" w:lineRule="auto"/>
        <w:jc w:val="center"/>
        <w:rPr>
          <w:rFonts w:hint="eastAsia" w:ascii="宋体" w:hAnsi="宋体" w:eastAsia="方正小标宋_GBK" w:cs="方正小标宋_GBK"/>
          <w:sz w:val="44"/>
          <w:szCs w:val="44"/>
          <w:highlight w:val="none"/>
        </w:rPr>
        <w:sectPr>
          <w:pgSz w:w="11906" w:h="16838"/>
          <w:pgMar w:top="1440" w:right="1800" w:bottom="1440" w:left="1800" w:header="851" w:footer="992" w:gutter="0"/>
          <w:pgNumType w:start="1"/>
          <w:cols w:space="425" w:num="1"/>
          <w:docGrid w:type="lines" w:linePitch="312" w:charSpace="0"/>
        </w:sectPr>
      </w:pPr>
    </w:p>
    <w:sdt>
      <w:sdtPr>
        <w:rPr>
          <w:rFonts w:hint="eastAsia" w:ascii="方正黑体_GBK" w:hAnsi="方正黑体_GBK" w:eastAsia="方正黑体_GBK" w:cs="方正黑体_GBK"/>
          <w:sz w:val="40"/>
          <w:szCs w:val="40"/>
          <w:highlight w:val="none"/>
          <w:lang w:val="zh-CN"/>
        </w:rPr>
        <w:id w:val="-1"/>
        <w:docPartObj>
          <w:docPartGallery w:val="Table of Contents"/>
          <w:docPartUnique/>
        </w:docPartObj>
      </w:sdtPr>
      <w:sdtEndPr>
        <w:rPr>
          <w:rFonts w:hint="eastAsia" w:ascii="宋体" w:hAnsi="宋体" w:eastAsia="宋体" w:cs="Times New Roman"/>
          <w:b/>
          <w:bCs/>
          <w:sz w:val="24"/>
          <w:szCs w:val="20"/>
          <w:highlight w:val="none"/>
          <w:lang w:val="zh-CN"/>
        </w:rPr>
      </w:sdtEndPr>
      <w:sdtContent>
        <w:p w14:paraId="20FCC518">
          <w:pPr>
            <w:spacing w:line="240" w:lineRule="auto"/>
            <w:jc w:val="center"/>
            <w:rPr>
              <w:rFonts w:hint="eastAsia" w:ascii="方正黑体_GBK" w:hAnsi="方正黑体_GBK" w:eastAsia="方正黑体_GBK" w:cs="方正黑体_GBK"/>
              <w:sz w:val="40"/>
              <w:szCs w:val="40"/>
              <w:highlight w:val="none"/>
            </w:rPr>
          </w:pPr>
          <w:r>
            <w:rPr>
              <w:rFonts w:hint="eastAsia" w:ascii="方正黑体_GBK" w:hAnsi="方正黑体_GBK" w:eastAsia="方正黑体_GBK" w:cs="方正黑体_GBK"/>
              <w:sz w:val="40"/>
              <w:szCs w:val="40"/>
              <w:highlight w:val="none"/>
            </w:rPr>
            <w:t>目录</w:t>
          </w:r>
        </w:p>
        <w:p w14:paraId="06324873">
          <w:pPr>
            <w:pStyle w:val="14"/>
            <w:tabs>
              <w:tab w:val="right" w:leader="dot" w:pos="8306"/>
            </w:tabs>
            <w:rPr>
              <w:rFonts w:hint="eastAsia" w:ascii="方正楷体_GB2312" w:hAnsi="方正楷体_GB2312" w:eastAsia="方正楷体_GB2312" w:cs="方正楷体_GB2312"/>
              <w:highlight w:val="none"/>
            </w:rPr>
          </w:pPr>
          <w:r>
            <w:rPr>
              <w:rFonts w:hint="eastAsia" w:ascii="仿宋_GB2312" w:hAnsi="仿宋_GB2312" w:eastAsia="仿宋_GB2312" w:cs="仿宋_GB2312"/>
              <w:highlight w:val="none"/>
            </w:rPr>
            <w:fldChar w:fldCharType="begin"/>
          </w:r>
          <w:r>
            <w:rPr>
              <w:rFonts w:hint="eastAsia" w:ascii="仿宋_GB2312" w:hAnsi="仿宋_GB2312" w:eastAsia="仿宋_GB2312" w:cs="仿宋_GB2312"/>
              <w:highlight w:val="none"/>
            </w:rPr>
            <w:instrText xml:space="preserve"> TOC \o "1-2" \h \z \u </w:instrText>
          </w:r>
          <w:r>
            <w:rPr>
              <w:rFonts w:hint="eastAsia" w:ascii="仿宋_GB2312" w:hAnsi="仿宋_GB2312" w:eastAsia="仿宋_GB2312" w:cs="仿宋_GB2312"/>
              <w:highlight w:val="none"/>
            </w:rPr>
            <w:fldChar w:fldCharType="separate"/>
          </w:r>
          <w:r>
            <w:rPr>
              <w:rFonts w:hint="eastAsia" w:ascii="方正黑体_GBK" w:hAnsi="方正黑体_GBK" w:eastAsia="方正黑体_GBK" w:cs="方正黑体_GBK"/>
              <w:highlight w:val="none"/>
            </w:rPr>
            <w:fldChar w:fldCharType="begin"/>
          </w:r>
          <w:r>
            <w:rPr>
              <w:rFonts w:hint="eastAsia" w:ascii="方正黑体_GBK" w:hAnsi="方正黑体_GBK" w:eastAsia="方正黑体_GBK" w:cs="方正黑体_GBK"/>
              <w:highlight w:val="none"/>
            </w:rPr>
            <w:instrText xml:space="preserve"> HYPERLINK \l _Toc937 </w:instrText>
          </w:r>
          <w:r>
            <w:rPr>
              <w:rFonts w:hint="eastAsia" w:ascii="方正黑体_GBK" w:hAnsi="方正黑体_GBK" w:eastAsia="方正黑体_GBK" w:cs="方正黑体_GBK"/>
              <w:highlight w:val="none"/>
            </w:rPr>
            <w:fldChar w:fldCharType="separate"/>
          </w:r>
          <w:r>
            <w:rPr>
              <w:rFonts w:hint="eastAsia" w:ascii="方正黑体_GBK" w:hAnsi="方正黑体_GBK" w:eastAsia="方正黑体_GBK" w:cs="方正黑体_GBK"/>
              <w:highlight w:val="none"/>
            </w:rPr>
            <w:t>一、</w:t>
          </w:r>
          <w:r>
            <w:rPr>
              <w:rFonts w:hint="eastAsia" w:ascii="方正黑体_GBK" w:hAnsi="方正黑体_GBK" w:eastAsia="方正黑体_GBK" w:cs="方正黑体_GBK"/>
              <w:highlight w:val="none"/>
              <w:lang w:val="en-US" w:eastAsia="zh-CN"/>
            </w:rPr>
            <w:t>规划概述</w:t>
          </w:r>
          <w:r>
            <w:rPr>
              <w:rFonts w:hint="eastAsia" w:ascii="方正黑体_GBK" w:hAnsi="方正黑体_GBK" w:eastAsia="方正黑体_GBK" w:cs="方正黑体_GBK"/>
              <w:highlight w:val="none"/>
            </w:rPr>
            <w:tab/>
          </w:r>
          <w:r>
            <w:rPr>
              <w:rFonts w:hint="eastAsia" w:ascii="方正黑体_GBK" w:hAnsi="方正黑体_GBK" w:eastAsia="方正黑体_GBK" w:cs="方正黑体_GBK"/>
              <w:highlight w:val="none"/>
            </w:rPr>
            <w:fldChar w:fldCharType="begin"/>
          </w:r>
          <w:r>
            <w:rPr>
              <w:rFonts w:hint="eastAsia" w:ascii="方正黑体_GBK" w:hAnsi="方正黑体_GBK" w:eastAsia="方正黑体_GBK" w:cs="方正黑体_GBK"/>
              <w:highlight w:val="none"/>
            </w:rPr>
            <w:instrText xml:space="preserve"> PAGEREF _Toc937 \h </w:instrText>
          </w:r>
          <w:r>
            <w:rPr>
              <w:rFonts w:hint="eastAsia" w:ascii="方正黑体_GBK" w:hAnsi="方正黑体_GBK" w:eastAsia="方正黑体_GBK" w:cs="方正黑体_GBK"/>
              <w:highlight w:val="none"/>
            </w:rPr>
            <w:fldChar w:fldCharType="separate"/>
          </w:r>
          <w:r>
            <w:rPr>
              <w:rFonts w:hint="eastAsia" w:ascii="方正黑体_GBK" w:hAnsi="方正黑体_GBK" w:eastAsia="方正黑体_GBK" w:cs="方正黑体_GBK"/>
              <w:highlight w:val="none"/>
            </w:rPr>
            <w:t>1</w:t>
          </w:r>
          <w:r>
            <w:rPr>
              <w:rFonts w:hint="eastAsia" w:ascii="方正黑体_GBK" w:hAnsi="方正黑体_GBK" w:eastAsia="方正黑体_GBK" w:cs="方正黑体_GBK"/>
              <w:highlight w:val="none"/>
            </w:rPr>
            <w:fldChar w:fldCharType="end"/>
          </w:r>
          <w:r>
            <w:rPr>
              <w:rFonts w:hint="eastAsia" w:ascii="方正黑体_GBK" w:hAnsi="方正黑体_GBK" w:eastAsia="方正黑体_GBK" w:cs="方正黑体_GBK"/>
              <w:highlight w:val="none"/>
            </w:rPr>
            <w:fldChar w:fldCharType="end"/>
          </w:r>
        </w:p>
        <w:p w14:paraId="41DDFADE">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_Toc11681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（一）</w:t>
          </w:r>
          <w:r>
            <w:rPr>
              <w:rFonts w:hint="eastAsia" w:ascii="方正楷体_GB2312" w:hAnsi="方正楷体_GB2312" w:eastAsia="方正楷体_GB2312" w:cs="方正楷体_GB2312"/>
              <w:highlight w:val="none"/>
              <w:lang w:val="en-US" w:eastAsia="zh-CN"/>
            </w:rPr>
            <w:t>规划背景</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_Toc11681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1</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40767852">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_Toc25564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（二）</w:t>
          </w:r>
          <w:r>
            <w:rPr>
              <w:rFonts w:hint="eastAsia" w:ascii="方正楷体_GB2312" w:hAnsi="方正楷体_GB2312" w:eastAsia="方正楷体_GB2312" w:cs="方正楷体_GB2312"/>
              <w:highlight w:val="none"/>
              <w:lang w:val="en-US" w:eastAsia="zh-CN"/>
            </w:rPr>
            <w:t>规划范围</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_Toc25564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1</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3BE09EC0">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_Toc28853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（三）</w:t>
          </w:r>
          <w:r>
            <w:rPr>
              <w:rFonts w:hint="eastAsia" w:ascii="方正楷体_GB2312" w:hAnsi="方正楷体_GB2312" w:eastAsia="方正楷体_GB2312" w:cs="方正楷体_GB2312"/>
              <w:highlight w:val="none"/>
              <w:lang w:val="en-US" w:eastAsia="zh-CN"/>
            </w:rPr>
            <w:t>编制</w:t>
          </w:r>
          <w:r>
            <w:rPr>
              <w:rFonts w:hint="eastAsia" w:ascii="方正楷体_GB2312" w:hAnsi="方正楷体_GB2312" w:eastAsia="方正楷体_GB2312" w:cs="方正楷体_GB2312"/>
              <w:highlight w:val="none"/>
            </w:rPr>
            <w:t>依据</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_Toc28853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2</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70801C1C">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_Toc6079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（四）</w:t>
          </w:r>
          <w:r>
            <w:rPr>
              <w:rFonts w:hint="eastAsia" w:ascii="方正楷体_GB2312" w:hAnsi="方正楷体_GB2312" w:eastAsia="方正楷体_GB2312" w:cs="方正楷体_GB2312"/>
              <w:highlight w:val="none"/>
              <w:lang w:val="en-US" w:eastAsia="zh-CN"/>
            </w:rPr>
            <w:t>相关规划解读</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_Toc6079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4</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77D009E8">
          <w:pPr>
            <w:pStyle w:val="14"/>
            <w:tabs>
              <w:tab w:val="right" w:leader="dot" w:pos="8306"/>
            </w:tabs>
            <w:rPr>
              <w:rFonts w:hint="eastAsia" w:ascii="方正黑体_GBK" w:hAnsi="方正黑体_GBK" w:eastAsia="方正黑体_GBK" w:cs="方正黑体_GBK"/>
              <w:highlight w:val="none"/>
            </w:rPr>
          </w:pPr>
          <w:r>
            <w:rPr>
              <w:rFonts w:hint="eastAsia" w:ascii="方正黑体_GBK" w:hAnsi="方正黑体_GBK" w:eastAsia="方正黑体_GBK" w:cs="方正黑体_GBK"/>
              <w:highlight w:val="none"/>
            </w:rPr>
            <w:fldChar w:fldCharType="begin"/>
          </w:r>
          <w:r>
            <w:rPr>
              <w:rFonts w:hint="eastAsia" w:ascii="方正黑体_GBK" w:hAnsi="方正黑体_GBK" w:eastAsia="方正黑体_GBK" w:cs="方正黑体_GBK"/>
              <w:highlight w:val="none"/>
            </w:rPr>
            <w:instrText xml:space="preserve"> HYPERLINK \l _Toc25941 </w:instrText>
          </w:r>
          <w:r>
            <w:rPr>
              <w:rFonts w:hint="eastAsia" w:ascii="方正黑体_GBK" w:hAnsi="方正黑体_GBK" w:eastAsia="方正黑体_GBK" w:cs="方正黑体_GBK"/>
              <w:highlight w:val="none"/>
            </w:rPr>
            <w:fldChar w:fldCharType="separate"/>
          </w:r>
          <w:r>
            <w:rPr>
              <w:rFonts w:hint="eastAsia" w:ascii="方正黑体_GBK" w:hAnsi="方正黑体_GBK" w:eastAsia="方正黑体_GBK" w:cs="方正黑体_GBK"/>
              <w:highlight w:val="none"/>
              <w:lang w:val="en-US" w:eastAsia="zh-CN"/>
            </w:rPr>
            <w:t>二、发展环境</w:t>
          </w:r>
          <w:r>
            <w:rPr>
              <w:rFonts w:hint="eastAsia" w:ascii="方正黑体_GBK" w:hAnsi="方正黑体_GBK" w:eastAsia="方正黑体_GBK" w:cs="方正黑体_GBK"/>
              <w:highlight w:val="none"/>
            </w:rPr>
            <w:tab/>
          </w:r>
          <w:r>
            <w:rPr>
              <w:rFonts w:hint="eastAsia" w:ascii="方正黑体_GBK" w:hAnsi="方正黑体_GBK" w:eastAsia="方正黑体_GBK" w:cs="方正黑体_GBK"/>
              <w:highlight w:val="none"/>
            </w:rPr>
            <w:fldChar w:fldCharType="begin"/>
          </w:r>
          <w:r>
            <w:rPr>
              <w:rFonts w:hint="eastAsia" w:ascii="方正黑体_GBK" w:hAnsi="方正黑体_GBK" w:eastAsia="方正黑体_GBK" w:cs="方正黑体_GBK"/>
              <w:highlight w:val="none"/>
            </w:rPr>
            <w:instrText xml:space="preserve"> PAGEREF _Toc25941 \h </w:instrText>
          </w:r>
          <w:r>
            <w:rPr>
              <w:rFonts w:hint="eastAsia" w:ascii="方正黑体_GBK" w:hAnsi="方正黑体_GBK" w:eastAsia="方正黑体_GBK" w:cs="方正黑体_GBK"/>
              <w:highlight w:val="none"/>
            </w:rPr>
            <w:fldChar w:fldCharType="separate"/>
          </w:r>
          <w:r>
            <w:rPr>
              <w:rFonts w:hint="eastAsia" w:ascii="方正黑体_GBK" w:hAnsi="方正黑体_GBK" w:eastAsia="方正黑体_GBK" w:cs="方正黑体_GBK"/>
              <w:highlight w:val="none"/>
            </w:rPr>
            <w:t>8</w:t>
          </w:r>
          <w:r>
            <w:rPr>
              <w:rFonts w:hint="eastAsia" w:ascii="方正黑体_GBK" w:hAnsi="方正黑体_GBK" w:eastAsia="方正黑体_GBK" w:cs="方正黑体_GBK"/>
              <w:highlight w:val="none"/>
            </w:rPr>
            <w:fldChar w:fldCharType="end"/>
          </w:r>
          <w:r>
            <w:rPr>
              <w:rFonts w:hint="eastAsia" w:ascii="方正黑体_GBK" w:hAnsi="方正黑体_GBK" w:eastAsia="方正黑体_GBK" w:cs="方正黑体_GBK"/>
              <w:highlight w:val="none"/>
            </w:rPr>
            <w:fldChar w:fldCharType="end"/>
          </w:r>
        </w:p>
        <w:p w14:paraId="4B8AC764">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_Toc29224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（一）</w:t>
          </w:r>
          <w:r>
            <w:rPr>
              <w:rFonts w:hint="eastAsia" w:ascii="方正楷体_GB2312" w:hAnsi="方正楷体_GB2312" w:eastAsia="方正楷体_GB2312" w:cs="方正楷体_GB2312"/>
              <w:bCs/>
              <w:highlight w:val="none"/>
            </w:rPr>
            <w:t>发展基础</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_Toc29224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8</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396210CB">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_Toc29152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（二）</w:t>
          </w:r>
          <w:r>
            <w:rPr>
              <w:rFonts w:hint="eastAsia" w:ascii="方正楷体_GB2312" w:hAnsi="方正楷体_GB2312" w:eastAsia="方正楷体_GB2312" w:cs="方正楷体_GB2312"/>
              <w:highlight w:val="none"/>
              <w:lang w:val="en-US" w:eastAsia="zh-CN"/>
            </w:rPr>
            <w:t>发展形势及要求</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_Toc29152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18</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645DA1DB">
          <w:pPr>
            <w:pStyle w:val="14"/>
            <w:tabs>
              <w:tab w:val="right" w:leader="dot" w:pos="8306"/>
            </w:tabs>
            <w:rPr>
              <w:rFonts w:hint="eastAsia" w:ascii="方正楷体_GB2312" w:hAnsi="方正楷体_GB2312" w:eastAsia="方正楷体_GB2312" w:cs="方正楷体_GB2312"/>
              <w:highlight w:val="none"/>
            </w:rPr>
          </w:pPr>
          <w:r>
            <w:rPr>
              <w:rFonts w:hint="eastAsia" w:ascii="方正黑体_GBK" w:hAnsi="方正黑体_GBK" w:eastAsia="方正黑体_GBK" w:cs="方正黑体_GBK"/>
              <w:highlight w:val="none"/>
            </w:rPr>
            <w:fldChar w:fldCharType="begin"/>
          </w:r>
          <w:r>
            <w:rPr>
              <w:rFonts w:hint="eastAsia" w:ascii="方正黑体_GBK" w:hAnsi="方正黑体_GBK" w:eastAsia="方正黑体_GBK" w:cs="方正黑体_GBK"/>
              <w:highlight w:val="none"/>
            </w:rPr>
            <w:instrText xml:space="preserve"> HYPERLINK \l _Toc11092 </w:instrText>
          </w:r>
          <w:r>
            <w:rPr>
              <w:rFonts w:hint="eastAsia" w:ascii="方正黑体_GBK" w:hAnsi="方正黑体_GBK" w:eastAsia="方正黑体_GBK" w:cs="方正黑体_GBK"/>
              <w:highlight w:val="none"/>
            </w:rPr>
            <w:fldChar w:fldCharType="separate"/>
          </w:r>
          <w:r>
            <w:rPr>
              <w:rFonts w:hint="eastAsia" w:ascii="方正黑体_GBK" w:hAnsi="方正黑体_GBK" w:eastAsia="方正黑体_GBK" w:cs="方正黑体_GBK"/>
              <w:highlight w:val="none"/>
            </w:rPr>
            <w:t>三、总体要求</w:t>
          </w:r>
          <w:r>
            <w:rPr>
              <w:rFonts w:hint="eastAsia" w:ascii="方正黑体_GBK" w:hAnsi="方正黑体_GBK" w:eastAsia="方正黑体_GBK" w:cs="方正黑体_GBK"/>
              <w:highlight w:val="none"/>
            </w:rPr>
            <w:tab/>
          </w:r>
          <w:r>
            <w:rPr>
              <w:rFonts w:hint="eastAsia" w:ascii="方正黑体_GBK" w:hAnsi="方正黑体_GBK" w:eastAsia="方正黑体_GBK" w:cs="方正黑体_GBK"/>
              <w:highlight w:val="none"/>
            </w:rPr>
            <w:fldChar w:fldCharType="begin"/>
          </w:r>
          <w:r>
            <w:rPr>
              <w:rFonts w:hint="eastAsia" w:ascii="方正黑体_GBK" w:hAnsi="方正黑体_GBK" w:eastAsia="方正黑体_GBK" w:cs="方正黑体_GBK"/>
              <w:highlight w:val="none"/>
            </w:rPr>
            <w:instrText xml:space="preserve"> PAGEREF _Toc11092 \h </w:instrText>
          </w:r>
          <w:r>
            <w:rPr>
              <w:rFonts w:hint="eastAsia" w:ascii="方正黑体_GBK" w:hAnsi="方正黑体_GBK" w:eastAsia="方正黑体_GBK" w:cs="方正黑体_GBK"/>
              <w:highlight w:val="none"/>
            </w:rPr>
            <w:fldChar w:fldCharType="separate"/>
          </w:r>
          <w:r>
            <w:rPr>
              <w:rFonts w:hint="eastAsia" w:ascii="方正黑体_GBK" w:hAnsi="方正黑体_GBK" w:eastAsia="方正黑体_GBK" w:cs="方正黑体_GBK"/>
              <w:highlight w:val="none"/>
            </w:rPr>
            <w:t>22</w:t>
          </w:r>
          <w:r>
            <w:rPr>
              <w:rFonts w:hint="eastAsia" w:ascii="方正黑体_GBK" w:hAnsi="方正黑体_GBK" w:eastAsia="方正黑体_GBK" w:cs="方正黑体_GBK"/>
              <w:highlight w:val="none"/>
            </w:rPr>
            <w:fldChar w:fldCharType="end"/>
          </w:r>
          <w:r>
            <w:rPr>
              <w:rFonts w:hint="eastAsia" w:ascii="方正黑体_GBK" w:hAnsi="方正黑体_GBK" w:eastAsia="方正黑体_GBK" w:cs="方正黑体_GBK"/>
              <w:highlight w:val="none"/>
            </w:rPr>
            <w:fldChar w:fldCharType="end"/>
          </w:r>
        </w:p>
        <w:p w14:paraId="7967DD1C">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_Toc5010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（一）</w:t>
          </w:r>
          <w:r>
            <w:rPr>
              <w:rFonts w:hint="eastAsia" w:ascii="方正楷体_GB2312" w:hAnsi="方正楷体_GB2312" w:eastAsia="方正楷体_GB2312" w:cs="方正楷体_GB2312"/>
              <w:highlight w:val="none"/>
            </w:rPr>
            <w:t>指导思想</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_Toc5010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22</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70B0DF15">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_Toc8634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（二）</w:t>
          </w:r>
          <w:r>
            <w:rPr>
              <w:rFonts w:hint="eastAsia" w:ascii="方正楷体_GB2312" w:hAnsi="方正楷体_GB2312" w:eastAsia="方正楷体_GB2312" w:cs="方正楷体_GB2312"/>
              <w:highlight w:val="none"/>
            </w:rPr>
            <w:t>基本原则</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_Toc8634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23</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2C90AAD8">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_Toc21639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（三）</w:t>
          </w:r>
          <w:r>
            <w:rPr>
              <w:rFonts w:hint="eastAsia" w:ascii="方正楷体_GB2312" w:hAnsi="方正楷体_GB2312" w:eastAsia="方正楷体_GB2312" w:cs="方正楷体_GB2312"/>
              <w:highlight w:val="none"/>
              <w:lang w:val="en-US" w:eastAsia="zh-CN"/>
            </w:rPr>
            <w:t>发展思路</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_Toc21639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23</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3B6DDC2A">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_Toc20099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（四）</w:t>
          </w:r>
          <w:r>
            <w:rPr>
              <w:rFonts w:hint="eastAsia" w:ascii="方正楷体_GB2312" w:hAnsi="方正楷体_GB2312" w:eastAsia="方正楷体_GB2312" w:cs="方正楷体_GB2312"/>
              <w:highlight w:val="none"/>
            </w:rPr>
            <w:t>主要目标</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_Toc20099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27</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36CA290A">
          <w:pPr>
            <w:pStyle w:val="14"/>
            <w:tabs>
              <w:tab w:val="right" w:leader="dot" w:pos="8306"/>
            </w:tabs>
            <w:rPr>
              <w:rFonts w:hint="eastAsia" w:ascii="方正黑体_GBK" w:hAnsi="方正黑体_GBK" w:eastAsia="方正黑体_GBK" w:cs="方正黑体_GBK"/>
              <w:highlight w:val="none"/>
            </w:rPr>
          </w:pPr>
          <w:r>
            <w:rPr>
              <w:rFonts w:hint="eastAsia" w:ascii="方正黑体_GBK" w:hAnsi="方正黑体_GBK" w:eastAsia="方正黑体_GBK" w:cs="方正黑体_GBK"/>
              <w:highlight w:val="none"/>
            </w:rPr>
            <w:fldChar w:fldCharType="begin"/>
          </w:r>
          <w:r>
            <w:rPr>
              <w:rFonts w:hint="eastAsia" w:ascii="方正黑体_GBK" w:hAnsi="方正黑体_GBK" w:eastAsia="方正黑体_GBK" w:cs="方正黑体_GBK"/>
              <w:highlight w:val="none"/>
            </w:rPr>
            <w:instrText xml:space="preserve"> HYPERLINK \l _Toc27354 </w:instrText>
          </w:r>
          <w:r>
            <w:rPr>
              <w:rFonts w:hint="eastAsia" w:ascii="方正黑体_GBK" w:hAnsi="方正黑体_GBK" w:eastAsia="方正黑体_GBK" w:cs="方正黑体_GBK"/>
              <w:highlight w:val="none"/>
            </w:rPr>
            <w:fldChar w:fldCharType="separate"/>
          </w:r>
          <w:r>
            <w:rPr>
              <w:rFonts w:hint="eastAsia" w:ascii="方正黑体_GBK" w:hAnsi="方正黑体_GBK" w:eastAsia="方正黑体_GBK" w:cs="方正黑体_GBK"/>
              <w:highlight w:val="none"/>
              <w:lang w:val="en-US" w:eastAsia="zh-CN"/>
            </w:rPr>
            <w:t>四、主要任务</w:t>
          </w:r>
          <w:r>
            <w:rPr>
              <w:rFonts w:hint="eastAsia" w:ascii="方正黑体_GBK" w:hAnsi="方正黑体_GBK" w:eastAsia="方正黑体_GBK" w:cs="方正黑体_GBK"/>
              <w:highlight w:val="none"/>
            </w:rPr>
            <w:tab/>
          </w:r>
          <w:r>
            <w:rPr>
              <w:rFonts w:hint="eastAsia" w:ascii="方正黑体_GBK" w:hAnsi="方正黑体_GBK" w:eastAsia="方正黑体_GBK" w:cs="方正黑体_GBK"/>
              <w:highlight w:val="none"/>
            </w:rPr>
            <w:fldChar w:fldCharType="begin"/>
          </w:r>
          <w:r>
            <w:rPr>
              <w:rFonts w:hint="eastAsia" w:ascii="方正黑体_GBK" w:hAnsi="方正黑体_GBK" w:eastAsia="方正黑体_GBK" w:cs="方正黑体_GBK"/>
              <w:highlight w:val="none"/>
            </w:rPr>
            <w:instrText xml:space="preserve"> PAGEREF _Toc27354 \h </w:instrText>
          </w:r>
          <w:r>
            <w:rPr>
              <w:rFonts w:hint="eastAsia" w:ascii="方正黑体_GBK" w:hAnsi="方正黑体_GBK" w:eastAsia="方正黑体_GBK" w:cs="方正黑体_GBK"/>
              <w:highlight w:val="none"/>
            </w:rPr>
            <w:fldChar w:fldCharType="separate"/>
          </w:r>
          <w:r>
            <w:rPr>
              <w:rFonts w:hint="eastAsia" w:ascii="方正黑体_GBK" w:hAnsi="方正黑体_GBK" w:eastAsia="方正黑体_GBK" w:cs="方正黑体_GBK"/>
              <w:highlight w:val="none"/>
            </w:rPr>
            <w:t>29</w:t>
          </w:r>
          <w:r>
            <w:rPr>
              <w:rFonts w:hint="eastAsia" w:ascii="方正黑体_GBK" w:hAnsi="方正黑体_GBK" w:eastAsia="方正黑体_GBK" w:cs="方正黑体_GBK"/>
              <w:highlight w:val="none"/>
            </w:rPr>
            <w:fldChar w:fldCharType="end"/>
          </w:r>
          <w:r>
            <w:rPr>
              <w:rFonts w:hint="eastAsia" w:ascii="方正黑体_GBK" w:hAnsi="方正黑体_GBK" w:eastAsia="方正黑体_GBK" w:cs="方正黑体_GBK"/>
              <w:highlight w:val="none"/>
            </w:rPr>
            <w:fldChar w:fldCharType="end"/>
          </w:r>
        </w:p>
        <w:p w14:paraId="42BEC4DE">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_Toc29346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（一）</w:t>
          </w:r>
          <w:r>
            <w:rPr>
              <w:rFonts w:hint="eastAsia" w:ascii="方正楷体_GB2312" w:hAnsi="方正楷体_GB2312" w:eastAsia="方正楷体_GB2312" w:cs="方正楷体_GB2312"/>
              <w:highlight w:val="none"/>
            </w:rPr>
            <w:t>畅通对外快速通道，破解区域协同联通瓶颈</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_Toc29346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29</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58713E97">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_Toc4559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（二）</w:t>
          </w:r>
          <w:r>
            <w:rPr>
              <w:rFonts w:hint="eastAsia" w:ascii="方正楷体_GB2312" w:hAnsi="方正楷体_GB2312" w:eastAsia="方正楷体_GB2312" w:cs="方正楷体_GB2312"/>
              <w:highlight w:val="none"/>
              <w:lang w:val="en-US" w:eastAsia="zh-CN"/>
            </w:rPr>
            <w:t>优化县域交通网络广覆盖，补齐东西南北路网短板</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_Toc4559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34</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12379EFE">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_Toc27115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（三）</w:t>
          </w:r>
          <w:r>
            <w:rPr>
              <w:rFonts w:hint="eastAsia" w:ascii="方正楷体_GB2312" w:hAnsi="方正楷体_GB2312" w:eastAsia="方正楷体_GB2312" w:cs="方正楷体_GB2312"/>
              <w:highlight w:val="none"/>
              <w:lang w:val="en-US" w:eastAsia="zh-CN"/>
            </w:rPr>
            <w:t>深化“四好农村路”</w:t>
          </w:r>
          <w:r>
            <w:rPr>
              <w:rFonts w:hint="eastAsia" w:ascii="方正楷体_GB2312" w:hAnsi="方正楷体_GB2312" w:eastAsia="方正楷体_GB2312" w:cs="方正楷体_GB2312"/>
              <w:highlight w:val="none"/>
            </w:rPr>
            <w:t>建设提质扩面</w:t>
          </w:r>
          <w:r>
            <w:rPr>
              <w:rFonts w:hint="eastAsia" w:ascii="方正楷体_GB2312" w:hAnsi="方正楷体_GB2312" w:eastAsia="方正楷体_GB2312" w:cs="方正楷体_GB2312"/>
              <w:highlight w:val="none"/>
              <w:lang w:eastAsia="zh-CN"/>
            </w:rPr>
            <w:t>，</w:t>
          </w:r>
          <w:r>
            <w:rPr>
              <w:rFonts w:hint="eastAsia" w:ascii="方正楷体_GB2312" w:hAnsi="方正楷体_GB2312" w:eastAsia="方正楷体_GB2312" w:cs="方正楷体_GB2312"/>
              <w:highlight w:val="none"/>
              <w:lang w:val="en-US" w:eastAsia="zh-CN"/>
            </w:rPr>
            <w:t>提升乡村内畅外联水平</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_Toc27115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41</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4AC28F57">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_Toc29985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（四）推动交通产业深度融合，强化产业发展交通赋能</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_Toc29985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44</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5DF9937E">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_Toc15251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（五）</w:t>
          </w:r>
          <w:r>
            <w:rPr>
              <w:rFonts w:hint="eastAsia" w:ascii="方正楷体_GB2312" w:hAnsi="方正楷体_GB2312" w:eastAsia="方正楷体_GB2312" w:cs="方正楷体_GB2312"/>
              <w:highlight w:val="none"/>
            </w:rPr>
            <w:t>提升综合运输服务效能，破解</w:t>
          </w:r>
          <w:r>
            <w:rPr>
              <w:rFonts w:hint="eastAsia" w:ascii="方正楷体_GB2312" w:hAnsi="方正楷体_GB2312" w:eastAsia="方正楷体_GB2312" w:cs="方正楷体_GB2312"/>
              <w:highlight w:val="none"/>
              <w:lang w:val="en-US" w:eastAsia="zh-CN"/>
            </w:rPr>
            <w:t>多式联运设施</w:t>
          </w:r>
          <w:r>
            <w:rPr>
              <w:rFonts w:hint="eastAsia" w:ascii="方正楷体_GB2312" w:hAnsi="方正楷体_GB2312" w:eastAsia="方正楷体_GB2312" w:cs="方正楷体_GB2312"/>
              <w:highlight w:val="none"/>
            </w:rPr>
            <w:t>堵点</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_Toc15251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50</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4B16A21D">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_Toc2028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（六）</w:t>
          </w:r>
          <w:r>
            <w:rPr>
              <w:rFonts w:hint="eastAsia" w:ascii="方正楷体_GB2312" w:hAnsi="方正楷体_GB2312" w:eastAsia="方正楷体_GB2312" w:cs="方正楷体_GB2312"/>
              <w:highlight w:val="none"/>
            </w:rPr>
            <w:t>推进交通运输数字绿色转型</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_Toc2028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58</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43EB7301">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_Toc31746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（七）</w:t>
          </w:r>
          <w:r>
            <w:rPr>
              <w:rFonts w:hint="eastAsia" w:ascii="方正楷体_GB2312" w:hAnsi="方正楷体_GB2312" w:eastAsia="方正楷体_GB2312" w:cs="方正楷体_GB2312"/>
              <w:highlight w:val="none"/>
            </w:rPr>
            <w:t>强化安全应急保障，提升路网养护韧性</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_Toc31746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63</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69A5451C">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_Toc11217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（八）</w:t>
          </w:r>
          <w:r>
            <w:rPr>
              <w:rFonts w:hint="eastAsia" w:ascii="方正楷体_GB2312" w:hAnsi="方正楷体_GB2312" w:eastAsia="方正楷体_GB2312" w:cs="方正楷体_GB2312"/>
              <w:highlight w:val="none"/>
            </w:rPr>
            <w:t>进一步全面深化交通运输领域改革</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_Toc11217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66</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6980C4DD">
          <w:pPr>
            <w:pStyle w:val="14"/>
            <w:tabs>
              <w:tab w:val="right" w:leader="dot" w:pos="8306"/>
            </w:tabs>
            <w:rPr>
              <w:rFonts w:hint="eastAsia" w:ascii="方正黑体_GBK" w:hAnsi="方正黑体_GBK" w:eastAsia="方正黑体_GBK" w:cs="方正黑体_GBK"/>
              <w:highlight w:val="none"/>
            </w:rPr>
          </w:pPr>
          <w:r>
            <w:rPr>
              <w:rFonts w:hint="eastAsia" w:ascii="方正黑体_GBK" w:hAnsi="方正黑体_GBK" w:eastAsia="方正黑体_GBK" w:cs="方正黑体_GBK"/>
              <w:highlight w:val="none"/>
            </w:rPr>
            <w:fldChar w:fldCharType="begin"/>
          </w:r>
          <w:r>
            <w:rPr>
              <w:rFonts w:hint="eastAsia" w:ascii="方正黑体_GBK" w:hAnsi="方正黑体_GBK" w:eastAsia="方正黑体_GBK" w:cs="方正黑体_GBK"/>
              <w:highlight w:val="none"/>
            </w:rPr>
            <w:instrText xml:space="preserve"> HYPERLINK \l _Toc29149 </w:instrText>
          </w:r>
          <w:r>
            <w:rPr>
              <w:rFonts w:hint="eastAsia" w:ascii="方正黑体_GBK" w:hAnsi="方正黑体_GBK" w:eastAsia="方正黑体_GBK" w:cs="方正黑体_GBK"/>
              <w:highlight w:val="none"/>
            </w:rPr>
            <w:fldChar w:fldCharType="separate"/>
          </w:r>
          <w:r>
            <w:rPr>
              <w:rFonts w:hint="eastAsia" w:ascii="方正黑体_GBK" w:hAnsi="方正黑体_GBK" w:eastAsia="方正黑体_GBK" w:cs="方正黑体_GBK"/>
              <w:highlight w:val="none"/>
            </w:rPr>
            <w:t>五、规划实施保障</w:t>
          </w:r>
          <w:r>
            <w:rPr>
              <w:rFonts w:hint="eastAsia" w:ascii="方正黑体_GBK" w:hAnsi="方正黑体_GBK" w:eastAsia="方正黑体_GBK" w:cs="方正黑体_GBK"/>
              <w:highlight w:val="none"/>
            </w:rPr>
            <w:tab/>
          </w:r>
          <w:r>
            <w:rPr>
              <w:rFonts w:hint="eastAsia" w:ascii="方正黑体_GBK" w:hAnsi="方正黑体_GBK" w:eastAsia="方正黑体_GBK" w:cs="方正黑体_GBK"/>
              <w:highlight w:val="none"/>
            </w:rPr>
            <w:fldChar w:fldCharType="begin"/>
          </w:r>
          <w:r>
            <w:rPr>
              <w:rFonts w:hint="eastAsia" w:ascii="方正黑体_GBK" w:hAnsi="方正黑体_GBK" w:eastAsia="方正黑体_GBK" w:cs="方正黑体_GBK"/>
              <w:highlight w:val="none"/>
            </w:rPr>
            <w:instrText xml:space="preserve"> PAGEREF _Toc29149 \h </w:instrText>
          </w:r>
          <w:r>
            <w:rPr>
              <w:rFonts w:hint="eastAsia" w:ascii="方正黑体_GBK" w:hAnsi="方正黑体_GBK" w:eastAsia="方正黑体_GBK" w:cs="方正黑体_GBK"/>
              <w:highlight w:val="none"/>
            </w:rPr>
            <w:fldChar w:fldCharType="separate"/>
          </w:r>
          <w:r>
            <w:rPr>
              <w:rFonts w:hint="eastAsia" w:ascii="方正黑体_GBK" w:hAnsi="方正黑体_GBK" w:eastAsia="方正黑体_GBK" w:cs="方正黑体_GBK"/>
              <w:highlight w:val="none"/>
            </w:rPr>
            <w:t>67</w:t>
          </w:r>
          <w:r>
            <w:rPr>
              <w:rFonts w:hint="eastAsia" w:ascii="方正黑体_GBK" w:hAnsi="方正黑体_GBK" w:eastAsia="方正黑体_GBK" w:cs="方正黑体_GBK"/>
              <w:highlight w:val="none"/>
            </w:rPr>
            <w:fldChar w:fldCharType="end"/>
          </w:r>
          <w:r>
            <w:rPr>
              <w:rFonts w:hint="eastAsia" w:ascii="方正黑体_GBK" w:hAnsi="方正黑体_GBK" w:eastAsia="方正黑体_GBK" w:cs="方正黑体_GBK"/>
              <w:highlight w:val="none"/>
            </w:rPr>
            <w:fldChar w:fldCharType="end"/>
          </w:r>
        </w:p>
        <w:p w14:paraId="0E5E5849">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_Toc29249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（一）</w:t>
          </w:r>
          <w:r>
            <w:rPr>
              <w:rFonts w:hint="eastAsia" w:ascii="方正楷体_GB2312" w:hAnsi="方正楷体_GB2312" w:eastAsia="方正楷体_GB2312" w:cs="方正楷体_GB2312"/>
              <w:highlight w:val="none"/>
            </w:rPr>
            <w:t>加强党的全面领导</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_Toc29249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67</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274DEB63">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_Toc16557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（二）</w:t>
          </w:r>
          <w:r>
            <w:rPr>
              <w:rFonts w:hint="eastAsia" w:ascii="方正楷体_GB2312" w:hAnsi="方正楷体_GB2312" w:eastAsia="方正楷体_GB2312" w:cs="方正楷体_GB2312"/>
              <w:highlight w:val="none"/>
            </w:rPr>
            <w:t>加强</w:t>
          </w:r>
          <w:r>
            <w:rPr>
              <w:rFonts w:hint="eastAsia" w:ascii="方正楷体_GB2312" w:hAnsi="方正楷体_GB2312" w:eastAsia="方正楷体_GB2312" w:cs="方正楷体_GB2312"/>
              <w:highlight w:val="none"/>
              <w:lang w:eastAsia="zh-CN"/>
            </w:rPr>
            <w:t>部门联动</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_Toc16557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67</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7DF1947B">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_Toc20753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bCs/>
              <w:kern w:val="2"/>
              <w:szCs w:val="32"/>
              <w:highlight w:val="none"/>
              <w:lang w:val="en-US" w:eastAsia="zh-CN" w:bidi="ar-SA"/>
            </w:rPr>
            <w:t>（三）</w:t>
          </w:r>
          <w:r>
            <w:rPr>
              <w:rFonts w:hint="eastAsia" w:ascii="方正楷体_GB2312" w:hAnsi="方正楷体_GB2312" w:eastAsia="方正楷体_GB2312" w:cs="方正楷体_GB2312"/>
              <w:highlight w:val="none"/>
            </w:rPr>
            <w:t>加强要素保障</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_Toc20753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68</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75A09B29">
          <w:pPr>
            <w:pStyle w:val="15"/>
            <w:tabs>
              <w:tab w:val="right" w:leader="dot" w:pos="8306"/>
            </w:tabs>
            <w:rPr>
              <w:rFonts w:hint="eastAsia" w:ascii="方正楷体_GB2312" w:hAnsi="方正楷体_GB2312" w:eastAsia="方正楷体_GB2312" w:cs="方正楷体_GB2312"/>
              <w:highlight w:val="none"/>
            </w:rPr>
          </w:pP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HYPERLINK \l _Toc11675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lang w:eastAsia="zh-CN"/>
            </w:rPr>
            <w:t>（四）加强资金筹措</w:t>
          </w:r>
          <w:r>
            <w:rPr>
              <w:rFonts w:hint="eastAsia" w:ascii="方正楷体_GB2312" w:hAnsi="方正楷体_GB2312" w:eastAsia="方正楷体_GB2312" w:cs="方正楷体_GB2312"/>
              <w:highlight w:val="none"/>
            </w:rPr>
            <w:tab/>
          </w:r>
          <w:r>
            <w:rPr>
              <w:rFonts w:hint="eastAsia" w:ascii="方正楷体_GB2312" w:hAnsi="方正楷体_GB2312" w:eastAsia="方正楷体_GB2312" w:cs="方正楷体_GB2312"/>
              <w:highlight w:val="none"/>
            </w:rPr>
            <w:fldChar w:fldCharType="begin"/>
          </w:r>
          <w:r>
            <w:rPr>
              <w:rFonts w:hint="eastAsia" w:ascii="方正楷体_GB2312" w:hAnsi="方正楷体_GB2312" w:eastAsia="方正楷体_GB2312" w:cs="方正楷体_GB2312"/>
              <w:highlight w:val="none"/>
            </w:rPr>
            <w:instrText xml:space="preserve"> PAGEREF _Toc11675 \h </w:instrText>
          </w:r>
          <w:r>
            <w:rPr>
              <w:rFonts w:hint="eastAsia" w:ascii="方正楷体_GB2312" w:hAnsi="方正楷体_GB2312" w:eastAsia="方正楷体_GB2312" w:cs="方正楷体_GB2312"/>
              <w:highlight w:val="none"/>
            </w:rPr>
            <w:fldChar w:fldCharType="separate"/>
          </w:r>
          <w:r>
            <w:rPr>
              <w:rFonts w:hint="eastAsia" w:ascii="方正楷体_GB2312" w:hAnsi="方正楷体_GB2312" w:eastAsia="方正楷体_GB2312" w:cs="方正楷体_GB2312"/>
              <w:highlight w:val="none"/>
            </w:rPr>
            <w:t>68</w:t>
          </w:r>
          <w:r>
            <w:rPr>
              <w:rFonts w:hint="eastAsia" w:ascii="方正楷体_GB2312" w:hAnsi="方正楷体_GB2312" w:eastAsia="方正楷体_GB2312" w:cs="方正楷体_GB2312"/>
              <w:highlight w:val="none"/>
            </w:rPr>
            <w:fldChar w:fldCharType="end"/>
          </w:r>
          <w:r>
            <w:rPr>
              <w:rFonts w:hint="eastAsia" w:ascii="方正楷体_GB2312" w:hAnsi="方正楷体_GB2312" w:eastAsia="方正楷体_GB2312" w:cs="方正楷体_GB2312"/>
              <w:highlight w:val="none"/>
            </w:rPr>
            <w:fldChar w:fldCharType="end"/>
          </w:r>
        </w:p>
        <w:p w14:paraId="79440C51">
          <w:pPr>
            <w:pStyle w:val="14"/>
            <w:tabs>
              <w:tab w:val="right" w:leader="dot" w:pos="8306"/>
            </w:tabs>
            <w:rPr>
              <w:rFonts w:hint="eastAsia" w:ascii="方正黑体_GBK" w:hAnsi="方正黑体_GBK" w:eastAsia="方正黑体_GBK" w:cs="方正黑体_GBK"/>
              <w:highlight w:val="none"/>
            </w:rPr>
          </w:pPr>
          <w:r>
            <w:rPr>
              <w:rFonts w:hint="eastAsia" w:ascii="方正黑体_GBK" w:hAnsi="方正黑体_GBK" w:eastAsia="方正黑体_GBK" w:cs="方正黑体_GBK"/>
              <w:highlight w:val="none"/>
            </w:rPr>
            <w:fldChar w:fldCharType="begin"/>
          </w:r>
          <w:r>
            <w:rPr>
              <w:rFonts w:hint="eastAsia" w:ascii="方正黑体_GBK" w:hAnsi="方正黑体_GBK" w:eastAsia="方正黑体_GBK" w:cs="方正黑体_GBK"/>
              <w:highlight w:val="none"/>
            </w:rPr>
            <w:instrText xml:space="preserve"> HYPERLINK \l _Toc11464 </w:instrText>
          </w:r>
          <w:r>
            <w:rPr>
              <w:rFonts w:hint="eastAsia" w:ascii="方正黑体_GBK" w:hAnsi="方正黑体_GBK" w:eastAsia="方正黑体_GBK" w:cs="方正黑体_GBK"/>
              <w:highlight w:val="none"/>
            </w:rPr>
            <w:fldChar w:fldCharType="separate"/>
          </w:r>
          <w:r>
            <w:rPr>
              <w:rFonts w:hint="eastAsia" w:ascii="方正黑体_GBK" w:hAnsi="方正黑体_GBK" w:eastAsia="方正黑体_GBK" w:cs="方正黑体_GBK"/>
              <w:highlight w:val="none"/>
            </w:rPr>
            <w:t>六、附表及附图</w:t>
          </w:r>
          <w:r>
            <w:rPr>
              <w:rFonts w:hint="eastAsia" w:ascii="方正黑体_GBK" w:hAnsi="方正黑体_GBK" w:eastAsia="方正黑体_GBK" w:cs="方正黑体_GBK"/>
              <w:highlight w:val="none"/>
            </w:rPr>
            <w:tab/>
          </w:r>
          <w:r>
            <w:rPr>
              <w:rFonts w:hint="eastAsia" w:ascii="方正黑体_GBK" w:hAnsi="方正黑体_GBK" w:eastAsia="方正黑体_GBK" w:cs="方正黑体_GBK"/>
              <w:highlight w:val="none"/>
            </w:rPr>
            <w:fldChar w:fldCharType="begin"/>
          </w:r>
          <w:r>
            <w:rPr>
              <w:rFonts w:hint="eastAsia" w:ascii="方正黑体_GBK" w:hAnsi="方正黑体_GBK" w:eastAsia="方正黑体_GBK" w:cs="方正黑体_GBK"/>
              <w:highlight w:val="none"/>
            </w:rPr>
            <w:instrText xml:space="preserve"> PAGEREF _Toc11464 \h </w:instrText>
          </w:r>
          <w:r>
            <w:rPr>
              <w:rFonts w:hint="eastAsia" w:ascii="方正黑体_GBK" w:hAnsi="方正黑体_GBK" w:eastAsia="方正黑体_GBK" w:cs="方正黑体_GBK"/>
              <w:highlight w:val="none"/>
            </w:rPr>
            <w:fldChar w:fldCharType="separate"/>
          </w:r>
          <w:r>
            <w:rPr>
              <w:rFonts w:hint="eastAsia" w:ascii="方正黑体_GBK" w:hAnsi="方正黑体_GBK" w:eastAsia="方正黑体_GBK" w:cs="方正黑体_GBK"/>
              <w:highlight w:val="none"/>
            </w:rPr>
            <w:t>71</w:t>
          </w:r>
          <w:r>
            <w:rPr>
              <w:rFonts w:hint="eastAsia" w:ascii="方正黑体_GBK" w:hAnsi="方正黑体_GBK" w:eastAsia="方正黑体_GBK" w:cs="方正黑体_GBK"/>
              <w:highlight w:val="none"/>
            </w:rPr>
            <w:fldChar w:fldCharType="end"/>
          </w:r>
          <w:r>
            <w:rPr>
              <w:rFonts w:hint="eastAsia" w:ascii="方正黑体_GBK" w:hAnsi="方正黑体_GBK" w:eastAsia="方正黑体_GBK" w:cs="方正黑体_GBK"/>
              <w:highlight w:val="none"/>
            </w:rPr>
            <w:fldChar w:fldCharType="end"/>
          </w:r>
        </w:p>
        <w:p w14:paraId="465EDDBC">
          <w:pPr>
            <w:rPr>
              <w:rFonts w:hint="eastAsia" w:ascii="宋体" w:hAnsi="宋体"/>
              <w:highlight w:val="none"/>
            </w:rPr>
          </w:pPr>
          <w:r>
            <w:rPr>
              <w:rFonts w:hint="eastAsia" w:ascii="仿宋_GB2312" w:hAnsi="仿宋_GB2312" w:eastAsia="仿宋_GB2312" w:cs="仿宋_GB2312"/>
              <w:highlight w:val="none"/>
            </w:rPr>
            <w:fldChar w:fldCharType="end"/>
          </w:r>
        </w:p>
      </w:sdtContent>
    </w:sdt>
    <w:p w14:paraId="51223ED7">
      <w:pPr>
        <w:spacing w:line="240" w:lineRule="auto"/>
        <w:jc w:val="center"/>
        <w:rPr>
          <w:rFonts w:hint="eastAsia" w:ascii="宋体" w:hAnsi="宋体" w:eastAsia="方正小标宋_GBK" w:cs="方正小标宋_GBK"/>
          <w:sz w:val="44"/>
          <w:szCs w:val="44"/>
          <w:highlight w:val="none"/>
        </w:rPr>
        <w:sectPr>
          <w:footerReference r:id="rId5" w:type="default"/>
          <w:pgSz w:w="11906" w:h="16838"/>
          <w:pgMar w:top="1440" w:right="1800" w:bottom="1440" w:left="1800" w:header="851" w:footer="992" w:gutter="0"/>
          <w:pgNumType w:fmt="upperRoman"/>
          <w:cols w:space="425" w:num="1"/>
          <w:docGrid w:type="lines" w:linePitch="312" w:charSpace="0"/>
        </w:sectPr>
      </w:pPr>
    </w:p>
    <w:p w14:paraId="70489BEE">
      <w:pPr>
        <w:pStyle w:val="2"/>
        <w:bidi w:val="0"/>
        <w:rPr>
          <w:rFonts w:hint="eastAsia"/>
          <w:highlight w:val="none"/>
        </w:rPr>
      </w:pPr>
      <w:bookmarkStart w:id="0" w:name="_Toc937"/>
      <w:r>
        <w:rPr>
          <w:rFonts w:hint="eastAsia"/>
          <w:highlight w:val="none"/>
          <w:lang w:val="en-US" w:eastAsia="zh-CN"/>
        </w:rPr>
        <w:t>规划概述</w:t>
      </w:r>
      <w:bookmarkEnd w:id="0"/>
    </w:p>
    <w:p w14:paraId="2AA775B9">
      <w:pPr>
        <w:pStyle w:val="3"/>
        <w:numPr>
          <w:ilvl w:val="0"/>
          <w:numId w:val="0"/>
        </w:numPr>
        <w:bidi w:val="0"/>
        <w:ind w:left="0" w:leftChars="0" w:firstLine="640" w:firstLineChars="200"/>
        <w:rPr>
          <w:rFonts w:hint="eastAsia"/>
          <w:highlight w:val="none"/>
        </w:rPr>
      </w:pPr>
      <w:bookmarkStart w:id="1" w:name="_Toc11681"/>
      <w:r>
        <w:rPr>
          <w:rFonts w:hint="eastAsia" w:ascii="宋体" w:hAnsi="宋体" w:eastAsia="方正楷体_GBK" w:cstheme="majorBidi"/>
          <w:bCs/>
          <w:kern w:val="2"/>
          <w:sz w:val="32"/>
          <w:szCs w:val="32"/>
          <w:highlight w:val="none"/>
          <w:lang w:val="en-US" w:eastAsia="zh-CN" w:bidi="ar-SA"/>
        </w:rPr>
        <w:t>（一）</w:t>
      </w:r>
      <w:r>
        <w:rPr>
          <w:rFonts w:hint="eastAsia"/>
          <w:highlight w:val="none"/>
          <w:lang w:val="en-US" w:eastAsia="zh-CN"/>
        </w:rPr>
        <w:t>规划背景</w:t>
      </w:r>
      <w:bookmarkEnd w:id="1"/>
    </w:p>
    <w:p w14:paraId="2F86C54A">
      <w:pPr>
        <w:spacing w:line="600" w:lineRule="exact"/>
        <w:ind w:firstLine="640" w:firstLineChars="200"/>
        <w:rPr>
          <w:rFonts w:hint="eastAsia" w:ascii="宋体" w:hAnsi="宋体" w:eastAsia="方正仿宋_GBK" w:cs="方正仿宋_GBK"/>
          <w:sz w:val="32"/>
          <w:szCs w:val="32"/>
          <w:highlight w:val="none"/>
        </w:rPr>
      </w:pPr>
      <w:r>
        <w:rPr>
          <w:rFonts w:hint="eastAsia" w:ascii="宋体" w:hAnsi="宋体" w:eastAsia="方正仿宋_GBK" w:cs="方正仿宋_GBK"/>
          <w:sz w:val="32"/>
          <w:szCs w:val="32"/>
          <w:highlight w:val="none"/>
        </w:rPr>
        <w:t>“十五五”时期是我国迈向2035年基本实现现代化的关键期，是实现交通强国战略目标的关键时期，也是石林全面</w:t>
      </w:r>
      <w:r>
        <w:rPr>
          <w:rFonts w:hint="eastAsia" w:ascii="宋体" w:hAnsi="宋体" w:eastAsia="方正仿宋_GBK" w:cs="方正仿宋_GBK"/>
          <w:sz w:val="32"/>
          <w:szCs w:val="32"/>
          <w:highlight w:val="none"/>
          <w:lang w:eastAsia="zh-CN"/>
        </w:rPr>
        <w:t>推进高质量发展</w:t>
      </w:r>
      <w:r>
        <w:rPr>
          <w:rFonts w:hint="eastAsia" w:ascii="宋体" w:hAnsi="宋体" w:eastAsia="方正仿宋_GBK" w:cs="方正仿宋_GBK"/>
          <w:sz w:val="32"/>
          <w:szCs w:val="32"/>
          <w:highlight w:val="none"/>
        </w:rPr>
        <w:t>的重要时期。</w:t>
      </w:r>
      <w:r>
        <w:rPr>
          <w:rFonts w:hint="eastAsia" w:ascii="宋体" w:hAnsi="宋体" w:eastAsia="方正仿宋_GBK" w:cs="方正仿宋_GBK"/>
          <w:sz w:val="32"/>
          <w:szCs w:val="32"/>
          <w:highlight w:val="none"/>
          <w:lang w:eastAsia="zh-CN"/>
        </w:rPr>
        <w:t>石林彝族自治县</w:t>
      </w:r>
      <w:r>
        <w:rPr>
          <w:rFonts w:hint="eastAsia" w:ascii="宋体" w:hAnsi="宋体" w:eastAsia="方正仿宋_GBK" w:cs="方正仿宋_GBK"/>
          <w:sz w:val="32"/>
          <w:szCs w:val="32"/>
          <w:highlight w:val="none"/>
        </w:rPr>
        <w:t>以习近平新时代中国特色社会主义思想为指导，全面贯彻落实总书记考察云南重要讲话精神，坚持稳中求进工作总基调，完整准确全面贯彻新发展理念，积极服务和融入新发展格局，聚焦省委“3815”战略发展目标和市委“六个春城”建设，大力实施“旅游立县、农业稳县、工业强县、生态美县、文化活县”发展战略，进一步全面深化改革，因地制宜推动产业转型升级，全面提升县域经济综合实力，不断推动“七个石林”建设取得更大成效，谱写中国式现代化的石林篇章。为充分发挥交通运输作为中国式现代化</w:t>
      </w:r>
      <w:r>
        <w:rPr>
          <w:rFonts w:hint="eastAsia" w:ascii="宋体" w:hAnsi="宋体" w:eastAsia="方正仿宋_GBK" w:cs="方正仿宋_GBK"/>
          <w:sz w:val="32"/>
          <w:szCs w:val="32"/>
          <w:highlight w:val="none"/>
          <w:lang w:eastAsia="zh-CN"/>
        </w:rPr>
        <w:t>石林</w:t>
      </w:r>
      <w:r>
        <w:rPr>
          <w:rFonts w:hint="eastAsia" w:ascii="宋体" w:hAnsi="宋体" w:eastAsia="方正仿宋_GBK" w:cs="方正仿宋_GBK"/>
          <w:sz w:val="32"/>
          <w:szCs w:val="32"/>
          <w:highlight w:val="none"/>
        </w:rPr>
        <w:t>实践之路的开路先锋作用，加快完善石林县综合交通运输体系，按照《交通强国建设纲要</w:t>
      </w:r>
      <w:r>
        <w:rPr>
          <w:rFonts w:hint="eastAsia" w:ascii="宋体" w:hAnsi="宋体" w:eastAsia="方正仿宋_GBK" w:cs="方正仿宋_GBK"/>
          <w:sz w:val="32"/>
          <w:szCs w:val="32"/>
          <w:highlight w:val="none"/>
          <w:lang w:eastAsia="zh-CN"/>
        </w:rPr>
        <w:t>》《</w:t>
      </w:r>
      <w:r>
        <w:rPr>
          <w:rFonts w:hint="eastAsia" w:ascii="宋体" w:hAnsi="宋体" w:eastAsia="方正仿宋_GBK" w:cs="方正仿宋_GBK"/>
          <w:sz w:val="32"/>
          <w:szCs w:val="32"/>
          <w:highlight w:val="none"/>
        </w:rPr>
        <w:t>国家综合立体交通网规划纲要</w:t>
      </w:r>
      <w:r>
        <w:rPr>
          <w:rFonts w:hint="eastAsia" w:ascii="宋体" w:hAnsi="宋体" w:eastAsia="方正仿宋_GBK" w:cs="方正仿宋_GBK"/>
          <w:sz w:val="32"/>
          <w:szCs w:val="32"/>
          <w:highlight w:val="none"/>
          <w:lang w:eastAsia="zh-CN"/>
        </w:rPr>
        <w:t>》《</w:t>
      </w:r>
      <w:r>
        <w:rPr>
          <w:rFonts w:hint="eastAsia" w:ascii="宋体" w:hAnsi="宋体" w:eastAsia="方正仿宋_GBK" w:cs="方正仿宋_GBK"/>
          <w:sz w:val="32"/>
          <w:szCs w:val="32"/>
          <w:highlight w:val="none"/>
        </w:rPr>
        <w:t>云南省“十五五”综合交通运输发展规划</w:t>
      </w:r>
      <w:r>
        <w:rPr>
          <w:rFonts w:hint="eastAsia" w:ascii="宋体" w:hAnsi="宋体" w:eastAsia="方正仿宋_GBK" w:cs="方正仿宋_GBK"/>
          <w:sz w:val="32"/>
          <w:szCs w:val="32"/>
          <w:highlight w:val="none"/>
          <w:lang w:eastAsia="zh-CN"/>
        </w:rPr>
        <w:t>》《</w:t>
      </w:r>
      <w:r>
        <w:rPr>
          <w:rFonts w:hint="eastAsia" w:ascii="宋体" w:hAnsi="宋体" w:eastAsia="方正仿宋_GBK" w:cs="方正仿宋_GBK"/>
          <w:sz w:val="32"/>
          <w:szCs w:val="32"/>
          <w:highlight w:val="none"/>
        </w:rPr>
        <w:t>昆明市“十五五”综合交通运输发展规划</w:t>
      </w:r>
      <w:r>
        <w:rPr>
          <w:rFonts w:hint="eastAsia" w:ascii="宋体" w:hAnsi="宋体" w:eastAsia="方正仿宋_GBK" w:cs="方正仿宋_GBK"/>
          <w:sz w:val="32"/>
          <w:szCs w:val="32"/>
          <w:highlight w:val="none"/>
          <w:lang w:eastAsia="zh-CN"/>
        </w:rPr>
        <w:t>》《</w:t>
      </w:r>
      <w:r>
        <w:rPr>
          <w:rFonts w:hint="eastAsia" w:ascii="宋体" w:hAnsi="宋体" w:eastAsia="方正仿宋_GBK" w:cs="方正仿宋_GBK"/>
          <w:sz w:val="32"/>
          <w:szCs w:val="32"/>
          <w:highlight w:val="none"/>
        </w:rPr>
        <w:t>石林彝族自治县国土空间总体规划（2021—2035年）》的总体要求，编制《石林彝族自治县“十五五”综合交通运输发展规划》。</w:t>
      </w:r>
    </w:p>
    <w:p w14:paraId="4AB3AC93">
      <w:pPr>
        <w:pStyle w:val="3"/>
        <w:numPr>
          <w:ilvl w:val="0"/>
          <w:numId w:val="0"/>
        </w:numPr>
        <w:bidi w:val="0"/>
        <w:ind w:left="0" w:leftChars="0" w:firstLine="640" w:firstLineChars="200"/>
        <w:rPr>
          <w:rFonts w:hint="eastAsia"/>
          <w:highlight w:val="none"/>
        </w:rPr>
      </w:pPr>
      <w:bookmarkStart w:id="2" w:name="_Toc25564"/>
      <w:r>
        <w:rPr>
          <w:rFonts w:hint="eastAsia" w:ascii="宋体" w:hAnsi="宋体" w:eastAsia="方正楷体_GBK" w:cstheme="majorBidi"/>
          <w:bCs/>
          <w:kern w:val="2"/>
          <w:sz w:val="32"/>
          <w:szCs w:val="32"/>
          <w:highlight w:val="none"/>
          <w:lang w:val="en-US" w:eastAsia="zh-CN" w:bidi="ar-SA"/>
        </w:rPr>
        <w:t>（二）</w:t>
      </w:r>
      <w:r>
        <w:rPr>
          <w:rFonts w:hint="eastAsia"/>
          <w:highlight w:val="none"/>
          <w:lang w:val="en-US" w:eastAsia="zh-CN"/>
        </w:rPr>
        <w:t>规划范围</w:t>
      </w:r>
      <w:bookmarkEnd w:id="2"/>
    </w:p>
    <w:p w14:paraId="5E9BFBD5">
      <w:pPr>
        <w:pStyle w:val="5"/>
        <w:bidi w:val="0"/>
        <w:rPr>
          <w:rFonts w:hint="eastAsia"/>
          <w:highlight w:val="none"/>
        </w:rPr>
      </w:pPr>
      <w:r>
        <w:rPr>
          <w:rFonts w:hint="eastAsia"/>
          <w:b/>
          <w:bCs/>
          <w:highlight w:val="none"/>
        </w:rPr>
        <w:t>规划位置：</w:t>
      </w:r>
      <w:r>
        <w:rPr>
          <w:rFonts w:hint="eastAsia"/>
          <w:highlight w:val="none"/>
        </w:rPr>
        <w:t>石林彝族自治县（下称石林县）地处云南省东部、昆明市东南部，距昆明主城区约78公里。县域东南与红河州泸西县毗邻，东北接曲靖市陆良县，南邻红河州弥勒市，西北连昆明市宜良县。</w:t>
      </w:r>
    </w:p>
    <w:p w14:paraId="6A344B9D">
      <w:pPr>
        <w:pStyle w:val="5"/>
        <w:bidi w:val="0"/>
        <w:rPr>
          <w:rFonts w:hint="eastAsia"/>
          <w:highlight w:val="none"/>
        </w:rPr>
      </w:pPr>
      <w:r>
        <w:rPr>
          <w:rFonts w:hint="eastAsia"/>
          <w:highlight w:val="none"/>
        </w:rPr>
        <w:t>石林县位于滇中城市群交汇节点，属昆明1小时经济圈范围，是粤桂沿海地区及滇东、滇东南3州市18县进入昆明、滇中的交通要冲，为滇中城市群重要组成部分，</w:t>
      </w:r>
      <w:r>
        <w:rPr>
          <w:rFonts w:hint="eastAsia"/>
          <w:highlight w:val="none"/>
          <w:lang w:val="en-US" w:eastAsia="zh-CN"/>
        </w:rPr>
        <w:t>也</w:t>
      </w:r>
      <w:r>
        <w:rPr>
          <w:rFonts w:hint="eastAsia"/>
          <w:highlight w:val="none"/>
        </w:rPr>
        <w:t>是越南等东南亚国家入境我国的关键通道。</w:t>
      </w:r>
    </w:p>
    <w:p w14:paraId="36D80AE6">
      <w:pPr>
        <w:pStyle w:val="45"/>
        <w:bidi w:val="0"/>
        <w:rPr>
          <w:highlight w:val="none"/>
        </w:rPr>
      </w:pPr>
      <w:r>
        <w:rPr>
          <w:highlight w:val="none"/>
        </w:rPr>
        <w:drawing>
          <wp:inline distT="0" distB="0" distL="0" distR="0">
            <wp:extent cx="3311525" cy="3552825"/>
            <wp:effectExtent l="0" t="0" r="10795" b="1333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8"/>
                    <a:stretch>
                      <a:fillRect/>
                    </a:stretch>
                  </pic:blipFill>
                  <pic:spPr>
                    <a:xfrm>
                      <a:off x="0" y="0"/>
                      <a:ext cx="3311525" cy="3552825"/>
                    </a:xfrm>
                    <a:prstGeom prst="rect">
                      <a:avLst/>
                    </a:prstGeom>
                  </pic:spPr>
                </pic:pic>
              </a:graphicData>
            </a:graphic>
          </wp:inline>
        </w:drawing>
      </w:r>
    </w:p>
    <w:p w14:paraId="41EB35BC">
      <w:pPr>
        <w:pStyle w:val="46"/>
        <w:bidi w:val="0"/>
        <w:rPr>
          <w:rFonts w:hint="eastAsia"/>
          <w:b/>
          <w:bCs w:val="0"/>
          <w:highlight w:val="none"/>
        </w:rPr>
      </w:pPr>
      <w:r>
        <w:rPr>
          <w:rFonts w:hint="eastAsia"/>
          <w:b/>
          <w:bCs w:val="0"/>
          <w:highlight w:val="none"/>
        </w:rPr>
        <w:t>石林县区域位置图</w:t>
      </w:r>
    </w:p>
    <w:p w14:paraId="461FD96C">
      <w:pPr>
        <w:pStyle w:val="5"/>
        <w:bidi w:val="0"/>
        <w:rPr>
          <w:rFonts w:hint="eastAsia"/>
          <w:highlight w:val="none"/>
        </w:rPr>
      </w:pPr>
      <w:r>
        <w:rPr>
          <w:rFonts w:hint="eastAsia"/>
          <w:b/>
          <w:bCs/>
          <w:highlight w:val="none"/>
        </w:rPr>
        <w:t>空间范围：</w:t>
      </w:r>
      <w:r>
        <w:rPr>
          <w:rFonts w:hint="eastAsia"/>
          <w:highlight w:val="none"/>
        </w:rPr>
        <w:t>石林县全部行政辖区，包括4个乡镇、3个街道（石林街道、</w:t>
      </w:r>
      <w:r>
        <w:rPr>
          <w:rFonts w:hint="eastAsia"/>
          <w:highlight w:val="none"/>
          <w:lang w:val="en-US" w:eastAsia="zh-CN"/>
        </w:rPr>
        <w:t>鹿阜街道</w:t>
      </w:r>
      <w:r>
        <w:rPr>
          <w:rFonts w:hint="eastAsia"/>
          <w:highlight w:val="none"/>
        </w:rPr>
        <w:t>、板桥街道、大可乡、西街口镇、长湖镇、圭山镇），国土面积约1679.7平方公里，</w:t>
      </w:r>
      <w:r>
        <w:rPr>
          <w:rFonts w:hint="eastAsia"/>
          <w:highlight w:val="none"/>
          <w:lang w:val="en-US" w:eastAsia="zh-CN"/>
        </w:rPr>
        <w:t>户籍</w:t>
      </w:r>
      <w:r>
        <w:rPr>
          <w:rFonts w:hint="eastAsia"/>
          <w:highlight w:val="none"/>
        </w:rPr>
        <w:t>总人口约25.61万人。</w:t>
      </w:r>
    </w:p>
    <w:p w14:paraId="555E67FB">
      <w:pPr>
        <w:pStyle w:val="5"/>
        <w:bidi w:val="0"/>
        <w:rPr>
          <w:rFonts w:hint="eastAsia"/>
          <w:highlight w:val="none"/>
        </w:rPr>
      </w:pPr>
      <w:r>
        <w:rPr>
          <w:rFonts w:hint="eastAsia"/>
          <w:b/>
          <w:bCs/>
          <w:highlight w:val="none"/>
          <w:lang w:val="en-US" w:eastAsia="zh-CN"/>
        </w:rPr>
        <w:t>时间范围</w:t>
      </w:r>
      <w:r>
        <w:rPr>
          <w:rFonts w:hint="eastAsia"/>
          <w:b/>
          <w:bCs/>
          <w:highlight w:val="none"/>
        </w:rPr>
        <w:t>：</w:t>
      </w:r>
      <w:r>
        <w:rPr>
          <w:rFonts w:hint="eastAsia"/>
          <w:highlight w:val="none"/>
        </w:rPr>
        <w:t>“十五五”时期（2026</w:t>
      </w:r>
      <w:r>
        <w:rPr>
          <w:rFonts w:hint="eastAsia"/>
          <w:highlight w:val="none"/>
          <w:lang w:eastAsia="zh-CN"/>
        </w:rPr>
        <w:t>—</w:t>
      </w:r>
      <w:r>
        <w:rPr>
          <w:rFonts w:hint="eastAsia"/>
          <w:highlight w:val="none"/>
        </w:rPr>
        <w:t>2030年）。</w:t>
      </w:r>
    </w:p>
    <w:p w14:paraId="1F7CD31E">
      <w:pPr>
        <w:pStyle w:val="3"/>
        <w:numPr>
          <w:ilvl w:val="0"/>
          <w:numId w:val="0"/>
        </w:numPr>
        <w:bidi w:val="0"/>
        <w:ind w:left="0" w:leftChars="0" w:firstLine="640" w:firstLineChars="200"/>
        <w:rPr>
          <w:rFonts w:hint="eastAsia"/>
          <w:highlight w:val="none"/>
        </w:rPr>
      </w:pPr>
      <w:bookmarkStart w:id="3" w:name="_Toc28853"/>
      <w:r>
        <w:rPr>
          <w:rFonts w:hint="eastAsia" w:ascii="宋体" w:hAnsi="宋体" w:eastAsia="方正楷体_GBK" w:cstheme="majorBidi"/>
          <w:bCs/>
          <w:kern w:val="2"/>
          <w:sz w:val="32"/>
          <w:szCs w:val="32"/>
          <w:highlight w:val="none"/>
          <w:lang w:val="en-US" w:eastAsia="zh-CN" w:bidi="ar-SA"/>
        </w:rPr>
        <w:t>（三）</w:t>
      </w:r>
      <w:r>
        <w:rPr>
          <w:rFonts w:hint="eastAsia"/>
          <w:highlight w:val="none"/>
          <w:lang w:val="en-US" w:eastAsia="zh-CN"/>
        </w:rPr>
        <w:t>编制</w:t>
      </w:r>
      <w:r>
        <w:rPr>
          <w:rFonts w:hint="eastAsia"/>
          <w:highlight w:val="none"/>
        </w:rPr>
        <w:t>依据</w:t>
      </w:r>
      <w:bookmarkEnd w:id="3"/>
    </w:p>
    <w:p w14:paraId="7938A462">
      <w:pPr>
        <w:pStyle w:val="4"/>
        <w:bidi w:val="0"/>
        <w:rPr>
          <w:rFonts w:hint="default"/>
          <w:highlight w:val="none"/>
          <w:lang w:val="en-US" w:eastAsia="zh-CN"/>
        </w:rPr>
      </w:pPr>
      <w:r>
        <w:rPr>
          <w:rFonts w:hint="eastAsia"/>
          <w:highlight w:val="none"/>
          <w:lang w:val="en-US" w:eastAsia="zh-CN"/>
        </w:rPr>
        <w:t>1.国家层面</w:t>
      </w:r>
    </w:p>
    <w:p w14:paraId="6BC14881">
      <w:pPr>
        <w:pStyle w:val="5"/>
        <w:bidi w:val="0"/>
        <w:rPr>
          <w:rFonts w:hint="eastAsia"/>
          <w:highlight w:val="none"/>
        </w:rPr>
      </w:pPr>
      <w:r>
        <w:rPr>
          <w:rFonts w:hint="eastAsia"/>
          <w:highlight w:val="none"/>
          <w:lang w:val="en-US" w:eastAsia="zh-CN"/>
        </w:rPr>
        <w:t>（</w:t>
      </w:r>
      <w:r>
        <w:rPr>
          <w:rFonts w:hint="default"/>
          <w:highlight w:val="none"/>
          <w:lang w:val="en-US" w:eastAsia="zh-CN"/>
        </w:rPr>
        <w:t>1</w:t>
      </w:r>
      <w:r>
        <w:rPr>
          <w:rFonts w:hint="eastAsia"/>
          <w:highlight w:val="none"/>
          <w:lang w:val="en-US" w:eastAsia="zh-CN"/>
        </w:rPr>
        <w:t>）</w:t>
      </w:r>
      <w:r>
        <w:rPr>
          <w:rFonts w:hint="eastAsia"/>
          <w:highlight w:val="none"/>
        </w:rPr>
        <w:t>《交通强国建设纲要》</w:t>
      </w:r>
    </w:p>
    <w:p w14:paraId="10374FE8">
      <w:pPr>
        <w:pStyle w:val="5"/>
        <w:bidi w:val="0"/>
        <w:rPr>
          <w:rFonts w:hint="eastAsia"/>
          <w:highlight w:val="none"/>
        </w:rPr>
      </w:pPr>
      <w:r>
        <w:rPr>
          <w:rFonts w:hint="eastAsia"/>
          <w:highlight w:val="none"/>
          <w:lang w:val="en-US" w:eastAsia="zh-CN"/>
        </w:rPr>
        <w:t>（</w:t>
      </w:r>
      <w:r>
        <w:rPr>
          <w:rFonts w:hint="default"/>
          <w:highlight w:val="none"/>
          <w:lang w:val="en-US" w:eastAsia="zh-CN"/>
        </w:rPr>
        <w:t>2</w:t>
      </w:r>
      <w:r>
        <w:rPr>
          <w:rFonts w:hint="eastAsia"/>
          <w:highlight w:val="none"/>
          <w:lang w:val="en-US" w:eastAsia="zh-CN"/>
        </w:rPr>
        <w:t>）</w:t>
      </w:r>
      <w:r>
        <w:rPr>
          <w:rFonts w:hint="eastAsia"/>
          <w:highlight w:val="none"/>
        </w:rPr>
        <w:t>《国家综合立体交通网规划纲要》</w:t>
      </w:r>
    </w:p>
    <w:p w14:paraId="028D4179">
      <w:pPr>
        <w:pStyle w:val="5"/>
        <w:bidi w:val="0"/>
        <w:rPr>
          <w:rFonts w:hint="eastAsia"/>
          <w:highlight w:val="none"/>
        </w:rPr>
      </w:pPr>
      <w:r>
        <w:rPr>
          <w:rFonts w:hint="eastAsia"/>
          <w:highlight w:val="none"/>
          <w:lang w:val="en-US" w:eastAsia="zh-CN"/>
        </w:rPr>
        <w:t>（</w:t>
      </w:r>
      <w:r>
        <w:rPr>
          <w:rFonts w:hint="default"/>
          <w:highlight w:val="none"/>
          <w:lang w:val="en-US" w:eastAsia="zh-CN"/>
        </w:rPr>
        <w:t>3</w:t>
      </w:r>
      <w:r>
        <w:rPr>
          <w:rFonts w:hint="eastAsia"/>
          <w:highlight w:val="none"/>
          <w:lang w:val="en-US" w:eastAsia="zh-CN"/>
        </w:rPr>
        <w:t>）</w:t>
      </w:r>
      <w:r>
        <w:rPr>
          <w:rFonts w:hint="eastAsia"/>
          <w:highlight w:val="none"/>
        </w:rPr>
        <w:t>《加快建设交通强国五年行动计划（2023—2027年）》</w:t>
      </w:r>
    </w:p>
    <w:p w14:paraId="166A3364">
      <w:pPr>
        <w:pStyle w:val="5"/>
        <w:bidi w:val="0"/>
        <w:rPr>
          <w:rFonts w:hint="eastAsia"/>
          <w:highlight w:val="none"/>
        </w:rPr>
      </w:pPr>
      <w:r>
        <w:rPr>
          <w:rFonts w:hint="eastAsia"/>
          <w:highlight w:val="none"/>
          <w:lang w:eastAsia="zh-CN"/>
        </w:rPr>
        <w:t>（</w:t>
      </w:r>
      <w:r>
        <w:rPr>
          <w:rFonts w:hint="eastAsia"/>
          <w:highlight w:val="none"/>
          <w:lang w:val="en-US" w:eastAsia="zh-CN"/>
        </w:rPr>
        <w:t>4</w:t>
      </w:r>
      <w:r>
        <w:rPr>
          <w:rFonts w:hint="eastAsia"/>
          <w:highlight w:val="none"/>
          <w:lang w:eastAsia="zh-CN"/>
        </w:rPr>
        <w:t>）</w:t>
      </w:r>
      <w:r>
        <w:rPr>
          <w:rFonts w:hint="eastAsia"/>
          <w:highlight w:val="none"/>
        </w:rPr>
        <w:t>《关于加快推进农村客货邮融合发展的指导意见》</w:t>
      </w:r>
    </w:p>
    <w:p w14:paraId="1499FA6B">
      <w:pPr>
        <w:pStyle w:val="5"/>
        <w:bidi w:val="0"/>
        <w:rPr>
          <w:rFonts w:hint="eastAsia"/>
          <w:highlight w:val="none"/>
        </w:rPr>
      </w:pPr>
      <w:r>
        <w:rPr>
          <w:rFonts w:hint="eastAsia"/>
          <w:highlight w:val="none"/>
          <w:lang w:eastAsia="zh-CN"/>
        </w:rPr>
        <w:t>（</w:t>
      </w:r>
      <w:r>
        <w:rPr>
          <w:rFonts w:hint="eastAsia"/>
          <w:highlight w:val="none"/>
          <w:lang w:val="en-US" w:eastAsia="zh-CN"/>
        </w:rPr>
        <w:t>5</w:t>
      </w:r>
      <w:r>
        <w:rPr>
          <w:rFonts w:hint="eastAsia"/>
          <w:highlight w:val="none"/>
          <w:lang w:eastAsia="zh-CN"/>
        </w:rPr>
        <w:t>）</w:t>
      </w:r>
      <w:r>
        <w:rPr>
          <w:rFonts w:hint="eastAsia"/>
          <w:highlight w:val="none"/>
        </w:rPr>
        <w:t>《新一轮农村公路提升行动方案》</w:t>
      </w:r>
    </w:p>
    <w:p w14:paraId="4D2977E2">
      <w:pPr>
        <w:pStyle w:val="4"/>
        <w:bidi w:val="0"/>
        <w:rPr>
          <w:rFonts w:hint="default"/>
          <w:highlight w:val="none"/>
          <w:lang w:val="en-US" w:eastAsia="zh-CN"/>
        </w:rPr>
      </w:pPr>
      <w:r>
        <w:rPr>
          <w:rFonts w:hint="eastAsia"/>
          <w:highlight w:val="none"/>
          <w:lang w:val="en-US" w:eastAsia="zh-CN"/>
        </w:rPr>
        <w:t>2.省级层面</w:t>
      </w:r>
    </w:p>
    <w:p w14:paraId="313A759D">
      <w:pPr>
        <w:pStyle w:val="5"/>
        <w:bidi w:val="0"/>
        <w:rPr>
          <w:rFonts w:hint="eastAsia"/>
          <w:highlight w:val="none"/>
        </w:rPr>
      </w:pPr>
      <w:r>
        <w:rPr>
          <w:rFonts w:hint="eastAsia"/>
          <w:highlight w:val="none"/>
          <w:lang w:val="en-US" w:eastAsia="zh-CN"/>
        </w:rPr>
        <w:t>（</w:t>
      </w:r>
      <w:r>
        <w:rPr>
          <w:rFonts w:hint="default"/>
          <w:highlight w:val="none"/>
          <w:lang w:val="en-US" w:eastAsia="zh-CN"/>
        </w:rPr>
        <w:t>1</w:t>
      </w:r>
      <w:r>
        <w:rPr>
          <w:rFonts w:hint="eastAsia"/>
          <w:highlight w:val="none"/>
          <w:lang w:val="en-US" w:eastAsia="zh-CN"/>
        </w:rPr>
        <w:t>）</w:t>
      </w:r>
      <w:r>
        <w:rPr>
          <w:rFonts w:hint="eastAsia"/>
          <w:highlight w:val="none"/>
        </w:rPr>
        <w:t>《云南省综合立体交通网规划纲要》</w:t>
      </w:r>
    </w:p>
    <w:p w14:paraId="61FAF607">
      <w:pPr>
        <w:pStyle w:val="5"/>
        <w:bidi w:val="0"/>
        <w:rPr>
          <w:rFonts w:hint="eastAsia"/>
          <w:highlight w:val="none"/>
        </w:rPr>
      </w:pPr>
      <w:r>
        <w:rPr>
          <w:rFonts w:hint="eastAsia"/>
          <w:highlight w:val="none"/>
          <w:lang w:val="en-US" w:eastAsia="zh-CN"/>
        </w:rPr>
        <w:t>（</w:t>
      </w:r>
      <w:r>
        <w:rPr>
          <w:rFonts w:hint="default"/>
          <w:highlight w:val="none"/>
          <w:lang w:val="en-US" w:eastAsia="zh-CN"/>
        </w:rPr>
        <w:t>2</w:t>
      </w:r>
      <w:r>
        <w:rPr>
          <w:rFonts w:hint="eastAsia"/>
          <w:highlight w:val="none"/>
          <w:lang w:val="en-US" w:eastAsia="zh-CN"/>
        </w:rPr>
        <w:t>）</w:t>
      </w:r>
      <w:r>
        <w:rPr>
          <w:rFonts w:hint="eastAsia"/>
          <w:highlight w:val="none"/>
        </w:rPr>
        <w:t>《云南省加快建设交通强省五年行动方案（2023—2027年）》</w:t>
      </w:r>
    </w:p>
    <w:p w14:paraId="0F51E522">
      <w:pPr>
        <w:pStyle w:val="5"/>
        <w:bidi w:val="0"/>
        <w:rPr>
          <w:rFonts w:hint="eastAsia"/>
          <w:highlight w:val="none"/>
        </w:rPr>
      </w:pPr>
      <w:r>
        <w:rPr>
          <w:rFonts w:hint="eastAsia"/>
          <w:highlight w:val="none"/>
          <w:lang w:val="en-US" w:eastAsia="zh-CN"/>
        </w:rPr>
        <w:t>（</w:t>
      </w:r>
      <w:r>
        <w:rPr>
          <w:rFonts w:hint="default"/>
          <w:highlight w:val="none"/>
          <w:lang w:val="en-US" w:eastAsia="zh-CN"/>
        </w:rPr>
        <w:t>3</w:t>
      </w:r>
      <w:r>
        <w:rPr>
          <w:rFonts w:hint="eastAsia"/>
          <w:highlight w:val="none"/>
          <w:lang w:val="en-US" w:eastAsia="zh-CN"/>
        </w:rPr>
        <w:t>）</w:t>
      </w:r>
      <w:r>
        <w:rPr>
          <w:rFonts w:hint="eastAsia"/>
          <w:highlight w:val="none"/>
        </w:rPr>
        <w:t>《云南省通用机场布局规划（2016—2030年）》</w:t>
      </w:r>
    </w:p>
    <w:p w14:paraId="3A6571E6">
      <w:pPr>
        <w:pStyle w:val="5"/>
        <w:bidi w:val="0"/>
        <w:rPr>
          <w:rFonts w:hint="eastAsia"/>
          <w:highlight w:val="none"/>
        </w:rPr>
      </w:pPr>
      <w:r>
        <w:rPr>
          <w:rFonts w:hint="eastAsia"/>
          <w:highlight w:val="none"/>
          <w:lang w:val="en-US" w:eastAsia="zh-CN"/>
        </w:rPr>
        <w:t>（4）</w:t>
      </w:r>
      <w:r>
        <w:rPr>
          <w:rFonts w:hint="eastAsia"/>
          <w:highlight w:val="none"/>
        </w:rPr>
        <w:t>《云南省公路网规划》（2024年5月）</w:t>
      </w:r>
    </w:p>
    <w:p w14:paraId="613D88A0">
      <w:pPr>
        <w:pStyle w:val="5"/>
        <w:bidi w:val="0"/>
        <w:rPr>
          <w:rFonts w:hint="eastAsia"/>
          <w:highlight w:val="none"/>
        </w:rPr>
      </w:pPr>
      <w:r>
        <w:rPr>
          <w:rFonts w:hint="eastAsia"/>
          <w:highlight w:val="none"/>
          <w:lang w:val="en-US" w:eastAsia="zh-CN"/>
        </w:rPr>
        <w:t>（5）</w:t>
      </w:r>
      <w:r>
        <w:rPr>
          <w:rFonts w:hint="eastAsia"/>
          <w:highlight w:val="none"/>
        </w:rPr>
        <w:t>《云南省“十五五”综合交通运输发展规划》（在编）</w:t>
      </w:r>
    </w:p>
    <w:p w14:paraId="1DF9B119">
      <w:pPr>
        <w:pStyle w:val="5"/>
        <w:bidi w:val="0"/>
        <w:rPr>
          <w:rFonts w:hint="eastAsia"/>
          <w:highlight w:val="none"/>
        </w:rPr>
      </w:pPr>
      <w:r>
        <w:rPr>
          <w:rFonts w:hint="eastAsia"/>
          <w:highlight w:val="none"/>
          <w:lang w:eastAsia="zh-CN"/>
        </w:rPr>
        <w:t>（</w:t>
      </w:r>
      <w:r>
        <w:rPr>
          <w:rFonts w:hint="eastAsia"/>
          <w:highlight w:val="none"/>
          <w:lang w:val="en-US" w:eastAsia="zh-CN"/>
        </w:rPr>
        <w:t>6</w:t>
      </w:r>
      <w:r>
        <w:rPr>
          <w:rFonts w:hint="eastAsia"/>
          <w:highlight w:val="none"/>
          <w:lang w:eastAsia="zh-CN"/>
        </w:rPr>
        <w:t>）</w:t>
      </w:r>
      <w:r>
        <w:rPr>
          <w:rFonts w:hint="eastAsia"/>
          <w:highlight w:val="none"/>
        </w:rPr>
        <w:t>《推进交通旅游融合发展实施方案》</w:t>
      </w:r>
    </w:p>
    <w:p w14:paraId="03CE5571">
      <w:pPr>
        <w:pStyle w:val="5"/>
        <w:bidi w:val="0"/>
        <w:rPr>
          <w:rFonts w:hint="eastAsia"/>
          <w:highlight w:val="none"/>
        </w:rPr>
      </w:pPr>
      <w:r>
        <w:rPr>
          <w:rFonts w:hint="eastAsia"/>
          <w:highlight w:val="none"/>
          <w:lang w:eastAsia="zh-CN"/>
        </w:rPr>
        <w:t>（</w:t>
      </w:r>
      <w:r>
        <w:rPr>
          <w:rFonts w:hint="eastAsia"/>
          <w:highlight w:val="none"/>
          <w:lang w:val="en-US" w:eastAsia="zh-CN"/>
        </w:rPr>
        <w:t>7</w:t>
      </w:r>
      <w:r>
        <w:rPr>
          <w:rFonts w:hint="eastAsia"/>
          <w:highlight w:val="none"/>
          <w:lang w:eastAsia="zh-CN"/>
        </w:rPr>
        <w:t>）</w:t>
      </w:r>
      <w:r>
        <w:rPr>
          <w:rFonts w:hint="eastAsia"/>
          <w:highlight w:val="none"/>
        </w:rPr>
        <w:t>《云南省推动高速公路融合发展若干政策措施（试行）》</w:t>
      </w:r>
    </w:p>
    <w:p w14:paraId="284D3347">
      <w:pPr>
        <w:pStyle w:val="5"/>
        <w:bidi w:val="0"/>
        <w:rPr>
          <w:rFonts w:hint="eastAsia"/>
          <w:highlight w:val="none"/>
        </w:rPr>
      </w:pPr>
      <w:r>
        <w:rPr>
          <w:rFonts w:hint="eastAsia"/>
          <w:highlight w:val="none"/>
          <w:lang w:eastAsia="zh-CN"/>
        </w:rPr>
        <w:t>（</w:t>
      </w:r>
      <w:r>
        <w:rPr>
          <w:rFonts w:hint="eastAsia"/>
          <w:highlight w:val="none"/>
          <w:lang w:val="en-US" w:eastAsia="zh-CN"/>
        </w:rPr>
        <w:t>8</w:t>
      </w:r>
      <w:r>
        <w:rPr>
          <w:rFonts w:hint="eastAsia"/>
          <w:highlight w:val="none"/>
          <w:lang w:eastAsia="zh-CN"/>
        </w:rPr>
        <w:t>）</w:t>
      </w:r>
      <w:r>
        <w:rPr>
          <w:rFonts w:hint="eastAsia"/>
          <w:highlight w:val="none"/>
        </w:rPr>
        <w:t>《推进农村客货邮融合发展工作实施方案》</w:t>
      </w:r>
    </w:p>
    <w:p w14:paraId="096BCDBF">
      <w:pPr>
        <w:pStyle w:val="4"/>
        <w:bidi w:val="0"/>
        <w:rPr>
          <w:rFonts w:hint="eastAsia"/>
          <w:highlight w:val="none"/>
        </w:rPr>
      </w:pPr>
      <w:r>
        <w:rPr>
          <w:rFonts w:hint="eastAsia"/>
          <w:highlight w:val="none"/>
          <w:lang w:val="en-US" w:eastAsia="zh-CN"/>
        </w:rPr>
        <w:t>3.市、县级层面</w:t>
      </w:r>
    </w:p>
    <w:p w14:paraId="3F834581">
      <w:pPr>
        <w:pStyle w:val="5"/>
        <w:bidi w:val="0"/>
        <w:rPr>
          <w:rFonts w:hint="eastAsia"/>
          <w:highlight w:val="none"/>
        </w:rPr>
      </w:pPr>
      <w:r>
        <w:rPr>
          <w:rFonts w:hint="eastAsia"/>
          <w:highlight w:val="none"/>
          <w:lang w:val="en-US" w:eastAsia="zh-CN"/>
        </w:rPr>
        <w:t>（</w:t>
      </w:r>
      <w:r>
        <w:rPr>
          <w:rFonts w:hint="default"/>
          <w:highlight w:val="none"/>
          <w:lang w:val="en-US" w:eastAsia="zh-CN"/>
        </w:rPr>
        <w:t>1</w:t>
      </w:r>
      <w:r>
        <w:rPr>
          <w:rFonts w:hint="eastAsia"/>
          <w:highlight w:val="none"/>
          <w:lang w:val="en-US" w:eastAsia="zh-CN"/>
        </w:rPr>
        <w:t>）</w:t>
      </w:r>
      <w:r>
        <w:rPr>
          <w:rFonts w:hint="eastAsia"/>
          <w:highlight w:val="none"/>
        </w:rPr>
        <w:t>《昆明市综合交通体系规划（2021—2035年）》</w:t>
      </w:r>
    </w:p>
    <w:p w14:paraId="366BAF48">
      <w:pPr>
        <w:pStyle w:val="5"/>
        <w:bidi w:val="0"/>
        <w:rPr>
          <w:rFonts w:hint="eastAsia"/>
          <w:highlight w:val="none"/>
        </w:rPr>
      </w:pPr>
      <w:r>
        <w:rPr>
          <w:rFonts w:hint="eastAsia"/>
          <w:highlight w:val="none"/>
          <w:lang w:val="en-US" w:eastAsia="zh-CN"/>
        </w:rPr>
        <w:t>（</w:t>
      </w:r>
      <w:r>
        <w:rPr>
          <w:rFonts w:hint="default"/>
          <w:highlight w:val="none"/>
          <w:lang w:val="en-US" w:eastAsia="zh-CN"/>
        </w:rPr>
        <w:t>2</w:t>
      </w:r>
      <w:r>
        <w:rPr>
          <w:rFonts w:hint="eastAsia"/>
          <w:highlight w:val="none"/>
          <w:lang w:val="en-US" w:eastAsia="zh-CN"/>
        </w:rPr>
        <w:t>）</w:t>
      </w:r>
      <w:r>
        <w:rPr>
          <w:rFonts w:hint="eastAsia"/>
          <w:highlight w:val="none"/>
        </w:rPr>
        <w:t>《石林彝族自治县国土空间总体规划（</w:t>
      </w:r>
      <w:r>
        <w:rPr>
          <w:rFonts w:hint="eastAsia"/>
          <w:highlight w:val="none"/>
          <w:lang w:eastAsia="zh-CN"/>
        </w:rPr>
        <w:t>2021—2035</w:t>
      </w:r>
      <w:r>
        <w:rPr>
          <w:rFonts w:hint="eastAsia"/>
          <w:highlight w:val="none"/>
        </w:rPr>
        <w:t>年）》</w:t>
      </w:r>
    </w:p>
    <w:p w14:paraId="08345D70">
      <w:pPr>
        <w:pStyle w:val="5"/>
        <w:bidi w:val="0"/>
        <w:rPr>
          <w:rFonts w:hint="eastAsia"/>
          <w:highlight w:val="none"/>
        </w:rPr>
      </w:pPr>
      <w:r>
        <w:rPr>
          <w:rFonts w:hint="eastAsia"/>
          <w:highlight w:val="none"/>
          <w:lang w:val="en-US" w:eastAsia="zh-CN"/>
        </w:rPr>
        <w:t>（</w:t>
      </w:r>
      <w:r>
        <w:rPr>
          <w:rFonts w:hint="default"/>
          <w:highlight w:val="none"/>
          <w:lang w:val="en-US" w:eastAsia="zh-CN"/>
        </w:rPr>
        <w:t>3</w:t>
      </w:r>
      <w:r>
        <w:rPr>
          <w:rFonts w:hint="eastAsia"/>
          <w:highlight w:val="none"/>
          <w:lang w:val="en-US" w:eastAsia="zh-CN"/>
        </w:rPr>
        <w:t>）</w:t>
      </w:r>
      <w:r>
        <w:rPr>
          <w:rFonts w:hint="eastAsia"/>
          <w:highlight w:val="none"/>
        </w:rPr>
        <w:t>《石林彝族自治县“十四五”综合交通发展规划（2020</w:t>
      </w:r>
      <w:r>
        <w:rPr>
          <w:rFonts w:hint="eastAsia"/>
          <w:highlight w:val="none"/>
          <w:lang w:eastAsia="zh-CN"/>
        </w:rPr>
        <w:t>—</w:t>
      </w:r>
      <w:r>
        <w:rPr>
          <w:rFonts w:hint="eastAsia"/>
          <w:highlight w:val="none"/>
        </w:rPr>
        <w:t>2025年）》</w:t>
      </w:r>
    </w:p>
    <w:p w14:paraId="2872C538">
      <w:pPr>
        <w:pStyle w:val="5"/>
        <w:bidi w:val="0"/>
        <w:rPr>
          <w:rFonts w:hint="eastAsia"/>
          <w:highlight w:val="none"/>
        </w:rPr>
      </w:pPr>
      <w:r>
        <w:rPr>
          <w:rFonts w:hint="eastAsia"/>
          <w:highlight w:val="none"/>
          <w:lang w:val="en-US" w:eastAsia="zh-CN"/>
        </w:rPr>
        <w:t>（</w:t>
      </w:r>
      <w:r>
        <w:rPr>
          <w:rFonts w:hint="default"/>
          <w:highlight w:val="none"/>
          <w:lang w:val="en-US" w:eastAsia="zh-CN"/>
        </w:rPr>
        <w:t>4</w:t>
      </w:r>
      <w:r>
        <w:rPr>
          <w:rFonts w:hint="eastAsia"/>
          <w:highlight w:val="none"/>
          <w:lang w:val="en-US" w:eastAsia="zh-CN"/>
        </w:rPr>
        <w:t>）</w:t>
      </w:r>
      <w:r>
        <w:rPr>
          <w:rFonts w:hint="eastAsia"/>
          <w:highlight w:val="none"/>
        </w:rPr>
        <w:t>《昆明市“十五五”综合交通运输发展规划》（在编）</w:t>
      </w:r>
    </w:p>
    <w:p w14:paraId="08946054">
      <w:pPr>
        <w:pStyle w:val="5"/>
        <w:bidi w:val="0"/>
        <w:rPr>
          <w:rFonts w:hint="eastAsia"/>
          <w:highlight w:val="none"/>
        </w:rPr>
      </w:pPr>
      <w:r>
        <w:rPr>
          <w:rFonts w:hint="eastAsia"/>
          <w:highlight w:val="none"/>
          <w:lang w:eastAsia="zh-CN"/>
        </w:rPr>
        <w:t>（</w:t>
      </w:r>
      <w:r>
        <w:rPr>
          <w:rFonts w:hint="eastAsia"/>
          <w:highlight w:val="none"/>
          <w:lang w:val="en-US" w:eastAsia="zh-CN"/>
        </w:rPr>
        <w:t>5</w:t>
      </w:r>
      <w:r>
        <w:rPr>
          <w:rFonts w:hint="eastAsia"/>
          <w:highlight w:val="none"/>
          <w:lang w:eastAsia="zh-CN"/>
        </w:rPr>
        <w:t>）</w:t>
      </w:r>
      <w:r>
        <w:rPr>
          <w:rFonts w:hint="eastAsia"/>
          <w:highlight w:val="none"/>
        </w:rPr>
        <w:t>《石林彝族自治县国民经济和社会发展第十五个五年规划纲要》</w:t>
      </w:r>
    </w:p>
    <w:p w14:paraId="31EA7CE9">
      <w:pPr>
        <w:pStyle w:val="3"/>
        <w:numPr>
          <w:ilvl w:val="0"/>
          <w:numId w:val="0"/>
        </w:numPr>
        <w:bidi w:val="0"/>
        <w:ind w:left="0" w:leftChars="0" w:firstLine="640" w:firstLineChars="200"/>
        <w:rPr>
          <w:rFonts w:hint="default"/>
          <w:highlight w:val="none"/>
          <w:lang w:val="en-US" w:eastAsia="zh-CN"/>
        </w:rPr>
      </w:pPr>
      <w:bookmarkStart w:id="4" w:name="_Toc6079"/>
      <w:r>
        <w:rPr>
          <w:rFonts w:hint="eastAsia" w:ascii="宋体" w:hAnsi="宋体" w:eastAsia="方正楷体_GBK" w:cstheme="majorBidi"/>
          <w:bCs/>
          <w:kern w:val="2"/>
          <w:sz w:val="32"/>
          <w:szCs w:val="32"/>
          <w:highlight w:val="none"/>
          <w:lang w:val="en-US" w:eastAsia="zh-CN" w:bidi="ar-SA"/>
        </w:rPr>
        <w:t>（四）</w:t>
      </w:r>
      <w:r>
        <w:rPr>
          <w:rFonts w:hint="eastAsia"/>
          <w:highlight w:val="none"/>
          <w:lang w:val="en-US" w:eastAsia="zh-CN"/>
        </w:rPr>
        <w:t>相关规划解读</w:t>
      </w:r>
      <w:bookmarkEnd w:id="4"/>
    </w:p>
    <w:p w14:paraId="2151AFA9">
      <w:pPr>
        <w:pStyle w:val="4"/>
        <w:numPr>
          <w:ilvl w:val="0"/>
          <w:numId w:val="0"/>
        </w:numPr>
        <w:bidi w:val="0"/>
        <w:ind w:firstLine="643" w:firstLineChars="200"/>
        <w:rPr>
          <w:rFonts w:hint="eastAsia"/>
          <w:highlight w:val="none"/>
          <w:lang w:val="en-US" w:eastAsia="zh-CN"/>
        </w:rPr>
      </w:pPr>
      <w:r>
        <w:rPr>
          <w:rFonts w:hint="eastAsia" w:ascii="宋体" w:hAnsi="宋体" w:eastAsia="方正仿宋_GBK" w:cs="Times New Roman"/>
          <w:b/>
          <w:bCs/>
          <w:kern w:val="2"/>
          <w:sz w:val="32"/>
          <w:szCs w:val="32"/>
          <w:highlight w:val="none"/>
          <w:lang w:val="en-US" w:eastAsia="zh-CN" w:bidi="ar-SA"/>
        </w:rPr>
        <w:t>1.</w:t>
      </w:r>
      <w:r>
        <w:rPr>
          <w:rFonts w:hint="eastAsia" w:cs="Times New Roman"/>
          <w:b/>
          <w:bCs/>
          <w:kern w:val="2"/>
          <w:sz w:val="32"/>
          <w:szCs w:val="32"/>
          <w:highlight w:val="none"/>
          <w:lang w:val="en-US" w:eastAsia="zh-CN" w:bidi="ar-SA"/>
        </w:rPr>
        <w:t>《昆明市国土空间总体规划（2021—2035年）》</w:t>
      </w:r>
    </w:p>
    <w:p w14:paraId="724C6899">
      <w:pPr>
        <w:pStyle w:val="5"/>
        <w:bidi w:val="0"/>
        <w:rPr>
          <w:rFonts w:hint="eastAsia"/>
          <w:highlight w:val="none"/>
          <w:lang w:val="en-US" w:eastAsia="zh-CN"/>
        </w:rPr>
      </w:pPr>
      <w:r>
        <w:rPr>
          <w:rFonts w:hint="eastAsia"/>
          <w:b/>
          <w:bCs/>
          <w:highlight w:val="none"/>
          <w:lang w:val="en-US" w:eastAsia="zh-CN"/>
        </w:rPr>
        <w:t>（1）国土空间总体格局方面。</w:t>
      </w:r>
      <w:r>
        <w:rPr>
          <w:rFonts w:hint="eastAsia"/>
          <w:b w:val="0"/>
          <w:bCs w:val="0"/>
          <w:highlight w:val="none"/>
          <w:lang w:val="en-US" w:eastAsia="zh-CN"/>
        </w:rPr>
        <w:t>构建“一核两翼四轴”的城镇发展格局，优化城镇空间布局，</w:t>
      </w:r>
      <w:r>
        <w:rPr>
          <w:rFonts w:hint="eastAsia"/>
          <w:highlight w:val="none"/>
          <w:lang w:val="en-US" w:eastAsia="zh-CN"/>
        </w:rPr>
        <w:t>石林县位于“四轴”中的中心城区核心区至红河哈尼族彝族自治州方向的城镇发展轴带。</w:t>
      </w:r>
    </w:p>
    <w:p w14:paraId="31A310E5">
      <w:pPr>
        <w:pStyle w:val="45"/>
        <w:bidi w:val="0"/>
        <w:rPr>
          <w:rFonts w:hint="eastAsia"/>
          <w:highlight w:val="none"/>
          <w:lang w:val="en-US" w:eastAsia="zh-CN"/>
        </w:rPr>
      </w:pPr>
      <w:r>
        <w:rPr>
          <w:rFonts w:hint="eastAsia"/>
          <w:highlight w:val="none"/>
          <w:lang w:val="en-US"/>
        </w:rPr>
        <w:drawing>
          <wp:inline distT="0" distB="0" distL="0" distR="0">
            <wp:extent cx="3513455" cy="4291965"/>
            <wp:effectExtent l="0" t="0" r="6985" b="571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9" cstate="print">
                      <a:extLst>
                        <a:ext uri="{28A0092B-C50C-407E-A947-70E740481C1C}">
                          <a14:useLocalDpi xmlns:a14="http://schemas.microsoft.com/office/drawing/2010/main" val="0"/>
                        </a:ext>
                      </a:extLst>
                    </a:blip>
                    <a:srcRect t="4765" b="8909"/>
                    <a:stretch>
                      <a:fillRect/>
                    </a:stretch>
                  </pic:blipFill>
                  <pic:spPr>
                    <a:xfrm>
                      <a:off x="0" y="0"/>
                      <a:ext cx="3513455" cy="4291965"/>
                    </a:xfrm>
                    <a:prstGeom prst="rect">
                      <a:avLst/>
                    </a:prstGeom>
                  </pic:spPr>
                </pic:pic>
              </a:graphicData>
            </a:graphic>
          </wp:inline>
        </w:drawing>
      </w:r>
    </w:p>
    <w:p w14:paraId="1B431039">
      <w:pPr>
        <w:pStyle w:val="5"/>
        <w:bidi w:val="0"/>
        <w:rPr>
          <w:rFonts w:hint="eastAsia"/>
          <w:highlight w:val="none"/>
          <w:lang w:val="en-US" w:eastAsia="zh-CN"/>
        </w:rPr>
      </w:pPr>
      <w:r>
        <w:rPr>
          <w:rFonts w:hint="eastAsia"/>
          <w:b/>
          <w:bCs/>
          <w:highlight w:val="none"/>
          <w:lang w:val="en-US" w:eastAsia="zh-CN"/>
        </w:rPr>
        <w:t>（2）市域综合交通方面。</w:t>
      </w:r>
      <w:r>
        <w:rPr>
          <w:rFonts w:hint="eastAsia"/>
          <w:highlight w:val="none"/>
          <w:lang w:val="en-US" w:eastAsia="zh-CN"/>
        </w:rPr>
        <w:t>在</w:t>
      </w:r>
      <w:r>
        <w:rPr>
          <w:rFonts w:hint="eastAsia"/>
          <w:b/>
          <w:bCs/>
          <w:highlight w:val="none"/>
          <w:lang w:val="en-US" w:eastAsia="zh-CN"/>
        </w:rPr>
        <w:t>石林县等8个县（区）研究预留通用机场建设空间</w:t>
      </w:r>
      <w:r>
        <w:rPr>
          <w:rFonts w:hint="eastAsia"/>
          <w:highlight w:val="none"/>
          <w:lang w:val="en-US" w:eastAsia="zh-CN"/>
        </w:rPr>
        <w:t>，提升偏远地区、地面交通不便地区的通达能力，基本实现通用航空短途运输、低空旅游、应急救援等服务全域覆盖。</w:t>
      </w:r>
    </w:p>
    <w:p w14:paraId="4C08CD9C">
      <w:pPr>
        <w:pStyle w:val="5"/>
        <w:bidi w:val="0"/>
        <w:rPr>
          <w:rFonts w:hint="eastAsia"/>
          <w:highlight w:val="none"/>
          <w:lang w:val="en-US"/>
        </w:rPr>
      </w:pPr>
      <w:r>
        <w:rPr>
          <w:rFonts w:hint="eastAsia"/>
          <w:b/>
          <w:bCs/>
          <w:highlight w:val="none"/>
          <w:lang w:val="en-US" w:eastAsia="zh-CN"/>
        </w:rPr>
        <w:t>构建安全、便捷、高效、绿色、经济的一体化综合立体交通网络</w:t>
      </w:r>
      <w:r>
        <w:rPr>
          <w:rFonts w:hint="eastAsia"/>
          <w:highlight w:val="none"/>
          <w:lang w:val="en-US" w:eastAsia="zh-CN"/>
        </w:rPr>
        <w:t>。</w:t>
      </w:r>
    </w:p>
    <w:p w14:paraId="51A97BD4">
      <w:pPr>
        <w:pStyle w:val="5"/>
        <w:bidi w:val="0"/>
        <w:rPr>
          <w:rFonts w:hint="default"/>
          <w:highlight w:val="none"/>
          <w:lang w:val="en-US" w:eastAsia="zh-CN"/>
        </w:rPr>
      </w:pPr>
      <w:r>
        <w:rPr>
          <w:rFonts w:hint="eastAsia"/>
          <w:b/>
          <w:bCs/>
          <w:highlight w:val="none"/>
          <w:lang w:val="en-US" w:eastAsia="zh-CN"/>
        </w:rPr>
        <w:t>（3）产业协同发展方面。</w:t>
      </w:r>
      <w:r>
        <w:rPr>
          <w:rFonts w:hint="eastAsia"/>
          <w:highlight w:val="none"/>
          <w:lang w:val="en-US" w:eastAsia="zh-CN"/>
        </w:rPr>
        <w:t>制造业布局上，石林县加强生态协同与环保要求，重点发展绿色能源、环保及绿色食品加工产业。旅游业布局上，石林为全市3个重点旅游片区之一，昆明—宜良—石林至两广为5条重点旅游走廊之一，推动全市旅游发展。</w:t>
      </w:r>
    </w:p>
    <w:p w14:paraId="37D0506E">
      <w:pPr>
        <w:pStyle w:val="4"/>
        <w:numPr>
          <w:ilvl w:val="0"/>
          <w:numId w:val="0"/>
        </w:numPr>
        <w:bidi w:val="0"/>
        <w:ind w:firstLine="643" w:firstLineChars="200"/>
        <w:rPr>
          <w:rFonts w:hint="eastAsia"/>
          <w:highlight w:val="none"/>
          <w:lang w:val="en-US" w:eastAsia="zh-CN"/>
        </w:rPr>
      </w:pPr>
      <w:r>
        <w:rPr>
          <w:rFonts w:hint="eastAsia" w:ascii="宋体" w:hAnsi="宋体" w:eastAsia="方正仿宋_GBK" w:cs="Times New Roman"/>
          <w:b/>
          <w:bCs/>
          <w:kern w:val="2"/>
          <w:sz w:val="32"/>
          <w:szCs w:val="32"/>
          <w:highlight w:val="none"/>
          <w:lang w:val="en-US" w:eastAsia="zh-CN" w:bidi="ar-SA"/>
        </w:rPr>
        <w:t>2.</w:t>
      </w:r>
      <w:r>
        <w:rPr>
          <w:rFonts w:hint="eastAsia"/>
          <w:color w:val="000000" w:themeColor="text1"/>
          <w:highlight w:val="none"/>
          <w14:textFill>
            <w14:solidFill>
              <w14:schemeClr w14:val="tx1"/>
            </w14:solidFill>
          </w14:textFill>
        </w:rPr>
        <w:t>《昆明市“十五五”综合交通运输发展规划》</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在编</w:t>
      </w:r>
      <w:r>
        <w:rPr>
          <w:rFonts w:hint="eastAsia"/>
          <w:color w:val="000000" w:themeColor="text1"/>
          <w:highlight w:val="none"/>
          <w:lang w:eastAsia="zh-CN"/>
          <w14:textFill>
            <w14:solidFill>
              <w14:schemeClr w14:val="tx1"/>
            </w14:solidFill>
          </w14:textFill>
        </w:rPr>
        <w:t>）</w:t>
      </w:r>
    </w:p>
    <w:p w14:paraId="65ADB2F4">
      <w:pPr>
        <w:pStyle w:val="5"/>
        <w:rPr>
          <w:rFonts w:hint="eastAsia"/>
          <w:highlight w:val="none"/>
          <w:lang w:val="en-US" w:eastAsia="zh-CN"/>
        </w:rPr>
      </w:pPr>
      <w:r>
        <w:rPr>
          <w:rFonts w:hint="eastAsia"/>
          <w:highlight w:val="none"/>
          <w:lang w:val="en-US" w:eastAsia="zh-CN"/>
        </w:rPr>
        <w:t>“十五五”期间昆明交通运输主要围绕十大任务，包括：一是提升我国面向南亚东南亚辐射中心交通保障能力；二是加快提升国际性综合交通枢纽功能；三是推进滇中城市群、昆明都市圈交通现代化；四是推进交通与产业融合发展；五是提升优质运输服务水平；六是推动“四好农村路”高质量发展；七是大力发展交通运输领域新质生产力；八是推动交通运输绿色低碳发展；九是全面深化交通运输领域改革；十是提升交通安全保障能力。全面推动交通运输高质量发展，加快构建安全、便捷、高效、绿色、经济、包容、韧性的现代化可持续综合交通运输体系。</w:t>
      </w:r>
    </w:p>
    <w:p w14:paraId="6F9EFCAE">
      <w:pPr>
        <w:pStyle w:val="4"/>
        <w:numPr>
          <w:ilvl w:val="0"/>
          <w:numId w:val="0"/>
        </w:numPr>
        <w:bidi w:val="0"/>
        <w:ind w:firstLine="643" w:firstLineChars="200"/>
        <w:rPr>
          <w:rFonts w:hint="eastAsia" w:cs="Times New Roman"/>
          <w:b/>
          <w:bCs/>
          <w:color w:val="000000" w:themeColor="text1"/>
          <w:kern w:val="2"/>
          <w:sz w:val="32"/>
          <w:szCs w:val="32"/>
          <w:highlight w:val="none"/>
          <w:lang w:val="en-US" w:eastAsia="zh-CN" w:bidi="ar-SA"/>
          <w14:textFill>
            <w14:solidFill>
              <w14:schemeClr w14:val="tx1"/>
            </w14:solidFill>
          </w14:textFill>
        </w:rPr>
      </w:pPr>
      <w:r>
        <w:rPr>
          <w:rFonts w:hint="eastAsia" w:cs="Times New Roman"/>
          <w:b/>
          <w:bCs/>
          <w:color w:val="000000" w:themeColor="text1"/>
          <w:kern w:val="2"/>
          <w:sz w:val="32"/>
          <w:szCs w:val="32"/>
          <w:highlight w:val="none"/>
          <w:lang w:val="en-US" w:eastAsia="zh-CN" w:bidi="ar-SA"/>
          <w14:textFill>
            <w14:solidFill>
              <w14:schemeClr w14:val="tx1"/>
            </w14:solidFill>
          </w14:textFill>
        </w:rPr>
        <w:t>3.《石林街道国土空间总体规划（2021-2035年）》</w:t>
      </w:r>
    </w:p>
    <w:p w14:paraId="18AA1BC7">
      <w:pPr>
        <w:pStyle w:val="5"/>
        <w:rPr>
          <w:rFonts w:hint="eastAsia"/>
          <w:highlight w:val="none"/>
          <w:lang w:val="en-US" w:eastAsia="zh-CN"/>
        </w:rPr>
      </w:pPr>
      <w:r>
        <w:rPr>
          <w:rFonts w:hint="eastAsia"/>
          <w:highlight w:val="none"/>
          <w:lang w:val="en-US" w:eastAsia="zh-CN"/>
        </w:rPr>
        <w:t>（1）发展定位</w:t>
      </w:r>
    </w:p>
    <w:p w14:paraId="7F118BFC">
      <w:pPr>
        <w:pStyle w:val="5"/>
        <w:rPr>
          <w:rFonts w:hint="eastAsia"/>
          <w:highlight w:val="none"/>
          <w:lang w:val="en-US" w:eastAsia="zh-CN"/>
        </w:rPr>
      </w:pPr>
      <w:r>
        <w:rPr>
          <w:rFonts w:hint="eastAsia"/>
          <w:highlight w:val="none"/>
          <w:lang w:val="en-US" w:eastAsia="zh-CN"/>
        </w:rPr>
        <w:t>依托石林国家级风景区，以特色农业为基础，以文旅为龙头，深化农文旅融合发展，全面推进石林街道发展。打造“国际知名旅游目的地、云南现代特色农业基地、昆明市宜居宜业新辅城”。</w:t>
      </w:r>
    </w:p>
    <w:p w14:paraId="5324F2ED">
      <w:pPr>
        <w:pStyle w:val="5"/>
        <w:rPr>
          <w:rFonts w:hint="eastAsia"/>
          <w:highlight w:val="none"/>
          <w:lang w:val="en-US" w:eastAsia="zh-CN"/>
        </w:rPr>
      </w:pPr>
      <w:r>
        <w:rPr>
          <w:rFonts w:hint="eastAsia"/>
          <w:highlight w:val="none"/>
          <w:lang w:val="en-US" w:eastAsia="zh-CN"/>
        </w:rPr>
        <w:t>（2）国土空间总体格局</w:t>
      </w:r>
    </w:p>
    <w:p w14:paraId="7BA9813F">
      <w:pPr>
        <w:pStyle w:val="5"/>
        <w:rPr>
          <w:rFonts w:hint="eastAsia"/>
          <w:highlight w:val="none"/>
          <w:lang w:val="en-US" w:eastAsia="zh-CN"/>
        </w:rPr>
      </w:pPr>
      <w:r>
        <w:rPr>
          <w:rFonts w:hint="eastAsia"/>
          <w:highlight w:val="none"/>
          <w:lang w:val="en-US" w:eastAsia="zh-CN"/>
        </w:rPr>
        <w:t>统筹镇域生态、农业、城镇空间，以自然本底为基础，构建“两带筑底，双核引领、双轴带动、三区共生”的国土空间开发保护格局。</w:t>
      </w:r>
    </w:p>
    <w:p w14:paraId="27CB3AFA">
      <w:pPr>
        <w:pStyle w:val="5"/>
        <w:rPr>
          <w:rFonts w:hint="eastAsia"/>
          <w:highlight w:val="none"/>
          <w:lang w:val="en-US" w:eastAsia="zh-CN"/>
        </w:rPr>
      </w:pPr>
      <w:r>
        <w:rPr>
          <w:rFonts w:hint="eastAsia"/>
          <w:highlight w:val="none"/>
          <w:lang w:val="en-US" w:eastAsia="zh-CN"/>
        </w:rPr>
        <w:t>两带：南盘江和巴江保护带</w:t>
      </w:r>
    </w:p>
    <w:p w14:paraId="46227B51">
      <w:pPr>
        <w:pStyle w:val="5"/>
        <w:rPr>
          <w:rFonts w:hint="eastAsia"/>
          <w:highlight w:val="none"/>
          <w:lang w:val="en-US" w:eastAsia="zh-CN"/>
        </w:rPr>
      </w:pPr>
      <w:r>
        <w:rPr>
          <w:rFonts w:hint="eastAsia"/>
          <w:highlight w:val="none"/>
          <w:lang w:val="en-US" w:eastAsia="zh-CN"/>
        </w:rPr>
        <w:t>双核：全域旅游服务区发展核和台创园农业发展核</w:t>
      </w:r>
    </w:p>
    <w:p w14:paraId="3AC3D7F2">
      <w:pPr>
        <w:pStyle w:val="5"/>
        <w:rPr>
          <w:rFonts w:hint="eastAsia"/>
          <w:highlight w:val="none"/>
          <w:lang w:val="en-US" w:eastAsia="zh-CN"/>
        </w:rPr>
      </w:pPr>
      <w:r>
        <w:rPr>
          <w:rFonts w:hint="eastAsia"/>
          <w:highlight w:val="none"/>
          <w:lang w:val="en-US" w:eastAsia="zh-CN"/>
        </w:rPr>
        <w:t>两轴：九石阿全域旅游发展带动轴、324国道城镇发展带动轴</w:t>
      </w:r>
    </w:p>
    <w:p w14:paraId="4DD7A1E0">
      <w:pPr>
        <w:pStyle w:val="5"/>
        <w:rPr>
          <w:rFonts w:hint="eastAsia"/>
          <w:highlight w:val="none"/>
          <w:lang w:val="en-US" w:eastAsia="zh-CN"/>
        </w:rPr>
      </w:pPr>
      <w:r>
        <w:rPr>
          <w:rFonts w:hint="eastAsia"/>
          <w:highlight w:val="none"/>
          <w:lang w:val="en-US" w:eastAsia="zh-CN"/>
        </w:rPr>
        <w:t>三区：生态保护区、农业发展区、城镇发展区。</w:t>
      </w:r>
    </w:p>
    <w:p w14:paraId="71807F78">
      <w:pPr>
        <w:pStyle w:val="45"/>
        <w:bidi w:val="0"/>
        <w:rPr>
          <w:rFonts w:hint="eastAsia"/>
          <w:highlight w:val="none"/>
          <w:lang w:val="en-US" w:eastAsia="zh-CN"/>
        </w:rPr>
      </w:pPr>
      <w:r>
        <w:rPr>
          <w:highlight w:val="none"/>
        </w:rPr>
        <w:drawing>
          <wp:inline distT="0" distB="0" distL="114300" distR="114300">
            <wp:extent cx="3599180" cy="4277995"/>
            <wp:effectExtent l="0" t="0" r="12700" b="444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0"/>
                    <a:stretch>
                      <a:fillRect/>
                    </a:stretch>
                  </pic:blipFill>
                  <pic:spPr>
                    <a:xfrm>
                      <a:off x="0" y="0"/>
                      <a:ext cx="3599180" cy="4277995"/>
                    </a:xfrm>
                    <a:prstGeom prst="rect">
                      <a:avLst/>
                    </a:prstGeom>
                    <a:noFill/>
                    <a:ln>
                      <a:noFill/>
                    </a:ln>
                  </pic:spPr>
                </pic:pic>
              </a:graphicData>
            </a:graphic>
          </wp:inline>
        </w:drawing>
      </w:r>
    </w:p>
    <w:p w14:paraId="488DE50A">
      <w:pPr>
        <w:pStyle w:val="5"/>
        <w:rPr>
          <w:rFonts w:hint="eastAsia"/>
          <w:highlight w:val="none"/>
          <w:lang w:val="en-US" w:eastAsia="zh-CN"/>
        </w:rPr>
      </w:pPr>
      <w:r>
        <w:rPr>
          <w:rFonts w:hint="eastAsia"/>
          <w:highlight w:val="none"/>
          <w:lang w:val="en-US" w:eastAsia="zh-CN"/>
        </w:rPr>
        <w:t>（3）综合交通体系发展规划</w:t>
      </w:r>
    </w:p>
    <w:p w14:paraId="689C217E">
      <w:pPr>
        <w:pStyle w:val="5"/>
        <w:rPr>
          <w:rFonts w:hint="eastAsia"/>
          <w:highlight w:val="none"/>
          <w:lang w:val="en-US" w:eastAsia="zh-CN"/>
        </w:rPr>
      </w:pPr>
      <w:r>
        <w:rPr>
          <w:rFonts w:hint="eastAsia"/>
          <w:highlight w:val="none"/>
          <w:lang w:val="en-US" w:eastAsia="zh-CN"/>
        </w:rPr>
        <w:t>构建安全舒适道路体系打造美丽经济交通走廊打通石林街道内循环。完善交通基础设施，优化交通出行结构，加快推进绿色出行。</w:t>
      </w:r>
    </w:p>
    <w:p w14:paraId="23DAAFFC">
      <w:pPr>
        <w:pStyle w:val="5"/>
        <w:rPr>
          <w:rFonts w:hint="eastAsia"/>
          <w:highlight w:val="none"/>
          <w:lang w:val="en-US" w:eastAsia="zh-CN"/>
        </w:rPr>
      </w:pPr>
      <w:r>
        <w:rPr>
          <w:rFonts w:hint="eastAsia"/>
          <w:b/>
          <w:bCs/>
          <w:highlight w:val="none"/>
          <w:lang w:val="en-US" w:eastAsia="zh-CN"/>
        </w:rPr>
        <w:t>铁路系统规划：</w:t>
      </w:r>
      <w:r>
        <w:rPr>
          <w:rFonts w:hint="eastAsia"/>
          <w:highlight w:val="none"/>
          <w:lang w:val="en-US" w:eastAsia="zh-CN"/>
        </w:rPr>
        <w:t>落实“一横四联”铁路系统，预留南昆铁路（改造）、昆明－宜良－石林都市轨道快线、昆明-石林-陆良-罗平城际铁路、石林新能源空铁廊道。</w:t>
      </w:r>
    </w:p>
    <w:p w14:paraId="3B4425DA">
      <w:pPr>
        <w:pStyle w:val="5"/>
        <w:rPr>
          <w:rFonts w:hint="eastAsia"/>
          <w:highlight w:val="none"/>
          <w:lang w:val="en-US" w:eastAsia="zh-CN"/>
        </w:rPr>
      </w:pPr>
      <w:r>
        <w:rPr>
          <w:rFonts w:hint="eastAsia"/>
          <w:b/>
          <w:bCs/>
          <w:highlight w:val="none"/>
          <w:lang w:val="en-US" w:eastAsia="zh-CN"/>
        </w:rPr>
        <w:t>道路提质改造：</w:t>
      </w:r>
      <w:r>
        <w:rPr>
          <w:rFonts w:hint="eastAsia"/>
          <w:highlight w:val="none"/>
          <w:lang w:val="en-US" w:eastAsia="zh-CN"/>
        </w:rPr>
        <w:t>推进G324、G326、S209国省道提升改造、国省干线“美丽公路”示范路创建，加快绿大公路、松起公路、山大公路等县乡道提升改造建设。</w:t>
      </w:r>
    </w:p>
    <w:p w14:paraId="04581DED">
      <w:pPr>
        <w:pStyle w:val="5"/>
        <w:rPr>
          <w:rFonts w:hint="eastAsia"/>
          <w:highlight w:val="none"/>
          <w:lang w:val="en-US" w:eastAsia="zh-CN"/>
        </w:rPr>
      </w:pPr>
      <w:r>
        <w:rPr>
          <w:rFonts w:hint="eastAsia"/>
          <w:b/>
          <w:bCs/>
          <w:highlight w:val="none"/>
          <w:lang w:val="en-US" w:eastAsia="zh-CN"/>
        </w:rPr>
        <w:t>客运场站提升：</w:t>
      </w:r>
      <w:r>
        <w:rPr>
          <w:rFonts w:hint="eastAsia"/>
          <w:highlight w:val="none"/>
          <w:lang w:val="en-US" w:eastAsia="zh-CN"/>
        </w:rPr>
        <w:t>提升改造石林景区旅游汽车、北大村客运场站，提高公共交通出行便捷性、舒适性。</w:t>
      </w:r>
    </w:p>
    <w:p w14:paraId="0C29B972">
      <w:pPr>
        <w:pStyle w:val="4"/>
        <w:numPr>
          <w:ilvl w:val="0"/>
          <w:numId w:val="0"/>
        </w:numPr>
        <w:bidi w:val="0"/>
        <w:ind w:firstLine="643" w:firstLineChars="200"/>
        <w:rPr>
          <w:highlight w:val="none"/>
        </w:rPr>
      </w:pPr>
      <w:r>
        <w:rPr>
          <w:rFonts w:hint="eastAsia" w:ascii="宋体" w:hAnsi="宋体" w:eastAsia="方正仿宋_GBK" w:cs="Times New Roman"/>
          <w:b/>
          <w:bCs/>
          <w:color w:val="000000" w:themeColor="text1"/>
          <w:kern w:val="2"/>
          <w:sz w:val="32"/>
          <w:szCs w:val="32"/>
          <w:highlight w:val="none"/>
          <w:lang w:val="en-US" w:eastAsia="zh-CN" w:bidi="ar-SA"/>
          <w14:textFill>
            <w14:solidFill>
              <w14:schemeClr w14:val="tx1"/>
            </w14:solidFill>
          </w14:textFill>
        </w:rPr>
        <w:t>4.</w:t>
      </w:r>
      <w:r>
        <w:rPr>
          <w:rFonts w:hint="eastAsia"/>
          <w:color w:val="000000" w:themeColor="text1"/>
          <w:highlight w:val="none"/>
          <w14:textFill>
            <w14:solidFill>
              <w14:schemeClr w14:val="tx1"/>
            </w14:solidFill>
          </w14:textFill>
        </w:rPr>
        <w:t>《云南省公路网规划》</w:t>
      </w:r>
    </w:p>
    <w:p w14:paraId="3F6FF0DA">
      <w:pPr>
        <w:pStyle w:val="5"/>
        <w:bidi w:val="0"/>
        <w:rPr>
          <w:highlight w:val="none"/>
        </w:rPr>
      </w:pPr>
      <w:r>
        <w:rPr>
          <w:rFonts w:hint="eastAsia"/>
          <w:highlight w:val="none"/>
          <w:lang w:val="en-US" w:eastAsia="zh-CN"/>
        </w:rPr>
        <w:t>普通国省道至2030年：打通断头路、瓶颈路，推动低等级路段和城镇过境段改造，提升重要景区、口岸和枢纽连接公路集疏运能力。涉及石林主要为国道G324、G326、省道S209共3条公路。</w:t>
      </w:r>
    </w:p>
    <w:p w14:paraId="4CAD4B53">
      <w:pPr>
        <w:pStyle w:val="45"/>
        <w:bidi w:val="0"/>
        <w:rPr>
          <w:rFonts w:hint="eastAsia"/>
          <w:b/>
          <w:bCs/>
          <w:highlight w:val="none"/>
          <w:lang w:val="en-US" w:eastAsia="zh-CN"/>
        </w:rPr>
      </w:pPr>
      <w:r>
        <w:rPr>
          <w:highlight w:val="none"/>
        </w:rPr>
        <w:drawing>
          <wp:inline distT="0" distB="0" distL="0" distR="0">
            <wp:extent cx="4359275" cy="3393440"/>
            <wp:effectExtent l="0" t="0" r="14605" b="508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1"/>
                    <a:stretch>
                      <a:fillRect/>
                    </a:stretch>
                  </pic:blipFill>
                  <pic:spPr>
                    <a:xfrm>
                      <a:off x="0" y="0"/>
                      <a:ext cx="4359275" cy="3393440"/>
                    </a:xfrm>
                    <a:prstGeom prst="rect">
                      <a:avLst/>
                    </a:prstGeom>
                  </pic:spPr>
                </pic:pic>
              </a:graphicData>
            </a:graphic>
          </wp:inline>
        </w:drawing>
      </w:r>
    </w:p>
    <w:p w14:paraId="6A30BDC0">
      <w:pPr>
        <w:pStyle w:val="2"/>
        <w:bidi w:val="0"/>
        <w:rPr>
          <w:rFonts w:hint="default"/>
          <w:highlight w:val="none"/>
          <w:lang w:val="en-US" w:eastAsia="zh-CN"/>
        </w:rPr>
      </w:pPr>
      <w:bookmarkStart w:id="5" w:name="_Toc25941"/>
      <w:r>
        <w:rPr>
          <w:rFonts w:hint="eastAsia"/>
          <w:highlight w:val="none"/>
          <w:lang w:val="en-US" w:eastAsia="zh-CN"/>
        </w:rPr>
        <w:t>发展环境</w:t>
      </w:r>
      <w:bookmarkEnd w:id="5"/>
    </w:p>
    <w:p w14:paraId="5C849F89">
      <w:pPr>
        <w:pStyle w:val="3"/>
        <w:numPr>
          <w:ilvl w:val="0"/>
          <w:numId w:val="0"/>
        </w:numPr>
        <w:bidi w:val="0"/>
        <w:ind w:left="0" w:leftChars="0" w:firstLine="640" w:firstLineChars="200"/>
        <w:rPr>
          <w:rFonts w:hint="eastAsia" w:ascii="方正楷体_GBK" w:hAnsi="方正楷体_GBK" w:eastAsia="方正楷体_GBK" w:cs="方正楷体_GBK"/>
          <w:b w:val="0"/>
          <w:bCs/>
          <w:highlight w:val="none"/>
        </w:rPr>
      </w:pPr>
      <w:bookmarkStart w:id="6" w:name="_Toc10914"/>
      <w:bookmarkStart w:id="7" w:name="_Toc28035"/>
      <w:bookmarkStart w:id="8" w:name="_Toc28288"/>
      <w:bookmarkStart w:id="9" w:name="_Toc29224"/>
      <w:r>
        <w:rPr>
          <w:rFonts w:hint="eastAsia" w:ascii="方正楷体_GBK" w:hAnsi="方正楷体_GBK" w:eastAsia="方正楷体_GBK" w:cs="方正楷体_GBK"/>
          <w:b w:val="0"/>
          <w:bCs/>
          <w:kern w:val="2"/>
          <w:sz w:val="32"/>
          <w:szCs w:val="32"/>
          <w:highlight w:val="none"/>
          <w:lang w:val="en-US" w:eastAsia="zh-CN" w:bidi="ar-SA"/>
        </w:rPr>
        <w:t>（一）</w:t>
      </w:r>
      <w:r>
        <w:rPr>
          <w:rFonts w:hint="eastAsia" w:ascii="方正楷体_GBK" w:hAnsi="方正楷体_GBK" w:eastAsia="方正楷体_GBK" w:cs="方正楷体_GBK"/>
          <w:b w:val="0"/>
          <w:bCs/>
          <w:highlight w:val="none"/>
        </w:rPr>
        <w:t>发展基础</w:t>
      </w:r>
      <w:bookmarkEnd w:id="6"/>
      <w:bookmarkEnd w:id="7"/>
      <w:bookmarkEnd w:id="8"/>
      <w:bookmarkEnd w:id="9"/>
    </w:p>
    <w:p w14:paraId="61FDC2AA">
      <w:pPr>
        <w:spacing w:line="600" w:lineRule="exact"/>
        <w:ind w:firstLine="640" w:firstLineChars="200"/>
        <w:rPr>
          <w:rFonts w:hint="eastAsia" w:ascii="宋体" w:hAnsi="宋体" w:eastAsia="方正仿宋_GBK" w:cs="方正仿宋_GBK"/>
          <w:sz w:val="32"/>
          <w:szCs w:val="32"/>
          <w:highlight w:val="none"/>
        </w:rPr>
      </w:pPr>
      <w:r>
        <w:rPr>
          <w:rFonts w:hint="eastAsia" w:ascii="宋体" w:hAnsi="宋体" w:eastAsia="方正仿宋_GBK" w:cs="方正仿宋_GBK"/>
          <w:sz w:val="32"/>
          <w:szCs w:val="32"/>
          <w:highlight w:val="none"/>
        </w:rPr>
        <w:t>“十四五”</w:t>
      </w:r>
      <w:r>
        <w:rPr>
          <w:rFonts w:hint="eastAsia" w:ascii="宋体" w:hAnsi="宋体" w:eastAsia="方正仿宋_GBK" w:cs="方正仿宋_GBK"/>
          <w:sz w:val="32"/>
          <w:szCs w:val="32"/>
          <w:highlight w:val="none"/>
          <w:lang w:val="en-US" w:eastAsia="zh-CN"/>
        </w:rPr>
        <w:t>以来</w:t>
      </w:r>
      <w:r>
        <w:rPr>
          <w:rFonts w:hint="eastAsia" w:ascii="宋体" w:hAnsi="宋体" w:eastAsia="方正仿宋_GBK" w:cs="方正仿宋_GBK"/>
          <w:sz w:val="32"/>
          <w:szCs w:val="32"/>
          <w:highlight w:val="none"/>
        </w:rPr>
        <w:t>，面对</w:t>
      </w:r>
      <w:r>
        <w:rPr>
          <w:rFonts w:hint="eastAsia" w:ascii="宋体" w:hAnsi="宋体" w:eastAsia="方正仿宋_GBK" w:cs="方正仿宋_GBK"/>
          <w:sz w:val="32"/>
          <w:szCs w:val="32"/>
          <w:highlight w:val="none"/>
          <w:lang w:val="en-US" w:eastAsia="zh-CN"/>
        </w:rPr>
        <w:t>地方财政收支矛盾加大</w:t>
      </w:r>
      <w:r>
        <w:rPr>
          <w:rFonts w:hint="eastAsia" w:ascii="宋体" w:hAnsi="宋体" w:eastAsia="方正仿宋_GBK" w:cs="方正仿宋_GBK"/>
          <w:sz w:val="32"/>
          <w:szCs w:val="32"/>
          <w:highlight w:val="none"/>
        </w:rPr>
        <w:t>、</w:t>
      </w:r>
      <w:r>
        <w:rPr>
          <w:rFonts w:hint="eastAsia" w:ascii="宋体" w:hAnsi="宋体" w:eastAsia="方正仿宋_GBK" w:cs="方正仿宋_GBK"/>
          <w:sz w:val="32"/>
          <w:szCs w:val="32"/>
          <w:highlight w:val="none"/>
          <w:lang w:val="en-US" w:eastAsia="zh-CN"/>
        </w:rPr>
        <w:t>国内外</w:t>
      </w:r>
      <w:r>
        <w:rPr>
          <w:rFonts w:hint="eastAsia" w:ascii="宋体" w:hAnsi="宋体" w:eastAsia="方正仿宋_GBK" w:cs="方正仿宋_GBK"/>
          <w:sz w:val="32"/>
          <w:szCs w:val="32"/>
          <w:highlight w:val="none"/>
        </w:rPr>
        <w:t>环境复杂多变等不利因素，</w:t>
      </w:r>
      <w:r>
        <w:rPr>
          <w:rFonts w:hint="eastAsia" w:ascii="宋体" w:hAnsi="宋体" w:eastAsia="方正仿宋_GBK" w:cs="方正仿宋_GBK"/>
          <w:sz w:val="32"/>
          <w:szCs w:val="32"/>
          <w:highlight w:val="none"/>
          <w:lang w:val="en-US" w:eastAsia="zh-CN"/>
        </w:rPr>
        <w:t>交通工作在石林</w:t>
      </w:r>
      <w:r>
        <w:rPr>
          <w:rFonts w:hint="eastAsia" w:ascii="宋体" w:hAnsi="宋体" w:eastAsia="方正仿宋_GBK" w:cs="方正仿宋_GBK"/>
          <w:sz w:val="32"/>
          <w:szCs w:val="32"/>
          <w:highlight w:val="none"/>
        </w:rPr>
        <w:t>县委、县政府</w:t>
      </w:r>
      <w:r>
        <w:rPr>
          <w:rFonts w:hint="eastAsia" w:ascii="宋体" w:hAnsi="宋体" w:eastAsia="方正仿宋_GBK" w:cs="方正仿宋_GBK"/>
          <w:sz w:val="32"/>
          <w:szCs w:val="32"/>
          <w:highlight w:val="none"/>
          <w:lang w:val="en-US" w:eastAsia="zh-CN"/>
        </w:rPr>
        <w:t>领导下</w:t>
      </w:r>
      <w:r>
        <w:rPr>
          <w:rFonts w:hint="eastAsia" w:ascii="宋体" w:hAnsi="宋体" w:eastAsia="方正仿宋_GBK" w:cs="方正仿宋_GBK"/>
          <w:sz w:val="32"/>
          <w:szCs w:val="32"/>
          <w:highlight w:val="none"/>
        </w:rPr>
        <w:t>，全面落实省委、省政府和市委、市政府重大战略决策</w:t>
      </w:r>
      <w:r>
        <w:rPr>
          <w:rFonts w:hint="eastAsia" w:ascii="宋体" w:hAnsi="宋体" w:eastAsia="方正仿宋_GBK" w:cs="方正仿宋_GBK"/>
          <w:sz w:val="32"/>
          <w:szCs w:val="32"/>
          <w:highlight w:val="none"/>
          <w:lang w:eastAsia="zh-CN"/>
        </w:rPr>
        <w:t>，</w:t>
      </w:r>
      <w:r>
        <w:rPr>
          <w:rFonts w:hint="eastAsia" w:ascii="宋体" w:hAnsi="宋体" w:eastAsia="方正仿宋_GBK" w:cs="方正仿宋_GBK"/>
          <w:sz w:val="32"/>
          <w:szCs w:val="32"/>
          <w:highlight w:val="none"/>
        </w:rPr>
        <w:t>围绕省委“3815”战略发展目标和昆明市“六个春城”建设，以“当好排头兵”高质量发展为抓手，聚焦“七个石林”建设，苦干实干，以“修路”助推全域旅游开发、精准扶贫、产业转型为导向，大力推进交通基础设施建设，在主骨架公路、国省道改造、联网公路、客运站点建设等方面取得了长足进步，为全县经济社会健康稳定发展提供了坚实支撑。</w:t>
      </w:r>
    </w:p>
    <w:p w14:paraId="041E9635">
      <w:pPr>
        <w:spacing w:line="600" w:lineRule="exact"/>
        <w:ind w:firstLine="640" w:firstLineChars="200"/>
        <w:rPr>
          <w:rFonts w:hint="eastAsia" w:ascii="宋体" w:hAnsi="宋体" w:eastAsia="方正仿宋_GBK" w:cs="方正仿宋_GBK"/>
          <w:sz w:val="32"/>
          <w:szCs w:val="32"/>
          <w:highlight w:val="none"/>
        </w:rPr>
      </w:pPr>
      <w:r>
        <w:rPr>
          <w:rFonts w:hint="eastAsia" w:ascii="宋体" w:hAnsi="宋体" w:eastAsia="方正仿宋_GBK" w:cs="方正仿宋_GBK"/>
          <w:sz w:val="32"/>
          <w:szCs w:val="32"/>
          <w:highlight w:val="none"/>
        </w:rPr>
        <w:t>县域经济稳步增长为交通发展筑牢根基，地区生产总值从2020年112.73亿元增至2025年140.78亿元，年均增长4.67%，人均地区生产总值达5.97万元、年均增长4.75%，常住人口城镇化率50.1%，较2020年提升5个百分点。</w:t>
      </w:r>
    </w:p>
    <w:p w14:paraId="1E558F7A">
      <w:pPr>
        <w:pStyle w:val="4"/>
        <w:bidi w:val="0"/>
        <w:rPr>
          <w:rFonts w:hint="default"/>
          <w:highlight w:val="none"/>
          <w:lang w:val="en-US" w:eastAsia="zh-CN"/>
        </w:rPr>
      </w:pPr>
      <w:bookmarkStart w:id="10" w:name="_Hlk194867377"/>
      <w:r>
        <w:rPr>
          <w:rFonts w:hint="eastAsia"/>
          <w:highlight w:val="none"/>
          <w:lang w:val="en-US" w:eastAsia="zh-CN"/>
        </w:rPr>
        <w:t>1.发展成就</w:t>
      </w:r>
    </w:p>
    <w:bookmarkEnd w:id="10"/>
    <w:p w14:paraId="4061A287">
      <w:pPr>
        <w:numPr>
          <w:ilvl w:val="0"/>
          <w:numId w:val="0"/>
        </w:numPr>
        <w:spacing w:line="600" w:lineRule="exact"/>
        <w:ind w:firstLine="643" w:firstLineChars="200"/>
        <w:rPr>
          <w:rFonts w:hint="eastAsia" w:ascii="宋体" w:hAnsi="宋体" w:eastAsia="方正仿宋_GBK" w:cs="方正仿宋_GBK"/>
          <w:b/>
          <w:bCs/>
          <w:sz w:val="32"/>
          <w:szCs w:val="32"/>
          <w:highlight w:val="none"/>
        </w:rPr>
      </w:pPr>
      <w:r>
        <w:rPr>
          <w:rFonts w:hint="eastAsia" w:ascii="宋体" w:hAnsi="宋体" w:eastAsia="方正仿宋_GBK" w:cs="方正仿宋_GBK"/>
          <w:b/>
          <w:bCs/>
          <w:sz w:val="32"/>
          <w:szCs w:val="32"/>
          <w:highlight w:val="none"/>
          <w:lang w:eastAsia="zh-CN"/>
        </w:rPr>
        <w:t>（</w:t>
      </w:r>
      <w:r>
        <w:rPr>
          <w:rFonts w:hint="eastAsia" w:ascii="宋体" w:hAnsi="宋体" w:eastAsia="方正仿宋_GBK" w:cs="方正仿宋_GBK"/>
          <w:b/>
          <w:bCs/>
          <w:sz w:val="32"/>
          <w:szCs w:val="32"/>
          <w:highlight w:val="none"/>
          <w:lang w:val="en-US" w:eastAsia="zh-CN"/>
        </w:rPr>
        <w:t>1</w:t>
      </w:r>
      <w:r>
        <w:rPr>
          <w:rFonts w:hint="eastAsia" w:ascii="宋体" w:hAnsi="宋体" w:eastAsia="方正仿宋_GBK" w:cs="方正仿宋_GBK"/>
          <w:b/>
          <w:bCs/>
          <w:sz w:val="32"/>
          <w:szCs w:val="32"/>
          <w:highlight w:val="none"/>
          <w:lang w:eastAsia="zh-CN"/>
        </w:rPr>
        <w:t>）</w:t>
      </w:r>
      <w:r>
        <w:rPr>
          <w:rFonts w:hint="eastAsia" w:ascii="宋体" w:hAnsi="宋体" w:eastAsia="方正仿宋_GBK" w:cs="方正仿宋_GBK"/>
          <w:b/>
          <w:bCs/>
          <w:sz w:val="32"/>
          <w:szCs w:val="32"/>
          <w:highlight w:val="none"/>
        </w:rPr>
        <w:t>交通基础设施不断完善。</w:t>
      </w:r>
    </w:p>
    <w:p w14:paraId="7C604910">
      <w:pPr>
        <w:numPr>
          <w:ilvl w:val="0"/>
          <w:numId w:val="0"/>
        </w:numPr>
        <w:spacing w:line="600" w:lineRule="exact"/>
        <w:ind w:firstLine="640" w:firstLineChars="20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val="0"/>
          <w:bCs w:val="0"/>
          <w:sz w:val="32"/>
          <w:szCs w:val="32"/>
          <w:highlight w:val="none"/>
        </w:rPr>
        <w:t>“十四五”以来，石林县持续加大交通基础设施投入，交通网络布局持续优化，铁路、公路路网协同完善，为全县经济社会高质量发展筑牢交通根基。</w:t>
      </w:r>
    </w:p>
    <w:p w14:paraId="242E84FE">
      <w:pPr>
        <w:numPr>
          <w:ilvl w:val="0"/>
          <w:numId w:val="0"/>
        </w:numPr>
        <w:spacing w:line="600" w:lineRule="exact"/>
        <w:ind w:firstLine="643" w:firstLineChars="200"/>
        <w:rPr>
          <w:rFonts w:hint="eastAsia" w:ascii="宋体" w:hAnsi="宋体" w:eastAsia="方正仿宋_GBK" w:cs="方正仿宋_GBK"/>
          <w:b w:val="0"/>
          <w:bCs w:val="0"/>
          <w:sz w:val="32"/>
          <w:szCs w:val="32"/>
          <w:highlight w:val="none"/>
          <w:lang w:eastAsia="zh-CN"/>
        </w:rPr>
      </w:pPr>
      <w:r>
        <w:rPr>
          <w:rFonts w:hint="eastAsia" w:ascii="宋体" w:hAnsi="宋体" w:eastAsia="方正仿宋_GBK" w:cs="方正仿宋_GBK"/>
          <w:b/>
          <w:bCs/>
          <w:sz w:val="32"/>
          <w:szCs w:val="32"/>
          <w:highlight w:val="none"/>
        </w:rPr>
        <w:t>铁路方面，</w:t>
      </w:r>
      <w:r>
        <w:rPr>
          <w:rFonts w:hint="eastAsia" w:ascii="宋体" w:hAnsi="宋体" w:eastAsia="方正仿宋_GBK" w:cs="方正仿宋_GBK"/>
          <w:b w:val="0"/>
          <w:bCs w:val="0"/>
          <w:sz w:val="32"/>
          <w:szCs w:val="32"/>
          <w:highlight w:val="none"/>
        </w:rPr>
        <w:t>县域现有南昆铁路、云桂铁路2条线路，合计总长86.5公里</w:t>
      </w:r>
      <w:r>
        <w:rPr>
          <w:rFonts w:hint="eastAsia" w:ascii="宋体" w:hAnsi="宋体" w:eastAsia="方正仿宋_GBK" w:cs="方正仿宋_GBK"/>
          <w:b w:val="0"/>
          <w:bCs w:val="0"/>
          <w:sz w:val="32"/>
          <w:szCs w:val="32"/>
          <w:highlight w:val="none"/>
          <w:lang w:eastAsia="zh-CN"/>
        </w:rPr>
        <w:t>。</w:t>
      </w:r>
    </w:p>
    <w:p w14:paraId="22C39387">
      <w:pPr>
        <w:numPr>
          <w:ilvl w:val="0"/>
          <w:numId w:val="0"/>
        </w:numPr>
        <w:spacing w:line="600" w:lineRule="exact"/>
        <w:ind w:firstLine="640" w:firstLineChars="20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val="0"/>
          <w:bCs w:val="0"/>
          <w:sz w:val="32"/>
          <w:szCs w:val="32"/>
          <w:highlight w:val="none"/>
        </w:rPr>
        <w:t>南昆铁路境内段长46.7公里，</w:t>
      </w:r>
      <w:r>
        <w:rPr>
          <w:rFonts w:hint="eastAsia" w:ascii="宋体" w:hAnsi="宋体" w:eastAsia="方正仿宋_GBK" w:cs="方正仿宋_GBK"/>
          <w:b w:val="0"/>
          <w:bCs w:val="0"/>
          <w:sz w:val="32"/>
          <w:szCs w:val="32"/>
          <w:highlight w:val="none"/>
          <w:lang w:val="en-US" w:eastAsia="zh-CN"/>
        </w:rPr>
        <w:t>由</w:t>
      </w:r>
      <w:r>
        <w:rPr>
          <w:rFonts w:hint="eastAsia" w:ascii="宋体" w:hAnsi="宋体" w:eastAsia="方正仿宋_GBK" w:cs="方正仿宋_GBK"/>
          <w:b w:val="0"/>
          <w:bCs w:val="0"/>
          <w:sz w:val="32"/>
          <w:szCs w:val="32"/>
          <w:highlight w:val="none"/>
        </w:rPr>
        <w:t>北</w:t>
      </w:r>
      <w:r>
        <w:rPr>
          <w:rFonts w:hint="eastAsia" w:ascii="宋体" w:hAnsi="宋体" w:eastAsia="方正仿宋_GBK" w:cs="方正仿宋_GBK"/>
          <w:b w:val="0"/>
          <w:bCs w:val="0"/>
          <w:sz w:val="32"/>
          <w:szCs w:val="32"/>
          <w:highlight w:val="none"/>
          <w:lang w:val="en-US" w:eastAsia="zh-CN"/>
        </w:rPr>
        <w:t>向</w:t>
      </w:r>
      <w:r>
        <w:rPr>
          <w:rFonts w:hint="eastAsia" w:ascii="宋体" w:hAnsi="宋体" w:eastAsia="方正仿宋_GBK" w:cs="方正仿宋_GBK"/>
          <w:b w:val="0"/>
          <w:bCs w:val="0"/>
          <w:sz w:val="32"/>
          <w:szCs w:val="32"/>
          <w:highlight w:val="none"/>
        </w:rPr>
        <w:t>东穿越石林县境内，在石林县内设有5个站，即石林站（客运站）</w:t>
      </w:r>
      <w:r>
        <w:rPr>
          <w:rFonts w:hint="eastAsia" w:ascii="宋体" w:hAnsi="宋体" w:eastAsia="方正仿宋_GBK" w:cs="方正仿宋_GBK"/>
          <w:b w:val="0"/>
          <w:bCs w:val="0"/>
          <w:sz w:val="32"/>
          <w:szCs w:val="32"/>
          <w:highlight w:val="none"/>
          <w:lang w:eastAsia="zh-CN"/>
        </w:rPr>
        <w:t>、</w:t>
      </w:r>
      <w:r>
        <w:rPr>
          <w:rFonts w:hint="eastAsia" w:ascii="宋体" w:hAnsi="宋体" w:eastAsia="方正仿宋_GBK" w:cs="方正仿宋_GBK"/>
          <w:b w:val="0"/>
          <w:bCs w:val="0"/>
          <w:sz w:val="32"/>
          <w:szCs w:val="32"/>
          <w:highlight w:val="none"/>
        </w:rPr>
        <w:t>石林南站</w:t>
      </w:r>
      <w:r>
        <w:rPr>
          <w:rFonts w:hint="eastAsia" w:ascii="宋体" w:hAnsi="宋体" w:eastAsia="方正仿宋_GBK" w:cs="方正仿宋_GBK"/>
          <w:b w:val="0"/>
          <w:bCs w:val="0"/>
          <w:sz w:val="32"/>
          <w:szCs w:val="32"/>
          <w:highlight w:val="none"/>
          <w:lang w:eastAsia="zh-CN"/>
        </w:rPr>
        <w:t>（</w:t>
      </w:r>
      <w:r>
        <w:rPr>
          <w:rFonts w:hint="eastAsia" w:ascii="宋体" w:hAnsi="宋体" w:eastAsia="方正仿宋_GBK" w:cs="方正仿宋_GBK"/>
          <w:b w:val="0"/>
          <w:bCs w:val="0"/>
          <w:sz w:val="32"/>
          <w:szCs w:val="32"/>
          <w:highlight w:val="none"/>
          <w:lang w:val="en-US" w:eastAsia="zh-CN"/>
        </w:rPr>
        <w:t>货运站</w:t>
      </w:r>
      <w:r>
        <w:rPr>
          <w:rFonts w:hint="eastAsia" w:ascii="宋体" w:hAnsi="宋体" w:eastAsia="方正仿宋_GBK" w:cs="方正仿宋_GBK"/>
          <w:b w:val="0"/>
          <w:bCs w:val="0"/>
          <w:sz w:val="32"/>
          <w:szCs w:val="32"/>
          <w:highlight w:val="none"/>
          <w:lang w:eastAsia="zh-CN"/>
        </w:rPr>
        <w:t>）</w:t>
      </w:r>
      <w:r>
        <w:rPr>
          <w:rFonts w:hint="eastAsia" w:ascii="宋体" w:hAnsi="宋体" w:eastAsia="方正仿宋_GBK" w:cs="方正仿宋_GBK"/>
          <w:b w:val="0"/>
          <w:bCs w:val="0"/>
          <w:sz w:val="32"/>
          <w:szCs w:val="32"/>
          <w:highlight w:val="none"/>
        </w:rPr>
        <w:t>，以及宜</w:t>
      </w:r>
      <w:r>
        <w:rPr>
          <w:rFonts w:hint="eastAsia" w:ascii="宋体" w:hAnsi="宋体" w:eastAsia="方正仿宋_GBK" w:cs="方正仿宋_GBK"/>
          <w:b w:val="0"/>
          <w:bCs w:val="0"/>
          <w:sz w:val="32"/>
          <w:szCs w:val="32"/>
          <w:highlight w:val="none"/>
          <w:lang w:val="en-US" w:eastAsia="zh-CN"/>
        </w:rPr>
        <w:t>耐</w:t>
      </w:r>
      <w:r>
        <w:rPr>
          <w:rFonts w:hint="eastAsia" w:ascii="宋体" w:hAnsi="宋体" w:eastAsia="方正仿宋_GBK" w:cs="方正仿宋_GBK"/>
          <w:b w:val="0"/>
          <w:bCs w:val="0"/>
          <w:sz w:val="32"/>
          <w:szCs w:val="32"/>
          <w:highlight w:val="none"/>
        </w:rPr>
        <w:t>、西街口、茂舍祖三个小型铁路客货运两用站</w:t>
      </w:r>
      <w:r>
        <w:rPr>
          <w:rFonts w:hint="eastAsia" w:ascii="宋体" w:hAnsi="宋体" w:eastAsia="方正仿宋_GBK" w:cs="方正仿宋_GBK"/>
          <w:b w:val="0"/>
          <w:bCs w:val="0"/>
          <w:sz w:val="32"/>
          <w:szCs w:val="32"/>
          <w:highlight w:val="none"/>
          <w:lang w:eastAsia="zh-CN"/>
        </w:rPr>
        <w:t>。</w:t>
      </w:r>
    </w:p>
    <w:p w14:paraId="4BFF1B0E">
      <w:pPr>
        <w:numPr>
          <w:ilvl w:val="0"/>
          <w:numId w:val="0"/>
        </w:numPr>
        <w:spacing w:line="600" w:lineRule="exact"/>
        <w:ind w:firstLine="640" w:firstLineChars="20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val="0"/>
          <w:bCs w:val="0"/>
          <w:sz w:val="32"/>
          <w:szCs w:val="32"/>
          <w:highlight w:val="none"/>
        </w:rPr>
        <w:t>云桂铁路境内正线长15.3公里，起于大可乡中龙村委会大平滩村，止于鹿阜（板桥）街道大叠水村委会小团山村，配套货运联络线长24.5公里，起于云桂线石林板桥站</w:t>
      </w:r>
      <w:r>
        <w:rPr>
          <w:rFonts w:hint="eastAsia" w:ascii="宋体" w:hAnsi="宋体" w:eastAsia="方正仿宋_GBK" w:cs="方正仿宋_GBK"/>
          <w:b w:val="0"/>
          <w:bCs w:val="0"/>
          <w:sz w:val="32"/>
          <w:szCs w:val="32"/>
          <w:highlight w:val="none"/>
          <w:lang w:eastAsia="zh-CN"/>
        </w:rPr>
        <w:t>，</w:t>
      </w:r>
      <w:r>
        <w:rPr>
          <w:rFonts w:hint="eastAsia" w:ascii="宋体" w:hAnsi="宋体" w:eastAsia="方正仿宋_GBK" w:cs="方正仿宋_GBK"/>
          <w:b w:val="0"/>
          <w:bCs w:val="0"/>
          <w:sz w:val="32"/>
          <w:szCs w:val="32"/>
          <w:highlight w:val="none"/>
        </w:rPr>
        <w:t>止于南昆线石林南站，正线与货运联络线全长39.8公里。</w:t>
      </w:r>
    </w:p>
    <w:p w14:paraId="6484270F">
      <w:pPr>
        <w:pStyle w:val="45"/>
        <w:bidi w:val="0"/>
        <w:rPr>
          <w:highlight w:val="none"/>
        </w:rPr>
      </w:pPr>
      <w:r>
        <w:rPr>
          <w:highlight w:val="none"/>
        </w:rPr>
        <w:drawing>
          <wp:inline distT="0" distB="0" distL="0" distR="0">
            <wp:extent cx="3953510" cy="3812540"/>
            <wp:effectExtent l="0" t="0" r="8890" b="1270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2"/>
                    <a:stretch>
                      <a:fillRect/>
                    </a:stretch>
                  </pic:blipFill>
                  <pic:spPr>
                    <a:xfrm>
                      <a:off x="0" y="0"/>
                      <a:ext cx="3953510" cy="3812540"/>
                    </a:xfrm>
                    <a:prstGeom prst="rect">
                      <a:avLst/>
                    </a:prstGeom>
                  </pic:spPr>
                </pic:pic>
              </a:graphicData>
            </a:graphic>
          </wp:inline>
        </w:drawing>
      </w:r>
    </w:p>
    <w:p w14:paraId="4E61E524">
      <w:pPr>
        <w:pStyle w:val="46"/>
        <w:bidi w:val="0"/>
        <w:rPr>
          <w:rFonts w:hint="eastAsia"/>
          <w:highlight w:val="none"/>
        </w:rPr>
      </w:pPr>
      <w:r>
        <w:rPr>
          <w:rFonts w:hint="eastAsia"/>
          <w:highlight w:val="none"/>
        </w:rPr>
        <w:t>石林县铁路线路及站点图</w:t>
      </w:r>
    </w:p>
    <w:p w14:paraId="31B04108">
      <w:pPr>
        <w:numPr>
          <w:ilvl w:val="0"/>
          <w:numId w:val="0"/>
        </w:numPr>
        <w:spacing w:line="600" w:lineRule="exact"/>
        <w:ind w:firstLine="643" w:firstLineChars="20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bCs/>
          <w:sz w:val="32"/>
          <w:szCs w:val="32"/>
          <w:highlight w:val="none"/>
        </w:rPr>
        <w:t>公路方面，</w:t>
      </w:r>
      <w:r>
        <w:rPr>
          <w:rFonts w:hint="eastAsia" w:ascii="宋体" w:hAnsi="宋体" w:eastAsia="方正仿宋_GBK" w:cs="方正仿宋_GBK"/>
          <w:b w:val="0"/>
          <w:bCs w:val="0"/>
          <w:sz w:val="32"/>
          <w:szCs w:val="32"/>
          <w:highlight w:val="none"/>
        </w:rPr>
        <w:t>截至2025年，全县公路通车总里程达1455.408公里，其中地方公路里程1231.635公里、高速公路89.664公里；按行政等级划分，国道112.377公里、省道111.396公里、县道326.251公里、乡道542.533公里、村道362.851公里，拥有G324、G326两条国道干线，已形成以G78汕昆高速（昆石高速）、G80广昆高速（石锁高速）、G326国道（西石高速）、S42石泸高速、宜石高速为骨架的快速通道网；普通国道二级及以上里程比例达7.72%，普通省道二级及以上里程比例达7.65%，实现乡镇通三级公路比例100%、乡镇和建制村100%通硬化路的“双百”目标，成为昆明市首家“四好农村路”全国示范县。</w:t>
      </w:r>
    </w:p>
    <w:p w14:paraId="64F0CE85">
      <w:pPr>
        <w:pStyle w:val="45"/>
        <w:bidi w:val="0"/>
        <w:rPr>
          <w:highlight w:val="none"/>
        </w:rPr>
      </w:pPr>
      <w:r>
        <w:rPr>
          <w:highlight w:val="none"/>
        </w:rPr>
        <w:drawing>
          <wp:inline distT="0" distB="0" distL="0" distR="0">
            <wp:extent cx="4405630" cy="4204335"/>
            <wp:effectExtent l="0" t="0" r="13970"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3"/>
                    <a:stretch>
                      <a:fillRect/>
                    </a:stretch>
                  </pic:blipFill>
                  <pic:spPr>
                    <a:xfrm>
                      <a:off x="0" y="0"/>
                      <a:ext cx="4405630" cy="4204335"/>
                    </a:xfrm>
                    <a:prstGeom prst="rect">
                      <a:avLst/>
                    </a:prstGeom>
                  </pic:spPr>
                </pic:pic>
              </a:graphicData>
            </a:graphic>
          </wp:inline>
        </w:drawing>
      </w:r>
    </w:p>
    <w:p w14:paraId="66B657D7">
      <w:pPr>
        <w:pStyle w:val="46"/>
        <w:spacing w:before="120" w:after="120"/>
        <w:rPr>
          <w:rFonts w:hint="eastAsia" w:eastAsia="仿宋_GB2312"/>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石林县高速公路网</w:t>
      </w:r>
      <w:r>
        <w:rPr>
          <w:rFonts w:hint="eastAsia"/>
          <w:color w:val="000000" w:themeColor="text1"/>
          <w:highlight w:val="none"/>
          <w:lang w:val="en-US" w:eastAsia="zh-CN"/>
          <w14:textFill>
            <w14:solidFill>
              <w14:schemeClr w14:val="tx1"/>
            </w14:solidFill>
          </w14:textFill>
        </w:rPr>
        <w:t>图</w:t>
      </w:r>
    </w:p>
    <w:p w14:paraId="1B43DDFD">
      <w:pPr>
        <w:numPr>
          <w:ilvl w:val="0"/>
          <w:numId w:val="0"/>
        </w:numPr>
        <w:spacing w:line="600" w:lineRule="exact"/>
        <w:ind w:firstLine="643" w:firstLineChars="200"/>
        <w:rPr>
          <w:rFonts w:hint="eastAsia" w:ascii="宋体" w:hAnsi="宋体" w:eastAsia="方正仿宋_GBK" w:cs="方正仿宋_GBK"/>
          <w:b/>
          <w:bCs/>
          <w:sz w:val="32"/>
          <w:szCs w:val="32"/>
          <w:highlight w:val="none"/>
        </w:rPr>
      </w:pPr>
      <w:r>
        <w:rPr>
          <w:rFonts w:hint="eastAsia" w:ascii="宋体" w:hAnsi="宋体" w:eastAsia="方正仿宋_GBK" w:cs="方正仿宋_GBK"/>
          <w:b/>
          <w:bCs/>
          <w:sz w:val="32"/>
          <w:szCs w:val="32"/>
          <w:highlight w:val="none"/>
          <w:lang w:eastAsia="zh-CN"/>
        </w:rPr>
        <w:t>（</w:t>
      </w:r>
      <w:r>
        <w:rPr>
          <w:rFonts w:hint="eastAsia" w:ascii="宋体" w:hAnsi="宋体" w:eastAsia="方正仿宋_GBK" w:cs="方正仿宋_GBK"/>
          <w:b/>
          <w:bCs/>
          <w:sz w:val="32"/>
          <w:szCs w:val="32"/>
          <w:highlight w:val="none"/>
          <w:lang w:val="en-US" w:eastAsia="zh-CN"/>
        </w:rPr>
        <w:t>2</w:t>
      </w:r>
      <w:r>
        <w:rPr>
          <w:rFonts w:hint="eastAsia" w:ascii="宋体" w:hAnsi="宋体" w:eastAsia="方正仿宋_GBK" w:cs="方正仿宋_GBK"/>
          <w:b/>
          <w:bCs/>
          <w:sz w:val="32"/>
          <w:szCs w:val="32"/>
          <w:highlight w:val="none"/>
          <w:lang w:eastAsia="zh-CN"/>
        </w:rPr>
        <w:t>）</w:t>
      </w:r>
      <w:r>
        <w:rPr>
          <w:rFonts w:hint="eastAsia" w:ascii="宋体" w:hAnsi="宋体" w:eastAsia="方正仿宋_GBK" w:cs="方正仿宋_GBK"/>
          <w:b/>
          <w:bCs/>
          <w:sz w:val="32"/>
          <w:szCs w:val="32"/>
          <w:highlight w:val="none"/>
          <w:lang w:val="en-US" w:eastAsia="zh-CN"/>
        </w:rPr>
        <w:t>交通</w:t>
      </w:r>
      <w:r>
        <w:rPr>
          <w:rFonts w:hint="eastAsia" w:ascii="宋体" w:hAnsi="宋体" w:eastAsia="方正仿宋_GBK" w:cs="方正仿宋_GBK"/>
          <w:b/>
          <w:bCs/>
          <w:sz w:val="32"/>
          <w:szCs w:val="32"/>
          <w:highlight w:val="none"/>
        </w:rPr>
        <w:t>助推全域旅游与开放发展。</w:t>
      </w:r>
    </w:p>
    <w:p w14:paraId="32FA18FF">
      <w:pPr>
        <w:numPr>
          <w:ilvl w:val="0"/>
          <w:numId w:val="0"/>
        </w:numPr>
        <w:spacing w:line="600" w:lineRule="exact"/>
        <w:ind w:firstLine="640" w:firstLineChars="20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val="0"/>
          <w:bCs w:val="0"/>
          <w:sz w:val="32"/>
          <w:szCs w:val="32"/>
          <w:highlight w:val="none"/>
        </w:rPr>
        <w:t>石林县立足资源禀赋，以交通促旅游、以旅游兴交通，持续优化石林—九乡地质奇观旅游线路，打造精品旅游</w:t>
      </w:r>
      <w:r>
        <w:rPr>
          <w:rFonts w:hint="eastAsia" w:ascii="宋体" w:hAnsi="宋体" w:eastAsia="方正仿宋_GBK" w:cs="方正仿宋_GBK"/>
          <w:b w:val="0"/>
          <w:bCs w:val="0"/>
          <w:sz w:val="32"/>
          <w:szCs w:val="32"/>
          <w:highlight w:val="none"/>
          <w:lang w:eastAsia="zh-CN"/>
        </w:rPr>
        <w:t>线路</w:t>
      </w:r>
      <w:r>
        <w:rPr>
          <w:rFonts w:hint="eastAsia" w:ascii="宋体" w:hAnsi="宋体" w:eastAsia="方正仿宋_GBK" w:cs="方正仿宋_GBK"/>
          <w:b w:val="0"/>
          <w:bCs w:val="0"/>
          <w:sz w:val="32"/>
          <w:szCs w:val="32"/>
          <w:highlight w:val="none"/>
        </w:rPr>
        <w:t>8条，“探寻阿诗玛·石林非遗体验之旅”被评为省级特色旅游线路，“交通+旅游”融合发展新格局</w:t>
      </w:r>
      <w:r>
        <w:rPr>
          <w:rFonts w:hint="eastAsia" w:ascii="宋体" w:hAnsi="宋体" w:eastAsia="方正仿宋_GBK" w:cs="方正仿宋_GBK"/>
          <w:b w:val="0"/>
          <w:bCs w:val="0"/>
          <w:sz w:val="32"/>
          <w:szCs w:val="32"/>
          <w:highlight w:val="none"/>
          <w:lang w:val="en-US" w:eastAsia="zh-CN"/>
        </w:rPr>
        <w:t>加快构建</w:t>
      </w:r>
      <w:r>
        <w:rPr>
          <w:rFonts w:hint="eastAsia" w:ascii="宋体" w:hAnsi="宋体" w:eastAsia="方正仿宋_GBK" w:cs="方正仿宋_GBK"/>
          <w:b w:val="0"/>
          <w:bCs w:val="0"/>
          <w:sz w:val="32"/>
          <w:szCs w:val="32"/>
          <w:highlight w:val="none"/>
        </w:rPr>
        <w:t>。依托完善的路网体系，形成了以石林县城为中心，连接昆明主城区、机场和周边乡镇的综合运输通道，对内强化城乡联动，对外提升开放联通水平，为全域旅游发展和区域经济协作提供坚实支撑。</w:t>
      </w:r>
    </w:p>
    <w:p w14:paraId="1ABACD06">
      <w:pPr>
        <w:numPr>
          <w:ilvl w:val="0"/>
          <w:numId w:val="0"/>
        </w:numPr>
        <w:spacing w:line="600" w:lineRule="exact"/>
        <w:ind w:firstLine="643" w:firstLineChars="200"/>
        <w:rPr>
          <w:rFonts w:hint="eastAsia" w:ascii="宋体" w:hAnsi="宋体" w:eastAsia="方正仿宋_GBK" w:cs="方正仿宋_GBK"/>
          <w:b/>
          <w:bCs/>
          <w:sz w:val="32"/>
          <w:szCs w:val="32"/>
          <w:highlight w:val="none"/>
        </w:rPr>
      </w:pPr>
      <w:r>
        <w:rPr>
          <w:rFonts w:hint="eastAsia" w:ascii="宋体" w:hAnsi="宋体" w:eastAsia="方正仿宋_GBK" w:cs="方正仿宋_GBK"/>
          <w:b/>
          <w:bCs/>
          <w:sz w:val="32"/>
          <w:szCs w:val="32"/>
          <w:highlight w:val="none"/>
          <w:lang w:eastAsia="zh-CN"/>
        </w:rPr>
        <w:t>（</w:t>
      </w:r>
      <w:r>
        <w:rPr>
          <w:rFonts w:hint="eastAsia" w:ascii="宋体" w:hAnsi="宋体" w:eastAsia="方正仿宋_GBK" w:cs="方正仿宋_GBK"/>
          <w:b/>
          <w:bCs/>
          <w:sz w:val="32"/>
          <w:szCs w:val="32"/>
          <w:highlight w:val="none"/>
          <w:lang w:val="en-US" w:eastAsia="zh-CN"/>
        </w:rPr>
        <w:t>3</w:t>
      </w:r>
      <w:r>
        <w:rPr>
          <w:rFonts w:hint="eastAsia" w:ascii="宋体" w:hAnsi="宋体" w:eastAsia="方正仿宋_GBK" w:cs="方正仿宋_GBK"/>
          <w:b/>
          <w:bCs/>
          <w:sz w:val="32"/>
          <w:szCs w:val="32"/>
          <w:highlight w:val="none"/>
          <w:lang w:eastAsia="zh-CN"/>
        </w:rPr>
        <w:t>）</w:t>
      </w:r>
      <w:r>
        <w:rPr>
          <w:rFonts w:hint="eastAsia" w:ascii="宋体" w:hAnsi="宋体" w:eastAsia="方正仿宋_GBK" w:cs="方正仿宋_GBK"/>
          <w:b/>
          <w:bCs/>
          <w:sz w:val="32"/>
          <w:szCs w:val="32"/>
          <w:highlight w:val="none"/>
        </w:rPr>
        <w:t>运输服务覆盖不断延展，品质效率持续提升。</w:t>
      </w:r>
    </w:p>
    <w:p w14:paraId="0CAA203F">
      <w:pPr>
        <w:numPr>
          <w:ilvl w:val="0"/>
          <w:numId w:val="0"/>
        </w:numPr>
        <w:spacing w:line="600" w:lineRule="exact"/>
        <w:ind w:firstLine="640" w:firstLineChars="20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val="0"/>
          <w:bCs w:val="0"/>
          <w:sz w:val="32"/>
          <w:szCs w:val="32"/>
          <w:highlight w:val="none"/>
        </w:rPr>
        <w:t>全县运输服务网络日趋完善，截至2025年2月，共有3</w:t>
      </w:r>
      <w:r>
        <w:rPr>
          <w:rFonts w:hint="eastAsia" w:ascii="宋体" w:hAnsi="宋体" w:eastAsia="方正仿宋_GBK" w:cs="方正仿宋_GBK"/>
          <w:b w:val="0"/>
          <w:bCs w:val="0"/>
          <w:sz w:val="32"/>
          <w:szCs w:val="32"/>
          <w:highlight w:val="none"/>
          <w:lang w:val="en-US" w:eastAsia="zh-CN"/>
        </w:rPr>
        <w:t>5</w:t>
      </w:r>
      <w:r>
        <w:rPr>
          <w:rFonts w:hint="eastAsia" w:ascii="宋体" w:hAnsi="宋体" w:eastAsia="方正仿宋_GBK" w:cs="方正仿宋_GBK"/>
          <w:b w:val="0"/>
          <w:bCs w:val="0"/>
          <w:sz w:val="32"/>
          <w:szCs w:val="32"/>
          <w:highlight w:val="none"/>
        </w:rPr>
        <w:t>条客运线路，覆盖城际公交专线、市级班线及多个乡镇街道，85%的线路实行每日多班制，运营规范有序，有效满足本地居民出行和外来游客交通需求。</w:t>
      </w:r>
      <w:r>
        <w:rPr>
          <w:rFonts w:hint="eastAsia" w:ascii="宋体" w:hAnsi="宋体" w:eastAsia="方正仿宋_GBK" w:cs="方正仿宋_GBK"/>
          <w:b w:val="0"/>
          <w:bCs w:val="0"/>
          <w:sz w:val="32"/>
          <w:szCs w:val="32"/>
          <w:highlight w:val="yellow"/>
        </w:rPr>
        <w:t>202</w:t>
      </w:r>
      <w:r>
        <w:rPr>
          <w:rFonts w:hint="eastAsia" w:ascii="宋体" w:hAnsi="宋体" w:eastAsia="方正仿宋_GBK" w:cs="方正仿宋_GBK"/>
          <w:b w:val="0"/>
          <w:bCs w:val="0"/>
          <w:sz w:val="32"/>
          <w:szCs w:val="32"/>
          <w:highlight w:val="yellow"/>
          <w:lang w:val="en-US" w:eastAsia="zh-CN"/>
        </w:rPr>
        <w:t>5</w:t>
      </w:r>
      <w:r>
        <w:rPr>
          <w:rFonts w:hint="eastAsia" w:ascii="宋体" w:hAnsi="宋体" w:eastAsia="方正仿宋_GBK" w:cs="方正仿宋_GBK"/>
          <w:b w:val="0"/>
          <w:bCs w:val="0"/>
          <w:sz w:val="32"/>
          <w:szCs w:val="32"/>
          <w:highlight w:val="yellow"/>
        </w:rPr>
        <w:t>年，全县拥有营运公交客运车辆188辆，全年运送城际公交客运25.4万人次、县内公交客运99.6万人次；城乡公交班线</w:t>
      </w:r>
      <w:r>
        <w:rPr>
          <w:rFonts w:hint="eastAsia" w:ascii="宋体" w:hAnsi="宋体" w:eastAsia="方正仿宋_GBK" w:cs="方正仿宋_GBK"/>
          <w:b w:val="0"/>
          <w:bCs w:val="0"/>
          <w:sz w:val="32"/>
          <w:szCs w:val="32"/>
          <w:highlight w:val="yellow"/>
          <w:lang w:val="en-US" w:eastAsia="zh-CN"/>
        </w:rPr>
        <w:t>31</w:t>
      </w:r>
      <w:r>
        <w:rPr>
          <w:rFonts w:hint="eastAsia" w:ascii="宋体" w:hAnsi="宋体" w:eastAsia="方正仿宋_GBK" w:cs="方正仿宋_GBK"/>
          <w:b w:val="0"/>
          <w:bCs w:val="0"/>
          <w:sz w:val="32"/>
          <w:szCs w:val="32"/>
          <w:highlight w:val="yellow"/>
        </w:rPr>
        <w:t>条、车辆146辆，出租车100辆，城乡公共交通服务均等化水平显著提升。邮政快递服务能力持续增强，县乡村三级物流配送体系不断健全。</w:t>
      </w:r>
      <w:r>
        <w:rPr>
          <w:rFonts w:hint="eastAsia" w:ascii="宋体" w:hAnsi="宋体" w:eastAsia="方正仿宋_GBK" w:cs="方正仿宋_GBK"/>
          <w:b w:val="0"/>
          <w:bCs w:val="0"/>
          <w:sz w:val="32"/>
          <w:szCs w:val="32"/>
          <w:highlight w:val="none"/>
        </w:rPr>
        <w:t>深入推进农村客货邮融合发展，强化交通与邮政快递协同，构建“农村客运站+电商+快递+邮政+物流”综合服务模式，建制村通邮率达100%，有效破解乡镇到村“最后一公里”物流瓶颈。客运服务便捷化水平持续提高，互联网售票、手机售票等便民服务快速推广，购票出行更加高效便捷。</w:t>
      </w:r>
    </w:p>
    <w:p w14:paraId="24706513">
      <w:pPr>
        <w:numPr>
          <w:ilvl w:val="0"/>
          <w:numId w:val="0"/>
        </w:numPr>
        <w:spacing w:line="600" w:lineRule="exact"/>
        <w:ind w:firstLine="643" w:firstLineChars="200"/>
        <w:rPr>
          <w:rFonts w:hint="eastAsia" w:ascii="宋体" w:hAnsi="宋体" w:eastAsia="方正仿宋_GBK" w:cs="方正仿宋_GBK"/>
          <w:b/>
          <w:bCs/>
          <w:sz w:val="32"/>
          <w:szCs w:val="32"/>
          <w:highlight w:val="none"/>
        </w:rPr>
      </w:pPr>
      <w:r>
        <w:rPr>
          <w:rFonts w:hint="eastAsia" w:ascii="宋体" w:hAnsi="宋体" w:eastAsia="方正仿宋_GBK" w:cs="方正仿宋_GBK"/>
          <w:b/>
          <w:bCs/>
          <w:sz w:val="32"/>
          <w:szCs w:val="32"/>
          <w:highlight w:val="none"/>
          <w:lang w:eastAsia="zh-CN"/>
        </w:rPr>
        <w:t>（</w:t>
      </w:r>
      <w:r>
        <w:rPr>
          <w:rFonts w:hint="eastAsia" w:ascii="宋体" w:hAnsi="宋体" w:eastAsia="方正仿宋_GBK" w:cs="方正仿宋_GBK"/>
          <w:b/>
          <w:bCs/>
          <w:sz w:val="32"/>
          <w:szCs w:val="32"/>
          <w:highlight w:val="none"/>
          <w:lang w:val="en-US" w:eastAsia="zh-CN"/>
        </w:rPr>
        <w:t>4</w:t>
      </w:r>
      <w:r>
        <w:rPr>
          <w:rFonts w:hint="eastAsia" w:ascii="宋体" w:hAnsi="宋体" w:eastAsia="方正仿宋_GBK" w:cs="方正仿宋_GBK"/>
          <w:b/>
          <w:bCs/>
          <w:sz w:val="32"/>
          <w:szCs w:val="32"/>
          <w:highlight w:val="none"/>
          <w:lang w:eastAsia="zh-CN"/>
        </w:rPr>
        <w:t>）</w:t>
      </w:r>
      <w:r>
        <w:rPr>
          <w:rFonts w:hint="eastAsia" w:ascii="宋体" w:hAnsi="宋体" w:eastAsia="方正仿宋_GBK" w:cs="方正仿宋_GBK"/>
          <w:b/>
          <w:bCs/>
          <w:sz w:val="32"/>
          <w:szCs w:val="32"/>
          <w:highlight w:val="none"/>
        </w:rPr>
        <w:t>智慧绿色交通建设有序推进，安全发展理念不断强化。</w:t>
      </w:r>
    </w:p>
    <w:p w14:paraId="3FE4C984">
      <w:pPr>
        <w:numPr>
          <w:ilvl w:val="0"/>
          <w:numId w:val="0"/>
        </w:numPr>
        <w:spacing w:line="600" w:lineRule="exact"/>
        <w:ind w:firstLine="640" w:firstLineChars="20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val="0"/>
          <w:bCs w:val="0"/>
          <w:sz w:val="32"/>
          <w:szCs w:val="32"/>
          <w:highlight w:val="none"/>
        </w:rPr>
        <w:t>持续推动交通行业绿色转型，新能源运输装备</w:t>
      </w:r>
      <w:r>
        <w:rPr>
          <w:rFonts w:hint="eastAsia" w:ascii="宋体" w:hAnsi="宋体" w:eastAsia="方正仿宋_GBK" w:cs="方正仿宋_GBK"/>
          <w:b w:val="0"/>
          <w:bCs w:val="0"/>
          <w:sz w:val="32"/>
          <w:szCs w:val="32"/>
          <w:highlight w:val="none"/>
          <w:lang w:val="en-US" w:eastAsia="zh-CN"/>
        </w:rPr>
        <w:t>占比逐年提升</w:t>
      </w:r>
      <w:r>
        <w:rPr>
          <w:rFonts w:hint="eastAsia" w:ascii="宋体" w:hAnsi="宋体" w:eastAsia="方正仿宋_GBK" w:cs="方正仿宋_GBK"/>
          <w:b w:val="0"/>
          <w:bCs w:val="0"/>
          <w:sz w:val="32"/>
          <w:szCs w:val="32"/>
          <w:highlight w:val="none"/>
        </w:rPr>
        <w:t>。公路养护管理成效显著，通过深化管理机制改革、推广新技术新工艺、加大资金投入等措施，公路优良路率稳步提升，切实保障公众出行安全顺畅。扎实推进农村公路安全生命防护工程建设，稳步开展危旧桥改造行动，持续强化县乡村道、建设工地等重点领域安全隐患排查治理，突出“两客一危”监管和极端天气安全防控，交通运输安全形势保持平稳。</w:t>
      </w:r>
      <w:r>
        <w:rPr>
          <w:rFonts w:hint="eastAsia" w:ascii="宋体" w:hAnsi="宋体" w:eastAsia="方正仿宋_GBK" w:cs="方正仿宋_GBK"/>
          <w:b w:val="0"/>
          <w:bCs w:val="0"/>
          <w:sz w:val="32"/>
          <w:szCs w:val="32"/>
          <w:highlight w:val="none"/>
          <w:lang w:val="en-US" w:eastAsia="zh-CN"/>
        </w:rPr>
        <w:t>多举措推进</w:t>
      </w:r>
      <w:r>
        <w:rPr>
          <w:rFonts w:hint="eastAsia" w:ascii="宋体" w:hAnsi="宋体" w:eastAsia="方正仿宋_GBK" w:cs="方正仿宋_GBK"/>
          <w:b w:val="0"/>
          <w:bCs w:val="0"/>
          <w:sz w:val="32"/>
          <w:szCs w:val="32"/>
          <w:highlight w:val="none"/>
        </w:rPr>
        <w:t>绿美交通建设，结合农村公路养护和全域旅游发展，打造生态宜居的交通环境，助力绿色出行创建。</w:t>
      </w:r>
    </w:p>
    <w:p w14:paraId="47F10ECD">
      <w:pPr>
        <w:numPr>
          <w:ilvl w:val="0"/>
          <w:numId w:val="0"/>
        </w:numPr>
        <w:spacing w:line="600" w:lineRule="exact"/>
        <w:ind w:firstLine="643" w:firstLineChars="200"/>
        <w:rPr>
          <w:rFonts w:hint="eastAsia" w:ascii="宋体" w:hAnsi="宋体" w:eastAsia="方正仿宋_GBK" w:cs="方正仿宋_GBK"/>
          <w:b/>
          <w:bCs/>
          <w:sz w:val="32"/>
          <w:szCs w:val="32"/>
          <w:highlight w:val="none"/>
        </w:rPr>
      </w:pPr>
      <w:r>
        <w:rPr>
          <w:rFonts w:hint="eastAsia" w:ascii="宋体" w:hAnsi="宋体" w:eastAsia="方正仿宋_GBK" w:cs="方正仿宋_GBK"/>
          <w:b/>
          <w:bCs/>
          <w:sz w:val="32"/>
          <w:szCs w:val="32"/>
          <w:highlight w:val="none"/>
          <w:lang w:eastAsia="zh-CN"/>
        </w:rPr>
        <w:t>（</w:t>
      </w:r>
      <w:r>
        <w:rPr>
          <w:rFonts w:hint="eastAsia" w:ascii="宋体" w:hAnsi="宋体" w:eastAsia="方正仿宋_GBK" w:cs="方正仿宋_GBK"/>
          <w:b/>
          <w:bCs/>
          <w:sz w:val="32"/>
          <w:szCs w:val="32"/>
          <w:highlight w:val="none"/>
          <w:lang w:val="en-US" w:eastAsia="zh-CN"/>
        </w:rPr>
        <w:t>5</w:t>
      </w:r>
      <w:r>
        <w:rPr>
          <w:rFonts w:hint="eastAsia" w:ascii="宋体" w:hAnsi="宋体" w:eastAsia="方正仿宋_GBK" w:cs="方正仿宋_GBK"/>
          <w:b/>
          <w:bCs/>
          <w:sz w:val="32"/>
          <w:szCs w:val="32"/>
          <w:highlight w:val="none"/>
          <w:lang w:eastAsia="zh-CN"/>
        </w:rPr>
        <w:t>）</w:t>
      </w:r>
      <w:r>
        <w:rPr>
          <w:rFonts w:hint="eastAsia" w:ascii="宋体" w:hAnsi="宋体" w:eastAsia="方正仿宋_GBK" w:cs="方正仿宋_GBK"/>
          <w:b/>
          <w:bCs/>
          <w:sz w:val="32"/>
          <w:szCs w:val="32"/>
          <w:highlight w:val="none"/>
        </w:rPr>
        <w:t>现代化治理体系不断完善，行业治理能力明显提升。</w:t>
      </w:r>
    </w:p>
    <w:p w14:paraId="164D7A01">
      <w:pPr>
        <w:numPr>
          <w:ilvl w:val="0"/>
          <w:numId w:val="0"/>
        </w:numPr>
        <w:spacing w:line="600" w:lineRule="exact"/>
        <w:ind w:firstLine="640" w:firstLineChars="200"/>
        <w:jc w:val="left"/>
        <w:rPr>
          <w:rFonts w:hint="eastAsia" w:ascii="宋体" w:hAnsi="宋体" w:eastAsia="方正仿宋_GBK" w:cs="方正仿宋_GBK"/>
          <w:sz w:val="32"/>
          <w:szCs w:val="32"/>
          <w:highlight w:val="none"/>
        </w:rPr>
      </w:pPr>
      <w:r>
        <w:rPr>
          <w:rFonts w:hint="eastAsia" w:ascii="宋体" w:hAnsi="宋体" w:eastAsia="方正仿宋_GBK" w:cs="方正仿宋_GBK"/>
          <w:b w:val="0"/>
          <w:bCs w:val="0"/>
          <w:sz w:val="32"/>
          <w:szCs w:val="32"/>
          <w:highlight w:val="none"/>
        </w:rPr>
        <w:t>深化交通运输行业治理改革，以全省“四好农村路”高质量发展现场会为契机，完善农村公路“建管养运”长效机制，健全“县道县管、乡道乡管、村道村管”的三级路政监管体系，明确管理养护权力和责任清单，行业治理规范化水平持续提升。规范客运市场秩序，强化网约车合规化管理，持续打击非法营运行为，维护公平有序的运输市场环境。行业信用体系不断完善，加强运输企业和从业人员信用管理，助力“信用交通”高质量发展。推进城乡客运一体化进程，持续扩大公共交通服务覆盖面，提升运输服务标准化、规范化水平，不断满足人民群众日益增长的美好出行需求。</w:t>
      </w:r>
    </w:p>
    <w:p w14:paraId="6B3049EC">
      <w:pPr>
        <w:pStyle w:val="4"/>
        <w:bidi w:val="0"/>
        <w:rPr>
          <w:rFonts w:hint="eastAsia"/>
          <w:highlight w:val="none"/>
          <w:lang w:val="en-US" w:eastAsia="zh-CN"/>
        </w:rPr>
      </w:pPr>
      <w:r>
        <w:rPr>
          <w:rFonts w:hint="eastAsia"/>
          <w:highlight w:val="none"/>
          <w:lang w:val="en-US" w:eastAsia="zh-CN"/>
        </w:rPr>
        <w:t>2.“十四五”规划总体执行情况</w:t>
      </w:r>
    </w:p>
    <w:p w14:paraId="62EC6A1C">
      <w:pPr>
        <w:pStyle w:val="5"/>
        <w:rPr>
          <w:rFonts w:hint="default"/>
          <w:highlight w:val="none"/>
          <w:lang w:val="en-US" w:eastAsia="zh-CN"/>
        </w:rPr>
      </w:pPr>
      <w:r>
        <w:rPr>
          <w:rFonts w:hint="default"/>
          <w:highlight w:val="none"/>
          <w:lang w:val="en-US" w:eastAsia="zh-CN"/>
        </w:rPr>
        <w:t>从</w:t>
      </w:r>
      <w:r>
        <w:rPr>
          <w:rFonts w:hint="eastAsia"/>
          <w:highlight w:val="none"/>
          <w:lang w:val="en-US" w:eastAsia="zh-CN"/>
        </w:rPr>
        <w:t>“十四五”</w:t>
      </w:r>
      <w:r>
        <w:rPr>
          <w:rFonts w:hint="default"/>
          <w:highlight w:val="none"/>
          <w:lang w:val="en-US" w:eastAsia="zh-CN"/>
        </w:rPr>
        <w:t>规划整体执行情况看，农村公路建设养护、城乡运输服务覆盖、行业执法监管等普惠性、基础性任务基本完成既定目标；但规划内国省干线改造、铁路建设、高速公路扩容、重大枢纽工程等重点项目，受建设资金短缺、上级政策扶持不足、县级财政保障能力有限等因素影响，仅石泸高速圭山联络线（尾乍黑至海邑联络线）按规划建成投用，其余规划重大项目均未完成建设目标，规划核心工程执行进度未达预期，与规划既定目标存在较大差距。</w:t>
      </w:r>
    </w:p>
    <w:p w14:paraId="05D8539A">
      <w:pPr>
        <w:pStyle w:val="5"/>
        <w:rPr>
          <w:rFonts w:hint="default"/>
          <w:highlight w:val="none"/>
          <w:lang w:val="en-US" w:eastAsia="zh-CN"/>
        </w:rPr>
      </w:pPr>
      <w:r>
        <w:rPr>
          <w:b/>
          <w:bCs/>
          <w:highlight w:val="none"/>
        </w:rPr>
        <w:t>——</w:t>
      </w:r>
      <w:r>
        <w:rPr>
          <w:rFonts w:hint="default"/>
          <w:highlight w:val="none"/>
          <w:lang w:val="en-US" w:eastAsia="zh-CN"/>
        </w:rPr>
        <w:t>重大干线项目建设滞后</w:t>
      </w:r>
    </w:p>
    <w:p w14:paraId="20E2FD79">
      <w:pPr>
        <w:pStyle w:val="5"/>
        <w:rPr>
          <w:rFonts w:hint="default"/>
          <w:highlight w:val="none"/>
          <w:lang w:val="en-US" w:eastAsia="zh-CN"/>
        </w:rPr>
      </w:pPr>
      <w:r>
        <w:rPr>
          <w:rFonts w:hint="default"/>
          <w:highlight w:val="none"/>
          <w:lang w:val="en-US" w:eastAsia="zh-CN"/>
        </w:rPr>
        <w:t>规划内国道G326和G324线石林县城过境公路及配套设施工程，原计划2022年建成通车，实际因PPP模式合规性调整，已依法完成项目清算退出，仅对已实施部分完成结算审计，后续建设工作未启动；国道G324线陆良召夸至石林北大村段改造工程、石林县鹿平公路矣马伴至平田段改扩建工程、石林长湖至大叠水风景区旅游专线等10余项规划干线公路项目，均未启动建设。</w:t>
      </w:r>
    </w:p>
    <w:p w14:paraId="0F7B8484">
      <w:pPr>
        <w:pStyle w:val="5"/>
        <w:rPr>
          <w:rFonts w:hint="default"/>
          <w:highlight w:val="none"/>
          <w:lang w:val="en-US" w:eastAsia="zh-CN"/>
        </w:rPr>
      </w:pPr>
      <w:r>
        <w:rPr>
          <w:rFonts w:hint="default"/>
          <w:highlight w:val="none"/>
          <w:lang w:val="en-US" w:eastAsia="zh-CN"/>
        </w:rPr>
        <w:t>铁路项目方面，南昆铁路扩能改造、昆明至石林至陆良至罗平城际铁路、昆明经宜良至石林都市轨道快线、石林新能源空铁旅游项目，仅配合上级部门开展前期研究工作，未启动实质性建设；G78汕昆高速/G80广昆高速石林至昆明段扩容改造项目，完成前期配合工作，正在启动实施。规划内重大干线项目仅石泸高速圭山联络线（尾乍黑至海邑联络线）建成投用。</w:t>
      </w:r>
    </w:p>
    <w:p w14:paraId="4D807EC4">
      <w:pPr>
        <w:pStyle w:val="5"/>
        <w:rPr>
          <w:rFonts w:hint="default"/>
          <w:highlight w:val="none"/>
          <w:lang w:val="en-US" w:eastAsia="zh-CN"/>
        </w:rPr>
      </w:pPr>
      <w:r>
        <w:rPr>
          <w:b/>
          <w:bCs/>
          <w:highlight w:val="none"/>
        </w:rPr>
        <w:t>——</w:t>
      </w:r>
      <w:r>
        <w:rPr>
          <w:rFonts w:hint="default"/>
          <w:highlight w:val="none"/>
          <w:lang w:val="en-US" w:eastAsia="zh-CN"/>
        </w:rPr>
        <w:t>农村公路建设任务全面完成</w:t>
      </w:r>
    </w:p>
    <w:p w14:paraId="25E0811E">
      <w:pPr>
        <w:pStyle w:val="5"/>
        <w:rPr>
          <w:rFonts w:hint="default"/>
          <w:highlight w:val="none"/>
          <w:lang w:val="en-US" w:eastAsia="zh-CN"/>
        </w:rPr>
      </w:pPr>
      <w:r>
        <w:rPr>
          <w:rFonts w:hint="default"/>
          <w:highlight w:val="none"/>
          <w:lang w:val="en-US" w:eastAsia="zh-CN"/>
        </w:rPr>
        <w:t>严格落实规划农村公路建设要求，完成2021</w:t>
      </w:r>
      <w:r>
        <w:rPr>
          <w:rFonts w:hint="eastAsia"/>
          <w:highlight w:val="none"/>
          <w:lang w:val="en-US" w:eastAsia="zh-CN"/>
        </w:rPr>
        <w:t>—</w:t>
      </w:r>
      <w:r>
        <w:rPr>
          <w:rFonts w:hint="default"/>
          <w:highlight w:val="none"/>
          <w:lang w:val="en-US" w:eastAsia="zh-CN"/>
        </w:rPr>
        <w:t>2024年农村公路改造工程、“四好农村路”提档升级（单车道改双车道）项目、自然村通村公路路面硬化工程、农村公路安全生命防护工程等建设任务。截至2025年底，全县公路通车总里程达1455.408公里，实现乡镇通三级公路比例100%、建制村通硬化路率100%，全面完成农村公路建设规划目标。</w:t>
      </w:r>
    </w:p>
    <w:p w14:paraId="28FF0CE2">
      <w:pPr>
        <w:pStyle w:val="5"/>
        <w:rPr>
          <w:rFonts w:hint="default"/>
          <w:highlight w:val="none"/>
          <w:lang w:val="en-US" w:eastAsia="zh-CN"/>
        </w:rPr>
      </w:pPr>
      <w:r>
        <w:rPr>
          <w:b/>
          <w:bCs/>
          <w:highlight w:val="none"/>
        </w:rPr>
        <w:t>——</w:t>
      </w:r>
      <w:r>
        <w:rPr>
          <w:rFonts w:hint="default"/>
          <w:highlight w:val="none"/>
          <w:lang w:val="en-US" w:eastAsia="zh-CN"/>
        </w:rPr>
        <w:t>项目前期工作有序开展</w:t>
      </w:r>
    </w:p>
    <w:p w14:paraId="31D278CB">
      <w:pPr>
        <w:pStyle w:val="5"/>
        <w:rPr>
          <w:rFonts w:hint="default"/>
          <w:highlight w:val="none"/>
          <w:lang w:val="en-US" w:eastAsia="zh-CN"/>
        </w:rPr>
      </w:pPr>
      <w:r>
        <w:rPr>
          <w:rFonts w:hint="default"/>
          <w:highlight w:val="none"/>
          <w:lang w:val="en-US" w:eastAsia="zh-CN"/>
        </w:rPr>
        <w:t>持续推进国道G324线陆良召夸至石林北大村段改建工程、石林县鹿平公路矣马伴至平田段公路改扩建工程、石林县堡子至所各邑乡村公路修缮工程、石林县长湖风景区至大叠水风景区公路工程等项目前期准备工作，完成可研编制、国土空间规划衔接等基础工作，为后续项目实施奠定前期基础。</w:t>
      </w:r>
    </w:p>
    <w:p w14:paraId="1459B197">
      <w:pPr>
        <w:pStyle w:val="4"/>
        <w:bidi w:val="0"/>
        <w:rPr>
          <w:rFonts w:hint="eastAsia" w:eastAsia="方正仿宋_GBK"/>
          <w:highlight w:val="none"/>
          <w:lang w:eastAsia="zh-CN"/>
        </w:rPr>
      </w:pPr>
      <w:r>
        <w:rPr>
          <w:rFonts w:hint="eastAsia"/>
          <w:highlight w:val="none"/>
          <w:lang w:val="en-US" w:eastAsia="zh-CN"/>
        </w:rPr>
        <w:t>3</w:t>
      </w:r>
      <w:r>
        <w:rPr>
          <w:highlight w:val="none"/>
        </w:rPr>
        <w:t>.存在的问题</w:t>
      </w:r>
    </w:p>
    <w:p w14:paraId="54018346">
      <w:pPr>
        <w:pStyle w:val="5"/>
        <w:bidi w:val="0"/>
        <w:rPr>
          <w:rFonts w:hint="eastAsia"/>
          <w:highlight w:val="none"/>
        </w:rPr>
      </w:pPr>
      <w:r>
        <w:rPr>
          <w:rFonts w:hint="eastAsia"/>
          <w:highlight w:val="none"/>
        </w:rPr>
        <w:t>经过“十四五</w:t>
      </w:r>
      <w:r>
        <w:rPr>
          <w:rFonts w:hint="eastAsia"/>
          <w:highlight w:val="none"/>
          <w:lang w:eastAsia="zh-CN"/>
        </w:rPr>
        <w:t>”时</w:t>
      </w:r>
      <w:r>
        <w:rPr>
          <w:rFonts w:hint="eastAsia"/>
          <w:highlight w:val="none"/>
        </w:rPr>
        <w:t>期的建设与发展，</w:t>
      </w:r>
      <w:r>
        <w:rPr>
          <w:rFonts w:hint="eastAsia"/>
          <w:highlight w:val="none"/>
          <w:lang w:val="en-US" w:eastAsia="zh-CN"/>
        </w:rPr>
        <w:t>石林县</w:t>
      </w:r>
      <w:r>
        <w:rPr>
          <w:rFonts w:hint="eastAsia"/>
          <w:highlight w:val="none"/>
        </w:rPr>
        <w:t>综合交通运输体系建设取得一定成效，但交通发展不平衡不充分不协调的矛盾仍然存在。2035年</w:t>
      </w:r>
      <w:r>
        <w:rPr>
          <w:rFonts w:hint="eastAsia"/>
          <w:highlight w:val="none"/>
          <w:lang w:val="en-US" w:eastAsia="zh-CN"/>
        </w:rPr>
        <w:t>实现</w:t>
      </w:r>
      <w:r>
        <w:rPr>
          <w:rFonts w:hint="eastAsia"/>
          <w:highlight w:val="none"/>
        </w:rPr>
        <w:t>现代化高质量综合立体交通网、实现交通强国目标的任务仍需努力。主要表现为：</w:t>
      </w:r>
    </w:p>
    <w:p w14:paraId="01EDA334">
      <w:pPr>
        <w:pStyle w:val="5"/>
        <w:bidi w:val="0"/>
        <w:rPr>
          <w:rFonts w:hint="eastAsia"/>
          <w:color w:val="auto"/>
          <w:highlight w:val="none"/>
        </w:rPr>
      </w:pPr>
      <w:r>
        <w:rPr>
          <w:rFonts w:hint="eastAsia"/>
          <w:b/>
          <w:bCs/>
          <w:highlight w:val="none"/>
        </w:rPr>
        <w:t>一是对外快速通道不足，区域协同发展受限。</w:t>
      </w:r>
      <w:r>
        <w:rPr>
          <w:rFonts w:hint="eastAsia"/>
          <w:b w:val="0"/>
          <w:bCs w:val="0"/>
          <w:highlight w:val="none"/>
          <w:lang w:val="en-US" w:eastAsia="zh-CN"/>
        </w:rPr>
        <w:t>对外通道方面</w:t>
      </w:r>
      <w:r>
        <w:rPr>
          <w:rFonts w:hint="eastAsia"/>
          <w:highlight w:val="none"/>
        </w:rPr>
        <w:t>，石林与昆明及周边区域的联系主要依赖现有</w:t>
      </w:r>
      <w:r>
        <w:rPr>
          <w:rFonts w:hint="eastAsia"/>
          <w:highlight w:val="none"/>
          <w:lang w:val="en-US" w:eastAsia="zh-CN"/>
        </w:rPr>
        <w:t>昆石高速</w:t>
      </w:r>
      <w:r>
        <w:rPr>
          <w:rFonts w:hint="eastAsia"/>
          <w:highlight w:val="none"/>
          <w:lang w:eastAsia="zh-CN"/>
        </w:rPr>
        <w:t>（</w:t>
      </w:r>
      <w:r>
        <w:rPr>
          <w:rFonts w:hint="eastAsia"/>
          <w:highlight w:val="none"/>
        </w:rPr>
        <w:t>G78汕昆高速与G80广昆高速共线路段</w:t>
      </w:r>
      <w:r>
        <w:rPr>
          <w:rFonts w:hint="eastAsia"/>
          <w:highlight w:val="none"/>
          <w:lang w:eastAsia="zh-CN"/>
        </w:rPr>
        <w:t>）</w:t>
      </w:r>
      <w:r>
        <w:rPr>
          <w:rFonts w:hint="eastAsia"/>
          <w:highlight w:val="none"/>
        </w:rPr>
        <w:t>，通道单一，缺乏同城化、大运量、便捷多元的交通系统支撑。作为昆明通往滇东、滇南及通边、出海的主要运输通道，以及连接著名风景区石林的旅游</w:t>
      </w:r>
      <w:r>
        <w:rPr>
          <w:rFonts w:hint="eastAsia"/>
          <w:highlight w:val="none"/>
          <w:lang w:val="en-US" w:eastAsia="zh-CN"/>
        </w:rPr>
        <w:t>线路</w:t>
      </w:r>
      <w:r>
        <w:rPr>
          <w:rFonts w:hint="eastAsia"/>
          <w:highlight w:val="none"/>
        </w:rPr>
        <w:t>，昆石高速于2003年建成通车，运营已逾20年。随着经济社会发展和周边路网不断完善，其交通承载压力持续增大，2023年日均交通量已达约45000pcu/d。由于该高速公路建设年代早、技术指标偏低、通行能力有限，导致交通拥堵与安全事故频发，已成为云南省高速公路网中典型的繁忙拥堵“瓶颈”路段，制约了区域深度协同和借力发展。</w:t>
      </w:r>
      <w:r>
        <w:rPr>
          <w:rFonts w:hint="eastAsia"/>
          <w:color w:val="auto"/>
          <w:highlight w:val="none"/>
          <w:lang w:val="en-US" w:eastAsia="zh-CN"/>
        </w:rPr>
        <w:t>区域协同发展方面，近年来，</w:t>
      </w:r>
      <w:r>
        <w:rPr>
          <w:rFonts w:hint="eastAsia"/>
          <w:color w:val="auto"/>
          <w:highlight w:val="none"/>
        </w:rPr>
        <w:t>石林县</w:t>
      </w:r>
      <w:r>
        <w:rPr>
          <w:rFonts w:hint="eastAsia"/>
          <w:color w:val="auto"/>
          <w:highlight w:val="none"/>
          <w:lang w:eastAsia="zh-CN"/>
        </w:rPr>
        <w:t>一直</w:t>
      </w:r>
      <w:r>
        <w:rPr>
          <w:rFonts w:hint="eastAsia"/>
          <w:color w:val="auto"/>
          <w:highlight w:val="none"/>
        </w:rPr>
        <w:t>在构建自身在滇东南喀斯特山水文化旅游区</w:t>
      </w:r>
      <w:r>
        <w:rPr>
          <w:rFonts w:hint="eastAsia"/>
          <w:color w:val="auto"/>
          <w:highlight w:val="none"/>
          <w:lang w:val="en-US" w:eastAsia="zh-CN"/>
        </w:rPr>
        <w:t>的</w:t>
      </w:r>
      <w:r>
        <w:rPr>
          <w:rFonts w:hint="eastAsia"/>
          <w:color w:val="auto"/>
          <w:highlight w:val="none"/>
        </w:rPr>
        <w:t>中心</w:t>
      </w:r>
      <w:r>
        <w:rPr>
          <w:rFonts w:hint="eastAsia"/>
          <w:color w:val="auto"/>
          <w:highlight w:val="none"/>
          <w:lang w:val="en-US" w:eastAsia="zh-CN"/>
        </w:rPr>
        <w:t>地位</w:t>
      </w:r>
      <w:r>
        <w:rPr>
          <w:rFonts w:hint="eastAsia"/>
          <w:color w:val="auto"/>
          <w:highlight w:val="none"/>
        </w:rPr>
        <w:t>，但近些年与周边的宜良、弥勒、泸西、陆良、师宗、罗平、澄江等地的旅游</w:t>
      </w:r>
      <w:r>
        <w:rPr>
          <w:rFonts w:hint="eastAsia"/>
          <w:color w:val="auto"/>
          <w:highlight w:val="none"/>
          <w:lang w:val="en-US" w:eastAsia="zh-CN"/>
        </w:rPr>
        <w:t>及产业</w:t>
      </w:r>
      <w:r>
        <w:rPr>
          <w:rFonts w:hint="eastAsia"/>
          <w:color w:val="auto"/>
          <w:highlight w:val="none"/>
        </w:rPr>
        <w:t>区域联动发展没有实质性的进展，未能起到中心引领示范的作用。</w:t>
      </w:r>
    </w:p>
    <w:p w14:paraId="0F51276F">
      <w:pPr>
        <w:pStyle w:val="5"/>
        <w:bidi w:val="0"/>
        <w:rPr>
          <w:rFonts w:hint="eastAsia"/>
          <w:highlight w:val="none"/>
        </w:rPr>
      </w:pPr>
      <w:r>
        <w:rPr>
          <w:rFonts w:hint="eastAsia"/>
          <w:b/>
          <w:bCs/>
          <w:highlight w:val="none"/>
        </w:rPr>
        <w:t>二是基础设施网络结构不均衡，支撑服务能力需进一步提升。</w:t>
      </w:r>
      <w:r>
        <w:rPr>
          <w:rFonts w:hint="eastAsia"/>
          <w:highlight w:val="none"/>
        </w:rPr>
        <w:t>综合交通系统发展面临两大制约，一是</w:t>
      </w:r>
      <w:r>
        <w:rPr>
          <w:rFonts w:hint="eastAsia"/>
          <w:highlight w:val="none"/>
          <w:lang w:val="en-US" w:eastAsia="zh-CN"/>
        </w:rPr>
        <w:t>交通</w:t>
      </w:r>
      <w:r>
        <w:rPr>
          <w:rFonts w:hint="eastAsia"/>
          <w:highlight w:val="none"/>
        </w:rPr>
        <w:t>结构不均</w:t>
      </w:r>
      <w:r>
        <w:rPr>
          <w:rFonts w:hint="eastAsia"/>
          <w:highlight w:val="none"/>
          <w:lang w:eastAsia="zh-CN"/>
        </w:rPr>
        <w:t>，</w:t>
      </w:r>
      <w:r>
        <w:rPr>
          <w:rFonts w:hint="eastAsia"/>
          <w:highlight w:val="none"/>
        </w:rPr>
        <w:t>水运</w:t>
      </w:r>
      <w:r>
        <w:rPr>
          <w:rFonts w:hint="eastAsia"/>
          <w:highlight w:val="none"/>
          <w:lang w:val="en-US" w:eastAsia="zh-CN"/>
        </w:rPr>
        <w:t>与</w:t>
      </w:r>
      <w:r>
        <w:rPr>
          <w:rFonts w:hint="eastAsia"/>
          <w:highlight w:val="none"/>
        </w:rPr>
        <w:t>航空</w:t>
      </w:r>
      <w:r>
        <w:rPr>
          <w:rFonts w:hint="eastAsia"/>
          <w:highlight w:val="none"/>
          <w:lang w:val="en-US" w:eastAsia="zh-CN"/>
        </w:rPr>
        <w:t>受条件所限尚属空白</w:t>
      </w:r>
      <w:r>
        <w:rPr>
          <w:rFonts w:hint="eastAsia"/>
          <w:highlight w:val="none"/>
        </w:rPr>
        <w:t>。</w:t>
      </w:r>
      <w:r>
        <w:rPr>
          <w:rFonts w:hint="eastAsia"/>
          <w:highlight w:val="none"/>
          <w:lang w:val="en-US" w:eastAsia="zh-CN"/>
        </w:rPr>
        <w:t>二是</w:t>
      </w:r>
      <w:r>
        <w:rPr>
          <w:rFonts w:hint="eastAsia"/>
          <w:highlight w:val="none"/>
        </w:rPr>
        <w:t>交通网络</w:t>
      </w:r>
      <w:r>
        <w:rPr>
          <w:rFonts w:hint="eastAsia"/>
          <w:highlight w:val="none"/>
          <w:lang w:val="en-US" w:eastAsia="zh-CN"/>
        </w:rPr>
        <w:t>布局</w:t>
      </w:r>
      <w:r>
        <w:rPr>
          <w:rFonts w:hint="eastAsia"/>
          <w:highlight w:val="none"/>
        </w:rPr>
        <w:t>不均</w:t>
      </w:r>
      <w:r>
        <w:rPr>
          <w:rFonts w:hint="eastAsia"/>
          <w:highlight w:val="none"/>
          <w:lang w:eastAsia="zh-CN"/>
        </w:rPr>
        <w:t>，呈现出明显的“</w:t>
      </w:r>
      <w:r>
        <w:rPr>
          <w:rFonts w:hint="eastAsia"/>
          <w:highlight w:val="none"/>
          <w:lang w:val="en-US" w:eastAsia="zh-CN"/>
        </w:rPr>
        <w:t>西</w:t>
      </w:r>
      <w:r>
        <w:rPr>
          <w:rFonts w:hint="eastAsia"/>
          <w:highlight w:val="none"/>
          <w:lang w:eastAsia="zh-CN"/>
        </w:rPr>
        <w:t>多</w:t>
      </w:r>
      <w:r>
        <w:rPr>
          <w:rFonts w:hint="eastAsia"/>
          <w:highlight w:val="none"/>
          <w:lang w:val="en-US" w:eastAsia="zh-CN"/>
        </w:rPr>
        <w:t>东</w:t>
      </w:r>
      <w:r>
        <w:rPr>
          <w:rFonts w:hint="eastAsia"/>
          <w:highlight w:val="none"/>
          <w:lang w:eastAsia="zh-CN"/>
        </w:rPr>
        <w:t>少、北多南少”不均衡格局，</w:t>
      </w:r>
      <w:r>
        <w:rPr>
          <w:rFonts w:hint="eastAsia"/>
          <w:highlight w:val="none"/>
        </w:rPr>
        <w:t>特别是东北部的西街口镇和南部的大可乡</w:t>
      </w:r>
      <w:r>
        <w:rPr>
          <w:rFonts w:hint="eastAsia"/>
          <w:highlight w:val="none"/>
          <w:lang w:eastAsia="zh-CN"/>
        </w:rPr>
        <w:t>，</w:t>
      </w:r>
      <w:r>
        <w:rPr>
          <w:rFonts w:hint="eastAsia"/>
          <w:highlight w:val="none"/>
        </w:rPr>
        <w:t>高等级公路基本没有，现状通道达不到畅通标准，严重影响县域的整体发展。过境交通与城市交通相互干扰问题突出。G326线穿石林县城而过，G324线、S209线穿越风景名胜区及北部城镇，不仅影响通行效率，也存在较大安全隐患，</w:t>
      </w:r>
      <w:r>
        <w:rPr>
          <w:rFonts w:hint="eastAsia"/>
          <w:highlight w:val="none"/>
          <w:lang w:eastAsia="zh-CN"/>
        </w:rPr>
        <w:t>亟须</w:t>
      </w:r>
      <w:r>
        <w:rPr>
          <w:rFonts w:hint="eastAsia"/>
          <w:highlight w:val="none"/>
        </w:rPr>
        <w:t>建设外围过境通道以分流</w:t>
      </w:r>
      <w:r>
        <w:rPr>
          <w:rFonts w:hint="eastAsia"/>
          <w:highlight w:val="none"/>
          <w:lang w:val="en-US" w:eastAsia="zh-CN"/>
        </w:rPr>
        <w:t>过境</w:t>
      </w:r>
      <w:r>
        <w:rPr>
          <w:rFonts w:hint="eastAsia"/>
          <w:highlight w:val="none"/>
        </w:rPr>
        <w:t>车辆。此外，部分干线公路因使用年限长、修复养护资金投入不足，路况持续下滑，进一步制约路网整体服务能力。</w:t>
      </w:r>
    </w:p>
    <w:p w14:paraId="2183E0B2">
      <w:pPr>
        <w:pStyle w:val="5"/>
        <w:bidi w:val="0"/>
        <w:rPr>
          <w:rFonts w:hint="eastAsia"/>
          <w:highlight w:val="none"/>
          <w:lang w:val="en-US" w:eastAsia="zh-CN"/>
        </w:rPr>
      </w:pPr>
      <w:r>
        <w:rPr>
          <w:rFonts w:hint="eastAsia"/>
          <w:b/>
          <w:bCs/>
          <w:highlight w:val="none"/>
          <w:lang w:val="en-US" w:eastAsia="zh-CN"/>
        </w:rPr>
        <w:t>三是农村公路互联互通存在短板，内畅外联水平不高。</w:t>
      </w:r>
      <w:r>
        <w:rPr>
          <w:rFonts w:hint="eastAsia"/>
          <w:highlight w:val="none"/>
          <w:lang w:val="en-US" w:eastAsia="zh-CN"/>
        </w:rPr>
        <w:t>早期建设的部分农村公路受投资限制，随着乡村公路里程持续增加，重建轻管、农村公路管护资金兑现难等问题愈发凸显。自然村互联互通存在明显短板，部分农村公路出现水淹、塌陷、坑洼、开裂等状况，通行保障能力不足，与乡村全面振兴背景下的公路发展目标仍存在一定差距。</w:t>
      </w:r>
    </w:p>
    <w:p w14:paraId="0F9EF357">
      <w:pPr>
        <w:pStyle w:val="5"/>
        <w:bidi w:val="0"/>
        <w:rPr>
          <w:rFonts w:hint="eastAsia"/>
          <w:color w:val="auto"/>
          <w:highlight w:val="none"/>
          <w:lang w:val="en-US" w:eastAsia="zh-CN"/>
        </w:rPr>
      </w:pPr>
      <w:r>
        <w:rPr>
          <w:rFonts w:hint="eastAsia"/>
          <w:b/>
          <w:bCs/>
          <w:color w:val="auto"/>
          <w:highlight w:val="none"/>
          <w:lang w:val="en-US" w:eastAsia="zh-CN"/>
        </w:rPr>
        <w:t>四是交通与产业融合发展不深，赋能作用有限。</w:t>
      </w:r>
      <w:r>
        <w:rPr>
          <w:rFonts w:hint="eastAsia"/>
          <w:color w:val="auto"/>
          <w:highlight w:val="none"/>
          <w:lang w:val="en-US" w:eastAsia="zh-CN"/>
        </w:rPr>
        <w:t>一是交通+文旅配套失衡，台创园、杏林大观园等景区交通衔接滞后，乡村旅游交通仅覆盖少数特色村寨，东北部西街口镇、南部大可乡路网薄弱导致旅游开发滞后，景城融合、旅居交通配套存在明显短板；二是交通+现代农业支撑不足，人参果等特色产业主产区产业路、资源路短板突出，冷链物流与农村路网衔接不畅，客货邮融合滞后，农产品运输堵点较多；三是交通+绿色工业联动不畅，产业园区与高速、铁路货运枢纽集疏运通道不完善，大宗货物“公转铁”推进缓慢；四是交通+物流融合层级偏低，公铁联运衔接不足、多式联运体系未形成，农村物流末梢覆盖不足；五是交通+低空经济等新业态配套缺失，低空起降场衔接路网不完善，数字绿色交通融合不足。同时，交通与产业融合规划衔接不紧、要素保障偏弱、部门协同不足，难以有效支撑“1+3”百亿级产业与县域交通高质量发展。</w:t>
      </w:r>
    </w:p>
    <w:p w14:paraId="20476B42">
      <w:pPr>
        <w:spacing w:line="600" w:lineRule="exact"/>
        <w:ind w:firstLine="617" w:firstLineChars="200"/>
        <w:rPr>
          <w:rFonts w:hint="eastAsia" w:ascii="宋体" w:hAnsi="宋体" w:eastAsia="方正仿宋_GBK"/>
          <w:w w:val="96"/>
          <w:sz w:val="32"/>
          <w:szCs w:val="32"/>
          <w:highlight w:val="none"/>
        </w:rPr>
      </w:pPr>
      <w:r>
        <w:rPr>
          <w:rFonts w:hint="eastAsia" w:ascii="宋体" w:hAnsi="宋体" w:eastAsia="方正仿宋_GBK"/>
          <w:b/>
          <w:bCs/>
          <w:w w:val="96"/>
          <w:sz w:val="32"/>
          <w:szCs w:val="32"/>
          <w:highlight w:val="none"/>
          <w:lang w:val="en-US" w:eastAsia="zh-CN"/>
        </w:rPr>
        <w:t>五</w:t>
      </w:r>
      <w:r>
        <w:rPr>
          <w:rFonts w:hint="eastAsia" w:ascii="宋体" w:hAnsi="宋体" w:eastAsia="方正仿宋_GBK"/>
          <w:b/>
          <w:bCs/>
          <w:w w:val="96"/>
          <w:sz w:val="32"/>
          <w:szCs w:val="32"/>
          <w:highlight w:val="none"/>
        </w:rPr>
        <w:t>是综合运输服务效能不高，衔接融合不足。</w:t>
      </w:r>
      <w:r>
        <w:rPr>
          <w:rFonts w:hint="eastAsia" w:ascii="宋体" w:hAnsi="宋体" w:eastAsia="方正仿宋_GBK"/>
          <w:w w:val="96"/>
          <w:sz w:val="32"/>
          <w:szCs w:val="32"/>
          <w:highlight w:val="none"/>
        </w:rPr>
        <w:t>综合客运服务一体化融合程度不高，不同运输方式之间的衔接</w:t>
      </w:r>
      <w:r>
        <w:rPr>
          <w:rFonts w:hint="eastAsia" w:ascii="宋体" w:hAnsi="宋体" w:eastAsia="方正仿宋_GBK"/>
          <w:w w:val="96"/>
          <w:sz w:val="32"/>
          <w:szCs w:val="32"/>
          <w:highlight w:val="none"/>
          <w:lang w:val="en-US" w:eastAsia="zh-CN"/>
        </w:rPr>
        <w:t>水平</w:t>
      </w:r>
      <w:r>
        <w:rPr>
          <w:rFonts w:hint="eastAsia" w:ascii="宋体" w:hAnsi="宋体" w:eastAsia="方正仿宋_GBK"/>
          <w:w w:val="96"/>
          <w:sz w:val="32"/>
          <w:szCs w:val="32"/>
          <w:highlight w:val="none"/>
        </w:rPr>
        <w:t>有待加强，个性化出行需求</w:t>
      </w:r>
      <w:r>
        <w:rPr>
          <w:rFonts w:hint="eastAsia" w:ascii="宋体" w:hAnsi="宋体" w:eastAsia="方正仿宋_GBK"/>
          <w:w w:val="96"/>
          <w:sz w:val="32"/>
          <w:szCs w:val="32"/>
          <w:highlight w:val="none"/>
          <w:lang w:val="en-US" w:eastAsia="zh-CN"/>
        </w:rPr>
        <w:t>服务升级</w:t>
      </w:r>
      <w:r>
        <w:rPr>
          <w:rFonts w:hint="eastAsia" w:ascii="宋体" w:hAnsi="宋体" w:eastAsia="方正仿宋_GBK"/>
          <w:w w:val="96"/>
          <w:sz w:val="32"/>
          <w:szCs w:val="32"/>
          <w:highlight w:val="none"/>
        </w:rPr>
        <w:t>仍需加快，农村地区服务均等化水平</w:t>
      </w:r>
      <w:r>
        <w:rPr>
          <w:rFonts w:hint="eastAsia" w:ascii="宋体" w:hAnsi="宋体" w:eastAsia="方正仿宋_GBK"/>
          <w:w w:val="96"/>
          <w:sz w:val="32"/>
          <w:szCs w:val="32"/>
          <w:highlight w:val="none"/>
          <w:lang w:val="en-US" w:eastAsia="zh-CN"/>
        </w:rPr>
        <w:t>仍需提升</w:t>
      </w:r>
      <w:r>
        <w:rPr>
          <w:rFonts w:hint="eastAsia" w:ascii="宋体" w:hAnsi="宋体" w:eastAsia="方正仿宋_GBK"/>
          <w:w w:val="96"/>
          <w:sz w:val="32"/>
          <w:szCs w:val="32"/>
          <w:highlight w:val="none"/>
        </w:rPr>
        <w:t>，公共交通整体服务</w:t>
      </w:r>
      <w:r>
        <w:rPr>
          <w:rFonts w:hint="eastAsia" w:ascii="宋体" w:hAnsi="宋体" w:eastAsia="方正仿宋_GBK"/>
          <w:w w:val="96"/>
          <w:sz w:val="32"/>
          <w:szCs w:val="32"/>
          <w:highlight w:val="none"/>
          <w:lang w:val="en-US" w:eastAsia="zh-CN"/>
        </w:rPr>
        <w:t>品质</w:t>
      </w:r>
      <w:r>
        <w:rPr>
          <w:rFonts w:hint="eastAsia" w:ascii="宋体" w:hAnsi="宋体" w:eastAsia="方正仿宋_GBK"/>
          <w:w w:val="96"/>
          <w:sz w:val="32"/>
          <w:szCs w:val="32"/>
          <w:highlight w:val="none"/>
        </w:rPr>
        <w:t>有待</w:t>
      </w:r>
      <w:r>
        <w:rPr>
          <w:rFonts w:hint="eastAsia" w:ascii="宋体" w:hAnsi="宋体" w:eastAsia="方正仿宋_GBK"/>
          <w:w w:val="96"/>
          <w:sz w:val="32"/>
          <w:szCs w:val="32"/>
          <w:highlight w:val="none"/>
          <w:lang w:val="en-US" w:eastAsia="zh-CN"/>
        </w:rPr>
        <w:t>提升</w:t>
      </w:r>
      <w:r>
        <w:rPr>
          <w:rFonts w:hint="eastAsia" w:ascii="宋体" w:hAnsi="宋体" w:eastAsia="方正仿宋_GBK"/>
          <w:w w:val="96"/>
          <w:sz w:val="32"/>
          <w:szCs w:val="32"/>
          <w:highlight w:val="none"/>
        </w:rPr>
        <w:t>。运输结构</w:t>
      </w:r>
      <w:r>
        <w:rPr>
          <w:rFonts w:hint="eastAsia" w:ascii="宋体" w:hAnsi="宋体" w:eastAsia="方正仿宋_GBK"/>
          <w:w w:val="96"/>
          <w:sz w:val="32"/>
          <w:szCs w:val="32"/>
          <w:highlight w:val="none"/>
          <w:lang w:val="en-US" w:eastAsia="zh-CN"/>
        </w:rPr>
        <w:t>性</w:t>
      </w:r>
      <w:r>
        <w:rPr>
          <w:rFonts w:hint="eastAsia" w:ascii="宋体" w:hAnsi="宋体" w:eastAsia="方正仿宋_GBK"/>
          <w:w w:val="96"/>
          <w:sz w:val="32"/>
          <w:szCs w:val="32"/>
          <w:highlight w:val="none"/>
        </w:rPr>
        <w:t>矛盾突出，大宗货物及中长距离运输“公转铁”</w:t>
      </w:r>
      <w:r>
        <w:rPr>
          <w:rFonts w:hint="eastAsia" w:ascii="宋体" w:hAnsi="宋体" w:eastAsia="方正仿宋_GBK"/>
          <w:w w:val="96"/>
          <w:sz w:val="32"/>
          <w:szCs w:val="32"/>
          <w:highlight w:val="none"/>
          <w:lang w:val="en-US" w:eastAsia="zh-CN"/>
        </w:rPr>
        <w:t>还需提升</w:t>
      </w:r>
      <w:r>
        <w:rPr>
          <w:rFonts w:hint="eastAsia" w:ascii="宋体" w:hAnsi="宋体" w:eastAsia="方正仿宋_GBK"/>
          <w:w w:val="96"/>
          <w:sz w:val="32"/>
          <w:szCs w:val="32"/>
          <w:highlight w:val="none"/>
        </w:rPr>
        <w:t>，公路货运仍占据主体地位</w:t>
      </w:r>
      <w:r>
        <w:rPr>
          <w:rFonts w:hint="eastAsia" w:ascii="宋体" w:hAnsi="宋体" w:eastAsia="方正仿宋_GBK"/>
          <w:w w:val="96"/>
          <w:sz w:val="32"/>
          <w:szCs w:val="32"/>
          <w:highlight w:val="none"/>
          <w:lang w:eastAsia="zh-CN"/>
        </w:rPr>
        <w:t>，</w:t>
      </w:r>
      <w:r>
        <w:rPr>
          <w:rFonts w:hint="eastAsia" w:ascii="宋体" w:hAnsi="宋体" w:eastAsia="方正仿宋_GBK"/>
          <w:w w:val="96"/>
          <w:sz w:val="32"/>
          <w:szCs w:val="32"/>
          <w:highlight w:val="none"/>
        </w:rPr>
        <w:t>多式联运尚处于</w:t>
      </w:r>
      <w:r>
        <w:rPr>
          <w:rFonts w:hint="eastAsia" w:ascii="宋体" w:hAnsi="宋体" w:eastAsia="方正仿宋_GBK"/>
          <w:w w:val="96"/>
          <w:sz w:val="32"/>
          <w:szCs w:val="32"/>
          <w:highlight w:val="none"/>
          <w:lang w:val="en-US" w:eastAsia="zh-CN"/>
        </w:rPr>
        <w:t>起步阶段</w:t>
      </w:r>
      <w:r>
        <w:rPr>
          <w:rFonts w:hint="eastAsia" w:ascii="宋体" w:hAnsi="宋体" w:eastAsia="方正仿宋_GBK"/>
          <w:w w:val="96"/>
          <w:sz w:val="32"/>
          <w:szCs w:val="32"/>
          <w:highlight w:val="none"/>
        </w:rPr>
        <w:t>，货运物流提质降本增效仍需发力。邮政快递服务的均等化水平有待提升。</w:t>
      </w:r>
    </w:p>
    <w:p w14:paraId="40E00EB1">
      <w:pPr>
        <w:spacing w:line="600" w:lineRule="exact"/>
        <w:ind w:firstLine="617" w:firstLineChars="200"/>
        <w:rPr>
          <w:rFonts w:hint="eastAsia" w:ascii="宋体" w:hAnsi="宋体" w:eastAsia="方正仿宋_GBK"/>
          <w:w w:val="96"/>
          <w:sz w:val="32"/>
          <w:szCs w:val="32"/>
          <w:highlight w:val="none"/>
        </w:rPr>
      </w:pPr>
      <w:r>
        <w:rPr>
          <w:rFonts w:hint="eastAsia" w:ascii="宋体" w:hAnsi="宋体" w:eastAsia="方正仿宋_GBK"/>
          <w:b/>
          <w:bCs/>
          <w:w w:val="96"/>
          <w:sz w:val="32"/>
          <w:szCs w:val="32"/>
          <w:highlight w:val="none"/>
          <w:lang w:val="en-US" w:eastAsia="zh-CN"/>
        </w:rPr>
        <w:t>六</w:t>
      </w:r>
      <w:r>
        <w:rPr>
          <w:rFonts w:hint="eastAsia" w:ascii="宋体" w:hAnsi="宋体" w:eastAsia="方正仿宋_GBK"/>
          <w:b/>
          <w:bCs/>
          <w:w w:val="96"/>
          <w:sz w:val="32"/>
          <w:szCs w:val="32"/>
          <w:highlight w:val="none"/>
        </w:rPr>
        <w:t>是行业发展支撑不强，转型升级面临挑战。</w:t>
      </w:r>
      <w:r>
        <w:rPr>
          <w:rFonts w:hint="eastAsia" w:ascii="宋体" w:hAnsi="宋体" w:eastAsia="方正仿宋_GBK"/>
          <w:w w:val="96"/>
          <w:sz w:val="32"/>
          <w:szCs w:val="32"/>
          <w:highlight w:val="none"/>
        </w:rPr>
        <w:t>养护资金缺口大、管养保障不足；智慧交通、绿色交通建设滞后，数字化与低碳转型缓慢；安全应急体系不完善，路网韧性不足；行业治理、要素保障、投融资机制不健全，制约交通高质量发展。</w:t>
      </w:r>
    </w:p>
    <w:p w14:paraId="35ACC6B2">
      <w:pPr>
        <w:pStyle w:val="3"/>
        <w:numPr>
          <w:ilvl w:val="0"/>
          <w:numId w:val="0"/>
        </w:numPr>
        <w:bidi w:val="0"/>
        <w:ind w:left="0" w:leftChars="0" w:firstLine="640" w:firstLineChars="200"/>
        <w:rPr>
          <w:rFonts w:hint="default"/>
          <w:highlight w:val="none"/>
          <w:lang w:val="en-US" w:eastAsia="zh-CN"/>
        </w:rPr>
      </w:pPr>
      <w:bookmarkStart w:id="11" w:name="_Toc29152"/>
      <w:r>
        <w:rPr>
          <w:rFonts w:hint="eastAsia" w:ascii="宋体" w:hAnsi="宋体" w:eastAsia="方正楷体_GBK" w:cstheme="majorBidi"/>
          <w:bCs/>
          <w:kern w:val="2"/>
          <w:sz w:val="32"/>
          <w:szCs w:val="32"/>
          <w:highlight w:val="none"/>
          <w:lang w:val="en-US" w:eastAsia="zh-CN" w:bidi="ar-SA"/>
        </w:rPr>
        <w:t>（二）</w:t>
      </w:r>
      <w:r>
        <w:rPr>
          <w:rFonts w:hint="eastAsia"/>
          <w:highlight w:val="none"/>
          <w:lang w:val="en-US" w:eastAsia="zh-CN"/>
        </w:rPr>
        <w:t>发展形势及要求</w:t>
      </w:r>
      <w:bookmarkEnd w:id="11"/>
    </w:p>
    <w:p w14:paraId="519E0D76">
      <w:pPr>
        <w:pStyle w:val="4"/>
        <w:bidi w:val="0"/>
        <w:rPr>
          <w:rFonts w:hint="default"/>
          <w:highlight w:val="none"/>
          <w:lang w:val="en-US" w:eastAsia="zh-CN"/>
        </w:rPr>
      </w:pPr>
      <w:r>
        <w:rPr>
          <w:rFonts w:hint="eastAsia"/>
          <w:highlight w:val="none"/>
          <w:lang w:val="en-US" w:eastAsia="zh-CN"/>
        </w:rPr>
        <w:t>1.外部形势</w:t>
      </w:r>
    </w:p>
    <w:p w14:paraId="6523501E">
      <w:pPr>
        <w:pStyle w:val="5"/>
        <w:bidi w:val="0"/>
        <w:rPr>
          <w:rFonts w:hint="eastAsia"/>
          <w:highlight w:val="none"/>
        </w:rPr>
      </w:pPr>
      <w:r>
        <w:rPr>
          <w:rFonts w:hint="eastAsia"/>
          <w:highlight w:val="none"/>
        </w:rPr>
        <w:t>“十五五”</w:t>
      </w:r>
      <w:r>
        <w:rPr>
          <w:rFonts w:hint="eastAsia"/>
          <w:highlight w:val="none"/>
          <w:lang w:eastAsia="zh-CN"/>
        </w:rPr>
        <w:t>时</w:t>
      </w:r>
      <w:r>
        <w:rPr>
          <w:rFonts w:hint="eastAsia"/>
          <w:highlight w:val="none"/>
        </w:rPr>
        <w:t>期是我国迈向2035年基本实现现代化的</w:t>
      </w:r>
      <w:r>
        <w:rPr>
          <w:rFonts w:hint="eastAsia"/>
          <w:highlight w:val="none"/>
          <w:lang w:eastAsia="zh-CN"/>
        </w:rPr>
        <w:t>关键时期</w:t>
      </w:r>
      <w:r>
        <w:rPr>
          <w:rFonts w:hint="eastAsia"/>
          <w:highlight w:val="none"/>
        </w:rPr>
        <w:t>，是实现云南省</w:t>
      </w:r>
      <w:r>
        <w:rPr>
          <w:rFonts w:hint="eastAsia"/>
          <w:highlight w:val="none"/>
          <w:lang w:eastAsia="zh-CN"/>
        </w:rPr>
        <w:t>“3815”战略发展目标</w:t>
      </w:r>
      <w:r>
        <w:rPr>
          <w:rFonts w:hint="eastAsia"/>
          <w:highlight w:val="none"/>
        </w:rPr>
        <w:t>的</w:t>
      </w:r>
      <w:r>
        <w:rPr>
          <w:rFonts w:hint="eastAsia"/>
          <w:highlight w:val="none"/>
          <w:lang w:val="en-US" w:eastAsia="zh-CN"/>
        </w:rPr>
        <w:t>收官期</w:t>
      </w:r>
      <w:r>
        <w:rPr>
          <w:rFonts w:hint="eastAsia"/>
          <w:highlight w:val="none"/>
        </w:rPr>
        <w:t>。</w:t>
      </w:r>
      <w:r>
        <w:rPr>
          <w:rFonts w:hint="eastAsia"/>
          <w:highlight w:val="none"/>
          <w:lang w:val="en-US" w:eastAsia="zh-CN"/>
        </w:rPr>
        <w:t>当前</w:t>
      </w:r>
      <w:r>
        <w:rPr>
          <w:rFonts w:hint="eastAsia"/>
          <w:highlight w:val="none"/>
        </w:rPr>
        <w:t>我国公路发展正在转入拾遗补缺、做优增量、优化存量的高质量发展阶段。</w:t>
      </w:r>
    </w:p>
    <w:p w14:paraId="34E1F01F">
      <w:pPr>
        <w:pStyle w:val="5"/>
        <w:bidi w:val="0"/>
        <w:rPr>
          <w:rFonts w:hint="eastAsia"/>
          <w:highlight w:val="none"/>
        </w:rPr>
      </w:pPr>
      <w:r>
        <w:rPr>
          <w:rFonts w:hint="eastAsia"/>
          <w:b/>
          <w:bCs/>
          <w:highlight w:val="none"/>
        </w:rPr>
        <w:t>从国际来看，</w:t>
      </w:r>
      <w:r>
        <w:rPr>
          <w:rFonts w:hint="eastAsia"/>
          <w:highlight w:val="none"/>
        </w:rPr>
        <w:t>世界百年未有之大变局全方位深层次加速演进，全球化和逆全球化激烈交锋，世界政治经济格局深度调整。新一轮科技革命和产业变革加速突破，人工智能、新能源技术等前沿科技迭代融合，将重塑产业形态与经济格局。地缘冲突多发易发，南亚东南亚地区形势复杂多变，我国周边安全威胁和战略压力持续加大，直接影响跨境交通通道安全与互联互通推进</w:t>
      </w:r>
      <w:r>
        <w:rPr>
          <w:rFonts w:hint="eastAsia"/>
          <w:highlight w:val="none"/>
          <w:lang w:val="en-US" w:eastAsia="zh-CN"/>
        </w:rPr>
        <w:t>方向</w:t>
      </w:r>
      <w:r>
        <w:rPr>
          <w:rFonts w:hint="eastAsia"/>
          <w:highlight w:val="none"/>
        </w:rPr>
        <w:t>。</w:t>
      </w:r>
    </w:p>
    <w:p w14:paraId="1B8C3561">
      <w:pPr>
        <w:pStyle w:val="5"/>
        <w:bidi w:val="0"/>
        <w:rPr>
          <w:rFonts w:hint="eastAsia"/>
          <w:color w:val="auto"/>
          <w:highlight w:val="none"/>
        </w:rPr>
      </w:pPr>
      <w:r>
        <w:rPr>
          <w:rFonts w:hint="eastAsia"/>
          <w:b/>
          <w:bCs/>
          <w:highlight w:val="none"/>
        </w:rPr>
        <w:t>从国内来看，</w:t>
      </w:r>
      <w:r>
        <w:rPr>
          <w:rFonts w:hint="eastAsia"/>
          <w:highlight w:val="none"/>
        </w:rPr>
        <w:t>我国处于向高收入国家跨越的关键阶段，发展条件与增长模式深刻变革。传统动能增长空间收窄，有效需求不足，支撑发展的部分红利递减，但社会主义市场经济体制优势、超大规模市场需求优势等仍为交通基础设施建设提供坚实支撑</w:t>
      </w:r>
      <w:r>
        <w:rPr>
          <w:rFonts w:hint="eastAsia"/>
          <w:color w:val="auto"/>
          <w:highlight w:val="none"/>
        </w:rPr>
        <w:t>。</w:t>
      </w:r>
    </w:p>
    <w:p w14:paraId="43115549">
      <w:pPr>
        <w:pStyle w:val="5"/>
        <w:bidi w:val="0"/>
        <w:rPr>
          <w:rFonts w:hint="eastAsia"/>
          <w:highlight w:val="none"/>
        </w:rPr>
      </w:pPr>
      <w:r>
        <w:rPr>
          <w:rFonts w:hint="eastAsia"/>
          <w:b/>
          <w:bCs/>
          <w:highlight w:val="none"/>
        </w:rPr>
        <w:t>从全省来看，</w:t>
      </w:r>
      <w:r>
        <w:rPr>
          <w:rFonts w:hint="eastAsia"/>
          <w:highlight w:val="none"/>
          <w:lang w:val="en-US" w:eastAsia="zh-CN"/>
        </w:rPr>
        <w:t>目前边疆、民族、山区、美丽仍是云南最为突出的四大省情特征</w:t>
      </w:r>
      <w:r>
        <w:rPr>
          <w:rFonts w:hint="eastAsia"/>
          <w:highlight w:val="none"/>
        </w:rPr>
        <w:t>。当前</w:t>
      </w:r>
      <w:r>
        <w:rPr>
          <w:rFonts w:hint="eastAsia"/>
          <w:highlight w:val="none"/>
          <w:lang w:val="en-US" w:eastAsia="zh-CN"/>
        </w:rPr>
        <w:t>云南省</w:t>
      </w:r>
      <w:r>
        <w:rPr>
          <w:rFonts w:hint="eastAsia"/>
          <w:highlight w:val="none"/>
        </w:rPr>
        <w:t>正处于从高速增长向高质量发展转轨的关键阶段，面临债务风险凸显、资金土地要素趋紧、路网分布不均、投资边际效应降低</w:t>
      </w:r>
      <w:r>
        <w:rPr>
          <w:rFonts w:hint="eastAsia"/>
          <w:highlight w:val="none"/>
          <w:lang w:val="en-US" w:eastAsia="zh-CN"/>
        </w:rPr>
        <w:t>及科技创新支撑不足</w:t>
      </w:r>
      <w:r>
        <w:rPr>
          <w:rFonts w:hint="eastAsia"/>
          <w:highlight w:val="none"/>
        </w:rPr>
        <w:t>等挑战，未来将坚持稳中求进工作总基调，</w:t>
      </w:r>
      <w:r>
        <w:rPr>
          <w:rFonts w:hint="eastAsia"/>
          <w:b/>
          <w:bCs/>
          <w:highlight w:val="none"/>
        </w:rPr>
        <w:t>推动由</w:t>
      </w:r>
      <w:r>
        <w:rPr>
          <w:rFonts w:hint="eastAsia"/>
          <w:b/>
          <w:bCs/>
          <w:highlight w:val="none"/>
          <w:lang w:eastAsia="zh-CN"/>
        </w:rPr>
        <w:t>“</w:t>
      </w:r>
      <w:r>
        <w:rPr>
          <w:rFonts w:hint="eastAsia"/>
          <w:b/>
          <w:bCs/>
          <w:highlight w:val="none"/>
        </w:rPr>
        <w:t>适度超前</w:t>
      </w:r>
      <w:r>
        <w:rPr>
          <w:rFonts w:hint="eastAsia"/>
          <w:b/>
          <w:bCs/>
          <w:highlight w:val="none"/>
          <w:lang w:eastAsia="zh-CN"/>
        </w:rPr>
        <w:t>”</w:t>
      </w:r>
      <w:r>
        <w:rPr>
          <w:rFonts w:hint="eastAsia"/>
          <w:b/>
          <w:bCs/>
          <w:highlight w:val="none"/>
        </w:rPr>
        <w:t>向</w:t>
      </w:r>
      <w:r>
        <w:rPr>
          <w:rFonts w:hint="eastAsia"/>
          <w:b/>
          <w:bCs/>
          <w:highlight w:val="none"/>
          <w:lang w:eastAsia="zh-CN"/>
        </w:rPr>
        <w:t>“</w:t>
      </w:r>
      <w:r>
        <w:rPr>
          <w:rFonts w:hint="eastAsia"/>
          <w:b/>
          <w:bCs/>
          <w:highlight w:val="none"/>
        </w:rPr>
        <w:t>量力而行</w:t>
      </w:r>
      <w:r>
        <w:rPr>
          <w:rFonts w:hint="eastAsia"/>
          <w:b/>
          <w:bCs/>
          <w:highlight w:val="none"/>
          <w:lang w:eastAsia="zh-CN"/>
        </w:rPr>
        <w:t>”</w:t>
      </w:r>
      <w:r>
        <w:rPr>
          <w:rFonts w:hint="eastAsia"/>
          <w:b/>
          <w:bCs/>
          <w:highlight w:val="none"/>
        </w:rPr>
        <w:t>转变</w:t>
      </w:r>
      <w:r>
        <w:rPr>
          <w:rFonts w:hint="eastAsia"/>
          <w:highlight w:val="none"/>
        </w:rPr>
        <w:t>，“十五五”时期是“3815”战略发展目标“八年大发展”的收官期，全省将持续优结构、精准补短板，</w:t>
      </w:r>
      <w:r>
        <w:rPr>
          <w:rFonts w:hint="eastAsia"/>
          <w:b/>
          <w:bCs/>
          <w:highlight w:val="none"/>
        </w:rPr>
        <w:t>构建安全、便捷、高效、绿色、经济、包容、韧性的现代化综合交通运输体系</w:t>
      </w:r>
      <w:r>
        <w:rPr>
          <w:rFonts w:hint="eastAsia"/>
          <w:highlight w:val="none"/>
        </w:rPr>
        <w:t>，</w:t>
      </w:r>
      <w:r>
        <w:rPr>
          <w:rFonts w:hint="eastAsia"/>
          <w:highlight w:val="none"/>
          <w:lang w:val="en-US" w:eastAsia="zh-CN"/>
        </w:rPr>
        <w:t>推动</w:t>
      </w:r>
      <w:r>
        <w:rPr>
          <w:rFonts w:hint="eastAsia"/>
          <w:highlight w:val="none"/>
        </w:rPr>
        <w:t>交通运输实现质的有效提升和量的合理增长。</w:t>
      </w:r>
    </w:p>
    <w:p w14:paraId="225F1CA2">
      <w:pPr>
        <w:pStyle w:val="5"/>
        <w:bidi w:val="0"/>
        <w:rPr>
          <w:rFonts w:hint="eastAsia"/>
          <w:highlight w:val="none"/>
        </w:rPr>
      </w:pPr>
      <w:r>
        <w:rPr>
          <w:rFonts w:hint="eastAsia"/>
          <w:b/>
          <w:bCs/>
          <w:highlight w:val="none"/>
        </w:rPr>
        <w:t>从全市来看，</w:t>
      </w:r>
      <w:r>
        <w:rPr>
          <w:rFonts w:hint="eastAsia"/>
          <w:highlight w:val="none"/>
        </w:rPr>
        <w:t>昆明是我国面向南亚东南亚开放的核心门户，叠加“一带一路”、长江经济带、西部陆海新通道等多重国家战略，正依托中老铁路等国际大通道，联动磨憨打造国际口岸城市，实现从开放“末梢”向合作“前沿”的转变。石林地处昆明东南门户、滇东南入昆关键节点，是昆明辐射滇东、连通滇东南的重要交通枢纽。</w:t>
      </w:r>
    </w:p>
    <w:p w14:paraId="0F0A2623">
      <w:pPr>
        <w:pStyle w:val="5"/>
        <w:bidi w:val="0"/>
        <w:rPr>
          <w:rFonts w:hint="eastAsia"/>
          <w:highlight w:val="none"/>
        </w:rPr>
      </w:pPr>
      <w:r>
        <w:rPr>
          <w:rFonts w:hint="eastAsia"/>
          <w:highlight w:val="none"/>
        </w:rPr>
        <w:t>交通基础设施方面，昆明持续完善现代化综合交通运输体系，但辐射能力仍显不足。具体表现为：面向南亚东南亚的通道“通而不畅、通而不强”，国际交通枢纽的集聚作用有限，物流提质增效存在堵点；区域发展不平衡问题突出，城乡交通品质差距明显；资金保障压力持续增大，政府债务负担加重，融资渠道单一，运营维护资金短缺。</w:t>
      </w:r>
    </w:p>
    <w:p w14:paraId="427C2F4B">
      <w:pPr>
        <w:pStyle w:val="5"/>
        <w:bidi w:val="0"/>
        <w:rPr>
          <w:rFonts w:hint="eastAsia"/>
          <w:highlight w:val="none"/>
        </w:rPr>
      </w:pPr>
      <w:r>
        <w:rPr>
          <w:rFonts w:hint="eastAsia"/>
          <w:highlight w:val="none"/>
          <w:lang w:val="en-US" w:eastAsia="zh-CN"/>
        </w:rPr>
        <w:t>产业融合方面，</w:t>
      </w:r>
      <w:r>
        <w:rPr>
          <w:rFonts w:hint="eastAsia"/>
          <w:highlight w:val="none"/>
        </w:rPr>
        <w:t>旅游业为昆明的支柱产业之一。石林县作为云南昆明旅游的重要标识，具有无可替代的地位。</w:t>
      </w:r>
      <w:r>
        <w:rPr>
          <w:rFonts w:hint="eastAsia"/>
          <w:highlight w:val="none"/>
          <w:lang w:eastAsia="zh-CN"/>
        </w:rPr>
        <w:t>“十四五”期间</w:t>
      </w:r>
      <w:r>
        <w:rPr>
          <w:rFonts w:hint="eastAsia"/>
          <w:highlight w:val="none"/>
        </w:rPr>
        <w:t>，昆明游客接待量与旅游总花费的年均增速均超24%，昆明正加速打造世界级休闲度假旅游目的地，推动旅游模式从“单点观光”向“全域旅游”转变，构建“全域空间融合、全产业链联动”的发展格局。</w:t>
      </w:r>
    </w:p>
    <w:p w14:paraId="4F93EE34">
      <w:pPr>
        <w:pStyle w:val="4"/>
        <w:bidi w:val="0"/>
        <w:rPr>
          <w:rFonts w:hint="default"/>
          <w:highlight w:val="none"/>
          <w:lang w:val="en-US" w:eastAsia="zh-CN"/>
        </w:rPr>
      </w:pPr>
      <w:bookmarkStart w:id="12" w:name="_Toc27634"/>
      <w:bookmarkStart w:id="13" w:name="_Toc4893"/>
      <w:bookmarkStart w:id="14" w:name="_Toc10646"/>
      <w:r>
        <w:rPr>
          <w:rFonts w:hint="eastAsia"/>
          <w:highlight w:val="none"/>
          <w:lang w:val="en-US" w:eastAsia="zh-CN"/>
        </w:rPr>
        <w:t>2.发展要求</w:t>
      </w:r>
    </w:p>
    <w:p w14:paraId="67531DE6">
      <w:pPr>
        <w:pStyle w:val="5"/>
        <w:bidi w:val="0"/>
        <w:rPr>
          <w:rFonts w:hint="eastAsia"/>
          <w:highlight w:val="none"/>
        </w:rPr>
      </w:pPr>
      <w:r>
        <w:rPr>
          <w:rFonts w:hint="eastAsia"/>
          <w:highlight w:val="none"/>
        </w:rPr>
        <w:t>经济社会发展以及交通强国建设的新形势新任务对</w:t>
      </w:r>
      <w:r>
        <w:rPr>
          <w:rFonts w:hint="eastAsia"/>
          <w:highlight w:val="none"/>
          <w:lang w:val="en-US" w:eastAsia="zh-CN"/>
        </w:rPr>
        <w:t>石林</w:t>
      </w:r>
      <w:r>
        <w:rPr>
          <w:rFonts w:hint="eastAsia"/>
          <w:highlight w:val="none"/>
        </w:rPr>
        <w:t>综合交通运输发展提出了一系列新的要求。</w:t>
      </w:r>
    </w:p>
    <w:p w14:paraId="5911CD2E">
      <w:pPr>
        <w:pStyle w:val="5"/>
        <w:bidi w:val="0"/>
        <w:rPr>
          <w:rFonts w:hint="eastAsia"/>
          <w:highlight w:val="none"/>
        </w:rPr>
      </w:pPr>
      <w:r>
        <w:rPr>
          <w:rFonts w:hint="eastAsia"/>
          <w:b/>
          <w:bCs/>
          <w:highlight w:val="none"/>
        </w:rPr>
        <w:t>加快建设社会主义现代化强国，要求以交通运输高质量发展</w:t>
      </w:r>
      <w:r>
        <w:rPr>
          <w:rFonts w:hint="eastAsia"/>
          <w:b/>
          <w:bCs/>
          <w:highlight w:val="none"/>
          <w:lang w:val="en-US" w:eastAsia="zh-CN"/>
        </w:rPr>
        <w:t>为重要</w:t>
      </w:r>
      <w:r>
        <w:rPr>
          <w:rFonts w:hint="eastAsia"/>
          <w:b/>
          <w:bCs/>
          <w:highlight w:val="none"/>
        </w:rPr>
        <w:t>支撑</w:t>
      </w:r>
      <w:r>
        <w:rPr>
          <w:rFonts w:hint="eastAsia"/>
          <w:b/>
          <w:bCs/>
          <w:highlight w:val="none"/>
          <w:lang w:eastAsia="zh-CN"/>
        </w:rPr>
        <w:t>。</w:t>
      </w:r>
      <w:r>
        <w:rPr>
          <w:rFonts w:hint="eastAsia"/>
          <w:highlight w:val="none"/>
        </w:rPr>
        <w:t>“十五五</w:t>
      </w:r>
      <w:r>
        <w:rPr>
          <w:rFonts w:hint="eastAsia"/>
          <w:highlight w:val="none"/>
          <w:lang w:eastAsia="zh-CN"/>
        </w:rPr>
        <w:t>”时</w:t>
      </w:r>
      <w:r>
        <w:rPr>
          <w:rFonts w:hint="eastAsia"/>
          <w:highlight w:val="none"/>
        </w:rPr>
        <w:t>期是我国全面建设社会主义现代化国家的关键时期，</w:t>
      </w:r>
      <w:r>
        <w:rPr>
          <w:rFonts w:hint="eastAsia"/>
          <w:highlight w:val="none"/>
          <w:lang w:eastAsia="zh-CN"/>
        </w:rPr>
        <w:t>落实推进</w:t>
      </w:r>
      <w:r>
        <w:rPr>
          <w:rFonts w:hint="eastAsia"/>
          <w:highlight w:val="none"/>
        </w:rPr>
        <w:t>中华民族伟大复兴的战略部署，交通运输发展要紧扣中国式现代化特征。适应人口规模巨大的现代化，要求交通运输不断满足人民日益增长的出行需求；适应全体人民共同富裕的现代化，要求不断提升交通运输发展的均衡性、公平性、包容性；适应物质文明和精神文明相协调的现代化，要求交通运输推动硬实力和软实力实现双突破；适应人与自然和谐共生的现代化，要求将生态文明建设</w:t>
      </w:r>
      <w:r>
        <w:rPr>
          <w:rFonts w:hint="eastAsia"/>
          <w:highlight w:val="none"/>
          <w:lang w:eastAsia="zh-CN"/>
        </w:rPr>
        <w:t>融入</w:t>
      </w:r>
      <w:r>
        <w:rPr>
          <w:rFonts w:hint="eastAsia"/>
          <w:highlight w:val="none"/>
        </w:rPr>
        <w:t>交通运输发展的全过程和各环节；适应走和平发展道路的现代化，要求交通运输以</w:t>
      </w:r>
      <w:r>
        <w:rPr>
          <w:rFonts w:hint="eastAsia"/>
          <w:highlight w:val="none"/>
          <w:lang w:eastAsia="zh-CN"/>
        </w:rPr>
        <w:t>基础设施“硬联通”</w:t>
      </w:r>
      <w:r>
        <w:rPr>
          <w:rFonts w:hint="eastAsia"/>
          <w:highlight w:val="none"/>
        </w:rPr>
        <w:t>、制度规则</w:t>
      </w:r>
      <w:r>
        <w:rPr>
          <w:rFonts w:hint="eastAsia"/>
          <w:highlight w:val="none"/>
          <w:lang w:eastAsia="zh-CN"/>
        </w:rPr>
        <w:t>“软联通”</w:t>
      </w:r>
      <w:r>
        <w:rPr>
          <w:rFonts w:hint="eastAsia"/>
          <w:highlight w:val="none"/>
        </w:rPr>
        <w:t>推进民心相通。</w:t>
      </w:r>
    </w:p>
    <w:p w14:paraId="6F4CC3E7">
      <w:pPr>
        <w:pStyle w:val="5"/>
        <w:bidi w:val="0"/>
        <w:rPr>
          <w:rFonts w:hint="eastAsia"/>
          <w:highlight w:val="none"/>
        </w:rPr>
      </w:pPr>
      <w:r>
        <w:rPr>
          <w:rFonts w:hint="eastAsia"/>
          <w:b/>
          <w:bCs/>
          <w:highlight w:val="none"/>
          <w:lang w:val="en-US" w:eastAsia="zh-CN"/>
        </w:rPr>
        <w:t>服务区域一体化融合</w:t>
      </w:r>
      <w:r>
        <w:rPr>
          <w:rFonts w:hint="eastAsia"/>
          <w:b/>
          <w:bCs/>
          <w:highlight w:val="none"/>
        </w:rPr>
        <w:t>发展，要求精准补齐</w:t>
      </w:r>
      <w:r>
        <w:rPr>
          <w:rFonts w:hint="eastAsia"/>
          <w:b/>
          <w:bCs/>
          <w:highlight w:val="none"/>
          <w:lang w:val="en-US" w:eastAsia="zh-CN"/>
        </w:rPr>
        <w:t>短板，提升</w:t>
      </w:r>
      <w:r>
        <w:rPr>
          <w:rFonts w:hint="eastAsia"/>
          <w:b/>
          <w:bCs/>
          <w:highlight w:val="none"/>
        </w:rPr>
        <w:t>交通运输整体服务水平。</w:t>
      </w:r>
      <w:r>
        <w:rPr>
          <w:rFonts w:hint="eastAsia"/>
          <w:highlight w:val="none"/>
          <w:lang w:eastAsia="zh-CN"/>
        </w:rPr>
        <w:t>石林县应紧紧围绕市委“六个春城”部署，主动服务和融入昆明区域性国际中心城市建设，持续完善县域综合交通运输体系。通过精准补齐交通基础设施短板，加快构建“内畅外联”</w:t>
      </w:r>
      <w:r>
        <w:rPr>
          <w:rFonts w:hint="eastAsia"/>
          <w:highlight w:val="none"/>
          <w:lang w:val="en-US" w:eastAsia="zh-CN"/>
        </w:rPr>
        <w:t>交通网络格局</w:t>
      </w:r>
      <w:r>
        <w:rPr>
          <w:rFonts w:hint="eastAsia"/>
          <w:highlight w:val="none"/>
          <w:lang w:eastAsia="zh-CN"/>
        </w:rPr>
        <w:t>，进一步凸显区位节点优势，为区域一体化融合提供有力交通支撑。充分发挥交通运输在促进地方经济发展、缩小区域差距中的基础性与先导性作用，为石林县经济高质量发展和建设国际知名旅游目的地奠定坚实基础</w:t>
      </w:r>
      <w:r>
        <w:rPr>
          <w:rFonts w:hint="eastAsia"/>
          <w:highlight w:val="none"/>
        </w:rPr>
        <w:t>。</w:t>
      </w:r>
    </w:p>
    <w:p w14:paraId="60943751">
      <w:pPr>
        <w:pStyle w:val="5"/>
        <w:bidi w:val="0"/>
        <w:rPr>
          <w:rFonts w:hint="eastAsia"/>
          <w:highlight w:val="none"/>
        </w:rPr>
      </w:pPr>
      <w:r>
        <w:rPr>
          <w:rFonts w:hint="eastAsia"/>
          <w:b/>
          <w:bCs/>
          <w:highlight w:val="none"/>
        </w:rPr>
        <w:t>统筹推进新型城镇化和乡村全面振兴，要求深入推进城乡交通运输一体化发展。</w:t>
      </w:r>
      <w:bookmarkStart w:id="15" w:name="_Hlk194835046"/>
      <w:r>
        <w:rPr>
          <w:rFonts w:hint="eastAsia"/>
          <w:highlight w:val="none"/>
        </w:rPr>
        <w:t>立足石林县发展实际，把握交通</w:t>
      </w:r>
      <w:r>
        <w:rPr>
          <w:rFonts w:hint="eastAsia"/>
          <w:highlight w:val="none"/>
          <w:lang w:eastAsia="zh-CN"/>
        </w:rPr>
        <w:t>“</w:t>
      </w:r>
      <w:r>
        <w:rPr>
          <w:rFonts w:hint="eastAsia"/>
          <w:highlight w:val="none"/>
        </w:rPr>
        <w:t>均等化</w:t>
      </w:r>
      <w:r>
        <w:rPr>
          <w:rFonts w:hint="eastAsia"/>
          <w:highlight w:val="none"/>
          <w:lang w:eastAsia="zh-CN"/>
        </w:rPr>
        <w:t>”</w:t>
      </w:r>
      <w:r>
        <w:rPr>
          <w:rFonts w:hint="eastAsia"/>
          <w:highlight w:val="none"/>
        </w:rPr>
        <w:t>导向，聚焦县域路网“西强东弱、北优南弱”、西街口与大可乡等片区交通薄弱、自然村互联互通不足等突出短板精准发力。在县级财力有限、要素保障趋紧的现实条件下，</w:t>
      </w:r>
      <w:r>
        <w:rPr>
          <w:rFonts w:hint="eastAsia"/>
          <w:highlight w:val="none"/>
          <w:lang w:val="en-US" w:eastAsia="zh-CN"/>
        </w:rPr>
        <w:t>避免</w:t>
      </w:r>
      <w:r>
        <w:rPr>
          <w:rFonts w:hint="eastAsia"/>
          <w:highlight w:val="none"/>
        </w:rPr>
        <w:t>“重干线、轻末梢”的失衡发展。重点推进县乡村路网提质改造、城乡公交一体化延伸、县乡村三级物流末梢网络覆盖，聚焦农村公路安全生命防护工程、乡镇物流服务站升级、村级客货邮服务点布设等投资小、见效快、惠民实的项目，持续提升城乡交通基本公共服务均等化水平，以交通发展</w:t>
      </w:r>
      <w:r>
        <w:rPr>
          <w:rFonts w:hint="eastAsia"/>
          <w:highlight w:val="none"/>
          <w:lang w:val="en-US" w:eastAsia="zh-CN"/>
        </w:rPr>
        <w:t>筑牢</w:t>
      </w:r>
      <w:r>
        <w:rPr>
          <w:rFonts w:hint="eastAsia"/>
          <w:highlight w:val="none"/>
        </w:rPr>
        <w:t>乡村振兴</w:t>
      </w:r>
      <w:r>
        <w:rPr>
          <w:rFonts w:hint="eastAsia"/>
          <w:highlight w:val="none"/>
          <w:lang w:val="en-US" w:eastAsia="zh-CN"/>
        </w:rPr>
        <w:t>与</w:t>
      </w:r>
      <w:r>
        <w:rPr>
          <w:rFonts w:hint="eastAsia"/>
          <w:highlight w:val="none"/>
        </w:rPr>
        <w:t>民族团结基石。</w:t>
      </w:r>
      <w:bookmarkEnd w:id="15"/>
    </w:p>
    <w:p w14:paraId="11B1BAFC">
      <w:pPr>
        <w:pStyle w:val="5"/>
        <w:bidi w:val="0"/>
        <w:rPr>
          <w:rFonts w:hint="eastAsia"/>
          <w:highlight w:val="none"/>
        </w:rPr>
      </w:pPr>
      <w:r>
        <w:rPr>
          <w:rFonts w:hint="eastAsia"/>
          <w:b/>
          <w:bCs/>
          <w:highlight w:val="none"/>
        </w:rPr>
        <w:t>积极培育和发展新质生产力，要求交通运输创新绿色发展。</w:t>
      </w:r>
      <w:r>
        <w:rPr>
          <w:rFonts w:hint="eastAsia"/>
          <w:highlight w:val="none"/>
        </w:rPr>
        <w:t>当今世界正在经历新一轮科技革命和产业变革，数字经济、人工智能等新技术、新业态已成为实现经济社会发展的强大技术支撑。要求</w:t>
      </w:r>
      <w:bookmarkStart w:id="16" w:name="_Hlk194869066"/>
      <w:r>
        <w:rPr>
          <w:rFonts w:hint="eastAsia"/>
          <w:highlight w:val="none"/>
        </w:rPr>
        <w:t>以新质生产力引领交通运输新业态和引领交通运输产业创新升级，加快交通领域科技创新，</w:t>
      </w:r>
      <w:bookmarkEnd w:id="16"/>
      <w:r>
        <w:rPr>
          <w:rFonts w:hint="eastAsia"/>
          <w:highlight w:val="none"/>
        </w:rPr>
        <w:t>壮大“交通+产业”生态，发展低空经济、通道经济等，推动交通运输由依靠传统要素驱动向更加注重创新驱动转变。</w:t>
      </w:r>
      <w:bookmarkStart w:id="17" w:name="_Hlk194863501"/>
      <w:r>
        <w:rPr>
          <w:rFonts w:hint="eastAsia"/>
          <w:highlight w:val="none"/>
        </w:rPr>
        <w:t>积极稳妥推进碳达峰、碳中和，建设美丽中国，要求将生态文明理念贯穿综合交通建设和发展的全过程、各环节，实现发展模式绿色化转型，</w:t>
      </w:r>
      <w:bookmarkStart w:id="18" w:name="_Hlk194863403"/>
      <w:r>
        <w:rPr>
          <w:rFonts w:hint="eastAsia"/>
          <w:highlight w:val="none"/>
        </w:rPr>
        <w:t>持续推动绿美交通建设，</w:t>
      </w:r>
      <w:bookmarkEnd w:id="18"/>
      <w:r>
        <w:rPr>
          <w:rFonts w:hint="eastAsia"/>
          <w:highlight w:val="none"/>
        </w:rPr>
        <w:t>推进集约</w:t>
      </w:r>
      <w:r>
        <w:rPr>
          <w:rFonts w:hint="eastAsia"/>
          <w:highlight w:val="none"/>
          <w:lang w:eastAsia="zh-CN"/>
        </w:rPr>
        <w:t>节约</w:t>
      </w:r>
      <w:r>
        <w:rPr>
          <w:rFonts w:hint="eastAsia"/>
          <w:highlight w:val="none"/>
        </w:rPr>
        <w:t>运输、绿色运输和交通循环经济建设。</w:t>
      </w:r>
      <w:bookmarkEnd w:id="17"/>
    </w:p>
    <w:p w14:paraId="6883CACB">
      <w:pPr>
        <w:pStyle w:val="5"/>
        <w:bidi w:val="0"/>
        <w:rPr>
          <w:rFonts w:hint="eastAsia" w:ascii="宋体" w:hAnsi="宋体" w:eastAsia="方正仿宋_GBK" w:cs="方正仿宋_GBK"/>
          <w:szCs w:val="32"/>
          <w:highlight w:val="none"/>
        </w:rPr>
      </w:pPr>
      <w:r>
        <w:rPr>
          <w:rFonts w:hint="eastAsia"/>
          <w:b/>
          <w:bCs/>
          <w:highlight w:val="none"/>
        </w:rPr>
        <w:t>统筹高质量发展和高水平安全，全面推动交通运输安全发展。</w:t>
      </w:r>
      <w:r>
        <w:rPr>
          <w:rFonts w:hint="eastAsia"/>
          <w:highlight w:val="none"/>
        </w:rPr>
        <w:t>统筹高质量发展和高水平安全</w:t>
      </w:r>
      <w:r>
        <w:rPr>
          <w:rFonts w:hint="eastAsia"/>
          <w:highlight w:val="none"/>
          <w:lang w:eastAsia="zh-CN"/>
        </w:rPr>
        <w:t>，是</w:t>
      </w:r>
      <w:r>
        <w:rPr>
          <w:rFonts w:hint="eastAsia"/>
          <w:highlight w:val="none"/>
        </w:rPr>
        <w:t>以习近平同志为核心的党中央立足新发展阶段国际国内新形势新</w:t>
      </w:r>
      <w:r>
        <w:rPr>
          <w:rFonts w:hint="eastAsia"/>
          <w:highlight w:val="none"/>
          <w:lang w:eastAsia="zh-CN"/>
        </w:rPr>
        <w:t>情况</w:t>
      </w:r>
      <w:r>
        <w:rPr>
          <w:rFonts w:hint="eastAsia"/>
          <w:highlight w:val="none"/>
        </w:rPr>
        <w:t>作出的重大战略部署。充分发挥交通运输保障经济社会健康发展和国家安全的重要作用，要求</w:t>
      </w:r>
      <w:r>
        <w:rPr>
          <w:rFonts w:hint="eastAsia"/>
          <w:highlight w:val="none"/>
          <w:lang w:eastAsia="zh-CN"/>
        </w:rPr>
        <w:t>固</w:t>
      </w:r>
      <w:r>
        <w:rPr>
          <w:rFonts w:hint="eastAsia"/>
          <w:highlight w:val="none"/>
        </w:rPr>
        <w:t>行业安全发展根基、守安全生产底线、强应急管理体系，不断提升交通运输系统韧性</w:t>
      </w:r>
      <w:r>
        <w:rPr>
          <w:rFonts w:hint="eastAsia" w:ascii="宋体" w:hAnsi="宋体" w:eastAsia="方正仿宋_GBK" w:cs="方正仿宋_GBK"/>
          <w:szCs w:val="32"/>
          <w:highlight w:val="none"/>
        </w:rPr>
        <w:t>。</w:t>
      </w:r>
    </w:p>
    <w:p w14:paraId="6EB04430">
      <w:pPr>
        <w:pStyle w:val="2"/>
        <w:bidi w:val="0"/>
        <w:rPr>
          <w:rFonts w:hint="eastAsia"/>
          <w:highlight w:val="none"/>
        </w:rPr>
      </w:pPr>
      <w:bookmarkStart w:id="19" w:name="_Toc11092"/>
      <w:r>
        <w:rPr>
          <w:rFonts w:hint="eastAsia"/>
          <w:highlight w:val="none"/>
        </w:rPr>
        <w:t>总体要求</w:t>
      </w:r>
      <w:bookmarkEnd w:id="12"/>
      <w:bookmarkEnd w:id="13"/>
      <w:bookmarkEnd w:id="14"/>
      <w:bookmarkEnd w:id="19"/>
    </w:p>
    <w:p w14:paraId="61A9FC87">
      <w:pPr>
        <w:pStyle w:val="3"/>
        <w:numPr>
          <w:ilvl w:val="0"/>
          <w:numId w:val="0"/>
        </w:numPr>
        <w:bidi w:val="0"/>
        <w:ind w:left="0" w:leftChars="0" w:firstLine="640" w:firstLineChars="200"/>
        <w:rPr>
          <w:rFonts w:hint="eastAsia"/>
          <w:highlight w:val="none"/>
        </w:rPr>
      </w:pPr>
      <w:bookmarkStart w:id="20" w:name="_Toc5010"/>
      <w:bookmarkStart w:id="21" w:name="_Toc27731"/>
      <w:bookmarkStart w:id="22" w:name="_Toc18021"/>
      <w:bookmarkStart w:id="23" w:name="_Toc18189"/>
      <w:r>
        <w:rPr>
          <w:rFonts w:hint="eastAsia" w:ascii="宋体" w:hAnsi="宋体" w:eastAsia="方正楷体_GBK" w:cstheme="majorBidi"/>
          <w:bCs/>
          <w:kern w:val="2"/>
          <w:sz w:val="32"/>
          <w:szCs w:val="32"/>
          <w:highlight w:val="none"/>
          <w:lang w:val="en-US" w:eastAsia="zh-CN" w:bidi="ar-SA"/>
        </w:rPr>
        <w:t>（一）</w:t>
      </w:r>
      <w:r>
        <w:rPr>
          <w:rFonts w:hint="eastAsia"/>
          <w:highlight w:val="none"/>
        </w:rPr>
        <w:t>指导思想</w:t>
      </w:r>
      <w:bookmarkEnd w:id="20"/>
      <w:bookmarkEnd w:id="21"/>
      <w:bookmarkEnd w:id="22"/>
      <w:bookmarkEnd w:id="23"/>
    </w:p>
    <w:p w14:paraId="4596EC75">
      <w:pPr>
        <w:spacing w:line="600" w:lineRule="exact"/>
        <w:ind w:firstLine="640" w:firstLineChars="200"/>
        <w:rPr>
          <w:rFonts w:hint="eastAsia" w:ascii="宋体" w:hAnsi="宋体" w:eastAsia="方正仿宋_GBK" w:cs="方正仿宋_GBK"/>
          <w:sz w:val="32"/>
          <w:szCs w:val="32"/>
          <w:highlight w:val="none"/>
        </w:rPr>
      </w:pPr>
      <w:r>
        <w:rPr>
          <w:rFonts w:hint="eastAsia" w:ascii="宋体" w:hAnsi="宋体" w:eastAsia="方正仿宋_GBK" w:cs="方正仿宋_GBK"/>
          <w:sz w:val="32"/>
          <w:szCs w:val="32"/>
          <w:highlight w:val="none"/>
        </w:rPr>
        <w:t>以习近平新时代中国特色社会主义思想为指导，全面贯彻党的二十大和二十届</w:t>
      </w:r>
      <w:r>
        <w:rPr>
          <w:rFonts w:hint="eastAsia" w:ascii="宋体" w:hAnsi="宋体" w:eastAsia="方正仿宋_GBK" w:cs="方正仿宋_GBK"/>
          <w:sz w:val="32"/>
          <w:szCs w:val="32"/>
          <w:highlight w:val="none"/>
          <w:lang w:eastAsia="zh-CN"/>
        </w:rPr>
        <w:t>历次</w:t>
      </w:r>
      <w:r>
        <w:rPr>
          <w:rFonts w:hint="eastAsia" w:ascii="宋体" w:hAnsi="宋体" w:eastAsia="方正仿宋_GBK" w:cs="方正仿宋_GBK"/>
          <w:sz w:val="32"/>
          <w:szCs w:val="32"/>
          <w:highlight w:val="none"/>
        </w:rPr>
        <w:t>全会精神，深入贯彻</w:t>
      </w:r>
      <w:r>
        <w:rPr>
          <w:rFonts w:hint="eastAsia" w:ascii="宋体" w:hAnsi="宋体" w:eastAsia="方正仿宋_GBK" w:cs="方正仿宋_GBK"/>
          <w:sz w:val="32"/>
          <w:szCs w:val="32"/>
          <w:highlight w:val="none"/>
          <w:lang w:eastAsia="zh-CN"/>
        </w:rPr>
        <w:t>落实</w:t>
      </w:r>
      <w:r>
        <w:rPr>
          <w:rFonts w:hint="eastAsia" w:ascii="宋体" w:hAnsi="宋体" w:eastAsia="方正仿宋_GBK" w:cs="方正仿宋_GBK"/>
          <w:sz w:val="32"/>
          <w:szCs w:val="32"/>
          <w:highlight w:val="none"/>
        </w:rPr>
        <w:t>习近平总书记三次考察云南重要讲话</w:t>
      </w:r>
      <w:r>
        <w:rPr>
          <w:rFonts w:hint="eastAsia" w:ascii="宋体" w:hAnsi="宋体" w:eastAsia="方正仿宋_GBK" w:cs="方正仿宋_GBK"/>
          <w:sz w:val="32"/>
          <w:szCs w:val="32"/>
          <w:highlight w:val="none"/>
          <w:lang w:eastAsia="zh-CN"/>
        </w:rPr>
        <w:t>、</w:t>
      </w:r>
      <w:r>
        <w:rPr>
          <w:rFonts w:hint="eastAsia" w:ascii="宋体" w:hAnsi="宋体" w:eastAsia="方正仿宋_GBK" w:cs="方正仿宋_GBK"/>
          <w:color w:val="000000" w:themeColor="text1"/>
          <w:sz w:val="32"/>
          <w:szCs w:val="32"/>
          <w:highlight w:val="none"/>
          <w:lang w:eastAsia="zh-CN"/>
          <w14:textFill>
            <w14:solidFill>
              <w14:schemeClr w14:val="tx1"/>
            </w14:solidFill>
          </w14:textFill>
        </w:rPr>
        <w:t>重要指示</w:t>
      </w:r>
      <w:r>
        <w:rPr>
          <w:rFonts w:hint="eastAsia" w:ascii="宋体" w:hAnsi="宋体" w:eastAsia="方正仿宋_GBK" w:cs="方正仿宋_GBK"/>
          <w:color w:val="000000" w:themeColor="text1"/>
          <w:sz w:val="32"/>
          <w:szCs w:val="32"/>
          <w:highlight w:val="none"/>
          <w14:textFill>
            <w14:solidFill>
              <w14:schemeClr w14:val="tx1"/>
            </w14:solidFill>
          </w14:textFill>
        </w:rPr>
        <w:t>精</w:t>
      </w:r>
      <w:r>
        <w:rPr>
          <w:rFonts w:hint="eastAsia" w:ascii="宋体" w:hAnsi="宋体" w:eastAsia="方正仿宋_GBK" w:cs="方正仿宋_GBK"/>
          <w:sz w:val="32"/>
          <w:szCs w:val="32"/>
          <w:highlight w:val="none"/>
        </w:rPr>
        <w:t>神和省委</w:t>
      </w:r>
      <w:r>
        <w:rPr>
          <w:rFonts w:hint="eastAsia" w:ascii="宋体" w:hAnsi="宋体" w:eastAsia="方正仿宋_GBK" w:cs="方正仿宋_GBK"/>
          <w:sz w:val="32"/>
          <w:szCs w:val="32"/>
          <w:highlight w:val="none"/>
          <w:lang w:eastAsia="zh-CN"/>
        </w:rPr>
        <w:t>、</w:t>
      </w:r>
      <w:r>
        <w:rPr>
          <w:rFonts w:hint="eastAsia" w:ascii="宋体" w:hAnsi="宋体" w:eastAsia="方正仿宋_GBK" w:cs="方正仿宋_GBK"/>
          <w:sz w:val="32"/>
          <w:szCs w:val="32"/>
          <w:highlight w:val="none"/>
        </w:rPr>
        <w:t>市委全会</w:t>
      </w:r>
      <w:r>
        <w:rPr>
          <w:rFonts w:hint="eastAsia" w:ascii="宋体" w:hAnsi="宋体" w:eastAsia="方正仿宋_GBK" w:cs="方正仿宋_GBK"/>
          <w:sz w:val="32"/>
          <w:szCs w:val="32"/>
          <w:highlight w:val="none"/>
          <w:lang w:eastAsia="zh-CN"/>
        </w:rPr>
        <w:t>精神</w:t>
      </w:r>
      <w:r>
        <w:rPr>
          <w:rFonts w:hint="eastAsia" w:ascii="宋体" w:hAnsi="宋体" w:eastAsia="方正仿宋_GBK" w:cs="方正仿宋_GBK"/>
          <w:sz w:val="32"/>
          <w:szCs w:val="32"/>
          <w:highlight w:val="none"/>
        </w:rPr>
        <w:t>，坚持稳中求进工作总基调，完整、准确、全面贯彻新发展理念，</w:t>
      </w:r>
      <w:r>
        <w:rPr>
          <w:rFonts w:hint="eastAsia" w:ascii="宋体" w:hAnsi="宋体" w:eastAsia="方正仿宋_GBK" w:cs="方正仿宋_GBK"/>
          <w:sz w:val="32"/>
          <w:szCs w:val="32"/>
          <w:highlight w:val="none"/>
          <w:lang w:val="en-US" w:eastAsia="zh-CN"/>
        </w:rPr>
        <w:t>以</w:t>
      </w:r>
      <w:r>
        <w:rPr>
          <w:rFonts w:hint="eastAsia" w:ascii="宋体" w:hAnsi="宋体" w:eastAsia="方正仿宋_GBK" w:cs="方正仿宋_GBK"/>
          <w:sz w:val="32"/>
          <w:szCs w:val="32"/>
          <w:highlight w:val="none"/>
        </w:rPr>
        <w:t>克服封闭保守思想</w:t>
      </w:r>
      <w:r>
        <w:rPr>
          <w:rFonts w:hint="eastAsia" w:ascii="宋体" w:hAnsi="宋体" w:eastAsia="方正仿宋_GBK" w:cs="方正仿宋_GBK"/>
          <w:sz w:val="32"/>
          <w:szCs w:val="32"/>
          <w:highlight w:val="none"/>
          <w:lang w:eastAsia="zh-CN"/>
        </w:rPr>
        <w:t>、</w:t>
      </w:r>
      <w:r>
        <w:rPr>
          <w:rFonts w:hint="eastAsia" w:ascii="宋体" w:hAnsi="宋体" w:eastAsia="方正仿宋_GBK" w:cs="方正仿宋_GBK"/>
          <w:sz w:val="32"/>
          <w:szCs w:val="32"/>
          <w:highlight w:val="none"/>
        </w:rPr>
        <w:t>进一步全面深化改革为动力，围绕市委“六个春城”部署，深入实施“3815”战略发展目标</w:t>
      </w:r>
      <w:r>
        <w:rPr>
          <w:rFonts w:hint="eastAsia" w:ascii="宋体" w:hAnsi="宋体" w:eastAsia="方正仿宋_GBK" w:cs="方正仿宋_GBK"/>
          <w:sz w:val="32"/>
          <w:szCs w:val="32"/>
          <w:highlight w:val="none"/>
          <w:lang w:eastAsia="zh-CN"/>
        </w:rPr>
        <w:t>，</w:t>
      </w:r>
      <w:r>
        <w:rPr>
          <w:rFonts w:hint="eastAsia" w:ascii="宋体" w:hAnsi="宋体" w:eastAsia="方正仿宋_GBK" w:cs="方正仿宋_GBK"/>
          <w:sz w:val="32"/>
          <w:szCs w:val="32"/>
          <w:highlight w:val="none"/>
        </w:rPr>
        <w:t>主动服务和融入新发展格局</w:t>
      </w:r>
      <w:r>
        <w:rPr>
          <w:rFonts w:hint="eastAsia" w:ascii="宋体" w:hAnsi="宋体" w:eastAsia="方正仿宋_GBK" w:cs="方正仿宋_GBK"/>
          <w:sz w:val="32"/>
          <w:szCs w:val="32"/>
          <w:highlight w:val="none"/>
          <w:lang w:eastAsia="zh-CN"/>
        </w:rPr>
        <w:t>，</w:t>
      </w:r>
      <w:r>
        <w:rPr>
          <w:rFonts w:hint="eastAsia" w:ascii="宋体" w:hAnsi="宋体" w:eastAsia="方正仿宋_GBK" w:cs="方正仿宋_GBK"/>
          <w:sz w:val="32"/>
          <w:szCs w:val="32"/>
          <w:highlight w:val="none"/>
          <w:lang w:val="en-US" w:eastAsia="zh-CN"/>
        </w:rPr>
        <w:t>助力</w:t>
      </w:r>
      <w:r>
        <w:rPr>
          <w:rFonts w:hint="eastAsia" w:ascii="宋体" w:hAnsi="宋体" w:eastAsia="方正仿宋_GBK" w:cs="方正仿宋_GBK"/>
          <w:sz w:val="32"/>
          <w:szCs w:val="32"/>
          <w:highlight w:val="none"/>
        </w:rPr>
        <w:t>昆明区域性国际中心城市建设。</w:t>
      </w:r>
      <w:r>
        <w:rPr>
          <w:rFonts w:hint="eastAsia" w:ascii="宋体" w:hAnsi="宋体" w:eastAsia="方正仿宋_GBK" w:cs="方正仿宋_GBK"/>
          <w:sz w:val="32"/>
          <w:szCs w:val="32"/>
          <w:highlight w:val="none"/>
          <w:lang w:val="en-US" w:eastAsia="zh-CN"/>
        </w:rPr>
        <w:t>充分考量石林县的自身实际与发展短板，确保</w:t>
      </w:r>
      <w:r>
        <w:rPr>
          <w:rFonts w:hint="eastAsia" w:ascii="宋体" w:hAnsi="宋体" w:eastAsia="方正仿宋_GBK" w:cs="方正仿宋_GBK"/>
          <w:b/>
          <w:bCs/>
          <w:sz w:val="32"/>
          <w:szCs w:val="32"/>
          <w:highlight w:val="none"/>
          <w:lang w:val="en-US" w:eastAsia="zh-CN"/>
        </w:rPr>
        <w:t>规划目标切实可行、任务举措扎实落地</w:t>
      </w:r>
      <w:r>
        <w:rPr>
          <w:rFonts w:hint="eastAsia" w:ascii="宋体" w:hAnsi="宋体" w:eastAsia="方正仿宋_GBK" w:cs="方正仿宋_GBK"/>
          <w:sz w:val="32"/>
          <w:szCs w:val="32"/>
          <w:highlight w:val="none"/>
          <w:lang w:val="en-US" w:eastAsia="zh-CN"/>
        </w:rPr>
        <w:t>，</w:t>
      </w:r>
      <w:r>
        <w:rPr>
          <w:rFonts w:hint="eastAsia" w:ascii="宋体" w:hAnsi="宋体" w:eastAsia="方正仿宋_GBK" w:cs="方正仿宋_GBK"/>
          <w:sz w:val="32"/>
          <w:szCs w:val="32"/>
          <w:highlight w:val="none"/>
        </w:rPr>
        <w:t>实现交通运输质的有效提升和量的合理增长</w:t>
      </w:r>
      <w:r>
        <w:rPr>
          <w:rFonts w:hint="eastAsia" w:ascii="宋体" w:hAnsi="宋体" w:eastAsia="方正仿宋_GBK" w:cs="方正仿宋_GBK"/>
          <w:sz w:val="32"/>
          <w:szCs w:val="32"/>
          <w:highlight w:val="none"/>
          <w:lang w:eastAsia="zh-CN"/>
        </w:rPr>
        <w:t>。</w:t>
      </w:r>
      <w:r>
        <w:rPr>
          <w:rFonts w:hint="eastAsia" w:ascii="宋体" w:hAnsi="宋体" w:eastAsia="方正仿宋_GBK" w:cs="方正仿宋_GBK"/>
          <w:sz w:val="32"/>
          <w:szCs w:val="32"/>
          <w:highlight w:val="none"/>
        </w:rPr>
        <w:t>加快构建安全、</w:t>
      </w:r>
      <w:r>
        <w:rPr>
          <w:rFonts w:hint="eastAsia" w:ascii="宋体" w:hAnsi="宋体" w:eastAsia="方正仿宋_GBK" w:cs="方正仿宋_GBK"/>
          <w:b/>
          <w:bCs/>
          <w:sz w:val="32"/>
          <w:szCs w:val="32"/>
          <w:highlight w:val="none"/>
        </w:rPr>
        <w:t>便捷、高效、绿色、经济、包容、韧性的现代化可持续综合交通运输体系</w:t>
      </w:r>
      <w:r>
        <w:rPr>
          <w:rFonts w:hint="eastAsia" w:ascii="宋体" w:hAnsi="宋体" w:eastAsia="方正仿宋_GBK" w:cs="方正仿宋_GBK"/>
          <w:sz w:val="32"/>
          <w:szCs w:val="32"/>
          <w:highlight w:val="none"/>
        </w:rPr>
        <w:t>，显著提升石林国际知名旅游目的地</w:t>
      </w:r>
      <w:r>
        <w:rPr>
          <w:rFonts w:hint="eastAsia" w:ascii="宋体" w:hAnsi="宋体" w:eastAsia="方正仿宋_GBK" w:cs="方正仿宋_GBK"/>
          <w:sz w:val="32"/>
          <w:szCs w:val="32"/>
          <w:highlight w:val="none"/>
          <w:lang w:val="en-US" w:eastAsia="zh-CN"/>
        </w:rPr>
        <w:t>和</w:t>
      </w:r>
      <w:r>
        <w:rPr>
          <w:rFonts w:hint="eastAsia" w:ascii="宋体" w:hAnsi="宋体" w:eastAsia="方正仿宋_GBK" w:cs="方正仿宋_GBK"/>
          <w:sz w:val="32"/>
          <w:szCs w:val="32"/>
          <w:highlight w:val="none"/>
        </w:rPr>
        <w:t>“天然氧吧·旅居石林”的品牌形象，使其成为滇东旅游环线、昆明“黄金旅游线路”上的关键节点，为开创石林高质量发展新局面贡献交通力量。</w:t>
      </w:r>
    </w:p>
    <w:p w14:paraId="222E76C2">
      <w:pPr>
        <w:pStyle w:val="3"/>
        <w:numPr>
          <w:ilvl w:val="0"/>
          <w:numId w:val="0"/>
        </w:numPr>
        <w:bidi w:val="0"/>
        <w:ind w:left="0" w:leftChars="0" w:firstLine="640" w:firstLineChars="200"/>
        <w:rPr>
          <w:rFonts w:hint="eastAsia"/>
          <w:highlight w:val="none"/>
        </w:rPr>
      </w:pPr>
      <w:bookmarkStart w:id="24" w:name="_Toc6236"/>
      <w:bookmarkStart w:id="25" w:name="_Toc28581"/>
      <w:bookmarkStart w:id="26" w:name="_Toc8634"/>
      <w:bookmarkStart w:id="27" w:name="_Toc16783"/>
      <w:bookmarkStart w:id="28" w:name="_Toc26489"/>
      <w:bookmarkStart w:id="29" w:name="_Toc22675"/>
      <w:bookmarkStart w:id="30" w:name="_Toc31602"/>
      <w:r>
        <w:rPr>
          <w:rFonts w:hint="eastAsia" w:ascii="宋体" w:hAnsi="宋体" w:eastAsia="方正楷体_GBK" w:cstheme="majorBidi"/>
          <w:bCs/>
          <w:kern w:val="2"/>
          <w:sz w:val="32"/>
          <w:szCs w:val="32"/>
          <w:highlight w:val="none"/>
          <w:lang w:val="en-US" w:eastAsia="zh-CN" w:bidi="ar-SA"/>
        </w:rPr>
        <w:t>（二）</w:t>
      </w:r>
      <w:r>
        <w:rPr>
          <w:rFonts w:hint="eastAsia"/>
          <w:highlight w:val="none"/>
        </w:rPr>
        <w:t>基本原则</w:t>
      </w:r>
      <w:bookmarkEnd w:id="24"/>
      <w:bookmarkEnd w:id="25"/>
      <w:bookmarkEnd w:id="26"/>
      <w:bookmarkEnd w:id="27"/>
    </w:p>
    <w:p w14:paraId="3EFD61DF">
      <w:pPr>
        <w:pStyle w:val="5"/>
        <w:bidi w:val="0"/>
        <w:rPr>
          <w:rFonts w:hint="eastAsia"/>
          <w:highlight w:val="none"/>
        </w:rPr>
      </w:pPr>
      <w:r>
        <w:rPr>
          <w:rFonts w:hint="eastAsia"/>
          <w:b/>
          <w:bCs/>
          <w:highlight w:val="none"/>
        </w:rPr>
        <w:t>服务大局</w:t>
      </w:r>
      <w:r>
        <w:rPr>
          <w:rFonts w:hint="eastAsia"/>
          <w:b/>
          <w:bCs/>
          <w:highlight w:val="none"/>
          <w:lang w:eastAsia="zh-CN"/>
        </w:rPr>
        <w:t>，</w:t>
      </w:r>
      <w:r>
        <w:rPr>
          <w:rFonts w:hint="eastAsia"/>
          <w:b/>
          <w:bCs/>
          <w:highlight w:val="none"/>
        </w:rPr>
        <w:t>开放联动：</w:t>
      </w:r>
      <w:r>
        <w:rPr>
          <w:rFonts w:hint="eastAsia"/>
          <w:highlight w:val="none"/>
        </w:rPr>
        <w:t>衔接国家及省市级发展战略，推进与周边市县通道建设，强化石林在滇东旅游环线、昆明黄金旅游线路中的关键节点作用，提升区域服务定位。</w:t>
      </w:r>
    </w:p>
    <w:p w14:paraId="3BD9201B">
      <w:pPr>
        <w:pStyle w:val="5"/>
        <w:bidi w:val="0"/>
        <w:rPr>
          <w:rFonts w:hint="eastAsia"/>
          <w:highlight w:val="none"/>
        </w:rPr>
      </w:pPr>
      <w:r>
        <w:rPr>
          <w:rFonts w:hint="eastAsia"/>
          <w:b/>
          <w:bCs/>
          <w:highlight w:val="none"/>
        </w:rPr>
        <w:t>人民至上，公平普惠：</w:t>
      </w:r>
      <w:r>
        <w:rPr>
          <w:rFonts w:hint="eastAsia"/>
          <w:highlight w:val="none"/>
        </w:rPr>
        <w:t>聚焦群众交通出行“急难愁盼”，推进新一轮农村公路提升行动</w:t>
      </w:r>
      <w:r>
        <w:rPr>
          <w:rFonts w:hint="eastAsia"/>
          <w:highlight w:val="none"/>
          <w:lang w:eastAsia="zh-CN"/>
        </w:rPr>
        <w:t>，推动</w:t>
      </w:r>
      <w:r>
        <w:rPr>
          <w:rFonts w:hint="eastAsia"/>
          <w:highlight w:val="none"/>
        </w:rPr>
        <w:t>“四好农村路”高质量发展，建设人民满意</w:t>
      </w:r>
      <w:r>
        <w:rPr>
          <w:rFonts w:hint="eastAsia"/>
          <w:highlight w:val="none"/>
          <w:lang w:eastAsia="zh-CN"/>
        </w:rPr>
        <w:t>的交通</w:t>
      </w:r>
      <w:r>
        <w:rPr>
          <w:rFonts w:hint="eastAsia"/>
          <w:highlight w:val="none"/>
        </w:rPr>
        <w:t>。</w:t>
      </w:r>
    </w:p>
    <w:p w14:paraId="5ABB0173">
      <w:pPr>
        <w:pStyle w:val="5"/>
        <w:bidi w:val="0"/>
        <w:rPr>
          <w:rFonts w:hint="eastAsia"/>
          <w:highlight w:val="none"/>
        </w:rPr>
      </w:pPr>
      <w:r>
        <w:rPr>
          <w:rFonts w:hint="eastAsia"/>
          <w:b/>
          <w:bCs/>
          <w:highlight w:val="none"/>
        </w:rPr>
        <w:t>融合发展</w:t>
      </w:r>
      <w:r>
        <w:rPr>
          <w:rFonts w:hint="eastAsia"/>
          <w:b/>
          <w:bCs/>
          <w:highlight w:val="none"/>
          <w:lang w:eastAsia="zh-CN"/>
        </w:rPr>
        <w:t>，</w:t>
      </w:r>
      <w:r>
        <w:rPr>
          <w:rFonts w:hint="eastAsia"/>
          <w:b/>
          <w:bCs/>
          <w:highlight w:val="none"/>
        </w:rPr>
        <w:t>降本增效：</w:t>
      </w:r>
      <w:r>
        <w:rPr>
          <w:rFonts w:hint="eastAsia"/>
          <w:highlight w:val="none"/>
        </w:rPr>
        <w:t>推动交通发展向质量效益、一体化融合转变，实现质效提升</w:t>
      </w:r>
      <w:r>
        <w:rPr>
          <w:rFonts w:hint="eastAsia"/>
          <w:highlight w:val="none"/>
          <w:lang w:eastAsia="zh-CN"/>
        </w:rPr>
        <w:t>和</w:t>
      </w:r>
      <w:r>
        <w:rPr>
          <w:rFonts w:hint="eastAsia"/>
          <w:highlight w:val="none"/>
        </w:rPr>
        <w:t>量的合理增长，发挥各类运输方式整体效能。</w:t>
      </w:r>
    </w:p>
    <w:p w14:paraId="2E0A8DF5">
      <w:pPr>
        <w:pStyle w:val="5"/>
        <w:bidi w:val="0"/>
        <w:rPr>
          <w:rFonts w:hint="eastAsia"/>
          <w:highlight w:val="none"/>
        </w:rPr>
      </w:pPr>
      <w:r>
        <w:rPr>
          <w:rFonts w:hint="eastAsia"/>
          <w:b/>
          <w:bCs/>
          <w:highlight w:val="none"/>
        </w:rPr>
        <w:t>安全可靠</w:t>
      </w:r>
      <w:r>
        <w:rPr>
          <w:rFonts w:hint="eastAsia"/>
          <w:b/>
          <w:bCs/>
          <w:highlight w:val="none"/>
          <w:lang w:eastAsia="zh-CN"/>
        </w:rPr>
        <w:t>，</w:t>
      </w:r>
      <w:r>
        <w:rPr>
          <w:rFonts w:hint="eastAsia"/>
          <w:b/>
          <w:bCs/>
          <w:highlight w:val="none"/>
        </w:rPr>
        <w:t>保障有力：</w:t>
      </w:r>
      <w:r>
        <w:rPr>
          <w:rFonts w:hint="eastAsia"/>
          <w:b/>
          <w:bCs/>
          <w:highlight w:val="none"/>
          <w:lang w:eastAsia="zh-CN"/>
        </w:rPr>
        <w:t>统筹发展和安全</w:t>
      </w:r>
      <w:r>
        <w:rPr>
          <w:rFonts w:hint="eastAsia"/>
          <w:highlight w:val="none"/>
        </w:rPr>
        <w:t>，防范重大风险，强化安全生产，完善交通基础设施网络，提升路网韧性。</w:t>
      </w:r>
    </w:p>
    <w:p w14:paraId="65E24EAF">
      <w:pPr>
        <w:pStyle w:val="5"/>
        <w:bidi w:val="0"/>
        <w:rPr>
          <w:rFonts w:hint="default"/>
          <w:highlight w:val="none"/>
          <w:lang w:val="en-US" w:eastAsia="zh-CN"/>
        </w:rPr>
      </w:pPr>
      <w:r>
        <w:rPr>
          <w:rFonts w:hint="eastAsia"/>
          <w:b/>
          <w:bCs/>
          <w:highlight w:val="none"/>
        </w:rPr>
        <w:t>绿色发展</w:t>
      </w:r>
      <w:r>
        <w:rPr>
          <w:rFonts w:hint="eastAsia"/>
          <w:b/>
          <w:bCs/>
          <w:highlight w:val="none"/>
          <w:lang w:eastAsia="zh-CN"/>
        </w:rPr>
        <w:t>，</w:t>
      </w:r>
      <w:r>
        <w:rPr>
          <w:rFonts w:hint="eastAsia"/>
          <w:b/>
          <w:bCs/>
          <w:highlight w:val="none"/>
        </w:rPr>
        <w:t>创新驱动：</w:t>
      </w:r>
      <w:r>
        <w:rPr>
          <w:rFonts w:hint="eastAsia"/>
          <w:highlight w:val="none"/>
        </w:rPr>
        <w:t>践行生态环保理念，推动交通绿色低碳发展；以创新为引领，促进新技术新业态应用，推动交产融合。</w:t>
      </w:r>
    </w:p>
    <w:p w14:paraId="591F3CF0">
      <w:pPr>
        <w:pStyle w:val="3"/>
        <w:numPr>
          <w:ilvl w:val="0"/>
          <w:numId w:val="0"/>
        </w:numPr>
        <w:bidi w:val="0"/>
        <w:ind w:left="0" w:leftChars="0" w:firstLine="640" w:firstLineChars="200"/>
        <w:rPr>
          <w:rFonts w:hint="default"/>
          <w:highlight w:val="none"/>
          <w:lang w:val="en-US" w:eastAsia="zh-CN"/>
        </w:rPr>
      </w:pPr>
      <w:bookmarkStart w:id="31" w:name="_Toc21639"/>
      <w:r>
        <w:rPr>
          <w:rFonts w:hint="eastAsia" w:ascii="宋体" w:hAnsi="宋体" w:eastAsia="方正楷体_GBK" w:cstheme="majorBidi"/>
          <w:bCs/>
          <w:kern w:val="2"/>
          <w:sz w:val="32"/>
          <w:szCs w:val="32"/>
          <w:highlight w:val="none"/>
          <w:lang w:val="en-US" w:eastAsia="zh-CN" w:bidi="ar-SA"/>
        </w:rPr>
        <w:t>（三）</w:t>
      </w:r>
      <w:r>
        <w:rPr>
          <w:rFonts w:hint="eastAsia"/>
          <w:highlight w:val="none"/>
          <w:lang w:val="en-US" w:eastAsia="zh-CN"/>
        </w:rPr>
        <w:t>发展思路</w:t>
      </w:r>
      <w:bookmarkEnd w:id="31"/>
    </w:p>
    <w:p w14:paraId="2665D767">
      <w:pPr>
        <w:pStyle w:val="5"/>
        <w:bidi w:val="0"/>
        <w:rPr>
          <w:rFonts w:hint="eastAsia"/>
          <w:highlight w:val="none"/>
          <w:lang w:val="en-US" w:eastAsia="zh-CN"/>
        </w:rPr>
      </w:pPr>
      <w:r>
        <w:rPr>
          <w:rFonts w:hint="eastAsia"/>
          <w:highlight w:val="none"/>
          <w:lang w:val="en-US" w:eastAsia="zh-CN"/>
        </w:rPr>
        <w:t>“十五五”时期，石林县交通运输发展机遇与挑战并存、机遇大于挑战。既要立足县域发展实际破解现实瓶颈，也要紧抓国家、省、市、县战略机遇，以精准施策、靶向发力推动交通高质量发展，为全县经济社会发展提供支撑。</w:t>
      </w:r>
    </w:p>
    <w:p w14:paraId="65FE2A0A">
      <w:pPr>
        <w:pStyle w:val="4"/>
        <w:bidi w:val="0"/>
        <w:rPr>
          <w:rFonts w:hint="default"/>
          <w:highlight w:val="none"/>
          <w:lang w:val="en-US" w:eastAsia="zh-CN"/>
        </w:rPr>
      </w:pPr>
      <w:r>
        <w:rPr>
          <w:rFonts w:hint="eastAsia"/>
          <w:highlight w:val="none"/>
          <w:lang w:val="en-US" w:eastAsia="zh-CN"/>
        </w:rPr>
        <w:t>1.制约因素</w:t>
      </w:r>
    </w:p>
    <w:p w14:paraId="3B901E20">
      <w:pPr>
        <w:pStyle w:val="5"/>
        <w:bidi w:val="0"/>
        <w:rPr>
          <w:rFonts w:hint="eastAsia"/>
          <w:highlight w:val="none"/>
          <w:lang w:val="en-US" w:eastAsia="zh-CN"/>
        </w:rPr>
      </w:pPr>
      <w:r>
        <w:rPr>
          <w:rFonts w:hint="eastAsia"/>
          <w:highlight w:val="none"/>
          <w:lang w:val="en-US" w:eastAsia="zh-CN"/>
        </w:rPr>
        <w:t>当前石林交通发展受县域综合实力约束，项目建设与提质改造面临以下制约因素：</w:t>
      </w:r>
    </w:p>
    <w:p w14:paraId="68023A67">
      <w:pPr>
        <w:pStyle w:val="5"/>
        <w:bidi w:val="0"/>
        <w:rPr>
          <w:rFonts w:hint="eastAsia"/>
          <w:highlight w:val="none"/>
          <w:lang w:val="en-US" w:eastAsia="zh-CN"/>
        </w:rPr>
      </w:pPr>
      <w:r>
        <w:rPr>
          <w:rFonts w:hint="eastAsia"/>
          <w:highlight w:val="none"/>
          <w:lang w:val="en-US" w:eastAsia="zh-CN"/>
        </w:rPr>
        <w:t>一是财政保障压力大。税源结构单一、非税收入不稳、土地出让收益不及预期，叠加防风化债任务繁重，交通建设资金筹措难度大；二是项目储备不足。大项目、好项目储备不足，部分项目前期工作不扎实，导致建设进度滞后；三是要素保障弱。已列入国家公路网规划、云南省道网规划、昆明市及石林县“十四五”规划的部分项目，因投资规模较大，尚未争取到国家层面政策支持，仅靠县级财政难以独立推进；四是存量道路改造滞后。老326国道、豆金公路等移交地方管理的国省道，因建成时间早、使用年限长，加之县级财力有限，未能按“十四五”综合交通体系规划及时启动提升改造工程。</w:t>
      </w:r>
    </w:p>
    <w:p w14:paraId="54A15C34">
      <w:pPr>
        <w:pStyle w:val="4"/>
        <w:bidi w:val="0"/>
        <w:rPr>
          <w:rFonts w:hint="eastAsia"/>
          <w:highlight w:val="none"/>
          <w:lang w:val="en-US" w:eastAsia="zh-CN"/>
        </w:rPr>
      </w:pPr>
      <w:r>
        <w:rPr>
          <w:rFonts w:hint="eastAsia"/>
          <w:highlight w:val="none"/>
          <w:lang w:val="en-US" w:eastAsia="zh-CN"/>
        </w:rPr>
        <w:t>2.发展机遇</w:t>
      </w:r>
    </w:p>
    <w:p w14:paraId="3B61FD3D">
      <w:pPr>
        <w:pStyle w:val="5"/>
        <w:bidi w:val="0"/>
        <w:rPr>
          <w:rFonts w:hint="eastAsia"/>
          <w:highlight w:val="none"/>
          <w:lang w:val="en-US" w:eastAsia="zh-CN"/>
        </w:rPr>
      </w:pPr>
      <w:r>
        <w:rPr>
          <w:rFonts w:hint="eastAsia"/>
          <w:highlight w:val="none"/>
          <w:lang w:val="en-US" w:eastAsia="zh-CN"/>
        </w:rPr>
        <w:t>国家交通强国战略与农村交通、低空经济系列政策叠加实施，为石林县补齐交通基础设施短板、培育交通发展新动能带来机遇。国家深入推进交通强国建设，出台《交通强国建设纲要》《国家综合立体交通网规划纲要》等顶层设计，大力支持中西部地区完善交通网络；《新一轮农村公路提升行动方案》聚焦农村公路提质、安全保障与客货邮融合发展，与石林深化“四好农村路”建设、打通自然村联通堵点、助力乡村振兴的交通需求高度契合；国家鼓励低空经济创新发展，石林作为昆明低空区域起降场布局节点，可依托政策导向拓展低空文旅、低空物流应用场景，多重国家政策为石林争取国债、专项债、中央预算内投资等资金支持、破解交通发展瓶颈创造了有利条件。</w:t>
      </w:r>
    </w:p>
    <w:p w14:paraId="068B37A1">
      <w:pPr>
        <w:pStyle w:val="5"/>
        <w:bidi w:val="0"/>
        <w:rPr>
          <w:rFonts w:hint="eastAsia"/>
          <w:highlight w:val="none"/>
          <w:lang w:val="en-US" w:eastAsia="zh-CN"/>
        </w:rPr>
      </w:pPr>
      <w:r>
        <w:rPr>
          <w:rFonts w:hint="eastAsia"/>
          <w:highlight w:val="none"/>
          <w:lang w:val="en-US" w:eastAsia="zh-CN"/>
        </w:rPr>
        <w:t>云南省滇中城市群一体化与交通产业融合政策纵深推进，为石林县强化区域交通联动、深化“交通+”融合发展带来机遇。省委“3815”战略发展目标全面实施，滇中城市经济圈协同发展加速推进，石林作为滇中城市群重要节点、昆明1小时经济圈核心成员，可借力区域交通一体化政策强化与昆明、宜良、弥勒等周边县区通道衔接；省级出台交通旅游融合、高速公路融合发展政策，支持“高速+文旅、产业、光伏”多元融合，精准契合石林“1+3”百亿级产业发展需求；《云南省综合立体交通网规划纲要》《云南省公路网规划》重点强化滇东、滇东南交通通道建设，石林作为沿海及滇东、滇东南地区入昆门户，可主动对接省级规划、争取纳入重点通道建设范围，全面提升区域交通枢纽地位。</w:t>
      </w:r>
    </w:p>
    <w:p w14:paraId="60DDC189">
      <w:pPr>
        <w:pStyle w:val="5"/>
        <w:bidi w:val="0"/>
        <w:rPr>
          <w:rFonts w:hint="eastAsia"/>
          <w:highlight w:val="none"/>
          <w:lang w:val="en-US" w:eastAsia="zh-CN"/>
        </w:rPr>
      </w:pPr>
      <w:r>
        <w:rPr>
          <w:rFonts w:hint="eastAsia"/>
          <w:highlight w:val="none"/>
          <w:lang w:val="en-US" w:eastAsia="zh-CN"/>
        </w:rPr>
        <w:t>昆明市“强省会”战略与都市圈交通布局加快落地，为石林县融入同城化交通网络、完善县域路网配套带来机遇。昆明市全力推进国际性综合交通枢纽建设，谋划都市轨道、城际铁路等项目，助力石林快速融入昆明同城化交通网络、提升对外快速通达能力；市级重点打造滇东旅游环线、昆明黄金旅游线路，大力布局低空经济，为石林完善旅游交通配套、建设低空起降场及航线、打造交旅融合特色品牌提供政策支撑；昆明市深入推进县乡公路“互联互通”规划建设，石林板桥西站至宜良竹山、匡远至鹿阜等一批跨区域公路项目可纳入市级统筹实施，借力市级资源有效补齐区域交通衔接短板。</w:t>
      </w:r>
    </w:p>
    <w:p w14:paraId="012E2DB2">
      <w:pPr>
        <w:pStyle w:val="5"/>
        <w:bidi w:val="0"/>
        <w:rPr>
          <w:rFonts w:hint="eastAsia"/>
          <w:highlight w:val="none"/>
          <w:lang w:val="en-US" w:eastAsia="zh-CN"/>
        </w:rPr>
      </w:pPr>
      <w:r>
        <w:rPr>
          <w:rFonts w:hint="eastAsia"/>
          <w:highlight w:val="none"/>
          <w:lang w:val="en-US" w:eastAsia="zh-CN"/>
        </w:rPr>
        <w:t>石林县产业升级与交通基础优势协同释放，为全县交通运输提质增效、实现转型发展带来机遇。全县“1+3”百亿级产业（文旅、绿色肉制品、钙基新材料、人参果）加速培育，文旅产业亟须完善“快进慢游”交通网络，工业、农业亟须强化物流枢纽与产业路支撑，为交通项目谋划、资金争取提供核心牵引；当前石林对外通道单一、东北部与南部交通薄弱、农村公路互联互通不足等短板突出，交通提质扩容与县域经济社会发展、乡村振兴、全域旅游需求高度契合，交通建设空间广阔；全县已实现乡镇通三级公路、建制村通硬化路“双百”目标，拥有5条高速、2条铁路的坚实路网基础，可依托存量优势优化枢纽功能、拓展产业融合场景，推动交通运输从“基础保障型”向“发展赋能型”全面转型。</w:t>
      </w:r>
    </w:p>
    <w:p w14:paraId="2B4F0EE8">
      <w:pPr>
        <w:pStyle w:val="4"/>
        <w:bidi w:val="0"/>
        <w:ind w:firstLine="964" w:firstLineChars="300"/>
        <w:rPr>
          <w:rFonts w:hint="eastAsia"/>
          <w:highlight w:val="none"/>
          <w:lang w:val="en-US" w:eastAsia="zh-CN"/>
        </w:rPr>
      </w:pPr>
      <w:r>
        <w:rPr>
          <w:rFonts w:hint="eastAsia"/>
          <w:highlight w:val="none"/>
          <w:lang w:val="en-US" w:eastAsia="zh-CN"/>
        </w:rPr>
        <w:t>3.核心思路</w:t>
      </w:r>
    </w:p>
    <w:p w14:paraId="7F20E5F7">
      <w:pPr>
        <w:pStyle w:val="5"/>
        <w:bidi w:val="0"/>
        <w:rPr>
          <w:rFonts w:hint="eastAsia"/>
          <w:highlight w:val="none"/>
          <w:lang w:val="en-US" w:eastAsia="zh-CN"/>
        </w:rPr>
      </w:pPr>
      <w:r>
        <w:rPr>
          <w:rFonts w:hint="eastAsia"/>
          <w:highlight w:val="none"/>
          <w:lang w:val="en-US" w:eastAsia="zh-CN"/>
        </w:rPr>
        <w:t>立足石林实际，克服保守思想，坚持规划可行、举措落地，以</w:t>
      </w:r>
      <w:r>
        <w:rPr>
          <w:rFonts w:hint="eastAsia"/>
          <w:b/>
          <w:bCs/>
          <w:highlight w:val="none"/>
          <w:lang w:val="en-US" w:eastAsia="zh-CN"/>
        </w:rPr>
        <w:t>“补瓶颈、强网络、融产业、优服务”</w:t>
      </w:r>
      <w:r>
        <w:rPr>
          <w:rFonts w:hint="eastAsia"/>
          <w:highlight w:val="none"/>
          <w:lang w:val="en-US" w:eastAsia="zh-CN"/>
        </w:rPr>
        <w:t>为核心。</w:t>
      </w:r>
    </w:p>
    <w:p w14:paraId="2A0CD694">
      <w:pPr>
        <w:pStyle w:val="5"/>
        <w:bidi w:val="0"/>
        <w:rPr>
          <w:rFonts w:hint="eastAsia"/>
          <w:highlight w:val="none"/>
        </w:rPr>
      </w:pPr>
      <w:r>
        <w:rPr>
          <w:rFonts w:hint="eastAsia"/>
          <w:highlight w:val="none"/>
          <w:lang w:val="en-US" w:eastAsia="zh-CN"/>
        </w:rPr>
        <w:t>优先打通对外通道、县域薄弱片区等瓶颈路段，完善安防设施与交通管理平台；持续深化“四好农村路”建设，推进交通数字化转型，全面提升路网通达与运输能力；紧扣旅游城市定位与产业转型需求，强化交通对全域旅游、乡村振兴、产业集群的支撑作用，主动融入滇东旅游环线、昆明黄金旅游线路，构建</w:t>
      </w:r>
      <w:r>
        <w:rPr>
          <w:rFonts w:hint="eastAsia"/>
          <w:b/>
          <w:bCs/>
          <w:highlight w:val="none"/>
          <w:lang w:val="en-US" w:eastAsia="zh-CN"/>
        </w:rPr>
        <w:t>“外联内畅、快进慢游、智慧绿色、普惠均等”</w:t>
      </w:r>
      <w:r>
        <w:rPr>
          <w:rFonts w:hint="eastAsia"/>
          <w:highlight w:val="none"/>
          <w:lang w:val="en-US" w:eastAsia="zh-CN"/>
        </w:rPr>
        <w:t>的综合交通体系，为石林高质量发展筑牢交通根基。</w:t>
      </w:r>
    </w:p>
    <w:p w14:paraId="626B7925">
      <w:pPr>
        <w:pStyle w:val="3"/>
        <w:numPr>
          <w:ilvl w:val="0"/>
          <w:numId w:val="0"/>
        </w:numPr>
        <w:bidi w:val="0"/>
        <w:ind w:left="0" w:leftChars="0" w:firstLine="640" w:firstLineChars="200"/>
        <w:rPr>
          <w:rFonts w:hint="eastAsia"/>
          <w:highlight w:val="none"/>
        </w:rPr>
      </w:pPr>
      <w:bookmarkStart w:id="32" w:name="_Toc20099"/>
      <w:r>
        <w:rPr>
          <w:rFonts w:hint="eastAsia" w:ascii="宋体" w:hAnsi="宋体" w:eastAsia="方正楷体_GBK" w:cstheme="majorBidi"/>
          <w:bCs/>
          <w:kern w:val="2"/>
          <w:sz w:val="32"/>
          <w:szCs w:val="32"/>
          <w:highlight w:val="none"/>
          <w:lang w:val="en-US" w:eastAsia="zh-CN" w:bidi="ar-SA"/>
        </w:rPr>
        <w:t>（四）</w:t>
      </w:r>
      <w:r>
        <w:rPr>
          <w:rFonts w:hint="eastAsia"/>
          <w:highlight w:val="none"/>
        </w:rPr>
        <w:t>主要目标</w:t>
      </w:r>
      <w:bookmarkEnd w:id="28"/>
      <w:bookmarkEnd w:id="29"/>
      <w:bookmarkEnd w:id="30"/>
      <w:bookmarkEnd w:id="32"/>
    </w:p>
    <w:p w14:paraId="1C457823">
      <w:pPr>
        <w:pStyle w:val="5"/>
        <w:ind w:firstLine="643"/>
        <w:rPr>
          <w:rFonts w:hint="eastAsia" w:ascii="宋体" w:hAnsi="宋体"/>
          <w:highlight w:val="none"/>
        </w:rPr>
      </w:pPr>
      <w:r>
        <w:rPr>
          <w:rFonts w:hint="eastAsia" w:ascii="宋体" w:hAnsi="宋体"/>
          <w:highlight w:val="none"/>
          <w:lang w:eastAsia="zh-CN"/>
        </w:rPr>
        <w:t>“十五五”期间</w:t>
      </w:r>
      <w:r>
        <w:rPr>
          <w:rFonts w:hint="eastAsia" w:ascii="宋体" w:hAnsi="宋体"/>
          <w:highlight w:val="none"/>
        </w:rPr>
        <w:t>立足石林“滇中经济圈重要节点、昆明都市圈东南部交通门户”定位，紧扣交通强国、交通强省建设部署，锚定2035年远景目标，聚焦县域综合交通发展核心矛盾，持续推动交通运输行业高质量发展。到2030年，全县综合立体交通网络更加完善，交通基础设施短板弱项全面补齐。深度融入国家及省、市重大开放发展战略，强化与滇中城市群、周边县区及重点经济区的互联互通，交通基础设施布局持续优化。便捷高效的现代物流网络基本建成，客货运输服务品质和效率显著提升，交通安全保障能力全面增强，绿色低碳、智慧创新发展水平迈上新台阶。基本建成“外联内畅、布局均衡、快进慢游、智慧绿色、安全高效”的综合交通网络格局，进一步完善县域道路网系统，构建与石林旅游产业、特色产业发展相适配的一体化综合交通体系。全面提升石林在滇中经济圈及昆明都市圈中的功能定位和辐射服务能力，为全县旅游转型升级、产业提质增效、民生福祉改善提供坚实交通支撑。</w:t>
      </w:r>
    </w:p>
    <w:p w14:paraId="3E2AD63A">
      <w:pPr>
        <w:pStyle w:val="5"/>
        <w:ind w:firstLine="643"/>
        <w:rPr>
          <w:rFonts w:hint="eastAsia" w:ascii="宋体" w:hAnsi="宋体"/>
          <w:highlight w:val="none"/>
        </w:rPr>
      </w:pPr>
      <w:r>
        <w:rPr>
          <w:rFonts w:hint="eastAsia" w:ascii="宋体" w:hAnsi="宋体"/>
          <w:b/>
          <w:bCs/>
          <w:highlight w:val="none"/>
        </w:rPr>
        <w:t>基础设施</w:t>
      </w:r>
      <w:r>
        <w:rPr>
          <w:rFonts w:hint="eastAsia" w:ascii="宋体" w:hAnsi="宋体"/>
          <w:b/>
          <w:bCs/>
          <w:highlight w:val="none"/>
          <w:lang w:val="en-US" w:eastAsia="zh-CN"/>
        </w:rPr>
        <w:t>优化提升</w:t>
      </w:r>
      <w:r>
        <w:rPr>
          <w:rFonts w:hint="eastAsia" w:ascii="宋体" w:hAnsi="宋体"/>
          <w:b/>
          <w:bCs/>
          <w:highlight w:val="none"/>
          <w:lang w:eastAsia="zh-CN"/>
        </w:rPr>
        <w:t>，</w:t>
      </w:r>
      <w:r>
        <w:rPr>
          <w:rFonts w:hint="eastAsia" w:ascii="宋体" w:hAnsi="宋体"/>
          <w:b w:val="0"/>
          <w:bCs w:val="0"/>
          <w:highlight w:val="none"/>
        </w:rPr>
        <w:t>交通通道网络愈发完善</w:t>
      </w:r>
      <w:r>
        <w:rPr>
          <w:rFonts w:hint="eastAsia" w:ascii="宋体" w:hAnsi="宋体"/>
          <w:b w:val="0"/>
          <w:bCs w:val="0"/>
          <w:highlight w:val="none"/>
          <w:lang w:eastAsia="zh-CN"/>
        </w:rPr>
        <w:t>。</w:t>
      </w:r>
      <w:r>
        <w:rPr>
          <w:rFonts w:hint="eastAsia" w:ascii="宋体" w:hAnsi="宋体"/>
          <w:b w:val="0"/>
          <w:bCs w:val="0"/>
          <w:highlight w:val="none"/>
          <w:lang w:val="en-US" w:eastAsia="zh-CN"/>
        </w:rPr>
        <w:t>加快完成</w:t>
      </w:r>
      <w:r>
        <w:rPr>
          <w:rFonts w:hint="eastAsia" w:ascii="方正仿宋_GB2312" w:hAnsi="方正仿宋_GB2312" w:eastAsia="方正仿宋_GB2312" w:cs="方正仿宋_GB2312"/>
          <w:b w:val="0"/>
          <w:bCs w:val="0"/>
          <w:kern w:val="2"/>
          <w:sz w:val="32"/>
          <w:szCs w:val="32"/>
          <w:highlight w:val="none"/>
          <w:lang w:val="en-US" w:eastAsia="zh-CN" w:bidi="ar-SA"/>
        </w:rPr>
        <w:t>主通道扩容改建，</w:t>
      </w:r>
      <w:r>
        <w:rPr>
          <w:rFonts w:hint="eastAsia" w:ascii="宋体" w:hAnsi="宋体"/>
          <w:b w:val="0"/>
          <w:bCs w:val="0"/>
          <w:highlight w:val="none"/>
        </w:rPr>
        <w:t>强化与周边宜良、弥勒、泸西等县区的连通，构建多通道互补的高速联通格局。</w:t>
      </w:r>
      <w:r>
        <w:rPr>
          <w:rFonts w:hint="eastAsia" w:ascii="宋体" w:hAnsi="宋体"/>
          <w:highlight w:val="yellow"/>
        </w:rPr>
        <w:t>公路总里程力争达到</w:t>
      </w:r>
      <w:r>
        <w:rPr>
          <w:rFonts w:hint="eastAsia" w:ascii="宋体" w:hAnsi="宋体" w:eastAsia="宋体" w:cs="宋体"/>
          <w:highlight w:val="yellow"/>
          <w:lang w:val="en-US" w:eastAsia="zh-CN"/>
        </w:rPr>
        <w:t>XX</w:t>
      </w:r>
      <w:r>
        <w:rPr>
          <w:rFonts w:hint="eastAsia" w:ascii="宋体" w:hAnsi="宋体"/>
          <w:highlight w:val="yellow"/>
        </w:rPr>
        <w:t>公里</w:t>
      </w:r>
      <w:r>
        <w:rPr>
          <w:rFonts w:hint="eastAsia" w:ascii="宋体" w:hAnsi="宋体"/>
          <w:highlight w:val="yellow"/>
          <w:lang w:eastAsia="zh-CN"/>
        </w:rPr>
        <w:t>，</w:t>
      </w:r>
      <w:r>
        <w:rPr>
          <w:rFonts w:hint="eastAsia" w:ascii="宋体" w:hAnsi="宋体"/>
          <w:highlight w:val="yellow"/>
        </w:rPr>
        <w:t>普通国道二级以上公路比重达</w:t>
      </w:r>
      <w:r>
        <w:rPr>
          <w:rFonts w:hint="eastAsia" w:ascii="宋体" w:hAnsi="宋体" w:eastAsia="宋体" w:cs="宋体"/>
          <w:highlight w:val="yellow"/>
          <w:lang w:val="en-US" w:eastAsia="zh-CN"/>
        </w:rPr>
        <w:t>XX</w:t>
      </w:r>
      <w:r>
        <w:rPr>
          <w:rFonts w:hint="eastAsia" w:ascii="宋体" w:hAnsi="宋体" w:eastAsia="宋体" w:cs="宋体"/>
          <w:highlight w:val="yellow"/>
        </w:rPr>
        <w:t>%</w:t>
      </w:r>
      <w:r>
        <w:rPr>
          <w:rFonts w:hint="eastAsia" w:ascii="宋体" w:hAnsi="宋体" w:cs="方正仿宋_GBK"/>
          <w:highlight w:val="yellow"/>
        </w:rPr>
        <w:t>以上（全省目前为60%），普通省道三级及以上公路比重达</w:t>
      </w:r>
      <w:r>
        <w:rPr>
          <w:rFonts w:hint="eastAsia" w:ascii="宋体" w:hAnsi="宋体" w:eastAsia="宋体" w:cs="宋体"/>
          <w:highlight w:val="yellow"/>
          <w:lang w:val="en-US" w:eastAsia="zh-CN"/>
        </w:rPr>
        <w:t>XX</w:t>
      </w:r>
      <w:r>
        <w:rPr>
          <w:rFonts w:hint="eastAsia" w:ascii="宋体" w:hAnsi="宋体" w:eastAsia="宋体" w:cs="宋体"/>
          <w:highlight w:val="yellow"/>
        </w:rPr>
        <w:t>%</w:t>
      </w:r>
      <w:r>
        <w:rPr>
          <w:rFonts w:hint="eastAsia" w:ascii="宋体" w:hAnsi="宋体" w:cs="方正仿宋_GBK"/>
          <w:highlight w:val="yellow"/>
        </w:rPr>
        <w:t>以上</w:t>
      </w:r>
      <w:r>
        <w:rPr>
          <w:rFonts w:hint="eastAsia" w:ascii="宋体" w:hAnsi="宋体" w:eastAsia="宋体" w:cs="宋体"/>
          <w:highlight w:val="yellow"/>
        </w:rPr>
        <w:t>（</w:t>
      </w:r>
      <w:r>
        <w:rPr>
          <w:rFonts w:hint="eastAsia" w:ascii="宋体" w:hAnsi="宋体" w:cs="方正仿宋_GBK"/>
          <w:highlight w:val="yellow"/>
        </w:rPr>
        <w:t>全省目前为56%</w:t>
      </w:r>
      <w:r>
        <w:rPr>
          <w:rFonts w:hint="eastAsia" w:ascii="宋体" w:hAnsi="宋体" w:eastAsia="宋体" w:cs="宋体"/>
          <w:highlight w:val="yellow"/>
        </w:rPr>
        <w:t>）</w:t>
      </w:r>
      <w:r>
        <w:rPr>
          <w:rFonts w:hint="eastAsia" w:ascii="宋体" w:hAnsi="宋体" w:cs="方正仿宋_GBK"/>
          <w:highlight w:val="yellow"/>
        </w:rPr>
        <w:t>；</w:t>
      </w:r>
      <w:r>
        <w:rPr>
          <w:rFonts w:hint="eastAsia" w:ascii="宋体" w:hAnsi="宋体" w:cs="方正仿宋_GBK"/>
          <w:highlight w:val="none"/>
        </w:rPr>
        <w:t>具备条件的建制村通双车道公路比例达到100%，20户以上自然村通硬化路率保持100%。</w:t>
      </w:r>
      <w:r>
        <w:rPr>
          <w:rFonts w:hint="eastAsia" w:ascii="方正仿宋_GB2312" w:hAnsi="方正仿宋_GB2312" w:eastAsia="方正仿宋_GB2312" w:cs="方正仿宋_GB2312"/>
          <w:b w:val="0"/>
          <w:bCs w:val="0"/>
          <w:kern w:val="2"/>
          <w:sz w:val="32"/>
          <w:szCs w:val="32"/>
          <w:highlight w:val="none"/>
          <w:lang w:val="en-US" w:eastAsia="zh-CN" w:bidi="ar-SA"/>
        </w:rPr>
        <w:t>统筹推进公铁联运、低空经济配套完善，强化公铁无缝衔接。邮政快递服务网络持续健全，覆盖城乡的服务体系不断完善</w:t>
      </w:r>
      <w:r>
        <w:rPr>
          <w:rFonts w:hint="eastAsia" w:ascii="宋体" w:hAnsi="宋体"/>
          <w:highlight w:val="none"/>
        </w:rPr>
        <w:t>。层次分明、功能清晰、衔接便捷和运转高效的综合交通枢纽体系构建取得显著进展。</w:t>
      </w:r>
    </w:p>
    <w:p w14:paraId="43EB2BE2">
      <w:pPr>
        <w:pStyle w:val="5"/>
        <w:ind w:firstLine="643"/>
        <w:rPr>
          <w:rFonts w:hint="eastAsia" w:ascii="宋体" w:hAnsi="宋体"/>
          <w:highlight w:val="none"/>
        </w:rPr>
      </w:pPr>
      <w:r>
        <w:rPr>
          <w:rFonts w:hint="eastAsia" w:ascii="宋体" w:hAnsi="宋体"/>
          <w:b/>
          <w:bCs/>
          <w:highlight w:val="none"/>
        </w:rPr>
        <w:t>运输服务优质高效。</w:t>
      </w:r>
      <w:r>
        <w:rPr>
          <w:rFonts w:hint="eastAsia" w:ascii="宋体" w:hAnsi="宋体"/>
          <w:highlight w:val="none"/>
        </w:rPr>
        <w:t>优化</w:t>
      </w:r>
      <w:r>
        <w:rPr>
          <w:rFonts w:hint="eastAsia" w:ascii="宋体" w:hAnsi="宋体"/>
          <w:highlight w:val="none"/>
          <w:lang w:val="en-US" w:eastAsia="zh-CN"/>
        </w:rPr>
        <w:t>调整</w:t>
      </w:r>
      <w:r>
        <w:rPr>
          <w:rFonts w:hint="eastAsia" w:ascii="宋体" w:hAnsi="宋体"/>
          <w:highlight w:val="none"/>
        </w:rPr>
        <w:t>运输结构</w:t>
      </w:r>
      <w:r>
        <w:rPr>
          <w:rFonts w:hint="eastAsia" w:ascii="宋体" w:hAnsi="宋体"/>
          <w:highlight w:val="none"/>
          <w:lang w:eastAsia="zh-CN"/>
        </w:rPr>
        <w:t>，</w:t>
      </w:r>
      <w:r>
        <w:rPr>
          <w:rFonts w:hint="eastAsia" w:ascii="宋体" w:hAnsi="宋体"/>
          <w:highlight w:val="none"/>
          <w:lang w:val="en-US" w:eastAsia="zh-CN"/>
        </w:rPr>
        <w:t>促进</w:t>
      </w:r>
      <w:r>
        <w:rPr>
          <w:rFonts w:hint="eastAsia" w:ascii="宋体" w:hAnsi="宋体"/>
          <w:highlight w:val="none"/>
        </w:rPr>
        <w:t>各</w:t>
      </w:r>
      <w:r>
        <w:rPr>
          <w:rFonts w:hint="eastAsia" w:ascii="宋体" w:hAnsi="宋体"/>
          <w:highlight w:val="none"/>
          <w:lang w:val="en-US" w:eastAsia="zh-CN"/>
        </w:rPr>
        <w:t>类</w:t>
      </w:r>
      <w:r>
        <w:rPr>
          <w:rFonts w:hint="eastAsia" w:ascii="宋体" w:hAnsi="宋体"/>
          <w:highlight w:val="none"/>
        </w:rPr>
        <w:t>运输方式深度衔接，县乡村三级物流配送网络更加健全，市内外、城乡间等多层次交通运输转换更加顺畅，</w:t>
      </w:r>
      <w:r>
        <w:rPr>
          <w:rFonts w:hint="eastAsia" w:ascii="宋体" w:hAnsi="宋体"/>
          <w:color w:val="000000" w:themeColor="text1"/>
          <w:highlight w:val="none"/>
          <w:lang w:val="en-US" w:eastAsia="zh-CN"/>
          <w14:textFill>
            <w14:solidFill>
              <w14:schemeClr w14:val="tx1"/>
            </w14:solidFill>
          </w14:textFill>
        </w:rPr>
        <w:t>加快构建</w:t>
      </w:r>
      <w:r>
        <w:rPr>
          <w:rFonts w:hint="eastAsia" w:ascii="宋体" w:hAnsi="宋体"/>
          <w:color w:val="000000" w:themeColor="text1"/>
          <w:highlight w:val="none"/>
          <w14:textFill>
            <w14:solidFill>
              <w14:schemeClr w14:val="tx1"/>
            </w14:solidFill>
          </w14:textFill>
        </w:rPr>
        <w:t>高效、经济、可靠的多式联运系统</w:t>
      </w:r>
      <w:r>
        <w:rPr>
          <w:rFonts w:hint="eastAsia" w:ascii="宋体" w:hAnsi="宋体"/>
          <w:color w:val="000000" w:themeColor="text1"/>
          <w:highlight w:val="none"/>
          <w:lang w:eastAsia="zh-CN"/>
          <w14:textFill>
            <w14:solidFill>
              <w14:schemeClr w14:val="tx1"/>
            </w14:solidFill>
          </w14:textFill>
        </w:rPr>
        <w:t>，</w:t>
      </w:r>
      <w:r>
        <w:rPr>
          <w:rFonts w:hint="eastAsia" w:ascii="宋体" w:hAnsi="宋体"/>
          <w:highlight w:val="none"/>
          <w:lang w:val="en-US" w:eastAsia="zh-CN"/>
        </w:rPr>
        <w:t>推进</w:t>
      </w:r>
      <w:r>
        <w:rPr>
          <w:rFonts w:hint="eastAsia" w:ascii="宋体" w:hAnsi="宋体"/>
          <w:highlight w:val="none"/>
        </w:rPr>
        <w:t>物流降本提质增效</w:t>
      </w:r>
      <w:r>
        <w:rPr>
          <w:rFonts w:hint="eastAsia" w:ascii="宋体" w:hAnsi="宋体"/>
          <w:color w:val="000000" w:themeColor="text1"/>
          <w:highlight w:val="none"/>
          <w14:textFill>
            <w14:solidFill>
              <w14:schemeClr w14:val="tx1"/>
            </w14:solidFill>
          </w14:textFill>
        </w:rPr>
        <w:t>；</w:t>
      </w:r>
      <w:r>
        <w:rPr>
          <w:rFonts w:hint="eastAsia" w:ascii="宋体" w:hAnsi="宋体"/>
          <w:highlight w:val="none"/>
        </w:rPr>
        <w:t>运输服务能力显著提升，旅客出行服务系统更加智能，联程运输能力不断增强，客运出行体验进一步提升，特殊人群和适老化服务能力显著增强，城市公共交通网络更加完善，城乡一体化客运服务水平进一步提高。</w:t>
      </w:r>
    </w:p>
    <w:p w14:paraId="014BED33">
      <w:pPr>
        <w:pStyle w:val="5"/>
        <w:ind w:firstLine="643"/>
        <w:rPr>
          <w:rFonts w:hint="eastAsia" w:ascii="宋体" w:hAnsi="宋体"/>
          <w:color w:val="auto"/>
          <w:highlight w:val="none"/>
        </w:rPr>
      </w:pPr>
      <w:r>
        <w:rPr>
          <w:rFonts w:hint="eastAsia" w:ascii="宋体" w:hAnsi="宋体"/>
          <w:b/>
          <w:bCs/>
          <w:color w:val="auto"/>
          <w:highlight w:val="none"/>
        </w:rPr>
        <w:t>转型发展成效凸显</w:t>
      </w:r>
      <w:r>
        <w:rPr>
          <w:rFonts w:hint="eastAsia" w:ascii="宋体" w:hAnsi="宋体"/>
          <w:color w:val="auto"/>
          <w:highlight w:val="none"/>
        </w:rPr>
        <w:t>。基础设施养护转型持续推动，</w:t>
      </w:r>
      <w:r>
        <w:rPr>
          <w:rFonts w:hint="eastAsia" w:ascii="宋体" w:hAnsi="宋体" w:cs="方正仿宋_GBK"/>
          <w:color w:val="auto"/>
          <w:highlight w:val="none"/>
        </w:rPr>
        <w:t>养护体制机制加快完善</w:t>
      </w:r>
      <w:r>
        <w:rPr>
          <w:rFonts w:hint="eastAsia" w:ascii="宋体" w:hAnsi="宋体"/>
          <w:color w:val="auto"/>
          <w:highlight w:val="none"/>
        </w:rPr>
        <w:t>。</w:t>
      </w:r>
      <w:bookmarkStart w:id="33" w:name="_Hlk184478313"/>
      <w:r>
        <w:rPr>
          <w:rFonts w:hint="eastAsia" w:ascii="宋体" w:hAnsi="宋体" w:cs="方正仿宋_GBK"/>
          <w:color w:val="auto"/>
          <w:highlight w:val="none"/>
        </w:rPr>
        <w:t>智慧交通发展迈上新台阶</w:t>
      </w:r>
      <w:bookmarkEnd w:id="33"/>
      <w:r>
        <w:rPr>
          <w:rFonts w:hint="eastAsia" w:ascii="宋体" w:hAnsi="宋体" w:cs="方正仿宋_GBK"/>
          <w:color w:val="auto"/>
          <w:highlight w:val="none"/>
        </w:rPr>
        <w:t>，交通运输基础设施智能化及大数据应用水平大幅提升。“交通+”加速发展，</w:t>
      </w:r>
      <w:r>
        <w:rPr>
          <w:rFonts w:hint="eastAsia" w:ascii="宋体" w:hAnsi="宋体" w:cs="方正仿宋_GBK"/>
          <w:color w:val="auto"/>
          <w:highlight w:val="none"/>
          <w:lang w:val="en-US" w:eastAsia="zh-CN"/>
        </w:rPr>
        <w:t>交产融合</w:t>
      </w:r>
      <w:r>
        <w:rPr>
          <w:rFonts w:hint="eastAsia" w:ascii="宋体" w:hAnsi="宋体" w:cs="方正仿宋_GBK"/>
          <w:color w:val="auto"/>
          <w:highlight w:val="none"/>
        </w:rPr>
        <w:t>取得新进展。</w:t>
      </w:r>
      <w:bookmarkStart w:id="34" w:name="_Hlk184478323"/>
      <w:r>
        <w:rPr>
          <w:rFonts w:hint="eastAsia" w:ascii="宋体" w:hAnsi="宋体" w:cs="方正仿宋_GBK"/>
          <w:color w:val="auto"/>
          <w:highlight w:val="none"/>
        </w:rPr>
        <w:t>安全应急保障有力</w:t>
      </w:r>
      <w:bookmarkEnd w:id="34"/>
      <w:r>
        <w:rPr>
          <w:rFonts w:hint="eastAsia" w:ascii="宋体" w:hAnsi="宋体" w:cs="方正仿宋_GBK"/>
          <w:color w:val="auto"/>
          <w:highlight w:val="none"/>
        </w:rPr>
        <w:t>，交通运输安全应急和救援体系完备，重特大事故得到有效遏制。</w:t>
      </w:r>
      <w:bookmarkStart w:id="35" w:name="_Hlk184478342"/>
      <w:r>
        <w:rPr>
          <w:rFonts w:hint="eastAsia" w:ascii="宋体" w:hAnsi="宋体" w:cs="方正仿宋_GBK"/>
          <w:color w:val="auto"/>
          <w:highlight w:val="none"/>
        </w:rPr>
        <w:t>绿美交通建设</w:t>
      </w:r>
      <w:bookmarkEnd w:id="35"/>
      <w:r>
        <w:rPr>
          <w:rFonts w:hint="eastAsia" w:ascii="宋体" w:hAnsi="宋体" w:cs="方正仿宋_GBK"/>
          <w:color w:val="auto"/>
          <w:highlight w:val="none"/>
        </w:rPr>
        <w:t>全面推进，污染防治攻坚取得成效，新能源和清洁能源装备加速推广，绿色出行比例提高，生态文明理念深入人心。</w:t>
      </w:r>
    </w:p>
    <w:p w14:paraId="009E7C3D">
      <w:pPr>
        <w:pStyle w:val="5"/>
        <w:ind w:firstLine="643"/>
        <w:rPr>
          <w:rFonts w:hint="eastAsia" w:ascii="宋体" w:hAnsi="宋体" w:cs="方正仿宋_GBK"/>
          <w:color w:val="auto"/>
          <w:highlight w:val="none"/>
        </w:rPr>
      </w:pPr>
      <w:r>
        <w:rPr>
          <w:rFonts w:hint="eastAsia" w:ascii="宋体" w:hAnsi="宋体"/>
          <w:b/>
          <w:bCs/>
          <w:color w:val="auto"/>
          <w:highlight w:val="none"/>
        </w:rPr>
        <w:t>支持保障有力可靠。</w:t>
      </w:r>
      <w:r>
        <w:rPr>
          <w:rFonts w:hint="eastAsia" w:ascii="宋体" w:hAnsi="宋体" w:cs="方正仿宋_GBK"/>
          <w:color w:val="auto"/>
          <w:highlight w:val="none"/>
        </w:rPr>
        <w:t>行业治理规范高效，综合交通运输管理体制机制持续完善，法治政府部门建设成效显著，综合交通人才培养选拔体系不断完善，人才队伍素质显著提升。</w:t>
      </w:r>
    </w:p>
    <w:p w14:paraId="3E5E097A">
      <w:pPr>
        <w:pStyle w:val="2"/>
        <w:bidi w:val="0"/>
        <w:rPr>
          <w:rFonts w:hint="default"/>
          <w:highlight w:val="none"/>
          <w:lang w:val="en-US" w:eastAsia="zh-CN"/>
        </w:rPr>
      </w:pPr>
      <w:bookmarkStart w:id="36" w:name="_Toc27354"/>
      <w:r>
        <w:rPr>
          <w:rFonts w:hint="eastAsia"/>
          <w:highlight w:val="none"/>
          <w:lang w:val="en-US" w:eastAsia="zh-CN"/>
        </w:rPr>
        <w:t>主要任务</w:t>
      </w:r>
      <w:bookmarkEnd w:id="36"/>
    </w:p>
    <w:p w14:paraId="08AADDB9">
      <w:pPr>
        <w:pStyle w:val="3"/>
        <w:numPr>
          <w:ilvl w:val="0"/>
          <w:numId w:val="0"/>
        </w:numPr>
        <w:bidi w:val="0"/>
        <w:ind w:left="0" w:leftChars="0" w:firstLine="640" w:firstLineChars="200"/>
        <w:rPr>
          <w:rFonts w:hint="eastAsia"/>
          <w:highlight w:val="none"/>
        </w:rPr>
      </w:pPr>
      <w:bookmarkStart w:id="37" w:name="_Toc27702"/>
      <w:bookmarkStart w:id="38" w:name="_Toc29346"/>
      <w:bookmarkStart w:id="39" w:name="_Toc1117"/>
      <w:bookmarkStart w:id="40" w:name="_Toc4307"/>
      <w:r>
        <w:rPr>
          <w:rFonts w:hint="eastAsia" w:ascii="宋体" w:hAnsi="宋体" w:eastAsia="方正楷体_GBK" w:cstheme="majorBidi"/>
          <w:bCs/>
          <w:kern w:val="2"/>
          <w:sz w:val="32"/>
          <w:szCs w:val="32"/>
          <w:lang w:val="en-US" w:eastAsia="zh-CN" w:bidi="ar-SA"/>
        </w:rPr>
        <w:t>（一）</w:t>
      </w:r>
      <w:r>
        <w:rPr>
          <w:rFonts w:hint="eastAsia"/>
          <w:highlight w:val="none"/>
        </w:rPr>
        <w:t>畅通对外快速通道，破解区域协同联通瓶颈</w:t>
      </w:r>
      <w:bookmarkEnd w:id="37"/>
      <w:bookmarkEnd w:id="38"/>
      <w:bookmarkEnd w:id="39"/>
      <w:bookmarkEnd w:id="40"/>
    </w:p>
    <w:p w14:paraId="13E0A5E9">
      <w:pPr>
        <w:pStyle w:val="4"/>
        <w:bidi w:val="0"/>
        <w:rPr>
          <w:rFonts w:hint="eastAsia"/>
          <w:highlight w:val="none"/>
          <w:lang w:val="en-US" w:eastAsia="zh-CN"/>
        </w:rPr>
      </w:pPr>
      <w:bookmarkStart w:id="41" w:name="_Toc24857"/>
      <w:bookmarkStart w:id="42" w:name="_Toc11855"/>
      <w:bookmarkStart w:id="43" w:name="_Toc27208"/>
      <w:r>
        <w:rPr>
          <w:rFonts w:hint="eastAsia"/>
          <w:highlight w:val="none"/>
          <w:lang w:val="en-US" w:eastAsia="zh-CN"/>
        </w:rPr>
        <w:t>1.持续推进综合交通运输通道建设</w:t>
      </w:r>
    </w:p>
    <w:p w14:paraId="5A08D459">
      <w:pPr>
        <w:ind w:firstLine="480"/>
        <w:rPr>
          <w:rFonts w:hint="eastAsia" w:ascii="宋体" w:hAnsi="宋体" w:eastAsia="方正仿宋_GBK" w:cs="Times New Roman"/>
          <w:color w:val="auto"/>
          <w:kern w:val="2"/>
          <w:sz w:val="32"/>
          <w:szCs w:val="32"/>
          <w:highlight w:val="none"/>
          <w:lang w:val="en-US" w:eastAsia="zh-CN" w:bidi="ar-SA"/>
        </w:rPr>
      </w:pPr>
      <w:r>
        <w:rPr>
          <w:rFonts w:hint="eastAsia" w:ascii="宋体" w:hAnsi="宋体" w:eastAsia="方正仿宋_GBK" w:cs="Times New Roman"/>
          <w:color w:val="auto"/>
          <w:kern w:val="2"/>
          <w:sz w:val="32"/>
          <w:szCs w:val="32"/>
          <w:highlight w:val="none"/>
          <w:lang w:val="en-US" w:eastAsia="zh-CN" w:bidi="ar-SA"/>
        </w:rPr>
        <w:t>全面加强与昆明（宜良）、曲靖（陆良、师宗）、红河（泸西、弥勒）、玉溪（澄江、华宁）等周边重要节点之间的交通连接，助推石林产业转型升级，全方位提升县域经济综合实力。</w:t>
      </w:r>
    </w:p>
    <w:p w14:paraId="5274A816">
      <w:pPr>
        <w:pStyle w:val="45"/>
        <w:bidi w:val="0"/>
        <w:rPr>
          <w:rFonts w:hint="eastAsia"/>
          <w:highlight w:val="none"/>
          <w:lang w:eastAsia="zh-CN"/>
        </w:rPr>
      </w:pPr>
      <w:r>
        <w:rPr>
          <w:rFonts w:hint="eastAsia"/>
          <w:highlight w:val="none"/>
          <w:lang w:eastAsia="zh-CN"/>
        </w:rPr>
        <w:drawing>
          <wp:inline distT="0" distB="0" distL="114300" distR="114300">
            <wp:extent cx="3604260" cy="3769360"/>
            <wp:effectExtent l="0" t="0" r="7620" b="10160"/>
            <wp:docPr id="53" name="图片 5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图片1"/>
                    <pic:cNvPicPr>
                      <a:picLocks noChangeAspect="1"/>
                    </pic:cNvPicPr>
                  </pic:nvPicPr>
                  <pic:blipFill>
                    <a:blip r:embed="rId14"/>
                    <a:srcRect l="3382" r="1848"/>
                    <a:stretch>
                      <a:fillRect/>
                    </a:stretch>
                  </pic:blipFill>
                  <pic:spPr>
                    <a:xfrm>
                      <a:off x="0" y="0"/>
                      <a:ext cx="3604260" cy="3769360"/>
                    </a:xfrm>
                    <a:prstGeom prst="rect">
                      <a:avLst/>
                    </a:prstGeom>
                  </pic:spPr>
                </pic:pic>
              </a:graphicData>
            </a:graphic>
          </wp:inline>
        </w:drawing>
      </w:r>
    </w:p>
    <w:p w14:paraId="31AA7BC7">
      <w:pPr>
        <w:pStyle w:val="46"/>
        <w:bidi w:val="0"/>
        <w:rPr>
          <w:rFonts w:hint="eastAsia"/>
          <w:highlight w:val="none"/>
          <w:lang w:val="en-US" w:eastAsia="zh-CN"/>
        </w:rPr>
      </w:pPr>
      <w:r>
        <w:rPr>
          <w:rFonts w:hint="eastAsia"/>
          <w:highlight w:val="none"/>
          <w:lang w:val="en-US" w:eastAsia="zh-CN"/>
        </w:rPr>
        <w:t>综合运输通道示意图</w:t>
      </w:r>
    </w:p>
    <w:p w14:paraId="77C5307F">
      <w:pPr>
        <w:ind w:firstLine="480"/>
        <w:rPr>
          <w:rFonts w:hint="eastAsia"/>
          <w:highlight w:val="none"/>
          <w:lang w:val="en-US" w:eastAsia="zh-CN"/>
        </w:rPr>
      </w:pPr>
      <w:r>
        <w:rPr>
          <w:rFonts w:hint="eastAsia" w:ascii="宋体" w:hAnsi="宋体" w:eastAsia="方正仿宋_GBK" w:cs="Times New Roman"/>
          <w:color w:val="auto"/>
          <w:kern w:val="2"/>
          <w:sz w:val="32"/>
          <w:szCs w:val="32"/>
          <w:highlight w:val="none"/>
          <w:lang w:val="en-US" w:eastAsia="zh-CN" w:bidi="ar-SA"/>
        </w:rPr>
        <w:t>依托高速铁路、普速铁路、高速公路、普通国省干线以及重要县道，系统性构建昆石通道、石曲通道、石贵通道、石文通道、石红通道和石玉通道等</w:t>
      </w:r>
      <w:r>
        <w:rPr>
          <w:rFonts w:hint="eastAsia" w:ascii="宋体" w:hAnsi="宋体" w:eastAsia="方正仿宋_GBK" w:cs="Times New Roman"/>
          <w:b w:val="0"/>
          <w:bCs w:val="0"/>
          <w:color w:val="auto"/>
          <w:kern w:val="2"/>
          <w:sz w:val="32"/>
          <w:szCs w:val="32"/>
          <w:highlight w:val="none"/>
          <w:lang w:val="en-US" w:eastAsia="zh-CN" w:bidi="ar-SA"/>
        </w:rPr>
        <w:t>“六大综合运输通道”</w:t>
      </w:r>
      <w:r>
        <w:rPr>
          <w:rFonts w:hint="eastAsia" w:ascii="宋体" w:hAnsi="宋体" w:eastAsia="方正仿宋_GBK" w:cs="Times New Roman"/>
          <w:color w:val="auto"/>
          <w:kern w:val="2"/>
          <w:sz w:val="32"/>
          <w:szCs w:val="32"/>
          <w:highlight w:val="none"/>
          <w:lang w:val="en-US" w:eastAsia="zh-CN" w:bidi="ar-SA"/>
        </w:rPr>
        <w:t>。进一步巩固县域互联互通的综合交通格局，拓展城镇发展轴线，全面提升石林县在滇中城市经济圈和滇中城市群中的功能地位。</w:t>
      </w:r>
    </w:p>
    <w:tbl>
      <w:tblPr>
        <w:tblStyle w:val="20"/>
        <w:tblW w:w="9311" w:type="dxa"/>
        <w:jc w:val="center"/>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759"/>
        <w:gridCol w:w="1301"/>
        <w:gridCol w:w="1460"/>
        <w:gridCol w:w="1159"/>
        <w:gridCol w:w="2176"/>
        <w:gridCol w:w="2456"/>
      </w:tblGrid>
      <w:tr w14:paraId="153F7CA9">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tblCellMar>
            <w:top w:w="0" w:type="dxa"/>
            <w:left w:w="108" w:type="dxa"/>
            <w:bottom w:w="0" w:type="dxa"/>
            <w:right w:w="108" w:type="dxa"/>
          </w:tblCellMar>
        </w:tblPrEx>
        <w:trPr>
          <w:trHeight w:val="377" w:hRule="atLeast"/>
          <w:tblHeader/>
          <w:jc w:val="center"/>
        </w:trPr>
        <w:tc>
          <w:tcPr>
            <w:tcW w:w="9311" w:type="dxa"/>
            <w:gridSpan w:val="6"/>
            <w:tcBorders>
              <w:top w:val="single" w:color="000000" w:sz="4" w:space="0"/>
              <w:left w:val="single" w:color="000000" w:sz="4" w:space="0"/>
              <w:right w:val="single" w:color="000000" w:sz="4" w:space="0"/>
              <w:tl2br w:val="nil"/>
            </w:tcBorders>
            <w:shd w:val="clear" w:color="auto" w:fill="auto"/>
            <w:noWrap/>
            <w:vAlign w:val="center"/>
          </w:tcPr>
          <w:p w14:paraId="7B767D8D">
            <w:pPr>
              <w:pStyle w:val="5"/>
              <w:snapToGrid w:val="0"/>
              <w:spacing w:line="240" w:lineRule="auto"/>
              <w:ind w:left="0" w:leftChars="0" w:right="0" w:rightChars="0" w:firstLine="0" w:firstLineChars="0"/>
              <w:jc w:val="center"/>
              <w:rPr>
                <w:rFonts w:hint="default" w:ascii="仿宋" w:hAnsi="仿宋" w:eastAsia="方正黑体_GBK" w:cs="仿宋"/>
                <w:b/>
                <w:bCs/>
                <w:color w:val="000000"/>
                <w:sz w:val="24"/>
                <w:szCs w:val="24"/>
                <w:highlight w:val="none"/>
                <w:lang w:val="en-US" w:eastAsia="zh-CN"/>
              </w:rPr>
            </w:pPr>
            <w:bookmarkStart w:id="44" w:name="_Hlk91112469"/>
            <w:r>
              <w:rPr>
                <w:rFonts w:hint="eastAsia" w:ascii="宋体" w:hAnsi="宋体" w:eastAsia="方正黑体_GBK" w:cs="方正黑体_GBK"/>
                <w:bCs/>
                <w:sz w:val="28"/>
                <w:szCs w:val="28"/>
                <w:highlight w:val="none"/>
              </w:rPr>
              <w:t>专栏</w:t>
            </w:r>
            <w:r>
              <w:rPr>
                <w:rFonts w:hint="eastAsia" w:ascii="宋体" w:hAnsi="宋体" w:eastAsia="宋体" w:cs="宋体"/>
                <w:b/>
                <w:bCs/>
                <w:sz w:val="28"/>
                <w:szCs w:val="28"/>
                <w:highlight w:val="none"/>
                <w:lang w:val="en-US" w:eastAsia="zh-CN"/>
              </w:rPr>
              <w:t>1“</w:t>
            </w:r>
            <w:r>
              <w:rPr>
                <w:rFonts w:hint="eastAsia" w:ascii="宋体" w:hAnsi="宋体" w:eastAsia="方正黑体_GBK" w:cs="方正黑体_GBK"/>
                <w:bCs/>
                <w:sz w:val="28"/>
                <w:szCs w:val="28"/>
                <w:highlight w:val="none"/>
              </w:rPr>
              <w:t>十五五”</w:t>
            </w:r>
            <w:r>
              <w:rPr>
                <w:rFonts w:hint="eastAsia" w:ascii="宋体" w:hAnsi="宋体" w:eastAsia="方正黑体_GBK" w:cs="方正黑体_GBK"/>
                <w:bCs/>
                <w:sz w:val="28"/>
                <w:szCs w:val="28"/>
                <w:highlight w:val="none"/>
                <w:lang w:val="en-US" w:eastAsia="zh-CN"/>
              </w:rPr>
              <w:t>综合运输通道</w:t>
            </w:r>
          </w:p>
        </w:tc>
      </w:tr>
      <w:tr w14:paraId="0B542FAC">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blHeader/>
          <w:jc w:val="center"/>
        </w:trPr>
        <w:tc>
          <w:tcPr>
            <w:tcW w:w="759" w:type="dxa"/>
            <w:tcBorders>
              <w:top w:val="single" w:color="000000" w:sz="4" w:space="0"/>
              <w:left w:val="single" w:color="000000" w:sz="4" w:space="0"/>
              <w:tl2br w:val="nil"/>
            </w:tcBorders>
            <w:shd w:val="clear" w:color="auto" w:fill="auto"/>
            <w:noWrap/>
            <w:vAlign w:val="center"/>
          </w:tcPr>
          <w:p w14:paraId="2DD3A868">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通道</w:t>
            </w:r>
          </w:p>
          <w:p w14:paraId="489C5880">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名称</w:t>
            </w:r>
          </w:p>
        </w:tc>
        <w:tc>
          <w:tcPr>
            <w:tcW w:w="1301" w:type="dxa"/>
            <w:tcBorders>
              <w:top w:val="single" w:color="000000" w:sz="4" w:space="0"/>
            </w:tcBorders>
            <w:shd w:val="clear" w:color="auto" w:fill="auto"/>
            <w:noWrap w:val="0"/>
            <w:vAlign w:val="center"/>
          </w:tcPr>
          <w:p w14:paraId="3EB915C8">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主要节点</w:t>
            </w:r>
          </w:p>
        </w:tc>
        <w:tc>
          <w:tcPr>
            <w:tcW w:w="1460" w:type="dxa"/>
            <w:tcBorders>
              <w:top w:val="single" w:color="000000" w:sz="4" w:space="0"/>
            </w:tcBorders>
            <w:shd w:val="clear" w:color="auto" w:fill="auto"/>
            <w:noWrap/>
            <w:vAlign w:val="center"/>
          </w:tcPr>
          <w:p w14:paraId="7D02ED4B">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运输方式</w:t>
            </w:r>
          </w:p>
        </w:tc>
        <w:tc>
          <w:tcPr>
            <w:tcW w:w="1159" w:type="dxa"/>
            <w:tcBorders>
              <w:top w:val="single" w:color="000000" w:sz="4" w:space="0"/>
            </w:tcBorders>
            <w:shd w:val="clear" w:color="auto" w:fill="auto"/>
            <w:noWrap/>
            <w:vAlign w:val="center"/>
          </w:tcPr>
          <w:p w14:paraId="30D02AB5">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编号</w:t>
            </w:r>
          </w:p>
        </w:tc>
        <w:tc>
          <w:tcPr>
            <w:tcW w:w="2176" w:type="dxa"/>
            <w:tcBorders>
              <w:top w:val="single" w:color="000000" w:sz="4" w:space="0"/>
            </w:tcBorders>
            <w:shd w:val="clear" w:color="auto" w:fill="auto"/>
            <w:noWrap/>
            <w:vAlign w:val="center"/>
          </w:tcPr>
          <w:p w14:paraId="3A655B6F">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主要路线</w:t>
            </w:r>
          </w:p>
        </w:tc>
        <w:tc>
          <w:tcPr>
            <w:tcW w:w="2456" w:type="dxa"/>
            <w:tcBorders>
              <w:top w:val="single" w:color="000000" w:sz="4" w:space="0"/>
              <w:right w:val="single" w:color="000000" w:sz="4" w:space="0"/>
            </w:tcBorders>
            <w:shd w:val="clear" w:color="auto" w:fill="auto"/>
            <w:noWrap/>
            <w:vAlign w:val="center"/>
          </w:tcPr>
          <w:p w14:paraId="34A6ECA7">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主要功能</w:t>
            </w:r>
          </w:p>
        </w:tc>
      </w:tr>
      <w:tr w14:paraId="4ECD5791">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restart"/>
            <w:tcBorders>
              <w:left w:val="single" w:color="000000" w:sz="4" w:space="0"/>
            </w:tcBorders>
            <w:shd w:val="clear" w:color="auto" w:fill="auto"/>
            <w:noWrap/>
            <w:vAlign w:val="center"/>
          </w:tcPr>
          <w:p w14:paraId="42CA89B3">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昆</w:t>
            </w:r>
          </w:p>
          <w:p w14:paraId="5A641F32">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石</w:t>
            </w:r>
          </w:p>
          <w:p w14:paraId="4B9A0BC6">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通</w:t>
            </w:r>
          </w:p>
          <w:p w14:paraId="1314CA6F">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道</w:t>
            </w:r>
          </w:p>
        </w:tc>
        <w:tc>
          <w:tcPr>
            <w:tcW w:w="1301" w:type="dxa"/>
            <w:vMerge w:val="restart"/>
            <w:shd w:val="clear" w:color="auto" w:fill="auto"/>
            <w:noWrap w:val="0"/>
            <w:vAlign w:val="center"/>
          </w:tcPr>
          <w:p w14:paraId="58DCF474">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宜良、昆明</w:t>
            </w:r>
          </w:p>
        </w:tc>
        <w:tc>
          <w:tcPr>
            <w:tcW w:w="1460" w:type="dxa"/>
            <w:shd w:val="clear" w:color="auto" w:fill="auto"/>
            <w:noWrap w:val="0"/>
            <w:vAlign w:val="center"/>
          </w:tcPr>
          <w:p w14:paraId="354C467B">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高速铁路</w:t>
            </w:r>
          </w:p>
        </w:tc>
        <w:tc>
          <w:tcPr>
            <w:tcW w:w="1159" w:type="dxa"/>
            <w:shd w:val="clear" w:color="auto" w:fill="auto"/>
            <w:noWrap/>
            <w:vAlign w:val="center"/>
          </w:tcPr>
          <w:p w14:paraId="7E9959FB">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p>
        </w:tc>
        <w:tc>
          <w:tcPr>
            <w:tcW w:w="2176" w:type="dxa"/>
            <w:shd w:val="clear" w:color="auto" w:fill="auto"/>
            <w:noWrap/>
            <w:vAlign w:val="center"/>
          </w:tcPr>
          <w:p w14:paraId="3559C9DC">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云桂高铁</w:t>
            </w:r>
          </w:p>
        </w:tc>
        <w:tc>
          <w:tcPr>
            <w:tcW w:w="2456" w:type="dxa"/>
            <w:vMerge w:val="restart"/>
            <w:tcBorders>
              <w:right w:val="single" w:color="000000" w:sz="4" w:space="0"/>
            </w:tcBorders>
            <w:shd w:val="clear" w:color="auto" w:fill="auto"/>
            <w:noWrap w:val="0"/>
            <w:vAlign w:val="center"/>
          </w:tcPr>
          <w:p w14:paraId="58C79C9D">
            <w:pPr>
              <w:pStyle w:val="52"/>
              <w:snapToGrid w:val="0"/>
              <w:ind w:left="0" w:leftChars="0" w:right="0" w:rightChars="0" w:firstLine="0" w:firstLineChars="0"/>
              <w:jc w:val="left"/>
              <w:rPr>
                <w:rFonts w:hint="eastAsia" w:ascii="仿宋" w:hAnsi="仿宋" w:eastAsia="仿宋" w:cs="仿宋"/>
                <w:b w:val="0"/>
                <w:color w:val="000000"/>
                <w:sz w:val="24"/>
                <w:szCs w:val="18"/>
                <w:highlight w:val="none"/>
              </w:rPr>
            </w:pPr>
            <w:r>
              <w:rPr>
                <w:rFonts w:hint="eastAsia" w:ascii="仿宋" w:hAnsi="仿宋" w:eastAsia="仿宋" w:cs="仿宋"/>
                <w:b w:val="0"/>
                <w:color w:val="000000"/>
                <w:sz w:val="24"/>
                <w:szCs w:val="18"/>
                <w:highlight w:val="none"/>
              </w:rPr>
              <w:t>拉伸城镇主要发展轴，增强与宜良、昆明等节点联系，使石林县加速融入滇中城市经济圈和滇中城市群。</w:t>
            </w:r>
          </w:p>
        </w:tc>
      </w:tr>
      <w:tr w14:paraId="119A0C5C">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5D129C78">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279471DB">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ign w:val="center"/>
          </w:tcPr>
          <w:p w14:paraId="302C16A5">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普速铁路</w:t>
            </w:r>
          </w:p>
        </w:tc>
        <w:tc>
          <w:tcPr>
            <w:tcW w:w="1159" w:type="dxa"/>
            <w:shd w:val="clear" w:color="auto" w:fill="auto"/>
            <w:noWrap/>
            <w:vAlign w:val="center"/>
          </w:tcPr>
          <w:p w14:paraId="53C79D8D">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p>
        </w:tc>
        <w:tc>
          <w:tcPr>
            <w:tcW w:w="2176" w:type="dxa"/>
            <w:shd w:val="clear" w:color="auto" w:fill="auto"/>
            <w:noWrap/>
            <w:vAlign w:val="center"/>
          </w:tcPr>
          <w:p w14:paraId="412F4AB7">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南昆铁路</w:t>
            </w:r>
          </w:p>
        </w:tc>
        <w:tc>
          <w:tcPr>
            <w:tcW w:w="2456" w:type="dxa"/>
            <w:vMerge w:val="continue"/>
            <w:tcBorders>
              <w:right w:val="single" w:color="000000" w:sz="4" w:space="0"/>
            </w:tcBorders>
            <w:shd w:val="clear" w:color="auto" w:fill="auto"/>
            <w:noWrap w:val="0"/>
            <w:vAlign w:val="center"/>
          </w:tcPr>
          <w:p w14:paraId="59B9F638">
            <w:pPr>
              <w:pStyle w:val="52"/>
              <w:snapToGrid w:val="0"/>
              <w:ind w:left="0" w:leftChars="0" w:right="0" w:rightChars="0" w:firstLine="0" w:firstLineChars="0"/>
              <w:jc w:val="left"/>
              <w:rPr>
                <w:rFonts w:hint="eastAsia" w:ascii="仿宋" w:hAnsi="仿宋" w:eastAsia="仿宋" w:cs="仿宋"/>
                <w:b w:val="0"/>
                <w:color w:val="000000"/>
                <w:sz w:val="24"/>
                <w:szCs w:val="18"/>
                <w:highlight w:val="none"/>
              </w:rPr>
            </w:pPr>
          </w:p>
        </w:tc>
      </w:tr>
      <w:tr w14:paraId="7D6AC313">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2BC1FDE8">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14E43F93">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ign w:val="center"/>
          </w:tcPr>
          <w:p w14:paraId="11580655">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高速公路</w:t>
            </w:r>
          </w:p>
        </w:tc>
        <w:tc>
          <w:tcPr>
            <w:tcW w:w="1159" w:type="dxa"/>
            <w:shd w:val="clear" w:color="auto" w:fill="auto"/>
            <w:noWrap/>
            <w:vAlign w:val="center"/>
          </w:tcPr>
          <w:p w14:paraId="35768CDE">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G78</w:t>
            </w:r>
          </w:p>
        </w:tc>
        <w:tc>
          <w:tcPr>
            <w:tcW w:w="2176" w:type="dxa"/>
            <w:shd w:val="clear" w:color="auto" w:fill="auto"/>
            <w:noWrap/>
            <w:vAlign w:val="center"/>
          </w:tcPr>
          <w:p w14:paraId="1B1ED331">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昆石高速</w:t>
            </w:r>
          </w:p>
        </w:tc>
        <w:tc>
          <w:tcPr>
            <w:tcW w:w="2456" w:type="dxa"/>
            <w:vMerge w:val="continue"/>
            <w:tcBorders>
              <w:right w:val="single" w:color="000000" w:sz="4" w:space="0"/>
            </w:tcBorders>
            <w:shd w:val="clear" w:color="auto" w:fill="auto"/>
            <w:noWrap w:val="0"/>
            <w:vAlign w:val="center"/>
          </w:tcPr>
          <w:p w14:paraId="41A1A97E">
            <w:pPr>
              <w:pStyle w:val="52"/>
              <w:snapToGrid w:val="0"/>
              <w:ind w:left="0" w:leftChars="0" w:right="0" w:rightChars="0" w:firstLine="0" w:firstLineChars="0"/>
              <w:jc w:val="left"/>
              <w:rPr>
                <w:rFonts w:hint="eastAsia" w:ascii="仿宋" w:hAnsi="仿宋" w:eastAsia="仿宋" w:cs="仿宋"/>
                <w:b w:val="0"/>
                <w:color w:val="000000"/>
                <w:sz w:val="24"/>
                <w:szCs w:val="18"/>
                <w:highlight w:val="none"/>
              </w:rPr>
            </w:pPr>
          </w:p>
        </w:tc>
      </w:tr>
      <w:tr w14:paraId="70E18F99">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3DCD6451">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41E5F010">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0"/>
            <w:vAlign w:val="center"/>
          </w:tcPr>
          <w:p w14:paraId="3349D601">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普通国道</w:t>
            </w:r>
          </w:p>
        </w:tc>
        <w:tc>
          <w:tcPr>
            <w:tcW w:w="1159" w:type="dxa"/>
            <w:shd w:val="clear" w:color="auto" w:fill="auto"/>
            <w:noWrap/>
            <w:vAlign w:val="center"/>
          </w:tcPr>
          <w:p w14:paraId="4D70B980">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G324</w:t>
            </w:r>
          </w:p>
        </w:tc>
        <w:tc>
          <w:tcPr>
            <w:tcW w:w="2176" w:type="dxa"/>
            <w:shd w:val="clear" w:color="auto" w:fill="auto"/>
            <w:noWrap/>
            <w:vAlign w:val="center"/>
          </w:tcPr>
          <w:p w14:paraId="5A6AE59C">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昆石公路</w:t>
            </w:r>
          </w:p>
        </w:tc>
        <w:tc>
          <w:tcPr>
            <w:tcW w:w="2456" w:type="dxa"/>
            <w:vMerge w:val="continue"/>
            <w:tcBorders>
              <w:right w:val="single" w:color="000000" w:sz="4" w:space="0"/>
            </w:tcBorders>
            <w:shd w:val="clear" w:color="auto" w:fill="auto"/>
            <w:noWrap w:val="0"/>
            <w:vAlign w:val="center"/>
          </w:tcPr>
          <w:p w14:paraId="74F681F4">
            <w:pPr>
              <w:pStyle w:val="52"/>
              <w:snapToGrid w:val="0"/>
              <w:ind w:left="0" w:leftChars="0" w:right="0" w:rightChars="0" w:firstLine="0" w:firstLineChars="0"/>
              <w:jc w:val="left"/>
              <w:rPr>
                <w:rFonts w:hint="eastAsia" w:ascii="仿宋" w:hAnsi="仿宋" w:eastAsia="仿宋" w:cs="仿宋"/>
                <w:b w:val="0"/>
                <w:color w:val="000000"/>
                <w:sz w:val="24"/>
                <w:szCs w:val="18"/>
                <w:highlight w:val="none"/>
              </w:rPr>
            </w:pPr>
          </w:p>
        </w:tc>
      </w:tr>
      <w:tr w14:paraId="345379FB">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7657EADA">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6B110D46">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0"/>
            <w:vAlign w:val="center"/>
          </w:tcPr>
          <w:p w14:paraId="31518A63">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普通省道</w:t>
            </w:r>
          </w:p>
        </w:tc>
        <w:tc>
          <w:tcPr>
            <w:tcW w:w="1159" w:type="dxa"/>
            <w:shd w:val="clear" w:color="auto" w:fill="auto"/>
            <w:noWrap/>
            <w:vAlign w:val="center"/>
          </w:tcPr>
          <w:p w14:paraId="5B0CE43F">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S209</w:t>
            </w:r>
          </w:p>
        </w:tc>
        <w:tc>
          <w:tcPr>
            <w:tcW w:w="2176" w:type="dxa"/>
            <w:shd w:val="clear" w:color="auto" w:fill="auto"/>
            <w:noWrap/>
            <w:vAlign w:val="center"/>
          </w:tcPr>
          <w:p w14:paraId="2F7377AC">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九石阿旅游专线</w:t>
            </w:r>
          </w:p>
        </w:tc>
        <w:tc>
          <w:tcPr>
            <w:tcW w:w="2456" w:type="dxa"/>
            <w:vMerge w:val="continue"/>
            <w:tcBorders>
              <w:right w:val="single" w:color="000000" w:sz="4" w:space="0"/>
            </w:tcBorders>
            <w:shd w:val="clear" w:color="auto" w:fill="auto"/>
            <w:noWrap w:val="0"/>
            <w:vAlign w:val="center"/>
          </w:tcPr>
          <w:p w14:paraId="1324A60C">
            <w:pPr>
              <w:pStyle w:val="52"/>
              <w:snapToGrid w:val="0"/>
              <w:ind w:left="0" w:leftChars="0" w:right="0" w:rightChars="0" w:firstLine="0" w:firstLineChars="0"/>
              <w:jc w:val="left"/>
              <w:rPr>
                <w:rFonts w:hint="eastAsia" w:ascii="仿宋" w:hAnsi="仿宋" w:eastAsia="仿宋" w:cs="仿宋"/>
                <w:b w:val="0"/>
                <w:color w:val="000000"/>
                <w:sz w:val="24"/>
                <w:szCs w:val="18"/>
                <w:highlight w:val="none"/>
              </w:rPr>
            </w:pPr>
          </w:p>
        </w:tc>
      </w:tr>
      <w:tr w14:paraId="4547C348">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restart"/>
            <w:tcBorders>
              <w:left w:val="single" w:color="000000" w:sz="4" w:space="0"/>
            </w:tcBorders>
            <w:shd w:val="clear" w:color="auto" w:fill="auto"/>
            <w:noWrap/>
            <w:vAlign w:val="center"/>
          </w:tcPr>
          <w:p w14:paraId="2A628961">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石</w:t>
            </w:r>
          </w:p>
          <w:p w14:paraId="637F3B55">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曲</w:t>
            </w:r>
          </w:p>
          <w:p w14:paraId="0592D373">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通</w:t>
            </w:r>
          </w:p>
          <w:p w14:paraId="44DA60F2">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道</w:t>
            </w:r>
          </w:p>
        </w:tc>
        <w:tc>
          <w:tcPr>
            <w:tcW w:w="1301" w:type="dxa"/>
            <w:vMerge w:val="restart"/>
            <w:shd w:val="clear" w:color="auto" w:fill="auto"/>
            <w:noWrap w:val="0"/>
            <w:vAlign w:val="center"/>
          </w:tcPr>
          <w:p w14:paraId="2D1F3E49">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陆良、曲靖</w:t>
            </w:r>
          </w:p>
        </w:tc>
        <w:tc>
          <w:tcPr>
            <w:tcW w:w="1460" w:type="dxa"/>
            <w:shd w:val="clear" w:color="auto" w:fill="auto"/>
            <w:noWrap w:val="0"/>
            <w:vAlign w:val="center"/>
          </w:tcPr>
          <w:p w14:paraId="6008B412">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高速铁路</w:t>
            </w:r>
          </w:p>
        </w:tc>
        <w:tc>
          <w:tcPr>
            <w:tcW w:w="1159" w:type="dxa"/>
            <w:shd w:val="clear" w:color="auto" w:fill="auto"/>
            <w:noWrap/>
            <w:vAlign w:val="center"/>
          </w:tcPr>
          <w:p w14:paraId="01199E7B">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p>
        </w:tc>
        <w:tc>
          <w:tcPr>
            <w:tcW w:w="2176" w:type="dxa"/>
            <w:shd w:val="clear" w:color="auto" w:fill="auto"/>
            <w:noWrap/>
            <w:vAlign w:val="center"/>
          </w:tcPr>
          <w:p w14:paraId="734DD166">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w:t>
            </w:r>
          </w:p>
        </w:tc>
        <w:tc>
          <w:tcPr>
            <w:tcW w:w="2456" w:type="dxa"/>
            <w:vMerge w:val="restart"/>
            <w:tcBorders>
              <w:right w:val="single" w:color="000000" w:sz="4" w:space="0"/>
            </w:tcBorders>
            <w:shd w:val="clear" w:color="auto" w:fill="auto"/>
            <w:noWrap w:val="0"/>
            <w:vAlign w:val="center"/>
          </w:tcPr>
          <w:p w14:paraId="6BCEF029">
            <w:pPr>
              <w:pStyle w:val="52"/>
              <w:snapToGrid w:val="0"/>
              <w:ind w:left="0" w:leftChars="0" w:right="0" w:rightChars="0" w:firstLine="0" w:firstLineChars="0"/>
              <w:jc w:val="left"/>
              <w:rPr>
                <w:rFonts w:hint="eastAsia" w:ascii="仿宋" w:hAnsi="仿宋" w:eastAsia="仿宋" w:cs="仿宋"/>
                <w:b w:val="0"/>
                <w:color w:val="000000"/>
                <w:sz w:val="24"/>
                <w:szCs w:val="18"/>
                <w:highlight w:val="none"/>
              </w:rPr>
            </w:pPr>
            <w:r>
              <w:rPr>
                <w:rFonts w:hint="eastAsia" w:ascii="仿宋" w:hAnsi="仿宋" w:eastAsia="仿宋" w:cs="仿宋"/>
                <w:b w:val="0"/>
                <w:color w:val="000000"/>
                <w:sz w:val="24"/>
                <w:szCs w:val="18"/>
                <w:highlight w:val="none"/>
              </w:rPr>
              <w:t>拉伸城镇次要发展轴，加强与陆良、曲靖、宣威、富源、昭通、成都等节点联系，借力川南经济区，加快融入成渝经济圈、长江经济带。</w:t>
            </w:r>
          </w:p>
        </w:tc>
      </w:tr>
      <w:tr w14:paraId="735B28BC">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6F4F3596">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4D8BFBAF">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ign w:val="center"/>
          </w:tcPr>
          <w:p w14:paraId="510083F8">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普速铁路</w:t>
            </w:r>
          </w:p>
        </w:tc>
        <w:tc>
          <w:tcPr>
            <w:tcW w:w="1159" w:type="dxa"/>
            <w:shd w:val="clear" w:color="auto" w:fill="auto"/>
            <w:noWrap/>
            <w:vAlign w:val="center"/>
          </w:tcPr>
          <w:p w14:paraId="67B2E958">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p>
        </w:tc>
        <w:tc>
          <w:tcPr>
            <w:tcW w:w="2176" w:type="dxa"/>
            <w:shd w:val="clear" w:color="auto" w:fill="auto"/>
            <w:noWrap/>
            <w:vAlign w:val="center"/>
          </w:tcPr>
          <w:p w14:paraId="19820602">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w:t>
            </w:r>
          </w:p>
        </w:tc>
        <w:tc>
          <w:tcPr>
            <w:tcW w:w="2456" w:type="dxa"/>
            <w:vMerge w:val="continue"/>
            <w:tcBorders>
              <w:right w:val="single" w:color="000000" w:sz="4" w:space="0"/>
            </w:tcBorders>
            <w:shd w:val="clear" w:color="auto" w:fill="auto"/>
            <w:noWrap w:val="0"/>
            <w:vAlign w:val="center"/>
          </w:tcPr>
          <w:p w14:paraId="5361CF12">
            <w:pPr>
              <w:pStyle w:val="52"/>
              <w:snapToGrid w:val="0"/>
              <w:ind w:left="0" w:leftChars="0" w:right="0" w:rightChars="0" w:firstLine="0" w:firstLineChars="0"/>
              <w:jc w:val="left"/>
              <w:rPr>
                <w:rFonts w:hint="eastAsia" w:ascii="仿宋" w:hAnsi="仿宋" w:eastAsia="仿宋" w:cs="仿宋"/>
                <w:b w:val="0"/>
                <w:color w:val="000000"/>
                <w:sz w:val="24"/>
                <w:szCs w:val="18"/>
                <w:highlight w:val="none"/>
              </w:rPr>
            </w:pPr>
          </w:p>
        </w:tc>
      </w:tr>
      <w:tr w14:paraId="6C0BA9C4">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6A6FD619">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1F5FED9C">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ign w:val="center"/>
          </w:tcPr>
          <w:p w14:paraId="2877AB6E">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高速公路</w:t>
            </w:r>
          </w:p>
        </w:tc>
        <w:tc>
          <w:tcPr>
            <w:tcW w:w="1159" w:type="dxa"/>
            <w:shd w:val="clear" w:color="auto" w:fill="auto"/>
            <w:noWrap/>
            <w:vAlign w:val="center"/>
          </w:tcPr>
          <w:p w14:paraId="5BEA22AC">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G78</w:t>
            </w:r>
          </w:p>
        </w:tc>
        <w:tc>
          <w:tcPr>
            <w:tcW w:w="2176" w:type="dxa"/>
            <w:shd w:val="clear" w:color="auto" w:fill="auto"/>
            <w:noWrap/>
            <w:vAlign w:val="center"/>
          </w:tcPr>
          <w:p w14:paraId="7522D042">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汕昆高速公路</w:t>
            </w:r>
          </w:p>
        </w:tc>
        <w:tc>
          <w:tcPr>
            <w:tcW w:w="2456" w:type="dxa"/>
            <w:vMerge w:val="continue"/>
            <w:tcBorders>
              <w:right w:val="single" w:color="000000" w:sz="4" w:space="0"/>
            </w:tcBorders>
            <w:shd w:val="clear" w:color="auto" w:fill="auto"/>
            <w:noWrap w:val="0"/>
            <w:vAlign w:val="center"/>
          </w:tcPr>
          <w:p w14:paraId="7D1947CA">
            <w:pPr>
              <w:pStyle w:val="52"/>
              <w:snapToGrid w:val="0"/>
              <w:ind w:left="0" w:leftChars="0" w:right="0" w:rightChars="0" w:firstLine="0" w:firstLineChars="0"/>
              <w:jc w:val="left"/>
              <w:rPr>
                <w:rFonts w:hint="eastAsia" w:ascii="仿宋" w:hAnsi="仿宋" w:eastAsia="仿宋" w:cs="仿宋"/>
                <w:b w:val="0"/>
                <w:color w:val="000000"/>
                <w:sz w:val="24"/>
                <w:szCs w:val="18"/>
                <w:highlight w:val="none"/>
              </w:rPr>
            </w:pPr>
          </w:p>
        </w:tc>
      </w:tr>
      <w:tr w14:paraId="08EE2E6C">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2F4AECDA">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4E056A74">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0"/>
            <w:vAlign w:val="center"/>
          </w:tcPr>
          <w:p w14:paraId="0B64347A">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普通国道</w:t>
            </w:r>
          </w:p>
        </w:tc>
        <w:tc>
          <w:tcPr>
            <w:tcW w:w="1159" w:type="dxa"/>
            <w:shd w:val="clear" w:color="auto" w:fill="auto"/>
            <w:noWrap/>
            <w:vAlign w:val="center"/>
          </w:tcPr>
          <w:p w14:paraId="265D5525">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G326</w:t>
            </w:r>
          </w:p>
        </w:tc>
        <w:tc>
          <w:tcPr>
            <w:tcW w:w="2176" w:type="dxa"/>
            <w:shd w:val="clear" w:color="auto" w:fill="auto"/>
            <w:noWrap/>
            <w:vAlign w:val="center"/>
          </w:tcPr>
          <w:p w14:paraId="387D8AAE">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西石公路</w:t>
            </w:r>
          </w:p>
        </w:tc>
        <w:tc>
          <w:tcPr>
            <w:tcW w:w="2456" w:type="dxa"/>
            <w:vMerge w:val="continue"/>
            <w:tcBorders>
              <w:right w:val="single" w:color="000000" w:sz="4" w:space="0"/>
            </w:tcBorders>
            <w:shd w:val="clear" w:color="auto" w:fill="auto"/>
            <w:noWrap w:val="0"/>
            <w:vAlign w:val="center"/>
          </w:tcPr>
          <w:p w14:paraId="2FB058AA">
            <w:pPr>
              <w:pStyle w:val="52"/>
              <w:snapToGrid w:val="0"/>
              <w:ind w:left="0" w:leftChars="0" w:right="0" w:rightChars="0" w:firstLine="0" w:firstLineChars="0"/>
              <w:jc w:val="left"/>
              <w:rPr>
                <w:rFonts w:hint="eastAsia" w:ascii="仿宋" w:hAnsi="仿宋" w:eastAsia="仿宋" w:cs="仿宋"/>
                <w:b w:val="0"/>
                <w:color w:val="000000"/>
                <w:sz w:val="24"/>
                <w:szCs w:val="18"/>
                <w:highlight w:val="none"/>
              </w:rPr>
            </w:pPr>
          </w:p>
        </w:tc>
      </w:tr>
      <w:tr w14:paraId="37C6D4F7">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restart"/>
            <w:tcBorders>
              <w:left w:val="single" w:color="000000" w:sz="4" w:space="0"/>
            </w:tcBorders>
            <w:shd w:val="clear" w:color="auto" w:fill="auto"/>
            <w:noWrap/>
            <w:vAlign w:val="center"/>
          </w:tcPr>
          <w:p w14:paraId="4B356F0F">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石</w:t>
            </w:r>
          </w:p>
          <w:p w14:paraId="56BFB36C">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贵</w:t>
            </w:r>
          </w:p>
          <w:p w14:paraId="56386AAF">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通</w:t>
            </w:r>
          </w:p>
          <w:p w14:paraId="61086E51">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道</w:t>
            </w:r>
          </w:p>
        </w:tc>
        <w:tc>
          <w:tcPr>
            <w:tcW w:w="1301" w:type="dxa"/>
            <w:vMerge w:val="restart"/>
            <w:shd w:val="clear" w:color="auto" w:fill="auto"/>
            <w:noWrap w:val="0"/>
            <w:vAlign w:val="center"/>
          </w:tcPr>
          <w:p w14:paraId="7F9C6F9F">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师宗、罗平、贵州</w:t>
            </w:r>
          </w:p>
        </w:tc>
        <w:tc>
          <w:tcPr>
            <w:tcW w:w="1460" w:type="dxa"/>
            <w:shd w:val="clear" w:color="auto" w:fill="auto"/>
            <w:noWrap w:val="0"/>
            <w:vAlign w:val="center"/>
          </w:tcPr>
          <w:p w14:paraId="5B812E09">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高速铁路</w:t>
            </w:r>
          </w:p>
        </w:tc>
        <w:tc>
          <w:tcPr>
            <w:tcW w:w="1159" w:type="dxa"/>
            <w:shd w:val="clear" w:color="auto" w:fill="auto"/>
            <w:noWrap/>
            <w:vAlign w:val="center"/>
          </w:tcPr>
          <w:p w14:paraId="5435E505">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p>
        </w:tc>
        <w:tc>
          <w:tcPr>
            <w:tcW w:w="2176" w:type="dxa"/>
            <w:shd w:val="clear" w:color="auto" w:fill="auto"/>
            <w:noWrap/>
            <w:vAlign w:val="center"/>
          </w:tcPr>
          <w:p w14:paraId="31636495">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w:t>
            </w:r>
          </w:p>
        </w:tc>
        <w:tc>
          <w:tcPr>
            <w:tcW w:w="2456" w:type="dxa"/>
            <w:vMerge w:val="restart"/>
            <w:tcBorders>
              <w:right w:val="single" w:color="000000" w:sz="4" w:space="0"/>
            </w:tcBorders>
            <w:shd w:val="clear" w:color="auto" w:fill="auto"/>
            <w:noWrap w:val="0"/>
            <w:vAlign w:val="center"/>
          </w:tcPr>
          <w:p w14:paraId="29043FA0">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lang w:eastAsia="zh-CN"/>
              </w:rPr>
            </w:pPr>
            <w:r>
              <w:rPr>
                <w:rFonts w:hint="eastAsia" w:ascii="仿宋" w:hAnsi="仿宋" w:eastAsia="仿宋" w:cs="仿宋"/>
                <w:b w:val="0"/>
                <w:color w:val="000000"/>
                <w:sz w:val="24"/>
                <w:szCs w:val="24"/>
                <w:highlight w:val="none"/>
                <w:lang w:eastAsia="zh-CN"/>
              </w:rPr>
              <w:t>拉伸城镇次要发展轴，加强与师宗、罗平、贵州等节点联系，师宗、罗平、贵州。</w:t>
            </w:r>
          </w:p>
        </w:tc>
      </w:tr>
      <w:tr w14:paraId="09D79F59">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49D2E126">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17C769CC">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ign w:val="center"/>
          </w:tcPr>
          <w:p w14:paraId="5B8BCFD3">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普速铁路</w:t>
            </w:r>
          </w:p>
        </w:tc>
        <w:tc>
          <w:tcPr>
            <w:tcW w:w="1159" w:type="dxa"/>
            <w:shd w:val="clear" w:color="auto" w:fill="auto"/>
            <w:noWrap/>
            <w:vAlign w:val="center"/>
          </w:tcPr>
          <w:p w14:paraId="34175E72">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p>
        </w:tc>
        <w:tc>
          <w:tcPr>
            <w:tcW w:w="2176" w:type="dxa"/>
            <w:shd w:val="clear" w:color="auto" w:fill="auto"/>
            <w:noWrap/>
            <w:vAlign w:val="center"/>
          </w:tcPr>
          <w:p w14:paraId="6DF27B13">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南昆铁路</w:t>
            </w:r>
          </w:p>
        </w:tc>
        <w:tc>
          <w:tcPr>
            <w:tcW w:w="2456" w:type="dxa"/>
            <w:vMerge w:val="continue"/>
            <w:tcBorders>
              <w:right w:val="single" w:color="000000" w:sz="4" w:space="0"/>
            </w:tcBorders>
            <w:shd w:val="clear" w:color="auto" w:fill="auto"/>
            <w:noWrap w:val="0"/>
            <w:vAlign w:val="center"/>
          </w:tcPr>
          <w:p w14:paraId="56104012">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lang w:eastAsia="zh-CN"/>
              </w:rPr>
            </w:pPr>
          </w:p>
        </w:tc>
      </w:tr>
      <w:tr w14:paraId="53A54570">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7A0DAAA4">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4826F429">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ign w:val="center"/>
          </w:tcPr>
          <w:p w14:paraId="04004C00">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高速公路</w:t>
            </w:r>
          </w:p>
        </w:tc>
        <w:tc>
          <w:tcPr>
            <w:tcW w:w="1159" w:type="dxa"/>
            <w:shd w:val="clear" w:color="auto" w:fill="auto"/>
            <w:noWrap/>
            <w:vAlign w:val="center"/>
          </w:tcPr>
          <w:p w14:paraId="5A18B073">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G78　</w:t>
            </w:r>
          </w:p>
        </w:tc>
        <w:tc>
          <w:tcPr>
            <w:tcW w:w="2176" w:type="dxa"/>
            <w:shd w:val="clear" w:color="auto" w:fill="auto"/>
            <w:noWrap/>
            <w:vAlign w:val="center"/>
          </w:tcPr>
          <w:p w14:paraId="3762F572">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汕昆高速</w:t>
            </w:r>
          </w:p>
        </w:tc>
        <w:tc>
          <w:tcPr>
            <w:tcW w:w="2456" w:type="dxa"/>
            <w:vMerge w:val="continue"/>
            <w:tcBorders>
              <w:right w:val="single" w:color="000000" w:sz="4" w:space="0"/>
            </w:tcBorders>
            <w:shd w:val="clear" w:color="auto" w:fill="auto"/>
            <w:noWrap w:val="0"/>
            <w:vAlign w:val="center"/>
          </w:tcPr>
          <w:p w14:paraId="7AB21B11">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lang w:eastAsia="zh-CN"/>
              </w:rPr>
            </w:pPr>
          </w:p>
        </w:tc>
      </w:tr>
      <w:tr w14:paraId="67ACADEF">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5ADFCF37">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65BEDB36">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0"/>
            <w:vAlign w:val="center"/>
          </w:tcPr>
          <w:p w14:paraId="5F31B3CC">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普通国道</w:t>
            </w:r>
          </w:p>
        </w:tc>
        <w:tc>
          <w:tcPr>
            <w:tcW w:w="1159" w:type="dxa"/>
            <w:shd w:val="clear" w:color="auto" w:fill="auto"/>
            <w:noWrap/>
            <w:vAlign w:val="center"/>
          </w:tcPr>
          <w:p w14:paraId="5B88A3C5">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G324</w:t>
            </w:r>
          </w:p>
        </w:tc>
        <w:tc>
          <w:tcPr>
            <w:tcW w:w="2176" w:type="dxa"/>
            <w:shd w:val="clear" w:color="auto" w:fill="auto"/>
            <w:noWrap/>
            <w:vAlign w:val="center"/>
          </w:tcPr>
          <w:p w14:paraId="7C25D78B">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北召公路</w:t>
            </w:r>
          </w:p>
        </w:tc>
        <w:tc>
          <w:tcPr>
            <w:tcW w:w="2456" w:type="dxa"/>
            <w:vMerge w:val="continue"/>
            <w:tcBorders>
              <w:right w:val="single" w:color="000000" w:sz="4" w:space="0"/>
            </w:tcBorders>
            <w:shd w:val="clear" w:color="auto" w:fill="auto"/>
            <w:noWrap w:val="0"/>
            <w:vAlign w:val="center"/>
          </w:tcPr>
          <w:p w14:paraId="5DBE4656">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lang w:eastAsia="zh-CN"/>
              </w:rPr>
            </w:pPr>
          </w:p>
        </w:tc>
      </w:tr>
      <w:tr w14:paraId="076D3D1B">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restart"/>
            <w:tcBorders>
              <w:left w:val="single" w:color="000000" w:sz="4" w:space="0"/>
            </w:tcBorders>
            <w:shd w:val="clear" w:color="auto" w:fill="auto"/>
            <w:noWrap/>
            <w:vAlign w:val="center"/>
          </w:tcPr>
          <w:p w14:paraId="4AA984C8">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石</w:t>
            </w:r>
          </w:p>
          <w:p w14:paraId="035AF1D4">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文</w:t>
            </w:r>
          </w:p>
          <w:p w14:paraId="0F6A00C4">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通</w:t>
            </w:r>
          </w:p>
          <w:p w14:paraId="1F5A62FF">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道</w:t>
            </w:r>
          </w:p>
        </w:tc>
        <w:tc>
          <w:tcPr>
            <w:tcW w:w="1301" w:type="dxa"/>
            <w:vMerge w:val="restart"/>
            <w:shd w:val="clear" w:color="auto" w:fill="auto"/>
            <w:noWrap w:val="0"/>
            <w:vAlign w:val="center"/>
          </w:tcPr>
          <w:p w14:paraId="22B8F992">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泸西、丘北、文山</w:t>
            </w:r>
          </w:p>
        </w:tc>
        <w:tc>
          <w:tcPr>
            <w:tcW w:w="1460" w:type="dxa"/>
            <w:shd w:val="clear" w:color="auto" w:fill="auto"/>
            <w:noWrap w:val="0"/>
            <w:vAlign w:val="center"/>
          </w:tcPr>
          <w:p w14:paraId="507E90E9">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高速铁路</w:t>
            </w:r>
          </w:p>
        </w:tc>
        <w:tc>
          <w:tcPr>
            <w:tcW w:w="1159" w:type="dxa"/>
            <w:shd w:val="clear" w:color="auto" w:fill="auto"/>
            <w:noWrap/>
            <w:vAlign w:val="center"/>
          </w:tcPr>
          <w:p w14:paraId="313D670E">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p>
        </w:tc>
        <w:tc>
          <w:tcPr>
            <w:tcW w:w="2176" w:type="dxa"/>
            <w:shd w:val="clear" w:color="auto" w:fill="auto"/>
            <w:noWrap/>
            <w:vAlign w:val="center"/>
          </w:tcPr>
          <w:p w14:paraId="02BD0231">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云桂高铁</w:t>
            </w:r>
          </w:p>
        </w:tc>
        <w:tc>
          <w:tcPr>
            <w:tcW w:w="2456" w:type="dxa"/>
            <w:vMerge w:val="restart"/>
            <w:tcBorders>
              <w:right w:val="single" w:color="000000" w:sz="4" w:space="0"/>
            </w:tcBorders>
            <w:shd w:val="clear" w:color="auto" w:fill="auto"/>
            <w:noWrap w:val="0"/>
            <w:vAlign w:val="center"/>
          </w:tcPr>
          <w:p w14:paraId="48FBB4E6">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lang w:eastAsia="zh-CN"/>
              </w:rPr>
            </w:pPr>
            <w:r>
              <w:rPr>
                <w:rFonts w:hint="eastAsia" w:ascii="仿宋" w:hAnsi="仿宋" w:eastAsia="仿宋" w:cs="仿宋"/>
                <w:b w:val="0"/>
                <w:color w:val="000000"/>
                <w:sz w:val="24"/>
                <w:szCs w:val="24"/>
                <w:highlight w:val="none"/>
                <w:lang w:eastAsia="zh-CN"/>
              </w:rPr>
              <w:t>拉伸城镇次要发展轴，加强与泸西、丘北、文山等节点联系，借力广西经济区、粤港澳大湾区、加快融入海上丝绸之路。</w:t>
            </w:r>
          </w:p>
        </w:tc>
      </w:tr>
      <w:tr w14:paraId="00F4A70E">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126B0712">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711CF41D">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ign w:val="center"/>
          </w:tcPr>
          <w:p w14:paraId="1E3E2A59">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普速铁路</w:t>
            </w:r>
          </w:p>
        </w:tc>
        <w:tc>
          <w:tcPr>
            <w:tcW w:w="1159" w:type="dxa"/>
            <w:shd w:val="clear" w:color="auto" w:fill="auto"/>
            <w:noWrap/>
            <w:vAlign w:val="center"/>
          </w:tcPr>
          <w:p w14:paraId="17229B51">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p>
        </w:tc>
        <w:tc>
          <w:tcPr>
            <w:tcW w:w="2176" w:type="dxa"/>
            <w:shd w:val="clear" w:color="auto" w:fill="auto"/>
            <w:noWrap/>
            <w:vAlign w:val="center"/>
          </w:tcPr>
          <w:p w14:paraId="70ADC24C">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w:t>
            </w:r>
          </w:p>
        </w:tc>
        <w:tc>
          <w:tcPr>
            <w:tcW w:w="2456" w:type="dxa"/>
            <w:vMerge w:val="continue"/>
            <w:tcBorders>
              <w:right w:val="single" w:color="000000" w:sz="4" w:space="0"/>
            </w:tcBorders>
            <w:shd w:val="clear" w:color="auto" w:fill="auto"/>
            <w:noWrap w:val="0"/>
            <w:vAlign w:val="center"/>
          </w:tcPr>
          <w:p w14:paraId="05491F55">
            <w:pPr>
              <w:pStyle w:val="52"/>
              <w:snapToGrid w:val="0"/>
              <w:ind w:left="0" w:leftChars="0" w:right="0" w:rightChars="0" w:firstLine="0" w:firstLineChars="0"/>
              <w:jc w:val="left"/>
              <w:rPr>
                <w:rFonts w:hint="eastAsia" w:ascii="仿宋" w:hAnsi="仿宋" w:eastAsia="仿宋" w:cs="仿宋"/>
                <w:b w:val="0"/>
                <w:color w:val="000000"/>
                <w:sz w:val="24"/>
                <w:szCs w:val="18"/>
                <w:highlight w:val="none"/>
              </w:rPr>
            </w:pPr>
          </w:p>
        </w:tc>
      </w:tr>
      <w:tr w14:paraId="5B4566D2">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7EEB2263">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089A92EA">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ign w:val="center"/>
          </w:tcPr>
          <w:p w14:paraId="6D2F17ED">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高速公路</w:t>
            </w:r>
          </w:p>
        </w:tc>
        <w:tc>
          <w:tcPr>
            <w:tcW w:w="1159" w:type="dxa"/>
            <w:shd w:val="clear" w:color="auto" w:fill="auto"/>
            <w:noWrap/>
            <w:vAlign w:val="center"/>
          </w:tcPr>
          <w:p w14:paraId="5DEAFBC1">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p>
        </w:tc>
        <w:tc>
          <w:tcPr>
            <w:tcW w:w="2176" w:type="dxa"/>
            <w:shd w:val="clear" w:color="auto" w:fill="auto"/>
            <w:noWrap/>
            <w:vAlign w:val="center"/>
          </w:tcPr>
          <w:p w14:paraId="7341FCFE">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石泸高速</w:t>
            </w:r>
          </w:p>
        </w:tc>
        <w:tc>
          <w:tcPr>
            <w:tcW w:w="2456" w:type="dxa"/>
            <w:vMerge w:val="continue"/>
            <w:tcBorders>
              <w:right w:val="single" w:color="000000" w:sz="4" w:space="0"/>
            </w:tcBorders>
            <w:shd w:val="clear" w:color="auto" w:fill="auto"/>
            <w:noWrap w:val="0"/>
            <w:vAlign w:val="center"/>
          </w:tcPr>
          <w:p w14:paraId="16D9BFD7">
            <w:pPr>
              <w:pStyle w:val="52"/>
              <w:snapToGrid w:val="0"/>
              <w:ind w:left="0" w:leftChars="0" w:right="0" w:rightChars="0" w:firstLine="0" w:firstLineChars="0"/>
              <w:jc w:val="left"/>
              <w:rPr>
                <w:rFonts w:hint="eastAsia" w:ascii="仿宋" w:hAnsi="仿宋" w:eastAsia="仿宋" w:cs="仿宋"/>
                <w:b w:val="0"/>
                <w:color w:val="000000"/>
                <w:sz w:val="24"/>
                <w:szCs w:val="18"/>
                <w:highlight w:val="none"/>
              </w:rPr>
            </w:pPr>
          </w:p>
        </w:tc>
      </w:tr>
      <w:tr w14:paraId="7C4A5E57">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2313DDD9">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2BCE5136">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0"/>
            <w:vAlign w:val="center"/>
          </w:tcPr>
          <w:p w14:paraId="779EA1D1">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普通国道</w:t>
            </w:r>
          </w:p>
        </w:tc>
        <w:tc>
          <w:tcPr>
            <w:tcW w:w="1159" w:type="dxa"/>
            <w:shd w:val="clear" w:color="auto" w:fill="auto"/>
            <w:noWrap/>
            <w:vAlign w:val="center"/>
          </w:tcPr>
          <w:p w14:paraId="5E1891F5">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p>
        </w:tc>
        <w:tc>
          <w:tcPr>
            <w:tcW w:w="2176" w:type="dxa"/>
            <w:shd w:val="clear" w:color="auto" w:fill="auto"/>
            <w:noWrap/>
            <w:vAlign w:val="center"/>
          </w:tcPr>
          <w:p w14:paraId="64B36DAB">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w:t>
            </w:r>
          </w:p>
        </w:tc>
        <w:tc>
          <w:tcPr>
            <w:tcW w:w="2456" w:type="dxa"/>
            <w:vMerge w:val="continue"/>
            <w:tcBorders>
              <w:right w:val="single" w:color="000000" w:sz="4" w:space="0"/>
            </w:tcBorders>
            <w:shd w:val="clear" w:color="auto" w:fill="auto"/>
            <w:noWrap w:val="0"/>
            <w:vAlign w:val="center"/>
          </w:tcPr>
          <w:p w14:paraId="0540DE35">
            <w:pPr>
              <w:pStyle w:val="52"/>
              <w:snapToGrid w:val="0"/>
              <w:ind w:left="0" w:leftChars="0" w:right="0" w:rightChars="0" w:firstLine="0" w:firstLineChars="0"/>
              <w:jc w:val="left"/>
              <w:rPr>
                <w:rFonts w:hint="eastAsia" w:ascii="仿宋" w:hAnsi="仿宋" w:eastAsia="仿宋" w:cs="仿宋"/>
                <w:b w:val="0"/>
                <w:color w:val="000000"/>
                <w:sz w:val="24"/>
                <w:szCs w:val="18"/>
                <w:highlight w:val="none"/>
              </w:rPr>
            </w:pPr>
          </w:p>
        </w:tc>
      </w:tr>
      <w:tr w14:paraId="3562DE12">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78FF1B5F">
            <w:pPr>
              <w:pStyle w:val="5"/>
              <w:snapToGrid w:val="0"/>
              <w:spacing w:line="240" w:lineRule="auto"/>
              <w:ind w:left="0" w:leftChars="0" w:right="0" w:rightChars="0" w:firstLine="0" w:firstLineChars="0"/>
              <w:jc w:val="center"/>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74D00631">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0"/>
            <w:vAlign w:val="center"/>
          </w:tcPr>
          <w:p w14:paraId="32DB4681">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普通省道</w:t>
            </w:r>
          </w:p>
        </w:tc>
        <w:tc>
          <w:tcPr>
            <w:tcW w:w="1159" w:type="dxa"/>
            <w:shd w:val="clear" w:color="auto" w:fill="auto"/>
            <w:noWrap/>
            <w:vAlign w:val="center"/>
          </w:tcPr>
          <w:p w14:paraId="66033ABC">
            <w:pPr>
              <w:pStyle w:val="5"/>
              <w:snapToGrid w:val="0"/>
              <w:spacing w:line="240" w:lineRule="auto"/>
              <w:ind w:left="0" w:leftChars="0" w:right="0" w:rightChars="0" w:firstLine="0" w:firstLineChars="0"/>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S209</w:t>
            </w:r>
          </w:p>
        </w:tc>
        <w:tc>
          <w:tcPr>
            <w:tcW w:w="2176" w:type="dxa"/>
            <w:shd w:val="clear" w:color="auto" w:fill="auto"/>
            <w:noWrap/>
            <w:vAlign w:val="center"/>
          </w:tcPr>
          <w:p w14:paraId="086801AC">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九石阿旅游专线</w:t>
            </w:r>
          </w:p>
        </w:tc>
        <w:tc>
          <w:tcPr>
            <w:tcW w:w="2456" w:type="dxa"/>
            <w:vMerge w:val="continue"/>
            <w:tcBorders>
              <w:right w:val="single" w:color="000000" w:sz="4" w:space="0"/>
            </w:tcBorders>
            <w:shd w:val="clear" w:color="auto" w:fill="auto"/>
            <w:noWrap w:val="0"/>
            <w:vAlign w:val="center"/>
          </w:tcPr>
          <w:p w14:paraId="584EFDD3">
            <w:pPr>
              <w:pStyle w:val="52"/>
              <w:snapToGrid w:val="0"/>
              <w:ind w:left="0" w:leftChars="0" w:right="0" w:rightChars="0" w:firstLine="0" w:firstLineChars="0"/>
              <w:jc w:val="left"/>
              <w:rPr>
                <w:rFonts w:hint="eastAsia" w:ascii="仿宋" w:hAnsi="仿宋" w:eastAsia="仿宋" w:cs="仿宋"/>
                <w:b w:val="0"/>
                <w:color w:val="000000"/>
                <w:sz w:val="24"/>
                <w:szCs w:val="18"/>
                <w:highlight w:val="none"/>
              </w:rPr>
            </w:pPr>
          </w:p>
        </w:tc>
      </w:tr>
      <w:tr w14:paraId="7F36ECFC">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restart"/>
            <w:tcBorders>
              <w:left w:val="single" w:color="000000" w:sz="4" w:space="0"/>
            </w:tcBorders>
            <w:shd w:val="clear" w:color="auto" w:fill="auto"/>
            <w:noWrap/>
            <w:vAlign w:val="center"/>
          </w:tcPr>
          <w:p w14:paraId="270E657E">
            <w:pPr>
              <w:pStyle w:val="5"/>
              <w:snapToGrid w:val="0"/>
              <w:spacing w:line="240" w:lineRule="auto"/>
              <w:ind w:left="0" w:leftChars="0" w:right="0" w:rightChars="0" w:firstLine="0" w:firstLineChars="0"/>
              <w:jc w:val="left"/>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石</w:t>
            </w:r>
          </w:p>
          <w:p w14:paraId="2ED6762C">
            <w:pPr>
              <w:pStyle w:val="5"/>
              <w:snapToGrid w:val="0"/>
              <w:spacing w:line="240" w:lineRule="auto"/>
              <w:ind w:left="0" w:leftChars="0" w:right="0" w:rightChars="0" w:firstLine="0" w:firstLineChars="0"/>
              <w:jc w:val="left"/>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红</w:t>
            </w:r>
          </w:p>
          <w:p w14:paraId="539D4B2B">
            <w:pPr>
              <w:pStyle w:val="5"/>
              <w:snapToGrid w:val="0"/>
              <w:spacing w:line="240" w:lineRule="auto"/>
              <w:ind w:left="0" w:leftChars="0" w:right="0" w:rightChars="0" w:firstLine="0" w:firstLineChars="0"/>
              <w:jc w:val="left"/>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通</w:t>
            </w:r>
          </w:p>
          <w:p w14:paraId="52E9EE78">
            <w:pPr>
              <w:pStyle w:val="5"/>
              <w:snapToGrid w:val="0"/>
              <w:spacing w:line="240" w:lineRule="auto"/>
              <w:ind w:left="0" w:leftChars="0" w:right="0" w:rightChars="0" w:firstLine="0" w:firstLineChars="0"/>
              <w:jc w:val="left"/>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道</w:t>
            </w:r>
          </w:p>
        </w:tc>
        <w:tc>
          <w:tcPr>
            <w:tcW w:w="1301" w:type="dxa"/>
            <w:vMerge w:val="restart"/>
            <w:shd w:val="clear" w:color="auto" w:fill="auto"/>
            <w:noWrap w:val="0"/>
            <w:vAlign w:val="center"/>
          </w:tcPr>
          <w:p w14:paraId="329C0084">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弥勒、开远、红河</w:t>
            </w:r>
          </w:p>
        </w:tc>
        <w:tc>
          <w:tcPr>
            <w:tcW w:w="1460" w:type="dxa"/>
            <w:shd w:val="clear" w:color="auto" w:fill="auto"/>
            <w:noWrap w:val="0"/>
            <w:vAlign w:val="center"/>
          </w:tcPr>
          <w:p w14:paraId="49C72309">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高速铁路</w:t>
            </w:r>
          </w:p>
        </w:tc>
        <w:tc>
          <w:tcPr>
            <w:tcW w:w="1159" w:type="dxa"/>
            <w:shd w:val="clear" w:color="auto" w:fill="auto"/>
            <w:noWrap/>
            <w:vAlign w:val="center"/>
          </w:tcPr>
          <w:p w14:paraId="7EA9EDBF">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2176" w:type="dxa"/>
            <w:shd w:val="clear" w:color="auto" w:fill="auto"/>
            <w:noWrap/>
            <w:vAlign w:val="center"/>
          </w:tcPr>
          <w:p w14:paraId="292F820E">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w:t>
            </w:r>
          </w:p>
        </w:tc>
        <w:tc>
          <w:tcPr>
            <w:tcW w:w="2456" w:type="dxa"/>
            <w:vMerge w:val="restart"/>
            <w:tcBorders>
              <w:right w:val="single" w:color="000000" w:sz="4" w:space="0"/>
            </w:tcBorders>
            <w:shd w:val="clear" w:color="auto" w:fill="auto"/>
            <w:noWrap w:val="0"/>
            <w:vAlign w:val="center"/>
          </w:tcPr>
          <w:p w14:paraId="1703BE74">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lang w:eastAsia="zh-CN"/>
              </w:rPr>
            </w:pPr>
            <w:r>
              <w:rPr>
                <w:rFonts w:hint="eastAsia" w:ascii="仿宋" w:hAnsi="仿宋" w:eastAsia="仿宋" w:cs="仿宋"/>
                <w:b w:val="0"/>
                <w:color w:val="000000"/>
                <w:sz w:val="24"/>
                <w:szCs w:val="24"/>
                <w:highlight w:val="none"/>
                <w:lang w:eastAsia="zh-CN"/>
              </w:rPr>
              <w:t>拉伸城镇次要发展轴，加强与弥勒、开远、红河等节点联系，融入南亚、东南亚辐射中心。</w:t>
            </w:r>
          </w:p>
        </w:tc>
      </w:tr>
      <w:tr w14:paraId="0F192EA3">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3F31FF4E">
            <w:pPr>
              <w:pStyle w:val="5"/>
              <w:snapToGrid w:val="0"/>
              <w:spacing w:line="240" w:lineRule="auto"/>
              <w:ind w:left="0" w:leftChars="0" w:right="0" w:rightChars="0" w:firstLine="0" w:firstLineChars="0"/>
              <w:jc w:val="left"/>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7FEE829E">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ign w:val="center"/>
          </w:tcPr>
          <w:p w14:paraId="109A7E8E">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普速铁路</w:t>
            </w:r>
          </w:p>
        </w:tc>
        <w:tc>
          <w:tcPr>
            <w:tcW w:w="1159" w:type="dxa"/>
            <w:shd w:val="clear" w:color="auto" w:fill="auto"/>
            <w:noWrap/>
            <w:vAlign w:val="center"/>
          </w:tcPr>
          <w:p w14:paraId="1A08833E">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2176" w:type="dxa"/>
            <w:shd w:val="clear" w:color="auto" w:fill="auto"/>
            <w:noWrap/>
            <w:vAlign w:val="center"/>
          </w:tcPr>
          <w:p w14:paraId="3BBA48BB">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云桂高铁</w:t>
            </w:r>
          </w:p>
        </w:tc>
        <w:tc>
          <w:tcPr>
            <w:tcW w:w="2456" w:type="dxa"/>
            <w:vMerge w:val="continue"/>
            <w:tcBorders>
              <w:right w:val="single" w:color="000000" w:sz="4" w:space="0"/>
            </w:tcBorders>
            <w:shd w:val="clear" w:color="auto" w:fill="auto"/>
            <w:noWrap w:val="0"/>
            <w:vAlign w:val="center"/>
          </w:tcPr>
          <w:p w14:paraId="0C590706">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lang w:eastAsia="zh-CN"/>
              </w:rPr>
            </w:pPr>
          </w:p>
        </w:tc>
      </w:tr>
      <w:tr w14:paraId="436BC0BB">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1EEF66A6">
            <w:pPr>
              <w:pStyle w:val="5"/>
              <w:snapToGrid w:val="0"/>
              <w:spacing w:line="240" w:lineRule="auto"/>
              <w:ind w:left="0" w:leftChars="0" w:right="0" w:rightChars="0" w:firstLine="0" w:firstLineChars="0"/>
              <w:jc w:val="left"/>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36B4AC05">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ign w:val="center"/>
          </w:tcPr>
          <w:p w14:paraId="6826D4B2">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高速公路</w:t>
            </w:r>
          </w:p>
        </w:tc>
        <w:tc>
          <w:tcPr>
            <w:tcW w:w="1159" w:type="dxa"/>
            <w:shd w:val="clear" w:color="auto" w:fill="auto"/>
            <w:noWrap/>
            <w:vAlign w:val="center"/>
          </w:tcPr>
          <w:p w14:paraId="5B5F0E5C">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G80</w:t>
            </w:r>
          </w:p>
        </w:tc>
        <w:tc>
          <w:tcPr>
            <w:tcW w:w="2176" w:type="dxa"/>
            <w:shd w:val="clear" w:color="auto" w:fill="auto"/>
            <w:noWrap/>
            <w:vAlign w:val="center"/>
          </w:tcPr>
          <w:p w14:paraId="017DC241">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广昆高速</w:t>
            </w:r>
          </w:p>
        </w:tc>
        <w:tc>
          <w:tcPr>
            <w:tcW w:w="2456" w:type="dxa"/>
            <w:vMerge w:val="continue"/>
            <w:tcBorders>
              <w:right w:val="single" w:color="000000" w:sz="4" w:space="0"/>
            </w:tcBorders>
            <w:shd w:val="clear" w:color="auto" w:fill="auto"/>
            <w:noWrap w:val="0"/>
            <w:vAlign w:val="center"/>
          </w:tcPr>
          <w:p w14:paraId="7BF3FA50">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lang w:eastAsia="zh-CN"/>
              </w:rPr>
            </w:pPr>
          </w:p>
        </w:tc>
      </w:tr>
      <w:tr w14:paraId="617450F4">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06CBE21B">
            <w:pPr>
              <w:pStyle w:val="5"/>
              <w:snapToGrid w:val="0"/>
              <w:spacing w:line="240" w:lineRule="auto"/>
              <w:ind w:left="0" w:leftChars="0" w:right="0" w:rightChars="0" w:firstLine="0" w:firstLineChars="0"/>
              <w:jc w:val="left"/>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23873EDB">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0"/>
            <w:vAlign w:val="center"/>
          </w:tcPr>
          <w:p w14:paraId="4F5AF95A">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普通国道</w:t>
            </w:r>
          </w:p>
        </w:tc>
        <w:tc>
          <w:tcPr>
            <w:tcW w:w="1159" w:type="dxa"/>
            <w:shd w:val="clear" w:color="auto" w:fill="auto"/>
            <w:noWrap/>
            <w:vAlign w:val="center"/>
          </w:tcPr>
          <w:p w14:paraId="0E524A4A">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G326</w:t>
            </w:r>
          </w:p>
        </w:tc>
        <w:tc>
          <w:tcPr>
            <w:tcW w:w="2176" w:type="dxa"/>
            <w:shd w:val="clear" w:color="auto" w:fill="auto"/>
            <w:noWrap/>
            <w:vAlign w:val="center"/>
          </w:tcPr>
          <w:p w14:paraId="099E6A93">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昆河公路</w:t>
            </w:r>
          </w:p>
        </w:tc>
        <w:tc>
          <w:tcPr>
            <w:tcW w:w="2456" w:type="dxa"/>
            <w:vMerge w:val="continue"/>
            <w:tcBorders>
              <w:right w:val="single" w:color="000000" w:sz="4" w:space="0"/>
            </w:tcBorders>
            <w:shd w:val="clear" w:color="auto" w:fill="auto"/>
            <w:noWrap w:val="0"/>
            <w:vAlign w:val="center"/>
          </w:tcPr>
          <w:p w14:paraId="2306116C">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lang w:eastAsia="zh-CN"/>
              </w:rPr>
            </w:pPr>
          </w:p>
        </w:tc>
      </w:tr>
      <w:tr w14:paraId="0E77419D">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6FAA9349">
            <w:pPr>
              <w:pStyle w:val="5"/>
              <w:snapToGrid w:val="0"/>
              <w:spacing w:line="240" w:lineRule="auto"/>
              <w:ind w:left="0" w:leftChars="0" w:right="0" w:rightChars="0" w:firstLine="0" w:firstLineChars="0"/>
              <w:jc w:val="left"/>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23C9C0B4">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0"/>
            <w:vAlign w:val="center"/>
          </w:tcPr>
          <w:p w14:paraId="2DE4C4BD">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普通省道</w:t>
            </w:r>
          </w:p>
        </w:tc>
        <w:tc>
          <w:tcPr>
            <w:tcW w:w="1159" w:type="dxa"/>
            <w:shd w:val="clear" w:color="auto" w:fill="auto"/>
            <w:noWrap/>
            <w:vAlign w:val="center"/>
          </w:tcPr>
          <w:p w14:paraId="1F2AB176">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2176" w:type="dxa"/>
            <w:shd w:val="clear" w:color="auto" w:fill="auto"/>
            <w:noWrap/>
            <w:vAlign w:val="center"/>
          </w:tcPr>
          <w:p w14:paraId="53A72785">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2456" w:type="dxa"/>
            <w:vMerge w:val="continue"/>
            <w:tcBorders>
              <w:right w:val="single" w:color="000000" w:sz="4" w:space="0"/>
            </w:tcBorders>
            <w:shd w:val="clear" w:color="auto" w:fill="auto"/>
            <w:noWrap w:val="0"/>
            <w:vAlign w:val="center"/>
          </w:tcPr>
          <w:p w14:paraId="72D31C10">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lang w:eastAsia="zh-CN"/>
              </w:rPr>
            </w:pPr>
          </w:p>
        </w:tc>
      </w:tr>
      <w:tr w14:paraId="5D526520">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4987ECE9">
            <w:pPr>
              <w:pStyle w:val="5"/>
              <w:snapToGrid w:val="0"/>
              <w:spacing w:line="240" w:lineRule="auto"/>
              <w:ind w:left="0" w:leftChars="0" w:right="0" w:rightChars="0" w:firstLine="0" w:firstLineChars="0"/>
              <w:jc w:val="left"/>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1319C903">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0"/>
            <w:vAlign w:val="center"/>
          </w:tcPr>
          <w:p w14:paraId="15BA943B">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重要县道</w:t>
            </w:r>
          </w:p>
        </w:tc>
        <w:tc>
          <w:tcPr>
            <w:tcW w:w="1159" w:type="dxa"/>
            <w:shd w:val="clear" w:color="auto" w:fill="auto"/>
            <w:noWrap/>
            <w:vAlign w:val="center"/>
          </w:tcPr>
          <w:p w14:paraId="4ABEE923">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2176" w:type="dxa"/>
            <w:shd w:val="clear" w:color="auto" w:fill="auto"/>
            <w:noWrap/>
            <w:vAlign w:val="center"/>
          </w:tcPr>
          <w:p w14:paraId="7C890A0C">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2456" w:type="dxa"/>
            <w:vMerge w:val="continue"/>
            <w:tcBorders>
              <w:right w:val="single" w:color="000000" w:sz="4" w:space="0"/>
            </w:tcBorders>
            <w:shd w:val="clear" w:color="auto" w:fill="auto"/>
            <w:noWrap w:val="0"/>
            <w:vAlign w:val="center"/>
          </w:tcPr>
          <w:p w14:paraId="5842ED72">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lang w:eastAsia="zh-CN"/>
              </w:rPr>
            </w:pPr>
          </w:p>
        </w:tc>
      </w:tr>
      <w:tr w14:paraId="28442F2A">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restart"/>
            <w:tcBorders>
              <w:left w:val="single" w:color="000000" w:sz="4" w:space="0"/>
              <w:right w:val="single" w:color="000000" w:sz="4" w:space="0"/>
              <w:tl2br w:val="nil"/>
            </w:tcBorders>
            <w:shd w:val="clear" w:color="auto" w:fill="auto"/>
            <w:noWrap w:val="0"/>
            <w:vAlign w:val="center"/>
          </w:tcPr>
          <w:p w14:paraId="5A6F72B3">
            <w:pPr>
              <w:pStyle w:val="5"/>
              <w:snapToGrid w:val="0"/>
              <w:spacing w:line="240" w:lineRule="auto"/>
              <w:ind w:left="0" w:leftChars="0" w:right="0" w:rightChars="0" w:firstLine="0" w:firstLineChars="0"/>
              <w:jc w:val="left"/>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石</w:t>
            </w:r>
          </w:p>
          <w:p w14:paraId="0B823941">
            <w:pPr>
              <w:pStyle w:val="5"/>
              <w:snapToGrid w:val="0"/>
              <w:spacing w:line="240" w:lineRule="auto"/>
              <w:ind w:left="0" w:leftChars="0" w:right="0" w:rightChars="0" w:firstLine="0" w:firstLineChars="0"/>
              <w:jc w:val="left"/>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玉</w:t>
            </w:r>
          </w:p>
          <w:p w14:paraId="32B876C2">
            <w:pPr>
              <w:pStyle w:val="5"/>
              <w:snapToGrid w:val="0"/>
              <w:spacing w:line="240" w:lineRule="auto"/>
              <w:ind w:left="0" w:leftChars="0" w:right="0" w:rightChars="0" w:firstLine="0" w:firstLineChars="0"/>
              <w:jc w:val="left"/>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通</w:t>
            </w:r>
          </w:p>
          <w:p w14:paraId="7EF3D0FD">
            <w:pPr>
              <w:pStyle w:val="5"/>
              <w:snapToGrid w:val="0"/>
              <w:spacing w:line="240" w:lineRule="auto"/>
              <w:ind w:left="0" w:leftChars="0" w:right="0" w:rightChars="0" w:firstLine="0" w:firstLineChars="0"/>
              <w:jc w:val="left"/>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道</w:t>
            </w:r>
          </w:p>
        </w:tc>
        <w:tc>
          <w:tcPr>
            <w:tcW w:w="1301" w:type="dxa"/>
            <w:vMerge w:val="restart"/>
            <w:tcBorders>
              <w:left w:val="single" w:color="000000" w:sz="4" w:space="0"/>
              <w:right w:val="single" w:color="000000" w:sz="4" w:space="0"/>
            </w:tcBorders>
            <w:shd w:val="clear" w:color="auto" w:fill="auto"/>
            <w:noWrap w:val="0"/>
            <w:vAlign w:val="center"/>
          </w:tcPr>
          <w:p w14:paraId="78EDFD97">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华宁、澄江、玉溪</w:t>
            </w:r>
          </w:p>
        </w:tc>
        <w:tc>
          <w:tcPr>
            <w:tcW w:w="1460" w:type="dxa"/>
            <w:tcBorders>
              <w:left w:val="single" w:color="000000" w:sz="4" w:space="0"/>
              <w:right w:val="single" w:color="000000" w:sz="4" w:space="0"/>
            </w:tcBorders>
            <w:shd w:val="clear" w:color="auto" w:fill="auto"/>
            <w:noWrap w:val="0"/>
            <w:vAlign w:val="center"/>
          </w:tcPr>
          <w:p w14:paraId="0889ECAC">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高速铁路</w:t>
            </w:r>
          </w:p>
        </w:tc>
        <w:tc>
          <w:tcPr>
            <w:tcW w:w="1159" w:type="dxa"/>
            <w:tcBorders>
              <w:left w:val="single" w:color="000000" w:sz="4" w:space="0"/>
              <w:right w:val="single" w:color="000000" w:sz="4" w:space="0"/>
            </w:tcBorders>
            <w:shd w:val="clear" w:color="auto" w:fill="auto"/>
            <w:noWrap/>
            <w:vAlign w:val="center"/>
          </w:tcPr>
          <w:p w14:paraId="6B9BAD47">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2176" w:type="dxa"/>
            <w:tcBorders>
              <w:left w:val="single" w:color="000000" w:sz="4" w:space="0"/>
              <w:right w:val="single" w:color="000000" w:sz="4" w:space="0"/>
            </w:tcBorders>
            <w:shd w:val="clear" w:color="auto" w:fill="auto"/>
            <w:noWrap/>
            <w:vAlign w:val="center"/>
          </w:tcPr>
          <w:p w14:paraId="5F05BAEA">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w:t>
            </w:r>
          </w:p>
        </w:tc>
        <w:tc>
          <w:tcPr>
            <w:tcW w:w="2456" w:type="dxa"/>
            <w:vMerge w:val="restart"/>
            <w:tcBorders>
              <w:left w:val="single" w:color="000000" w:sz="4" w:space="0"/>
              <w:right w:val="single" w:color="000000" w:sz="4" w:space="0"/>
            </w:tcBorders>
            <w:shd w:val="clear" w:color="auto" w:fill="auto"/>
            <w:noWrap w:val="0"/>
            <w:vAlign w:val="center"/>
          </w:tcPr>
          <w:p w14:paraId="38553394">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lang w:eastAsia="zh-CN"/>
              </w:rPr>
            </w:pPr>
            <w:r>
              <w:rPr>
                <w:rFonts w:hint="eastAsia" w:ascii="仿宋" w:hAnsi="仿宋" w:eastAsia="仿宋" w:cs="仿宋"/>
                <w:b w:val="0"/>
                <w:color w:val="000000"/>
                <w:sz w:val="24"/>
                <w:szCs w:val="24"/>
                <w:highlight w:val="none"/>
                <w:lang w:eastAsia="zh-CN"/>
              </w:rPr>
              <w:t>拉伸城镇次要发展轴，增强与华宁、澄江、玉溪等节点联系，使石林县加速融入滇中城市经济圈和滇中城市群。</w:t>
            </w:r>
          </w:p>
        </w:tc>
      </w:tr>
      <w:tr w14:paraId="668C59BC">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795E3631">
            <w:pPr>
              <w:pStyle w:val="5"/>
              <w:snapToGrid w:val="0"/>
              <w:spacing w:line="240" w:lineRule="auto"/>
              <w:ind w:left="0" w:leftChars="0" w:right="0" w:rightChars="0" w:firstLine="0" w:firstLineChars="0"/>
              <w:jc w:val="left"/>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55590D3F">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0"/>
            <w:vAlign w:val="center"/>
          </w:tcPr>
          <w:p w14:paraId="72D2D945">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普速铁路</w:t>
            </w:r>
          </w:p>
        </w:tc>
        <w:tc>
          <w:tcPr>
            <w:tcW w:w="1159" w:type="dxa"/>
            <w:shd w:val="clear" w:color="auto" w:fill="auto"/>
            <w:noWrap/>
            <w:vAlign w:val="center"/>
          </w:tcPr>
          <w:p w14:paraId="6C31159C">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2176" w:type="dxa"/>
            <w:shd w:val="clear" w:color="auto" w:fill="auto"/>
            <w:noWrap/>
            <w:vAlign w:val="center"/>
          </w:tcPr>
          <w:p w14:paraId="7ECA6ADA">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w:t>
            </w:r>
          </w:p>
        </w:tc>
        <w:tc>
          <w:tcPr>
            <w:tcW w:w="2456" w:type="dxa"/>
            <w:vMerge w:val="continue"/>
            <w:tcBorders>
              <w:right w:val="single" w:color="000000" w:sz="4" w:space="0"/>
            </w:tcBorders>
            <w:shd w:val="clear" w:color="auto" w:fill="auto"/>
            <w:noWrap w:val="0"/>
            <w:vAlign w:val="center"/>
          </w:tcPr>
          <w:p w14:paraId="6D8C82F1">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r>
      <w:tr w14:paraId="792CFBB2">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65DE4099">
            <w:pPr>
              <w:pStyle w:val="5"/>
              <w:snapToGrid w:val="0"/>
              <w:spacing w:line="240" w:lineRule="auto"/>
              <w:ind w:left="0" w:leftChars="0" w:right="0" w:rightChars="0" w:firstLine="0" w:firstLineChars="0"/>
              <w:jc w:val="left"/>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7C71E743">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0"/>
            <w:vAlign w:val="center"/>
          </w:tcPr>
          <w:p w14:paraId="661C3F79">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高速公路</w:t>
            </w:r>
          </w:p>
        </w:tc>
        <w:tc>
          <w:tcPr>
            <w:tcW w:w="1159" w:type="dxa"/>
            <w:shd w:val="clear" w:color="auto" w:fill="auto"/>
            <w:noWrap/>
            <w:vAlign w:val="center"/>
          </w:tcPr>
          <w:p w14:paraId="368A3095">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2176" w:type="dxa"/>
            <w:shd w:val="clear" w:color="auto" w:fill="auto"/>
            <w:noWrap/>
            <w:vAlign w:val="center"/>
          </w:tcPr>
          <w:p w14:paraId="633FDBC6">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宜石高速</w:t>
            </w:r>
          </w:p>
        </w:tc>
        <w:tc>
          <w:tcPr>
            <w:tcW w:w="2456" w:type="dxa"/>
            <w:vMerge w:val="continue"/>
            <w:tcBorders>
              <w:right w:val="single" w:color="000000" w:sz="4" w:space="0"/>
            </w:tcBorders>
            <w:shd w:val="clear" w:color="auto" w:fill="auto"/>
            <w:noWrap w:val="0"/>
            <w:vAlign w:val="center"/>
          </w:tcPr>
          <w:p w14:paraId="18239248">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r>
      <w:tr w14:paraId="79526AFE">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0CE4E079">
            <w:pPr>
              <w:pStyle w:val="5"/>
              <w:snapToGrid w:val="0"/>
              <w:spacing w:line="240" w:lineRule="auto"/>
              <w:ind w:left="0" w:leftChars="0" w:right="0" w:rightChars="0" w:firstLine="0" w:firstLineChars="0"/>
              <w:jc w:val="left"/>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2EB92507">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0"/>
            <w:vAlign w:val="center"/>
          </w:tcPr>
          <w:p w14:paraId="6E083F18">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普通国道</w:t>
            </w:r>
          </w:p>
        </w:tc>
        <w:tc>
          <w:tcPr>
            <w:tcW w:w="1159" w:type="dxa"/>
            <w:shd w:val="clear" w:color="auto" w:fill="auto"/>
            <w:noWrap/>
            <w:vAlign w:val="center"/>
          </w:tcPr>
          <w:p w14:paraId="00A61705">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2176" w:type="dxa"/>
            <w:shd w:val="clear" w:color="auto" w:fill="auto"/>
            <w:noWrap/>
            <w:vAlign w:val="center"/>
          </w:tcPr>
          <w:p w14:paraId="28926C1B">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w:t>
            </w:r>
          </w:p>
        </w:tc>
        <w:tc>
          <w:tcPr>
            <w:tcW w:w="2456" w:type="dxa"/>
            <w:vMerge w:val="continue"/>
            <w:tcBorders>
              <w:right w:val="single" w:color="000000" w:sz="4" w:space="0"/>
            </w:tcBorders>
            <w:shd w:val="clear" w:color="auto" w:fill="auto"/>
            <w:noWrap w:val="0"/>
            <w:vAlign w:val="center"/>
          </w:tcPr>
          <w:p w14:paraId="513FFAE6">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r>
      <w:tr w14:paraId="6A2ED3B2">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tcBorders>
            <w:shd w:val="clear" w:color="auto" w:fill="auto"/>
            <w:noWrap w:val="0"/>
            <w:vAlign w:val="center"/>
          </w:tcPr>
          <w:p w14:paraId="6950A473">
            <w:pPr>
              <w:pStyle w:val="5"/>
              <w:snapToGrid w:val="0"/>
              <w:spacing w:line="240" w:lineRule="auto"/>
              <w:ind w:left="0" w:leftChars="0" w:right="0" w:rightChars="0" w:firstLine="0" w:firstLineChars="0"/>
              <w:jc w:val="left"/>
              <w:rPr>
                <w:rFonts w:hint="eastAsia" w:ascii="仿宋" w:hAnsi="仿宋" w:eastAsia="仿宋" w:cs="仿宋"/>
                <w:b/>
                <w:bCs/>
                <w:color w:val="000000"/>
                <w:sz w:val="24"/>
                <w:szCs w:val="24"/>
                <w:highlight w:val="none"/>
              </w:rPr>
            </w:pPr>
          </w:p>
        </w:tc>
        <w:tc>
          <w:tcPr>
            <w:tcW w:w="1301" w:type="dxa"/>
            <w:vMerge w:val="continue"/>
            <w:shd w:val="clear" w:color="auto" w:fill="auto"/>
            <w:noWrap w:val="0"/>
            <w:vAlign w:val="center"/>
          </w:tcPr>
          <w:p w14:paraId="29E05732">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shd w:val="clear" w:color="auto" w:fill="auto"/>
            <w:noWrap w:val="0"/>
            <w:vAlign w:val="center"/>
          </w:tcPr>
          <w:p w14:paraId="4B79F977">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普通省道</w:t>
            </w:r>
          </w:p>
        </w:tc>
        <w:tc>
          <w:tcPr>
            <w:tcW w:w="1159" w:type="dxa"/>
            <w:shd w:val="clear" w:color="auto" w:fill="auto"/>
            <w:noWrap/>
            <w:vAlign w:val="center"/>
          </w:tcPr>
          <w:p w14:paraId="62A926D4">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2176" w:type="dxa"/>
            <w:shd w:val="clear" w:color="auto" w:fill="auto"/>
            <w:noWrap/>
            <w:vAlign w:val="center"/>
          </w:tcPr>
          <w:p w14:paraId="7E0DCE9B">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w:t>
            </w:r>
          </w:p>
        </w:tc>
        <w:tc>
          <w:tcPr>
            <w:tcW w:w="2456" w:type="dxa"/>
            <w:vMerge w:val="continue"/>
            <w:tcBorders>
              <w:right w:val="single" w:color="000000" w:sz="4" w:space="0"/>
            </w:tcBorders>
            <w:shd w:val="clear" w:color="auto" w:fill="auto"/>
            <w:noWrap w:val="0"/>
            <w:vAlign w:val="center"/>
          </w:tcPr>
          <w:p w14:paraId="5727ADC0">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r>
      <w:tr w14:paraId="47D7631F">
        <w:tblPrEx>
          <w:tblBorders>
            <w:top w:val="thinThickSmallGap" w:color="000000" w:sz="12" w:space="0"/>
            <w:left w:val="thinThickSmallGap" w:color="000000" w:sz="12" w:space="0"/>
            <w:bottom w:val="thickThinSmallGap" w:color="000000" w:sz="12" w:space="0"/>
            <w:right w:val="thickThinSmallGap"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759" w:type="dxa"/>
            <w:vMerge w:val="continue"/>
            <w:tcBorders>
              <w:left w:val="single" w:color="000000" w:sz="4" w:space="0"/>
              <w:bottom w:val="single" w:color="000000" w:sz="4" w:space="0"/>
            </w:tcBorders>
            <w:shd w:val="clear" w:color="auto" w:fill="auto"/>
            <w:noWrap w:val="0"/>
            <w:vAlign w:val="center"/>
          </w:tcPr>
          <w:p w14:paraId="42C533C3">
            <w:pPr>
              <w:pStyle w:val="5"/>
              <w:snapToGrid w:val="0"/>
              <w:spacing w:line="240" w:lineRule="auto"/>
              <w:ind w:left="0" w:leftChars="0" w:right="0" w:rightChars="0" w:firstLine="0" w:firstLineChars="0"/>
              <w:jc w:val="left"/>
              <w:rPr>
                <w:rFonts w:hint="eastAsia" w:ascii="仿宋" w:hAnsi="仿宋" w:eastAsia="仿宋" w:cs="仿宋"/>
                <w:b/>
                <w:bCs/>
                <w:color w:val="000000"/>
                <w:sz w:val="24"/>
                <w:szCs w:val="24"/>
                <w:highlight w:val="none"/>
              </w:rPr>
            </w:pPr>
          </w:p>
        </w:tc>
        <w:tc>
          <w:tcPr>
            <w:tcW w:w="1301" w:type="dxa"/>
            <w:vMerge w:val="continue"/>
            <w:tcBorders>
              <w:bottom w:val="single" w:color="000000" w:sz="4" w:space="0"/>
            </w:tcBorders>
            <w:shd w:val="clear" w:color="auto" w:fill="auto"/>
            <w:noWrap w:val="0"/>
            <w:vAlign w:val="center"/>
          </w:tcPr>
          <w:p w14:paraId="09937720">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1460" w:type="dxa"/>
            <w:tcBorders>
              <w:bottom w:val="single" w:color="000000" w:sz="4" w:space="0"/>
            </w:tcBorders>
            <w:shd w:val="clear" w:color="auto" w:fill="auto"/>
            <w:noWrap w:val="0"/>
            <w:vAlign w:val="center"/>
          </w:tcPr>
          <w:p w14:paraId="7CE21E49">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重要县道</w:t>
            </w:r>
          </w:p>
        </w:tc>
        <w:tc>
          <w:tcPr>
            <w:tcW w:w="1159" w:type="dxa"/>
            <w:tcBorders>
              <w:bottom w:val="single" w:color="000000" w:sz="4" w:space="0"/>
            </w:tcBorders>
            <w:shd w:val="clear" w:color="auto" w:fill="auto"/>
            <w:noWrap/>
            <w:vAlign w:val="center"/>
          </w:tcPr>
          <w:p w14:paraId="1BF9501F">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c>
          <w:tcPr>
            <w:tcW w:w="2176" w:type="dxa"/>
            <w:tcBorders>
              <w:bottom w:val="single" w:color="000000" w:sz="4" w:space="0"/>
            </w:tcBorders>
            <w:shd w:val="clear" w:color="auto" w:fill="auto"/>
            <w:noWrap/>
            <w:vAlign w:val="center"/>
          </w:tcPr>
          <w:p w14:paraId="75E709A1">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t>鹿平公路</w:t>
            </w:r>
          </w:p>
        </w:tc>
        <w:tc>
          <w:tcPr>
            <w:tcW w:w="2456" w:type="dxa"/>
            <w:vMerge w:val="continue"/>
            <w:tcBorders>
              <w:bottom w:val="single" w:color="000000" w:sz="4" w:space="0"/>
              <w:right w:val="single" w:color="000000" w:sz="4" w:space="0"/>
            </w:tcBorders>
            <w:shd w:val="clear" w:color="auto" w:fill="auto"/>
            <w:noWrap w:val="0"/>
            <w:vAlign w:val="center"/>
          </w:tcPr>
          <w:p w14:paraId="7B1B2E02">
            <w:pPr>
              <w:pStyle w:val="5"/>
              <w:snapToGrid w:val="0"/>
              <w:spacing w:line="240" w:lineRule="auto"/>
              <w:ind w:left="0" w:leftChars="0" w:right="0" w:rightChars="0" w:firstLine="0" w:firstLineChars="0"/>
              <w:jc w:val="left"/>
              <w:rPr>
                <w:rFonts w:hint="eastAsia" w:ascii="仿宋" w:hAnsi="仿宋" w:eastAsia="仿宋" w:cs="仿宋"/>
                <w:b w:val="0"/>
                <w:color w:val="000000"/>
                <w:sz w:val="24"/>
                <w:szCs w:val="24"/>
                <w:highlight w:val="none"/>
              </w:rPr>
            </w:pPr>
          </w:p>
        </w:tc>
      </w:tr>
      <w:bookmarkEnd w:id="44"/>
    </w:tbl>
    <w:p w14:paraId="276694B2">
      <w:pPr>
        <w:pStyle w:val="4"/>
        <w:bidi w:val="0"/>
        <w:rPr>
          <w:rFonts w:hint="eastAsia"/>
          <w:highlight w:val="none"/>
        </w:rPr>
      </w:pPr>
      <w:r>
        <w:rPr>
          <w:rFonts w:hint="eastAsia"/>
          <w:highlight w:val="none"/>
          <w:lang w:val="en-US" w:eastAsia="zh-CN"/>
        </w:rPr>
        <w:t>2.</w:t>
      </w:r>
      <w:r>
        <w:rPr>
          <w:rFonts w:hint="eastAsia"/>
          <w:highlight w:val="none"/>
        </w:rPr>
        <w:t>完善</w:t>
      </w:r>
      <w:r>
        <w:rPr>
          <w:rFonts w:hint="eastAsia"/>
          <w:highlight w:val="none"/>
          <w:lang w:val="en-US" w:eastAsia="zh-CN"/>
        </w:rPr>
        <w:t>多维</w:t>
      </w:r>
      <w:r>
        <w:rPr>
          <w:rFonts w:hint="eastAsia"/>
          <w:b/>
          <w:bCs/>
          <w:color w:val="auto"/>
          <w:highlight w:val="none"/>
          <w:lang w:val="en-US" w:eastAsia="zh-CN"/>
        </w:rPr>
        <w:t>协同的</w:t>
      </w:r>
      <w:r>
        <w:rPr>
          <w:rFonts w:hint="eastAsia"/>
          <w:highlight w:val="none"/>
        </w:rPr>
        <w:t>综合立体交通网络布局</w:t>
      </w:r>
      <w:bookmarkEnd w:id="41"/>
      <w:bookmarkEnd w:id="42"/>
      <w:bookmarkEnd w:id="43"/>
    </w:p>
    <w:p w14:paraId="2D511D17">
      <w:pPr>
        <w:pStyle w:val="5"/>
        <w:ind w:firstLine="640"/>
        <w:rPr>
          <w:rFonts w:hint="eastAsia" w:ascii="宋体" w:hAnsi="宋体"/>
          <w:color w:val="auto"/>
          <w:highlight w:val="none"/>
          <w:lang w:eastAsia="zh-CN"/>
        </w:rPr>
      </w:pPr>
      <w:r>
        <w:rPr>
          <w:rFonts w:hint="eastAsia" w:ascii="宋体" w:hAnsi="宋体"/>
          <w:color w:val="auto"/>
          <w:highlight w:val="none"/>
        </w:rPr>
        <w:t>以建设“畅行石林”为目标，统筹公路、铁路等多种运输方式，</w:t>
      </w:r>
      <w:r>
        <w:rPr>
          <w:rFonts w:hint="eastAsia" w:ascii="宋体" w:hAnsi="宋体"/>
          <w:color w:val="auto"/>
          <w:highlight w:val="none"/>
          <w:lang w:val="en-US" w:eastAsia="zh-CN"/>
        </w:rPr>
        <w:t>深化</w:t>
      </w:r>
      <w:r>
        <w:rPr>
          <w:rFonts w:hint="eastAsia" w:ascii="宋体" w:hAnsi="宋体"/>
          <w:color w:val="auto"/>
          <w:highlight w:val="none"/>
        </w:rPr>
        <w:t>交通与文旅深度融合</w:t>
      </w:r>
      <w:r>
        <w:rPr>
          <w:rFonts w:hint="eastAsia" w:ascii="宋体" w:hAnsi="宋体"/>
          <w:color w:val="auto"/>
          <w:highlight w:val="none"/>
          <w:lang w:eastAsia="zh-CN"/>
        </w:rPr>
        <w:t>，</w:t>
      </w:r>
      <w:r>
        <w:rPr>
          <w:rFonts w:hint="eastAsia" w:ascii="宋体" w:hAnsi="宋体"/>
          <w:color w:val="auto"/>
          <w:highlight w:val="none"/>
        </w:rPr>
        <w:t>持续优化综合交通网络结构</w:t>
      </w:r>
      <w:r>
        <w:rPr>
          <w:rFonts w:hint="eastAsia" w:ascii="宋体" w:hAnsi="宋体"/>
          <w:color w:val="auto"/>
          <w:highlight w:val="none"/>
          <w:lang w:eastAsia="zh-CN"/>
        </w:rPr>
        <w:t>，逐步构建以铁路、高速公路高效衔接的</w:t>
      </w:r>
      <w:r>
        <w:rPr>
          <w:rFonts w:hint="eastAsia" w:ascii="宋体" w:hAnsi="宋体"/>
          <w:b/>
          <w:bCs/>
          <w:color w:val="auto"/>
          <w:highlight w:val="none"/>
          <w:lang w:eastAsia="zh-CN"/>
        </w:rPr>
        <w:t>综合交通快速网为骨架</w:t>
      </w:r>
      <w:r>
        <w:rPr>
          <w:rFonts w:hint="eastAsia" w:ascii="宋体" w:hAnsi="宋体"/>
          <w:color w:val="auto"/>
          <w:highlight w:val="none"/>
          <w:lang w:eastAsia="zh-CN"/>
        </w:rPr>
        <w:t>，普通国省道、重要县道组成的高效率</w:t>
      </w:r>
      <w:r>
        <w:rPr>
          <w:rFonts w:hint="eastAsia" w:ascii="宋体" w:hAnsi="宋体"/>
          <w:b/>
          <w:bCs/>
          <w:color w:val="auto"/>
          <w:highlight w:val="none"/>
          <w:lang w:eastAsia="zh-CN"/>
        </w:rPr>
        <w:t>普通干线网为支撑</w:t>
      </w:r>
      <w:r>
        <w:rPr>
          <w:rFonts w:hint="eastAsia" w:ascii="宋体" w:hAnsi="宋体"/>
          <w:color w:val="auto"/>
          <w:highlight w:val="none"/>
          <w:lang w:eastAsia="zh-CN"/>
        </w:rPr>
        <w:t>，</w:t>
      </w:r>
      <w:r>
        <w:rPr>
          <w:rFonts w:hint="eastAsia" w:ascii="宋体" w:hAnsi="宋体"/>
          <w:color w:val="auto"/>
          <w:highlight w:val="none"/>
          <w:lang w:val="en-US" w:eastAsia="zh-CN"/>
        </w:rPr>
        <w:t>一般</w:t>
      </w:r>
      <w:r>
        <w:rPr>
          <w:rFonts w:hint="eastAsia" w:ascii="宋体" w:hAnsi="宋体"/>
          <w:color w:val="auto"/>
          <w:highlight w:val="none"/>
          <w:lang w:eastAsia="zh-CN"/>
        </w:rPr>
        <w:t>县道、乡道织就的广覆盖</w:t>
      </w:r>
      <w:r>
        <w:rPr>
          <w:rFonts w:hint="eastAsia" w:ascii="宋体" w:hAnsi="宋体"/>
          <w:b/>
          <w:bCs/>
          <w:color w:val="auto"/>
          <w:highlight w:val="none"/>
          <w:lang w:eastAsia="zh-CN"/>
        </w:rPr>
        <w:t>基础服务网为脉络</w:t>
      </w:r>
      <w:r>
        <w:rPr>
          <w:rFonts w:hint="eastAsia" w:ascii="宋体" w:hAnsi="宋体"/>
          <w:color w:val="auto"/>
          <w:highlight w:val="none"/>
          <w:lang w:eastAsia="zh-CN"/>
        </w:rPr>
        <w:t>，绿道、风景道、旅游专线及低空飞行线路等</w:t>
      </w:r>
      <w:r>
        <w:rPr>
          <w:rFonts w:hint="eastAsia" w:ascii="宋体" w:hAnsi="宋体"/>
          <w:b/>
          <w:bCs/>
          <w:color w:val="auto"/>
          <w:highlight w:val="none"/>
          <w:lang w:eastAsia="zh-CN"/>
        </w:rPr>
        <w:t>特色</w:t>
      </w:r>
      <w:r>
        <w:rPr>
          <w:rFonts w:hint="eastAsia" w:ascii="宋体" w:hAnsi="宋体"/>
          <w:b/>
          <w:bCs/>
          <w:color w:val="auto"/>
          <w:highlight w:val="none"/>
          <w:lang w:val="en-US" w:eastAsia="zh-CN"/>
        </w:rPr>
        <w:t>专线</w:t>
      </w:r>
      <w:r>
        <w:rPr>
          <w:rFonts w:hint="eastAsia" w:ascii="宋体" w:hAnsi="宋体"/>
          <w:b/>
          <w:bCs/>
          <w:color w:val="auto"/>
          <w:highlight w:val="none"/>
          <w:lang w:eastAsia="zh-CN"/>
        </w:rPr>
        <w:t>为补充</w:t>
      </w:r>
      <w:r>
        <w:rPr>
          <w:rFonts w:hint="eastAsia" w:ascii="宋体" w:hAnsi="宋体"/>
          <w:color w:val="auto"/>
          <w:highlight w:val="none"/>
          <w:lang w:eastAsia="zh-CN"/>
        </w:rPr>
        <w:t>的</w:t>
      </w:r>
      <w:r>
        <w:rPr>
          <w:rFonts w:hint="eastAsia" w:ascii="宋体" w:hAnsi="宋体"/>
          <w:b/>
          <w:bCs/>
          <w:color w:val="auto"/>
          <w:highlight w:val="none"/>
          <w:lang w:eastAsia="zh-CN"/>
        </w:rPr>
        <w:t>多维协同交通体系</w:t>
      </w:r>
      <w:r>
        <w:rPr>
          <w:rFonts w:hint="eastAsia" w:ascii="宋体" w:hAnsi="宋体"/>
          <w:color w:val="auto"/>
          <w:highlight w:val="none"/>
          <w:lang w:eastAsia="zh-CN"/>
        </w:rPr>
        <w:t>，有效串联石林风景区、长湖、圭山、大叠水等核心文旅资源，补齐交通发展短板，</w:t>
      </w:r>
      <w:r>
        <w:rPr>
          <w:rFonts w:hint="eastAsia" w:ascii="宋体" w:hAnsi="宋体"/>
          <w:color w:val="auto"/>
          <w:highlight w:val="none"/>
          <w:lang w:val="en-US" w:eastAsia="zh-CN"/>
        </w:rPr>
        <w:t>基本</w:t>
      </w:r>
      <w:r>
        <w:rPr>
          <w:rFonts w:hint="eastAsia" w:ascii="宋体" w:hAnsi="宋体"/>
          <w:color w:val="auto"/>
          <w:highlight w:val="none"/>
          <w:lang w:eastAsia="zh-CN"/>
        </w:rPr>
        <w:t>形成布局合理、功能完善、衔接顺畅、体验丰富的“快进慢游”交通网络，为石林全域旅游高质量发展筑牢坚实交通保障。</w:t>
      </w:r>
    </w:p>
    <w:p w14:paraId="076D2741">
      <w:pPr>
        <w:pStyle w:val="4"/>
        <w:bidi w:val="0"/>
        <w:rPr>
          <w:rFonts w:hint="eastAsia"/>
          <w:lang w:eastAsia="zh-CN"/>
        </w:rPr>
      </w:pPr>
      <w:r>
        <w:rPr>
          <w:rFonts w:hint="eastAsia"/>
          <w:lang w:val="en-US" w:eastAsia="zh-CN"/>
        </w:rPr>
        <w:t>3.</w:t>
      </w:r>
      <w:r>
        <w:rPr>
          <w:rFonts w:hint="eastAsia"/>
        </w:rPr>
        <w:t>夯实“快进”基础</w:t>
      </w:r>
      <w:r>
        <w:rPr>
          <w:rFonts w:hint="eastAsia"/>
          <w:lang w:eastAsia="zh-CN"/>
        </w:rPr>
        <w:t>，构建高品质的综合交通快速网。</w:t>
      </w:r>
    </w:p>
    <w:p w14:paraId="4AF3FFFF">
      <w:pPr>
        <w:pStyle w:val="5"/>
        <w:ind w:firstLine="640"/>
        <w:rPr>
          <w:rFonts w:hint="eastAsia" w:ascii="宋体" w:hAnsi="宋体"/>
          <w:color w:val="auto"/>
          <w:highlight w:val="none"/>
          <w:lang w:eastAsia="zh-CN"/>
        </w:rPr>
      </w:pPr>
      <w:r>
        <w:rPr>
          <w:rFonts w:hint="eastAsia" w:ascii="宋体" w:hAnsi="宋体"/>
          <w:color w:val="auto"/>
          <w:highlight w:val="none"/>
        </w:rPr>
        <w:t>加快推进</w:t>
      </w:r>
      <w:r>
        <w:rPr>
          <w:rFonts w:hint="eastAsia" w:ascii="宋体" w:hAnsi="宋体"/>
          <w:color w:val="auto"/>
          <w:highlight w:val="none"/>
          <w:lang w:val="en-US" w:eastAsia="zh-CN"/>
        </w:rPr>
        <w:t>高速</w:t>
      </w:r>
      <w:r>
        <w:rPr>
          <w:rFonts w:hint="eastAsia" w:ascii="宋体" w:hAnsi="宋体"/>
          <w:color w:val="auto"/>
          <w:highlight w:val="none"/>
        </w:rPr>
        <w:t>公路与铁路的有效衔接，依托现有云桂高铁、</w:t>
      </w:r>
      <w:r>
        <w:rPr>
          <w:rFonts w:hint="eastAsia" w:ascii="宋体" w:hAnsi="宋体"/>
          <w:color w:val="auto"/>
          <w:highlight w:val="none"/>
          <w:lang w:val="en-US" w:eastAsia="zh-CN"/>
        </w:rPr>
        <w:t>南昆铁路</w:t>
      </w:r>
      <w:r>
        <w:rPr>
          <w:rFonts w:hint="eastAsia" w:ascii="宋体" w:hAnsi="宋体"/>
          <w:color w:val="auto"/>
          <w:highlight w:val="none"/>
        </w:rPr>
        <w:t>，联动5条高速</w:t>
      </w:r>
      <w:r>
        <w:rPr>
          <w:rFonts w:hint="eastAsia" w:ascii="宋体" w:hAnsi="宋体"/>
          <w:color w:val="auto"/>
          <w:highlight w:val="none"/>
          <w:lang w:eastAsia="zh-CN"/>
        </w:rPr>
        <w:t>，</w:t>
      </w:r>
      <w:r>
        <w:rPr>
          <w:rFonts w:hint="eastAsia" w:ascii="宋体" w:hAnsi="宋体"/>
          <w:b/>
          <w:bCs/>
          <w:color w:val="auto"/>
          <w:highlight w:val="none"/>
        </w:rPr>
        <w:t>构建“2+5”快速交通体系</w:t>
      </w:r>
      <w:r>
        <w:rPr>
          <w:rFonts w:hint="eastAsia" w:ascii="宋体" w:hAnsi="宋体"/>
          <w:color w:val="auto"/>
          <w:highlight w:val="none"/>
          <w:lang w:eastAsia="zh-CN"/>
        </w:rPr>
        <w:t>，</w:t>
      </w:r>
      <w:r>
        <w:rPr>
          <w:rFonts w:hint="eastAsia" w:ascii="宋体" w:hAnsi="宋体"/>
          <w:color w:val="auto"/>
          <w:highlight w:val="none"/>
          <w:lang w:val="en-US" w:eastAsia="zh-CN"/>
        </w:rPr>
        <w:t>提升外部可达性，推进县域协同发展，全面提升昆明对周边县域的辐射能力</w:t>
      </w:r>
      <w:r>
        <w:rPr>
          <w:rFonts w:hint="eastAsia" w:ascii="宋体" w:hAnsi="宋体"/>
          <w:color w:val="auto"/>
          <w:highlight w:val="none"/>
          <w:lang w:eastAsia="zh-CN"/>
        </w:rPr>
        <w:t>。</w:t>
      </w:r>
    </w:p>
    <w:p w14:paraId="294C034D">
      <w:pPr>
        <w:pStyle w:val="5"/>
        <w:ind w:firstLine="640"/>
        <w:rPr>
          <w:rFonts w:hint="eastAsia" w:ascii="宋体" w:hAnsi="宋体"/>
          <w:highlight w:val="none"/>
          <w:lang w:val="en-US" w:eastAsia="zh-CN"/>
        </w:rPr>
      </w:pPr>
      <w:bookmarkStart w:id="45" w:name="_Hlk194864202"/>
      <w:r>
        <w:rPr>
          <w:rFonts w:hint="eastAsia" w:ascii="宋体" w:hAnsi="宋体"/>
          <w:b/>
          <w:bCs/>
          <w:highlight w:val="none"/>
        </w:rPr>
        <w:t>——</w:t>
      </w:r>
      <w:r>
        <w:rPr>
          <w:rFonts w:hint="eastAsia" w:ascii="宋体" w:hAnsi="宋体"/>
          <w:b/>
          <w:bCs/>
          <w:highlight w:val="none"/>
          <w:lang w:val="en-US" w:eastAsia="zh-CN"/>
        </w:rPr>
        <w:t>推进高速公路扩容改造</w:t>
      </w:r>
      <w:r>
        <w:rPr>
          <w:rFonts w:hint="eastAsia" w:ascii="宋体" w:hAnsi="宋体"/>
          <w:b/>
          <w:bCs/>
          <w:highlight w:val="none"/>
        </w:rPr>
        <w:t>。</w:t>
      </w:r>
    </w:p>
    <w:p w14:paraId="1E11E79F">
      <w:pPr>
        <w:pStyle w:val="5"/>
        <w:rPr>
          <w:rFonts w:hint="eastAsia" w:eastAsia="方正仿宋_GBK"/>
          <w:highlight w:val="none"/>
          <w:lang w:eastAsia="zh-CN"/>
        </w:rPr>
      </w:pPr>
      <w:r>
        <w:rPr>
          <w:rFonts w:hint="eastAsia" w:ascii="宋体" w:hAnsi="宋体"/>
          <w:highlight w:val="none"/>
          <w:lang w:val="en-US" w:eastAsia="zh-CN"/>
        </w:rPr>
        <w:t>依托G78汕昆高速/G80广昆高速石林至昆明段扩容改造项目的推进实施，构建连接昆明与滇东、滇南地区的多车道、大容量高速公路通道，进一步增强区域交通承载能力，有效缓解对外通道单一、客货混行现象显著、节假日交通拥堵严重等交通问题。需着重推进以下工作：</w:t>
      </w:r>
    </w:p>
    <w:p w14:paraId="4E4846FC">
      <w:pPr>
        <w:pStyle w:val="5"/>
        <w:bidi w:val="0"/>
        <w:rPr>
          <w:rFonts w:hint="eastAsia" w:ascii="宋体" w:hAnsi="宋体"/>
          <w:highlight w:val="none"/>
          <w:lang w:val="en-US" w:eastAsia="zh-CN"/>
        </w:rPr>
      </w:pPr>
      <w:r>
        <w:rPr>
          <w:rFonts w:hint="eastAsia" w:ascii="宋体" w:hAnsi="宋体"/>
          <w:highlight w:val="none"/>
          <w:lang w:val="en-US" w:eastAsia="zh-CN"/>
        </w:rPr>
        <w:t>一是全力配合推进G78汕昆高速/G80广昆高速石林至昆明段（扩容改造）项目，强化要素保障，确保项目顺利实施。</w:t>
      </w:r>
    </w:p>
    <w:p w14:paraId="10231FF9">
      <w:pPr>
        <w:pStyle w:val="5"/>
        <w:bidi w:val="0"/>
        <w:rPr>
          <w:rFonts w:hint="eastAsia" w:ascii="宋体" w:hAnsi="宋体"/>
          <w:highlight w:val="none"/>
        </w:rPr>
      </w:pPr>
      <w:r>
        <w:rPr>
          <w:rFonts w:hint="eastAsia" w:ascii="宋体" w:hAnsi="宋体"/>
          <w:highlight w:val="none"/>
          <w:lang w:val="en-US" w:eastAsia="zh-CN"/>
        </w:rPr>
        <w:t>二是提升县域内部路网与高速公路的衔接效能，提升综合交通联动水平。通过加强高速公路与重要枢纽场站、乡镇之间的顺畅连接，构建高效便捷的综合交通运输体系，全面提高县域高速公路覆盖与服务能力。同时，积极推动路网向东延伸，串联长湖、圭山、阿庐古洞（泸西）、普者黑（丘北）等核心旅游景区，整合滇东南优质旅游资源，打造畅通高效的旅游黄金线路</w:t>
      </w:r>
      <w:r>
        <w:rPr>
          <w:rFonts w:hint="eastAsia" w:ascii="宋体" w:hAnsi="宋体"/>
          <w:highlight w:val="none"/>
          <w:lang w:eastAsia="zh-CN"/>
        </w:rPr>
        <w:t>。</w:t>
      </w:r>
    </w:p>
    <w:bookmarkEnd w:id="45"/>
    <w:p w14:paraId="6906B9DE">
      <w:pPr>
        <w:pStyle w:val="5"/>
        <w:bidi w:val="0"/>
        <w:rPr>
          <w:b/>
          <w:bCs/>
          <w:highlight w:val="none"/>
        </w:rPr>
      </w:pPr>
      <w:r>
        <w:rPr>
          <w:b/>
          <w:bCs/>
          <w:highlight w:val="none"/>
        </w:rPr>
        <w:t>——</w:t>
      </w:r>
      <w:r>
        <w:rPr>
          <w:rFonts w:hint="eastAsia"/>
          <w:b/>
          <w:bCs/>
          <w:highlight w:val="none"/>
        </w:rPr>
        <w:t>积极推进铁路</w:t>
      </w:r>
      <w:r>
        <w:rPr>
          <w:rFonts w:hint="eastAsia"/>
          <w:b/>
          <w:bCs/>
          <w:highlight w:val="none"/>
          <w:lang w:val="en-US" w:eastAsia="zh-CN"/>
        </w:rPr>
        <w:t>前期工作</w:t>
      </w:r>
      <w:r>
        <w:rPr>
          <w:b/>
          <w:bCs/>
          <w:highlight w:val="none"/>
        </w:rPr>
        <w:t>。</w:t>
      </w:r>
    </w:p>
    <w:p w14:paraId="5E89EA67">
      <w:pPr>
        <w:pStyle w:val="5"/>
        <w:rPr>
          <w:rFonts w:hint="eastAsia" w:ascii="宋体" w:hAnsi="宋体" w:eastAsia="方正仿宋_GBK" w:cs="方正仿宋_GBK"/>
          <w:color w:val="auto"/>
          <w:spacing w:val="0"/>
          <w:w w:val="100"/>
          <w:position w:val="0"/>
          <w:sz w:val="32"/>
          <w:szCs w:val="32"/>
          <w:highlight w:val="none"/>
          <w:lang w:val="en-US" w:eastAsia="zh-CN"/>
        </w:rPr>
      </w:pPr>
      <w:r>
        <w:rPr>
          <w:rFonts w:hint="eastAsia" w:ascii="宋体" w:hAnsi="宋体" w:eastAsia="方正仿宋_GBK" w:cs="方正仿宋_GBK"/>
          <w:color w:val="auto"/>
          <w:spacing w:val="0"/>
          <w:w w:val="100"/>
          <w:position w:val="0"/>
          <w:sz w:val="32"/>
          <w:szCs w:val="32"/>
          <w:highlight w:val="none"/>
          <w:lang w:val="en-US" w:eastAsia="zh-CN"/>
        </w:rPr>
        <w:t>以《国家中长期铁路网规划（</w:t>
      </w:r>
      <w:r>
        <w:rPr>
          <w:rFonts w:hint="eastAsia" w:ascii="宋体" w:hAnsi="宋体" w:cs="方正仿宋_GBK"/>
          <w:color w:val="auto"/>
          <w:spacing w:val="0"/>
          <w:w w:val="100"/>
          <w:position w:val="0"/>
          <w:sz w:val="32"/>
          <w:szCs w:val="32"/>
          <w:highlight w:val="none"/>
          <w:lang w:val="en-US" w:eastAsia="zh-CN"/>
        </w:rPr>
        <w:t>2016—2030</w:t>
      </w:r>
      <w:r>
        <w:rPr>
          <w:rFonts w:hint="eastAsia" w:ascii="宋体" w:hAnsi="宋体" w:eastAsia="方正仿宋_GBK" w:cs="方正仿宋_GBK"/>
          <w:color w:val="auto"/>
          <w:spacing w:val="0"/>
          <w:w w:val="100"/>
          <w:position w:val="0"/>
          <w:sz w:val="32"/>
          <w:szCs w:val="32"/>
          <w:highlight w:val="none"/>
          <w:lang w:val="en-US" w:eastAsia="zh-CN"/>
        </w:rPr>
        <w:t>）》、《昆明市城市轨道交通线网规划修编（第三轮）》</w:t>
      </w:r>
      <w:r>
        <w:rPr>
          <w:rFonts w:hint="eastAsia" w:ascii="宋体" w:hAnsi="宋体" w:cs="方正仿宋_GBK"/>
          <w:color w:val="auto"/>
          <w:spacing w:val="0"/>
          <w:w w:val="100"/>
          <w:position w:val="0"/>
          <w:sz w:val="32"/>
          <w:szCs w:val="32"/>
          <w:highlight w:val="none"/>
          <w:lang w:val="en-US" w:eastAsia="zh-CN"/>
        </w:rPr>
        <w:t>远景规划目标</w:t>
      </w:r>
      <w:r>
        <w:rPr>
          <w:rFonts w:hint="eastAsia" w:ascii="宋体" w:hAnsi="宋体" w:eastAsia="方正仿宋_GBK" w:cs="方正仿宋_GBK"/>
          <w:color w:val="auto"/>
          <w:spacing w:val="0"/>
          <w:w w:val="100"/>
          <w:position w:val="0"/>
          <w:sz w:val="32"/>
          <w:szCs w:val="32"/>
          <w:highlight w:val="none"/>
          <w:lang w:val="en-US" w:eastAsia="zh-CN"/>
        </w:rPr>
        <w:t>为依据，综合上位规划、现状以及石林县未来经济社会发展需求，规划</w:t>
      </w:r>
      <w:r>
        <w:rPr>
          <w:rFonts w:hint="eastAsia" w:ascii="宋体" w:hAnsi="宋体" w:cs="方正仿宋_GBK"/>
          <w:color w:val="auto"/>
          <w:spacing w:val="0"/>
          <w:w w:val="100"/>
          <w:position w:val="0"/>
          <w:sz w:val="32"/>
          <w:szCs w:val="32"/>
          <w:highlight w:val="none"/>
          <w:lang w:val="en-US" w:eastAsia="zh-CN"/>
        </w:rPr>
        <w:t>远期</w:t>
      </w:r>
      <w:r>
        <w:rPr>
          <w:rFonts w:hint="eastAsia" w:ascii="宋体" w:hAnsi="宋体" w:eastAsia="方正仿宋_GBK" w:cs="方正仿宋_GBK"/>
          <w:color w:val="auto"/>
          <w:spacing w:val="0"/>
          <w:w w:val="100"/>
          <w:position w:val="0"/>
          <w:sz w:val="32"/>
          <w:szCs w:val="32"/>
          <w:highlight w:val="none"/>
          <w:lang w:val="en-US" w:eastAsia="zh-CN"/>
        </w:rPr>
        <w:t>形成“二横</w:t>
      </w:r>
      <w:r>
        <w:rPr>
          <w:rFonts w:hint="eastAsia" w:ascii="宋体" w:hAnsi="宋体" w:cs="方正仿宋_GBK"/>
          <w:color w:val="auto"/>
          <w:spacing w:val="0"/>
          <w:w w:val="100"/>
          <w:position w:val="0"/>
          <w:sz w:val="32"/>
          <w:szCs w:val="32"/>
          <w:highlight w:val="none"/>
          <w:lang w:val="en-US" w:eastAsia="zh-CN"/>
        </w:rPr>
        <w:t>三</w:t>
      </w:r>
      <w:r>
        <w:rPr>
          <w:rFonts w:hint="eastAsia" w:ascii="宋体" w:hAnsi="宋体" w:eastAsia="方正仿宋_GBK" w:cs="方正仿宋_GBK"/>
          <w:color w:val="auto"/>
          <w:spacing w:val="0"/>
          <w:w w:val="100"/>
          <w:position w:val="0"/>
          <w:sz w:val="32"/>
          <w:szCs w:val="32"/>
          <w:highlight w:val="none"/>
          <w:lang w:val="en-US" w:eastAsia="zh-CN"/>
        </w:rPr>
        <w:t>联”铁路网络结构。</w:t>
      </w:r>
    </w:p>
    <w:p w14:paraId="23128E2E">
      <w:pPr>
        <w:pStyle w:val="45"/>
        <w:bidi w:val="0"/>
        <w:rPr>
          <w:rFonts w:hint="eastAsia"/>
          <w:highlight w:val="none"/>
          <w:lang w:val="en-US" w:eastAsia="zh-CN"/>
        </w:rPr>
      </w:pPr>
      <w:r>
        <w:rPr>
          <w:highlight w:val="none"/>
        </w:rPr>
        <w:drawing>
          <wp:inline distT="0" distB="0" distL="114300" distR="114300">
            <wp:extent cx="4874895" cy="3432810"/>
            <wp:effectExtent l="0" t="0" r="1905" b="5715"/>
            <wp:docPr id="4" name="图片 2" descr="石林“十四五”综合交通运输发展规划初步研究汇报20210713(汇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石林“十四五”综合交通运输发展规划初步研究汇报20210713(汇报)"/>
                    <pic:cNvPicPr>
                      <a:picLocks noChangeAspect="1"/>
                    </pic:cNvPicPr>
                  </pic:nvPicPr>
                  <pic:blipFill>
                    <a:blip r:embed="rId15"/>
                    <a:stretch>
                      <a:fillRect/>
                    </a:stretch>
                  </pic:blipFill>
                  <pic:spPr>
                    <a:xfrm>
                      <a:off x="0" y="0"/>
                      <a:ext cx="4874895" cy="3432810"/>
                    </a:xfrm>
                    <a:prstGeom prst="rect">
                      <a:avLst/>
                    </a:prstGeom>
                    <a:noFill/>
                    <a:ln>
                      <a:noFill/>
                    </a:ln>
                  </pic:spPr>
                </pic:pic>
              </a:graphicData>
            </a:graphic>
          </wp:inline>
        </w:drawing>
      </w:r>
    </w:p>
    <w:p w14:paraId="22E13FC2">
      <w:pPr>
        <w:pStyle w:val="5"/>
        <w:rPr>
          <w:rFonts w:hint="eastAsia" w:eastAsia="方正仿宋_GBK"/>
          <w:highlight w:val="none"/>
          <w:lang w:eastAsia="zh-CN"/>
        </w:rPr>
      </w:pPr>
      <w:r>
        <w:rPr>
          <w:rFonts w:hint="eastAsia" w:ascii="宋体" w:hAnsi="宋体" w:cs="方正仿宋_GBK"/>
          <w:b/>
          <w:bCs/>
          <w:color w:val="auto"/>
          <w:spacing w:val="0"/>
          <w:w w:val="100"/>
          <w:position w:val="0"/>
          <w:sz w:val="32"/>
          <w:szCs w:val="32"/>
          <w:highlight w:val="none"/>
          <w:lang w:val="en-US" w:eastAsia="zh-CN"/>
        </w:rPr>
        <w:t>一横：</w:t>
      </w:r>
      <w:r>
        <w:rPr>
          <w:rFonts w:hint="eastAsia" w:ascii="宋体" w:hAnsi="宋体" w:eastAsia="方正仿宋_GBK" w:cs="方正仿宋_GBK"/>
          <w:color w:val="auto"/>
          <w:spacing w:val="0"/>
          <w:w w:val="100"/>
          <w:position w:val="0"/>
          <w:sz w:val="32"/>
          <w:szCs w:val="32"/>
          <w:highlight w:val="none"/>
          <w:lang w:val="en-US" w:eastAsia="zh-CN"/>
        </w:rPr>
        <w:t>南昆铁路（</w:t>
      </w:r>
      <w:r>
        <w:rPr>
          <w:rFonts w:hint="eastAsia" w:ascii="宋体" w:hAnsi="宋体" w:cs="方正仿宋_GBK"/>
          <w:color w:val="auto"/>
          <w:spacing w:val="0"/>
          <w:w w:val="100"/>
          <w:position w:val="0"/>
          <w:sz w:val="32"/>
          <w:szCs w:val="32"/>
          <w:highlight w:val="none"/>
          <w:lang w:val="en-US" w:eastAsia="zh-CN"/>
        </w:rPr>
        <w:t>改扩建</w:t>
      </w:r>
      <w:r>
        <w:rPr>
          <w:rFonts w:hint="eastAsia" w:ascii="宋体" w:hAnsi="宋体" w:eastAsia="方正仿宋_GBK" w:cs="方正仿宋_GBK"/>
          <w:color w:val="auto"/>
          <w:spacing w:val="0"/>
          <w:w w:val="100"/>
          <w:position w:val="0"/>
          <w:sz w:val="32"/>
          <w:szCs w:val="32"/>
          <w:highlight w:val="none"/>
          <w:lang w:val="en-US" w:eastAsia="zh-CN"/>
        </w:rPr>
        <w:t>）</w:t>
      </w:r>
      <w:r>
        <w:rPr>
          <w:rFonts w:hint="eastAsia" w:ascii="宋体" w:hAnsi="宋体" w:cs="方正仿宋_GBK"/>
          <w:color w:val="auto"/>
          <w:spacing w:val="0"/>
          <w:w w:val="100"/>
          <w:position w:val="0"/>
          <w:sz w:val="32"/>
          <w:szCs w:val="32"/>
          <w:highlight w:val="none"/>
          <w:lang w:val="en-US" w:eastAsia="zh-CN"/>
        </w:rPr>
        <w:t>，</w:t>
      </w:r>
      <w:r>
        <w:rPr>
          <w:rFonts w:hint="eastAsia" w:ascii="宋体" w:hAnsi="宋体" w:eastAsia="方正仿宋_GBK" w:cs="方正仿宋_GBK"/>
          <w:color w:val="auto"/>
          <w:spacing w:val="0"/>
          <w:w w:val="100"/>
          <w:position w:val="0"/>
          <w:sz w:val="32"/>
          <w:szCs w:val="32"/>
          <w:highlight w:val="none"/>
          <w:lang w:val="en-US" w:eastAsia="zh-CN"/>
        </w:rPr>
        <w:t>自北向南贯穿石林县东部，县境内线路全长约46.7公里，设石林站、石林南站，以及宜</w:t>
      </w:r>
      <w:r>
        <w:rPr>
          <w:rFonts w:hint="eastAsia" w:ascii="宋体" w:hAnsi="宋体" w:cs="方正仿宋_GBK"/>
          <w:color w:val="auto"/>
          <w:spacing w:val="0"/>
          <w:w w:val="100"/>
          <w:position w:val="0"/>
          <w:sz w:val="32"/>
          <w:szCs w:val="32"/>
          <w:highlight w:val="none"/>
          <w:lang w:val="en-US" w:eastAsia="zh-CN"/>
        </w:rPr>
        <w:t>耐</w:t>
      </w:r>
      <w:r>
        <w:rPr>
          <w:rFonts w:hint="eastAsia" w:ascii="宋体" w:hAnsi="宋体" w:eastAsia="方正仿宋_GBK" w:cs="方正仿宋_GBK"/>
          <w:color w:val="auto"/>
          <w:spacing w:val="0"/>
          <w:w w:val="100"/>
          <w:position w:val="0"/>
          <w:sz w:val="32"/>
          <w:szCs w:val="32"/>
          <w:highlight w:val="none"/>
          <w:lang w:val="en-US" w:eastAsia="zh-CN"/>
        </w:rPr>
        <w:t>、西街口、茂舍祖三个客货运站点，是西南地区重要的铁路货运通道。依据《昆明市“十五五”综合交通运输发展规划》（编制中），</w:t>
      </w:r>
      <w:r>
        <w:rPr>
          <w:rFonts w:hint="eastAsia" w:ascii="宋体" w:hAnsi="宋体" w:cs="方正仿宋_GBK"/>
          <w:color w:val="auto"/>
          <w:spacing w:val="0"/>
          <w:w w:val="100"/>
          <w:position w:val="0"/>
          <w:sz w:val="32"/>
          <w:szCs w:val="32"/>
          <w:highlight w:val="none"/>
          <w:lang w:val="en-US" w:eastAsia="zh-CN"/>
        </w:rPr>
        <w:t>拟按</w:t>
      </w:r>
      <w:r>
        <w:rPr>
          <w:rFonts w:hint="eastAsia" w:ascii="宋体" w:hAnsi="宋体" w:eastAsia="方正仿宋_GBK" w:cs="方正仿宋_GBK"/>
          <w:color w:val="auto"/>
          <w:spacing w:val="0"/>
          <w:w w:val="100"/>
          <w:position w:val="0"/>
          <w:sz w:val="32"/>
          <w:szCs w:val="32"/>
          <w:highlight w:val="none"/>
          <w:lang w:val="en-US" w:eastAsia="zh-CN"/>
        </w:rPr>
        <w:t>国家Ⅰ级单线电气化铁路标准，积极配合上级主管部门推进南昆铁路扩能改造工程的前期研究论证工作</w:t>
      </w:r>
      <w:r>
        <w:rPr>
          <w:rFonts w:hint="eastAsia" w:ascii="宋体" w:hAnsi="宋体" w:cs="方正仿宋_GBK"/>
          <w:color w:val="auto"/>
          <w:spacing w:val="0"/>
          <w:w w:val="100"/>
          <w:position w:val="0"/>
          <w:sz w:val="32"/>
          <w:szCs w:val="32"/>
          <w:highlight w:val="none"/>
          <w:lang w:val="en-US" w:eastAsia="zh-CN"/>
        </w:rPr>
        <w:t>。</w:t>
      </w:r>
    </w:p>
    <w:p w14:paraId="5FA9F740">
      <w:pPr>
        <w:pStyle w:val="5"/>
        <w:rPr>
          <w:rFonts w:hint="eastAsia" w:ascii="宋体" w:hAnsi="宋体" w:cs="方正仿宋_GBK"/>
          <w:color w:val="auto"/>
          <w:spacing w:val="0"/>
          <w:w w:val="100"/>
          <w:position w:val="0"/>
          <w:sz w:val="32"/>
          <w:szCs w:val="32"/>
          <w:highlight w:val="none"/>
          <w:lang w:val="en-US" w:eastAsia="zh-CN"/>
        </w:rPr>
      </w:pPr>
      <w:r>
        <w:rPr>
          <w:rFonts w:hint="eastAsia" w:ascii="宋体" w:hAnsi="宋体" w:cs="方正仿宋_GBK"/>
          <w:b/>
          <w:bCs/>
          <w:color w:val="auto"/>
          <w:spacing w:val="0"/>
          <w:w w:val="100"/>
          <w:position w:val="0"/>
          <w:sz w:val="32"/>
          <w:szCs w:val="32"/>
          <w:highlight w:val="none"/>
          <w:lang w:val="en-US" w:eastAsia="zh-CN"/>
        </w:rPr>
        <w:t>二横：</w:t>
      </w:r>
      <w:r>
        <w:rPr>
          <w:rFonts w:hint="eastAsia" w:ascii="宋体" w:hAnsi="宋体" w:eastAsia="方正仿宋_GBK" w:cs="方正仿宋_GBK"/>
          <w:color w:val="auto"/>
          <w:spacing w:val="0"/>
          <w:w w:val="100"/>
          <w:position w:val="0"/>
          <w:sz w:val="32"/>
          <w:szCs w:val="32"/>
          <w:highlight w:val="none"/>
          <w:lang w:val="en-US" w:eastAsia="zh-CN"/>
        </w:rPr>
        <w:t>云桂铁路（已建成）</w:t>
      </w:r>
      <w:r>
        <w:rPr>
          <w:rFonts w:hint="eastAsia" w:ascii="宋体" w:hAnsi="宋体" w:cs="方正仿宋_GBK"/>
          <w:color w:val="auto"/>
          <w:spacing w:val="0"/>
          <w:w w:val="100"/>
          <w:position w:val="0"/>
          <w:sz w:val="32"/>
          <w:szCs w:val="32"/>
          <w:highlight w:val="none"/>
          <w:lang w:val="en-US" w:eastAsia="zh-CN"/>
        </w:rPr>
        <w:t>，</w:t>
      </w:r>
      <w:r>
        <w:rPr>
          <w:rFonts w:hint="eastAsia" w:ascii="宋体" w:hAnsi="宋体" w:eastAsia="方正仿宋_GBK" w:cs="方正仿宋_GBK"/>
          <w:color w:val="auto"/>
          <w:spacing w:val="0"/>
          <w:w w:val="100"/>
          <w:position w:val="0"/>
          <w:sz w:val="32"/>
          <w:szCs w:val="32"/>
          <w:highlight w:val="none"/>
          <w:lang w:val="en-US" w:eastAsia="zh-CN"/>
        </w:rPr>
        <w:t>属于国家Ⅰ级双线电气化铁路，县境内路段起于大可乡中龙村委会大平滩村，止于鹿阜街道大叠水村委会小团山村，正线全长15.3公里。</w:t>
      </w:r>
    </w:p>
    <w:p w14:paraId="6492C0F2">
      <w:pPr>
        <w:pStyle w:val="5"/>
        <w:rPr>
          <w:rFonts w:hint="eastAsia" w:eastAsia="方正仿宋_GBK"/>
          <w:highlight w:val="none"/>
          <w:lang w:eastAsia="zh-CN"/>
        </w:rPr>
      </w:pPr>
      <w:r>
        <w:rPr>
          <w:rFonts w:hint="eastAsia" w:ascii="宋体" w:hAnsi="宋体" w:cs="方正仿宋_GBK"/>
          <w:b/>
          <w:bCs/>
          <w:color w:val="auto"/>
          <w:spacing w:val="0"/>
          <w:w w:val="100"/>
          <w:position w:val="0"/>
          <w:sz w:val="32"/>
          <w:szCs w:val="32"/>
          <w:highlight w:val="none"/>
          <w:lang w:val="en-US" w:eastAsia="zh-CN"/>
        </w:rPr>
        <w:t>一联：</w:t>
      </w:r>
      <w:r>
        <w:rPr>
          <w:rFonts w:hint="eastAsia" w:ascii="宋体" w:hAnsi="宋体" w:eastAsia="方正仿宋_GBK" w:cs="方正仿宋_GBK"/>
          <w:color w:val="auto"/>
          <w:spacing w:val="0"/>
          <w:w w:val="100"/>
          <w:position w:val="0"/>
          <w:sz w:val="32"/>
          <w:szCs w:val="32"/>
          <w:highlight w:val="none"/>
          <w:lang w:val="en-US" w:eastAsia="zh-CN"/>
        </w:rPr>
        <w:t>货运联络线（已建成）</w:t>
      </w:r>
      <w:r>
        <w:rPr>
          <w:rFonts w:hint="eastAsia" w:ascii="宋体" w:hAnsi="宋体" w:cs="方正仿宋_GBK"/>
          <w:color w:val="auto"/>
          <w:spacing w:val="0"/>
          <w:w w:val="100"/>
          <w:position w:val="0"/>
          <w:sz w:val="32"/>
          <w:szCs w:val="32"/>
          <w:highlight w:val="none"/>
          <w:lang w:val="en-US" w:eastAsia="zh-CN"/>
        </w:rPr>
        <w:t>，</w:t>
      </w:r>
      <w:r>
        <w:rPr>
          <w:rFonts w:hint="eastAsia" w:ascii="宋体" w:hAnsi="宋体" w:eastAsia="方正仿宋_GBK" w:cs="方正仿宋_GBK"/>
          <w:color w:val="auto"/>
          <w:spacing w:val="0"/>
          <w:w w:val="100"/>
          <w:position w:val="0"/>
          <w:sz w:val="32"/>
          <w:szCs w:val="32"/>
          <w:highlight w:val="none"/>
          <w:lang w:val="en-US" w:eastAsia="zh-CN"/>
        </w:rPr>
        <w:t>衔接云桂铁路石林西站与南昆铁路石林南站，线路全长24.5公里。</w:t>
      </w:r>
    </w:p>
    <w:p w14:paraId="29B8B86B">
      <w:pPr>
        <w:pStyle w:val="5"/>
        <w:rPr>
          <w:rFonts w:hint="eastAsia" w:ascii="宋体" w:hAnsi="宋体" w:eastAsia="方正仿宋_GBK" w:cs="方正仿宋_GBK"/>
          <w:color w:val="auto"/>
          <w:spacing w:val="0"/>
          <w:w w:val="100"/>
          <w:position w:val="0"/>
          <w:sz w:val="32"/>
          <w:szCs w:val="32"/>
          <w:highlight w:val="none"/>
          <w:lang w:val="en-US" w:eastAsia="zh-CN"/>
        </w:rPr>
      </w:pPr>
      <w:r>
        <w:rPr>
          <w:rFonts w:hint="eastAsia" w:ascii="宋体" w:hAnsi="宋体" w:cs="方正仿宋_GBK"/>
          <w:b/>
          <w:bCs/>
          <w:color w:val="auto"/>
          <w:spacing w:val="0"/>
          <w:w w:val="100"/>
          <w:position w:val="0"/>
          <w:sz w:val="32"/>
          <w:szCs w:val="32"/>
          <w:highlight w:val="none"/>
          <w:lang w:val="en-US" w:eastAsia="zh-CN"/>
        </w:rPr>
        <w:t>二联：</w:t>
      </w:r>
      <w:r>
        <w:rPr>
          <w:rFonts w:hint="eastAsia" w:ascii="宋体" w:hAnsi="宋体" w:eastAsia="方正仿宋_GBK" w:cs="方正仿宋_GBK"/>
          <w:color w:val="auto"/>
          <w:spacing w:val="0"/>
          <w:w w:val="100"/>
          <w:position w:val="0"/>
          <w:sz w:val="32"/>
          <w:szCs w:val="32"/>
          <w:highlight w:val="none"/>
          <w:lang w:val="en-US" w:eastAsia="zh-CN"/>
        </w:rPr>
        <w:t>昆明经宜良至石林县城都市轨道（预留）</w:t>
      </w:r>
      <w:r>
        <w:rPr>
          <w:rFonts w:hint="eastAsia" w:ascii="宋体" w:hAnsi="宋体" w:cs="方正仿宋_GBK"/>
          <w:color w:val="auto"/>
          <w:spacing w:val="0"/>
          <w:w w:val="100"/>
          <w:position w:val="0"/>
          <w:sz w:val="32"/>
          <w:szCs w:val="32"/>
          <w:highlight w:val="none"/>
          <w:lang w:val="en-US" w:eastAsia="zh-CN"/>
        </w:rPr>
        <w:t>，石林县</w:t>
      </w:r>
      <w:r>
        <w:rPr>
          <w:rFonts w:hint="eastAsia" w:ascii="宋体" w:hAnsi="宋体" w:eastAsia="方正仿宋_GBK" w:cs="方正仿宋_GBK"/>
          <w:color w:val="auto"/>
          <w:spacing w:val="0"/>
          <w:w w:val="100"/>
          <w:position w:val="0"/>
          <w:sz w:val="32"/>
          <w:szCs w:val="32"/>
          <w:highlight w:val="none"/>
          <w:lang w:val="en-US" w:eastAsia="zh-CN"/>
        </w:rPr>
        <w:t>段长约9.5公里。</w:t>
      </w:r>
      <w:r>
        <w:rPr>
          <w:rFonts w:hint="eastAsia" w:ascii="宋体" w:hAnsi="宋体" w:cs="方正仿宋_GBK"/>
          <w:color w:val="auto"/>
          <w:spacing w:val="0"/>
          <w:w w:val="100"/>
          <w:position w:val="0"/>
          <w:sz w:val="32"/>
          <w:szCs w:val="32"/>
          <w:highlight w:val="none"/>
          <w:lang w:val="en-US" w:eastAsia="zh-CN"/>
        </w:rPr>
        <w:t>“十五五</w:t>
      </w:r>
      <w:r>
        <w:rPr>
          <w:rFonts w:hint="default" w:ascii="宋体" w:hAnsi="宋体" w:cs="方正仿宋_GBK"/>
          <w:color w:val="auto"/>
          <w:spacing w:val="0"/>
          <w:w w:val="100"/>
          <w:position w:val="0"/>
          <w:sz w:val="32"/>
          <w:szCs w:val="32"/>
          <w:highlight w:val="none"/>
          <w:lang w:val="en-US" w:eastAsia="zh-CN"/>
        </w:rPr>
        <w:t>”</w:t>
      </w:r>
      <w:r>
        <w:rPr>
          <w:rFonts w:hint="eastAsia" w:ascii="宋体" w:hAnsi="宋体" w:cs="方正仿宋_GBK"/>
          <w:color w:val="auto"/>
          <w:spacing w:val="0"/>
          <w:w w:val="100"/>
          <w:position w:val="0"/>
          <w:sz w:val="32"/>
          <w:szCs w:val="32"/>
          <w:highlight w:val="none"/>
          <w:lang w:val="en-US" w:eastAsia="zh-CN"/>
        </w:rPr>
        <w:t>期间</w:t>
      </w:r>
      <w:r>
        <w:rPr>
          <w:rFonts w:hint="eastAsia" w:ascii="宋体" w:hAnsi="宋体" w:eastAsia="方正仿宋_GBK" w:cs="方正仿宋_GBK"/>
          <w:color w:val="auto"/>
          <w:spacing w:val="0"/>
          <w:w w:val="100"/>
          <w:position w:val="0"/>
          <w:sz w:val="32"/>
          <w:szCs w:val="32"/>
          <w:highlight w:val="none"/>
          <w:lang w:val="en-US" w:eastAsia="zh-CN"/>
        </w:rPr>
        <w:t>积极推进项目前期研究工作，作为</w:t>
      </w:r>
      <w:r>
        <w:rPr>
          <w:rFonts w:hint="eastAsia" w:ascii="宋体" w:hAnsi="宋体" w:cs="方正仿宋_GBK"/>
          <w:color w:val="auto"/>
          <w:spacing w:val="0"/>
          <w:w w:val="100"/>
          <w:position w:val="0"/>
          <w:sz w:val="32"/>
          <w:szCs w:val="32"/>
          <w:highlight w:val="none"/>
          <w:lang w:val="en-US" w:eastAsia="zh-CN"/>
        </w:rPr>
        <w:t>远期</w:t>
      </w:r>
      <w:r>
        <w:rPr>
          <w:rFonts w:hint="eastAsia" w:ascii="宋体" w:hAnsi="宋体" w:eastAsia="方正仿宋_GBK" w:cs="方正仿宋_GBK"/>
          <w:color w:val="auto"/>
          <w:spacing w:val="0"/>
          <w:w w:val="100"/>
          <w:position w:val="0"/>
          <w:sz w:val="32"/>
          <w:szCs w:val="32"/>
          <w:highlight w:val="none"/>
          <w:lang w:val="en-US" w:eastAsia="zh-CN"/>
        </w:rPr>
        <w:t>储备项目，待</w:t>
      </w:r>
      <w:r>
        <w:rPr>
          <w:rFonts w:hint="eastAsia" w:ascii="宋体" w:hAnsi="宋体" w:cs="方正仿宋_GBK"/>
          <w:color w:val="auto"/>
          <w:spacing w:val="0"/>
          <w:w w:val="100"/>
          <w:position w:val="0"/>
          <w:sz w:val="32"/>
          <w:szCs w:val="32"/>
          <w:highlight w:val="none"/>
          <w:lang w:val="en-US" w:eastAsia="zh-CN"/>
        </w:rPr>
        <w:t>政策允许</w:t>
      </w:r>
      <w:r>
        <w:rPr>
          <w:rFonts w:hint="eastAsia" w:ascii="宋体" w:hAnsi="宋体" w:eastAsia="方正仿宋_GBK" w:cs="方正仿宋_GBK"/>
          <w:color w:val="auto"/>
          <w:spacing w:val="0"/>
          <w:w w:val="100"/>
          <w:position w:val="0"/>
          <w:sz w:val="32"/>
          <w:szCs w:val="32"/>
          <w:highlight w:val="none"/>
          <w:lang w:val="en-US" w:eastAsia="zh-CN"/>
        </w:rPr>
        <w:t>时适时</w:t>
      </w:r>
      <w:r>
        <w:rPr>
          <w:rFonts w:hint="eastAsia" w:ascii="宋体" w:hAnsi="宋体" w:cs="方正仿宋_GBK"/>
          <w:color w:val="auto"/>
          <w:spacing w:val="0"/>
          <w:w w:val="100"/>
          <w:position w:val="0"/>
          <w:sz w:val="32"/>
          <w:szCs w:val="32"/>
          <w:highlight w:val="none"/>
          <w:lang w:val="en-US" w:eastAsia="zh-CN"/>
        </w:rPr>
        <w:t>启动</w:t>
      </w:r>
      <w:r>
        <w:rPr>
          <w:rFonts w:hint="eastAsia" w:ascii="宋体" w:hAnsi="宋体" w:eastAsia="方正仿宋_GBK" w:cs="方正仿宋_GBK"/>
          <w:color w:val="auto"/>
          <w:spacing w:val="0"/>
          <w:w w:val="100"/>
          <w:position w:val="0"/>
          <w:sz w:val="32"/>
          <w:szCs w:val="32"/>
          <w:highlight w:val="none"/>
          <w:lang w:val="en-US" w:eastAsia="zh-CN"/>
        </w:rPr>
        <w:t>。</w:t>
      </w:r>
    </w:p>
    <w:p w14:paraId="4172715F">
      <w:pPr>
        <w:pStyle w:val="5"/>
        <w:rPr>
          <w:rFonts w:hint="eastAsia" w:eastAsia="方正仿宋_GBK"/>
          <w:highlight w:val="none"/>
          <w:lang w:eastAsia="zh-CN"/>
        </w:rPr>
      </w:pPr>
      <w:r>
        <w:rPr>
          <w:rFonts w:hint="eastAsia" w:ascii="宋体" w:hAnsi="宋体" w:cs="方正仿宋_GBK"/>
          <w:b/>
          <w:bCs/>
          <w:color w:val="auto"/>
          <w:spacing w:val="0"/>
          <w:w w:val="100"/>
          <w:position w:val="0"/>
          <w:sz w:val="32"/>
          <w:szCs w:val="32"/>
          <w:highlight w:val="none"/>
          <w:lang w:val="en-US" w:eastAsia="zh-CN"/>
        </w:rPr>
        <w:t>三联：</w:t>
      </w:r>
      <w:r>
        <w:rPr>
          <w:rFonts w:hint="eastAsia" w:ascii="宋体" w:hAnsi="宋体" w:eastAsia="方正仿宋_GBK" w:cs="方正仿宋_GBK"/>
          <w:color w:val="auto"/>
          <w:spacing w:val="0"/>
          <w:w w:val="100"/>
          <w:position w:val="0"/>
          <w:sz w:val="32"/>
          <w:szCs w:val="32"/>
          <w:highlight w:val="none"/>
          <w:lang w:val="en-US" w:eastAsia="zh-CN"/>
        </w:rPr>
        <w:t>昆明至石林至陆良至罗平城际铁路</w:t>
      </w:r>
      <w:r>
        <w:rPr>
          <w:rFonts w:hint="eastAsia" w:ascii="宋体" w:hAnsi="宋体" w:cs="方正仿宋_GBK"/>
          <w:color w:val="auto"/>
          <w:spacing w:val="0"/>
          <w:w w:val="100"/>
          <w:position w:val="0"/>
          <w:sz w:val="32"/>
          <w:szCs w:val="32"/>
          <w:highlight w:val="none"/>
          <w:lang w:val="en-US" w:eastAsia="zh-CN"/>
        </w:rPr>
        <w:t>，“十五五”期间</w:t>
      </w:r>
      <w:r>
        <w:rPr>
          <w:rFonts w:hint="eastAsia" w:ascii="宋体" w:hAnsi="宋体" w:eastAsia="方正仿宋_GBK" w:cs="方正仿宋_GBK"/>
          <w:color w:val="auto"/>
          <w:spacing w:val="0"/>
          <w:w w:val="100"/>
          <w:position w:val="0"/>
          <w:sz w:val="32"/>
          <w:szCs w:val="32"/>
          <w:highlight w:val="none"/>
          <w:lang w:val="en-US" w:eastAsia="zh-CN"/>
        </w:rPr>
        <w:t>积极推进项目前期研究工作，作为远期储备项目，待政策允许时适时</w:t>
      </w:r>
      <w:r>
        <w:rPr>
          <w:rFonts w:hint="eastAsia" w:ascii="宋体" w:hAnsi="宋体" w:cs="方正仿宋_GBK"/>
          <w:color w:val="auto"/>
          <w:spacing w:val="0"/>
          <w:w w:val="100"/>
          <w:position w:val="0"/>
          <w:sz w:val="32"/>
          <w:szCs w:val="32"/>
          <w:highlight w:val="none"/>
          <w:lang w:val="en-US" w:eastAsia="zh-CN"/>
        </w:rPr>
        <w:t>启动</w:t>
      </w:r>
      <w:r>
        <w:rPr>
          <w:rFonts w:hint="eastAsia" w:ascii="宋体" w:hAnsi="宋体" w:eastAsia="方正仿宋_GBK" w:cs="方正仿宋_GBK"/>
          <w:color w:val="auto"/>
          <w:spacing w:val="0"/>
          <w:w w:val="100"/>
          <w:position w:val="0"/>
          <w:sz w:val="32"/>
          <w:szCs w:val="32"/>
          <w:highlight w:val="none"/>
          <w:lang w:val="en-US" w:eastAsia="zh-CN"/>
        </w:rPr>
        <w:t>。</w:t>
      </w:r>
    </w:p>
    <w:tbl>
      <w:tblPr>
        <w:tblStyle w:val="44"/>
        <w:tblW w:w="8536" w:type="dxa"/>
        <w:tblInd w:w="2"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8536"/>
      </w:tblGrid>
      <w:tr w14:paraId="754D7D8B">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665" w:hRule="atLeast"/>
        </w:trPr>
        <w:tc>
          <w:tcPr>
            <w:tcW w:w="8536" w:type="dxa"/>
            <w:tcBorders>
              <w:bottom w:val="single" w:color="auto" w:sz="4" w:space="0"/>
            </w:tcBorders>
            <w:vAlign w:val="top"/>
          </w:tcPr>
          <w:p w14:paraId="6D8DE2AD">
            <w:pPr>
              <w:pStyle w:val="5"/>
              <w:ind w:firstLine="0" w:firstLineChars="0"/>
              <w:jc w:val="center"/>
              <w:rPr>
                <w:rFonts w:hint="eastAsia"/>
                <w:sz w:val="28"/>
                <w:szCs w:val="28"/>
                <w:highlight w:val="none"/>
              </w:rPr>
            </w:pPr>
            <w:r>
              <w:rPr>
                <w:rFonts w:hint="eastAsia" w:ascii="宋体" w:hAnsi="宋体" w:eastAsia="方正黑体_GBK" w:cs="方正黑体_GBK"/>
                <w:bCs/>
                <w:sz w:val="28"/>
                <w:szCs w:val="28"/>
                <w:highlight w:val="none"/>
                <w:lang w:val="en-US" w:eastAsia="zh-CN"/>
              </w:rPr>
              <w:t>专栏2</w:t>
            </w:r>
            <w:r>
              <w:rPr>
                <w:rFonts w:hint="eastAsia" w:ascii="宋体" w:hAnsi="宋体" w:eastAsia="方正黑体_GBK" w:cs="方正黑体_GBK"/>
                <w:bCs/>
                <w:sz w:val="28"/>
                <w:szCs w:val="28"/>
                <w:highlight w:val="none"/>
              </w:rPr>
              <w:t>“十五五”期间</w:t>
            </w:r>
            <w:r>
              <w:rPr>
                <w:rFonts w:hint="eastAsia" w:ascii="宋体" w:hAnsi="宋体" w:eastAsia="方正黑体_GBK" w:cs="方正黑体_GBK"/>
                <w:bCs/>
                <w:sz w:val="28"/>
                <w:szCs w:val="28"/>
                <w:highlight w:val="none"/>
                <w:lang w:val="en-US" w:eastAsia="zh-CN"/>
              </w:rPr>
              <w:t>综合交通快速网建设重点项目</w:t>
            </w:r>
          </w:p>
        </w:tc>
      </w:tr>
      <w:tr w14:paraId="6FBCF522">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1001" w:hRule="atLeast"/>
        </w:trPr>
        <w:tc>
          <w:tcPr>
            <w:tcW w:w="8536" w:type="dxa"/>
            <w:tcBorders>
              <w:top w:val="single" w:color="auto" w:sz="4" w:space="0"/>
            </w:tcBorders>
            <w:vAlign w:val="top"/>
          </w:tcPr>
          <w:p w14:paraId="650B3E85">
            <w:pPr>
              <w:pStyle w:val="5"/>
              <w:bidi w:val="0"/>
              <w:rPr>
                <w:sz w:val="28"/>
                <w:szCs w:val="28"/>
                <w:highlight w:val="none"/>
              </w:rPr>
            </w:pPr>
            <w:r>
              <w:rPr>
                <w:rFonts w:hint="eastAsia"/>
                <w:sz w:val="28"/>
                <w:szCs w:val="28"/>
                <w:highlight w:val="none"/>
                <w:lang w:val="en-US" w:eastAsia="zh-CN"/>
              </w:rPr>
              <w:t>高速公路：全力配合</w:t>
            </w:r>
            <w:r>
              <w:rPr>
                <w:rFonts w:hint="eastAsia"/>
                <w:sz w:val="28"/>
                <w:szCs w:val="28"/>
                <w:highlight w:val="none"/>
                <w:lang w:eastAsia="zh-CN"/>
              </w:rPr>
              <w:t>G78汕昆高速/G80广昆高速石林至昆明段（扩容改造）</w:t>
            </w:r>
            <w:r>
              <w:rPr>
                <w:rFonts w:hint="eastAsia"/>
                <w:sz w:val="28"/>
                <w:szCs w:val="28"/>
                <w:highlight w:val="none"/>
                <w:lang w:val="en-US" w:eastAsia="zh-CN"/>
              </w:rPr>
              <w:t>项目实施</w:t>
            </w:r>
            <w:r>
              <w:rPr>
                <w:sz w:val="28"/>
                <w:szCs w:val="28"/>
                <w:highlight w:val="none"/>
              </w:rPr>
              <w:t>。</w:t>
            </w:r>
          </w:p>
          <w:p w14:paraId="49FD22C3">
            <w:pPr>
              <w:pStyle w:val="5"/>
              <w:bidi w:val="0"/>
              <w:rPr>
                <w:highlight w:val="none"/>
              </w:rPr>
            </w:pPr>
            <w:r>
              <w:rPr>
                <w:rFonts w:hint="eastAsia" w:ascii="Times New Roman" w:hAnsi="Times New Roman" w:cs="Times New Roman"/>
                <w:sz w:val="28"/>
                <w:szCs w:val="28"/>
                <w:highlight w:val="none"/>
                <w:lang w:val="en-US" w:eastAsia="zh-CN"/>
              </w:rPr>
              <w:t>铁路：</w:t>
            </w:r>
            <w:r>
              <w:rPr>
                <w:rFonts w:hint="eastAsia"/>
                <w:sz w:val="28"/>
                <w:szCs w:val="28"/>
                <w:highlight w:val="none"/>
                <w:lang w:eastAsia="zh-CN"/>
              </w:rPr>
              <w:t>积极配合做好</w:t>
            </w:r>
            <w:r>
              <w:rPr>
                <w:rFonts w:hint="eastAsia"/>
                <w:sz w:val="28"/>
                <w:szCs w:val="28"/>
                <w:highlight w:val="none"/>
              </w:rPr>
              <w:t>南昆铁路扩能改造工程</w:t>
            </w:r>
            <w:r>
              <w:rPr>
                <w:rFonts w:hint="eastAsia"/>
                <w:sz w:val="28"/>
                <w:szCs w:val="28"/>
                <w:highlight w:val="none"/>
                <w:lang w:val="en-US" w:eastAsia="zh-CN"/>
              </w:rPr>
              <w:t>前期研究；积极</w:t>
            </w:r>
            <w:r>
              <w:rPr>
                <w:rFonts w:hint="eastAsia"/>
                <w:sz w:val="28"/>
                <w:szCs w:val="28"/>
                <w:highlight w:val="none"/>
              </w:rPr>
              <w:t>开展</w:t>
            </w:r>
            <w:r>
              <w:rPr>
                <w:rFonts w:hint="eastAsia"/>
                <w:sz w:val="28"/>
                <w:szCs w:val="28"/>
                <w:highlight w:val="none"/>
                <w:lang w:val="en-US" w:eastAsia="zh-CN"/>
              </w:rPr>
              <w:t>昆明至石林至陆良至罗平铁路</w:t>
            </w:r>
            <w:r>
              <w:rPr>
                <w:rFonts w:hint="eastAsia"/>
                <w:sz w:val="28"/>
                <w:szCs w:val="28"/>
                <w:highlight w:val="none"/>
                <w:lang w:eastAsia="zh-CN"/>
              </w:rPr>
              <w:t>、</w:t>
            </w:r>
            <w:r>
              <w:rPr>
                <w:rFonts w:hint="eastAsia"/>
                <w:sz w:val="28"/>
                <w:szCs w:val="28"/>
                <w:highlight w:val="none"/>
              </w:rPr>
              <w:t>昆明经宜良至石林都市轨道快线</w:t>
            </w:r>
            <w:r>
              <w:rPr>
                <w:rFonts w:hint="eastAsia" w:ascii="宋体" w:hAnsi="宋体"/>
                <w:sz w:val="28"/>
                <w:szCs w:val="28"/>
                <w:highlight w:val="none"/>
              </w:rPr>
              <w:t>等项目前期研究工作，待政策允许时</w:t>
            </w:r>
            <w:r>
              <w:rPr>
                <w:rFonts w:hint="eastAsia" w:ascii="宋体" w:hAnsi="宋体"/>
                <w:sz w:val="28"/>
                <w:szCs w:val="28"/>
                <w:highlight w:val="none"/>
                <w:lang w:val="en-US" w:eastAsia="zh-CN"/>
              </w:rPr>
              <w:t>启动实施</w:t>
            </w:r>
            <w:r>
              <w:rPr>
                <w:rFonts w:hint="eastAsia"/>
                <w:sz w:val="28"/>
                <w:szCs w:val="28"/>
                <w:highlight w:val="none"/>
                <w:lang w:eastAsia="zh-CN"/>
              </w:rPr>
              <w:t>。</w:t>
            </w:r>
          </w:p>
        </w:tc>
      </w:tr>
    </w:tbl>
    <w:p w14:paraId="04B3F44D">
      <w:pPr>
        <w:pStyle w:val="3"/>
        <w:numPr>
          <w:ilvl w:val="0"/>
          <w:numId w:val="0"/>
        </w:numPr>
        <w:bidi w:val="0"/>
        <w:ind w:left="0" w:leftChars="0" w:firstLine="640" w:firstLineChars="200"/>
        <w:rPr>
          <w:rFonts w:hint="eastAsia" w:ascii="宋体" w:hAnsi="宋体"/>
          <w:color w:val="auto"/>
          <w:highlight w:val="none"/>
          <w:lang w:eastAsia="zh-CN"/>
        </w:rPr>
      </w:pPr>
      <w:bookmarkStart w:id="46" w:name="_Toc4559"/>
      <w:r>
        <w:rPr>
          <w:rFonts w:hint="eastAsia" w:ascii="宋体" w:hAnsi="宋体" w:eastAsia="方正楷体_GBK" w:cstheme="majorBidi"/>
          <w:bCs/>
          <w:kern w:val="2"/>
          <w:sz w:val="32"/>
          <w:szCs w:val="32"/>
          <w:lang w:val="en-US" w:eastAsia="zh-CN" w:bidi="ar-SA"/>
        </w:rPr>
        <w:t>（二）</w:t>
      </w:r>
      <w:r>
        <w:rPr>
          <w:rFonts w:hint="eastAsia"/>
          <w:lang w:val="en-US" w:eastAsia="zh-CN"/>
        </w:rPr>
        <w:t>优化县域交通网络广覆盖，补齐东西南北路网短板</w:t>
      </w:r>
      <w:bookmarkEnd w:id="46"/>
    </w:p>
    <w:p w14:paraId="5FF44DD9">
      <w:pPr>
        <w:pStyle w:val="4"/>
        <w:bidi w:val="0"/>
        <w:rPr>
          <w:rFonts w:hint="eastAsia"/>
          <w:lang w:eastAsia="zh-CN"/>
        </w:rPr>
      </w:pPr>
      <w:r>
        <w:rPr>
          <w:rFonts w:hint="eastAsia"/>
          <w:lang w:val="en-US" w:eastAsia="zh-CN"/>
        </w:rPr>
        <w:t>1.完善</w:t>
      </w:r>
      <w:r>
        <w:rPr>
          <w:rFonts w:hint="eastAsia"/>
        </w:rPr>
        <w:t>“慢游”</w:t>
      </w:r>
      <w:r>
        <w:rPr>
          <w:rFonts w:hint="eastAsia"/>
          <w:lang w:val="en-US" w:eastAsia="zh-CN"/>
        </w:rPr>
        <w:t>网络</w:t>
      </w:r>
      <w:r>
        <w:rPr>
          <w:rFonts w:hint="eastAsia"/>
        </w:rPr>
        <w:t>，强化高效率的普通干线网</w:t>
      </w:r>
      <w:r>
        <w:rPr>
          <w:rFonts w:hint="eastAsia"/>
          <w:lang w:eastAsia="zh-CN"/>
        </w:rPr>
        <w:t>。</w:t>
      </w:r>
    </w:p>
    <w:p w14:paraId="59997B74">
      <w:pPr>
        <w:pStyle w:val="5"/>
        <w:ind w:firstLine="640"/>
        <w:rPr>
          <w:rFonts w:hint="eastAsia" w:ascii="宋体" w:hAnsi="宋体"/>
          <w:b/>
          <w:bCs/>
          <w:color w:val="auto"/>
          <w:highlight w:val="none"/>
          <w:lang w:val="en-US" w:eastAsia="zh-CN"/>
        </w:rPr>
      </w:pPr>
      <w:r>
        <w:rPr>
          <w:rFonts w:hint="eastAsia" w:ascii="宋体" w:hAnsi="宋体"/>
          <w:b/>
          <w:bCs/>
          <w:color w:val="auto"/>
          <w:highlight w:val="none"/>
          <w:lang w:val="en-US" w:eastAsia="zh-CN"/>
        </w:rPr>
        <w:t>——打通城市内环</w:t>
      </w:r>
    </w:p>
    <w:p w14:paraId="3B924824">
      <w:pPr>
        <w:pStyle w:val="5"/>
        <w:bidi w:val="0"/>
        <w:rPr>
          <w:rFonts w:hint="eastAsia"/>
          <w:lang w:val="en-US" w:eastAsia="zh-CN"/>
        </w:rPr>
      </w:pPr>
      <w:r>
        <w:rPr>
          <w:rFonts w:hint="eastAsia"/>
          <w:lang w:val="en-US" w:eastAsia="zh-CN"/>
        </w:rPr>
        <w:t>推进国道G324、G326线石林县城过境公路及配套设施工程。完善县城西部进出口通道，优化城区过境交通组织，实现过境交通与城市交通有效分流。</w:t>
      </w:r>
    </w:p>
    <w:p w14:paraId="76FD7571">
      <w:pPr>
        <w:pStyle w:val="5"/>
        <w:bidi w:val="0"/>
        <w:rPr>
          <w:rFonts w:hint="eastAsia"/>
          <w:lang w:val="en-US" w:eastAsia="zh-CN"/>
        </w:rPr>
      </w:pPr>
      <w:r>
        <w:rPr>
          <w:rFonts w:hint="eastAsia"/>
          <w:lang w:val="en-US" w:eastAsia="zh-CN"/>
        </w:rPr>
        <w:t>建设环城北路（麦地庄段）道路工程。完善县城北部环线功能，打通城市微循环瓶颈，增强城区路网连通性。</w:t>
      </w:r>
    </w:p>
    <w:p w14:paraId="4CF4AECE">
      <w:pPr>
        <w:pStyle w:val="5"/>
        <w:bidi w:val="0"/>
        <w:rPr>
          <w:rFonts w:hint="eastAsia"/>
          <w:lang w:val="en-US" w:eastAsia="zh-CN"/>
        </w:rPr>
      </w:pPr>
      <w:r>
        <w:rPr>
          <w:rFonts w:hint="eastAsia"/>
          <w:lang w:val="en-US" w:eastAsia="zh-CN"/>
        </w:rPr>
        <w:t>建设环城西路。结合过境公路项目推进县城西部环线建设，完善县城内环骨架，提升城区通行效率。</w:t>
      </w:r>
    </w:p>
    <w:p w14:paraId="5925E26F">
      <w:pPr>
        <w:pStyle w:val="5"/>
        <w:ind w:firstLine="640"/>
        <w:rPr>
          <w:rFonts w:hint="eastAsia" w:ascii="宋体" w:hAnsi="宋体"/>
          <w:b/>
          <w:bCs/>
          <w:color w:val="auto"/>
          <w:highlight w:val="none"/>
          <w:lang w:val="en-US" w:eastAsia="zh-CN"/>
        </w:rPr>
      </w:pPr>
      <w:r>
        <w:rPr>
          <w:rFonts w:hint="eastAsia" w:ascii="宋体" w:hAnsi="宋体"/>
          <w:b/>
          <w:bCs/>
          <w:color w:val="auto"/>
          <w:highlight w:val="none"/>
          <w:lang w:val="en-US" w:eastAsia="zh-CN"/>
        </w:rPr>
        <w:t>——改造提升旅游公路</w:t>
      </w:r>
    </w:p>
    <w:p w14:paraId="7E6E15C3">
      <w:pPr>
        <w:pStyle w:val="5"/>
        <w:bidi w:val="0"/>
        <w:rPr>
          <w:rFonts w:hint="eastAsia"/>
          <w:lang w:val="en-US" w:eastAsia="zh-CN"/>
        </w:rPr>
      </w:pPr>
      <w:r>
        <w:rPr>
          <w:rFonts w:hint="eastAsia"/>
          <w:lang w:val="en-US" w:eastAsia="zh-CN"/>
        </w:rPr>
        <w:t>打造九乡至石林黄金旅游线路。依托既有九石阿旅游专线，推进道路提质升级与路域环境整治，强化石林—九乡旅游走廊衔接，促进区域旅游联动发展。</w:t>
      </w:r>
    </w:p>
    <w:p w14:paraId="27B46F73">
      <w:pPr>
        <w:pStyle w:val="5"/>
        <w:bidi w:val="0"/>
        <w:rPr>
          <w:rFonts w:hint="eastAsia"/>
          <w:lang w:val="en-US" w:eastAsia="zh-CN"/>
        </w:rPr>
      </w:pPr>
      <w:r>
        <w:rPr>
          <w:rFonts w:hint="eastAsia"/>
          <w:lang w:val="en-US" w:eastAsia="zh-CN"/>
        </w:rPr>
        <w:t>实施长湖旅游专线二期工程。推进石黄牛至长湖段窄改宽建设，优化县城至长湖景区通行条件。</w:t>
      </w:r>
    </w:p>
    <w:p w14:paraId="0761BFF2">
      <w:pPr>
        <w:pStyle w:val="5"/>
        <w:bidi w:val="0"/>
        <w:rPr>
          <w:rFonts w:hint="eastAsia"/>
          <w:lang w:val="en-US" w:eastAsia="zh-CN"/>
        </w:rPr>
      </w:pPr>
      <w:r>
        <w:rPr>
          <w:rFonts w:hint="eastAsia"/>
          <w:lang w:val="en-US" w:eastAsia="zh-CN"/>
        </w:rPr>
        <w:t>推进石林、长湖、圭山旅游公路路面养护工程。以省道S209（九石阿公路）为重点，实施结构性修复、功能性修复及预防性养护，提升景区串联公路服务水平与行车安全性。</w:t>
      </w:r>
    </w:p>
    <w:p w14:paraId="3D624EA9">
      <w:pPr>
        <w:pStyle w:val="5"/>
        <w:bidi w:val="0"/>
        <w:rPr>
          <w:rFonts w:hint="eastAsia"/>
          <w:lang w:val="en-US" w:eastAsia="zh-CN"/>
        </w:rPr>
      </w:pPr>
      <w:r>
        <w:rPr>
          <w:rFonts w:hint="eastAsia"/>
          <w:lang w:val="en-US" w:eastAsia="zh-CN"/>
        </w:rPr>
        <w:t>改造提升大叠水旅游公路。实施叠水公路、叠陷公路修复性养护工程，完善景区内部道路及与宜良县交界段衔接，保障大叠水风景区通行能力。</w:t>
      </w:r>
    </w:p>
    <w:p w14:paraId="435DC851">
      <w:pPr>
        <w:pStyle w:val="5"/>
        <w:bidi w:val="0"/>
        <w:rPr>
          <w:rFonts w:hint="eastAsia"/>
          <w:lang w:val="en-US" w:eastAsia="zh-CN"/>
        </w:rPr>
      </w:pPr>
      <w:r>
        <w:rPr>
          <w:rFonts w:hint="eastAsia"/>
          <w:lang w:val="en-US" w:eastAsia="zh-CN"/>
        </w:rPr>
        <w:t>完善长湖景区旅游公路。优化景区进出口道路衔接，提升旅游专线集疏运效率。</w:t>
      </w:r>
    </w:p>
    <w:p w14:paraId="1D15CD4D">
      <w:pPr>
        <w:pStyle w:val="5"/>
        <w:ind w:firstLine="640"/>
        <w:rPr>
          <w:rFonts w:hint="eastAsia" w:ascii="宋体" w:hAnsi="宋体"/>
          <w:b/>
          <w:bCs/>
          <w:color w:val="auto"/>
          <w:highlight w:val="none"/>
          <w:lang w:val="en-US" w:eastAsia="zh-CN"/>
        </w:rPr>
      </w:pPr>
      <w:r>
        <w:rPr>
          <w:rFonts w:hint="eastAsia" w:ascii="宋体" w:hAnsi="宋体"/>
          <w:b/>
          <w:bCs/>
          <w:color w:val="auto"/>
          <w:highlight w:val="none"/>
          <w:lang w:val="en-US" w:eastAsia="zh-CN"/>
        </w:rPr>
        <w:t>——完善普通国省道路网</w:t>
      </w:r>
    </w:p>
    <w:p w14:paraId="7E5E4CA3">
      <w:pPr>
        <w:pStyle w:val="5"/>
        <w:ind w:firstLine="640"/>
        <w:rPr>
          <w:rFonts w:hint="eastAsia"/>
          <w:highlight w:val="none"/>
        </w:rPr>
      </w:pPr>
      <w:r>
        <w:rPr>
          <w:rFonts w:hint="eastAsia" w:ascii="宋体" w:hAnsi="宋体"/>
          <w:color w:val="auto"/>
          <w:highlight w:val="none"/>
          <w:lang w:val="en-US" w:eastAsia="zh-CN"/>
        </w:rPr>
        <w:t>加快补齐普通国省道发展短板，稳步推进国道G324线陆良召夸至石林北大村段改造工程，提升北大村至县城段通行能力与通道服务保障水平。适时启动石林县鹿平公路矣马伴至平田段公路改扩建工程前期研究，优化县域西向对外通道。</w:t>
      </w:r>
    </w:p>
    <w:tbl>
      <w:tblPr>
        <w:tblStyle w:val="21"/>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14:paraId="76D95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tcPr>
          <w:p w14:paraId="7FD8E2A2">
            <w:pPr>
              <w:pStyle w:val="5"/>
              <w:ind w:firstLine="0" w:firstLineChars="0"/>
              <w:jc w:val="center"/>
              <w:rPr>
                <w:rFonts w:hint="eastAsia" w:ascii="宋体" w:hAnsi="宋体"/>
                <w:highlight w:val="none"/>
              </w:rPr>
            </w:pPr>
            <w:r>
              <w:rPr>
                <w:rFonts w:hint="eastAsia" w:ascii="宋体" w:hAnsi="宋体" w:eastAsia="方正黑体_GBK" w:cs="方正黑体_GBK"/>
                <w:bCs/>
                <w:sz w:val="28"/>
                <w:szCs w:val="28"/>
                <w:highlight w:val="none"/>
              </w:rPr>
              <w:t>专栏</w:t>
            </w:r>
            <w:r>
              <w:rPr>
                <w:rFonts w:hint="eastAsia" w:ascii="宋体" w:hAnsi="宋体" w:eastAsia="宋体" w:cs="宋体"/>
                <w:b/>
                <w:bCs/>
                <w:sz w:val="28"/>
                <w:szCs w:val="28"/>
                <w:highlight w:val="none"/>
                <w:lang w:val="en-US" w:eastAsia="zh-CN"/>
              </w:rPr>
              <w:t>3</w:t>
            </w:r>
            <w:r>
              <w:rPr>
                <w:rFonts w:hint="eastAsia" w:ascii="宋体" w:hAnsi="宋体" w:eastAsia="方正黑体_GBK" w:cs="方正黑体_GBK"/>
                <w:bCs/>
                <w:sz w:val="28"/>
                <w:szCs w:val="28"/>
                <w:highlight w:val="none"/>
              </w:rPr>
              <w:t>“十五五”期间</w:t>
            </w:r>
            <w:r>
              <w:rPr>
                <w:rFonts w:hint="eastAsia" w:ascii="宋体" w:hAnsi="宋体" w:eastAsia="方正黑体_GBK" w:cs="方正黑体_GBK"/>
                <w:bCs/>
                <w:sz w:val="28"/>
                <w:szCs w:val="28"/>
                <w:highlight w:val="none"/>
                <w:lang w:val="en-US" w:eastAsia="zh-CN"/>
              </w:rPr>
              <w:t>县域</w:t>
            </w:r>
            <w:r>
              <w:rPr>
                <w:rFonts w:hint="eastAsia" w:ascii="宋体" w:hAnsi="宋体" w:eastAsia="方正黑体_GBK" w:cs="方正黑体_GBK"/>
                <w:bCs/>
                <w:sz w:val="28"/>
                <w:szCs w:val="28"/>
                <w:highlight w:val="none"/>
              </w:rPr>
              <w:t>干线公路重点项目</w:t>
            </w:r>
          </w:p>
        </w:tc>
      </w:tr>
      <w:tr w14:paraId="6AF9C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tcPr>
          <w:p w14:paraId="78430943">
            <w:pPr>
              <w:pStyle w:val="5"/>
              <w:ind w:firstLine="560"/>
              <w:rPr>
                <w:rFonts w:hint="eastAsia" w:ascii="宋体" w:hAnsi="宋体"/>
                <w:sz w:val="28"/>
                <w:szCs w:val="28"/>
                <w:highlight w:val="none"/>
              </w:rPr>
            </w:pPr>
            <w:r>
              <w:rPr>
                <w:rFonts w:hint="eastAsia" w:ascii="宋体" w:hAnsi="宋体" w:eastAsia="宋体" w:cs="宋体"/>
                <w:sz w:val="28"/>
                <w:szCs w:val="28"/>
                <w:highlight w:val="none"/>
                <w:lang w:val="en-US" w:eastAsia="zh-CN"/>
              </w:rPr>
              <w:t>1</w:t>
            </w:r>
            <w:r>
              <w:rPr>
                <w:rFonts w:hint="eastAsia" w:ascii="宋体" w:hAnsi="宋体" w:eastAsia="宋体" w:cs="宋体"/>
                <w:sz w:val="28"/>
                <w:szCs w:val="28"/>
                <w:highlight w:val="none"/>
              </w:rPr>
              <w:t>.</w:t>
            </w:r>
            <w:r>
              <w:rPr>
                <w:rFonts w:hint="eastAsia" w:ascii="宋体" w:hAnsi="宋体"/>
                <w:sz w:val="28"/>
                <w:szCs w:val="28"/>
                <w:highlight w:val="none"/>
              </w:rPr>
              <w:t>普通国道</w:t>
            </w:r>
            <w:r>
              <w:rPr>
                <w:rFonts w:hint="eastAsia" w:ascii="宋体" w:hAnsi="宋体"/>
                <w:sz w:val="28"/>
                <w:szCs w:val="28"/>
                <w:highlight w:val="none"/>
                <w:lang w:eastAsia="zh-CN"/>
              </w:rPr>
              <w:t>：G326线石林县城过境公路及配套设施工程、G324线陆良召夸至石林北大村段改造工程、G324线召公路西街口段改造工程</w:t>
            </w:r>
            <w:r>
              <w:rPr>
                <w:rFonts w:hint="eastAsia" w:ascii="宋体" w:hAnsi="宋体"/>
                <w:sz w:val="28"/>
                <w:szCs w:val="28"/>
                <w:highlight w:val="none"/>
                <w:lang w:val="en-US" w:eastAsia="zh-CN"/>
              </w:rPr>
              <w:t>。</w:t>
            </w:r>
          </w:p>
          <w:p w14:paraId="6B8AC38A">
            <w:pPr>
              <w:pStyle w:val="5"/>
              <w:ind w:firstLine="560"/>
              <w:rPr>
                <w:rFonts w:hint="eastAsia" w:eastAsia="方正仿宋_GBK"/>
                <w:highlight w:val="none"/>
                <w:lang w:val="en-US" w:eastAsia="zh-CN"/>
              </w:rPr>
            </w:pPr>
            <w:r>
              <w:rPr>
                <w:rFonts w:hint="eastAsia" w:ascii="宋体" w:hAnsi="宋体" w:eastAsia="宋体" w:cs="宋体"/>
                <w:sz w:val="28"/>
                <w:szCs w:val="28"/>
                <w:highlight w:val="none"/>
                <w:lang w:val="en-US" w:eastAsia="zh-CN"/>
              </w:rPr>
              <w:t>2</w:t>
            </w:r>
            <w:r>
              <w:rPr>
                <w:rFonts w:hint="eastAsia" w:ascii="宋体" w:hAnsi="宋体" w:eastAsia="宋体" w:cs="宋体"/>
                <w:sz w:val="28"/>
                <w:szCs w:val="28"/>
                <w:highlight w:val="none"/>
              </w:rPr>
              <w:t>.</w:t>
            </w:r>
            <w:r>
              <w:rPr>
                <w:rFonts w:hint="eastAsia" w:ascii="宋体" w:hAnsi="宋体"/>
                <w:sz w:val="28"/>
                <w:szCs w:val="28"/>
                <w:highlight w:val="none"/>
              </w:rPr>
              <w:t>普通省道</w:t>
            </w:r>
            <w:r>
              <w:rPr>
                <w:rFonts w:hint="eastAsia" w:ascii="宋体" w:hAnsi="宋体"/>
                <w:sz w:val="28"/>
                <w:szCs w:val="28"/>
                <w:highlight w:val="none"/>
                <w:lang w:eastAsia="zh-CN"/>
              </w:rPr>
              <w:t>：</w:t>
            </w:r>
            <w:r>
              <w:rPr>
                <w:rFonts w:hint="eastAsia" w:ascii="宋体" w:hAnsi="宋体"/>
                <w:sz w:val="28"/>
                <w:szCs w:val="28"/>
                <w:highlight w:val="none"/>
              </w:rPr>
              <w:t>S209嵩明至石林段</w:t>
            </w:r>
            <w:r>
              <w:rPr>
                <w:rFonts w:hint="eastAsia" w:ascii="宋体" w:hAnsi="宋体"/>
                <w:sz w:val="28"/>
                <w:szCs w:val="28"/>
                <w:highlight w:val="none"/>
                <w:lang w:eastAsia="zh-CN"/>
              </w:rPr>
              <w:t>。</w:t>
            </w:r>
          </w:p>
        </w:tc>
      </w:tr>
    </w:tbl>
    <w:p w14:paraId="5F676A7E">
      <w:pPr>
        <w:pStyle w:val="4"/>
        <w:bidi w:val="0"/>
        <w:rPr>
          <w:rFonts w:hint="default"/>
          <w:highlight w:val="yellow"/>
          <w:lang w:val="en-US" w:eastAsia="zh-CN"/>
        </w:rPr>
      </w:pPr>
      <w:bookmarkStart w:id="47" w:name="_Toc113"/>
      <w:bookmarkStart w:id="48" w:name="_Toc28918"/>
      <w:bookmarkStart w:id="49" w:name="_Toc30549"/>
      <w:bookmarkStart w:id="50" w:name="_Toc32067"/>
      <w:r>
        <w:rPr>
          <w:rFonts w:hint="eastAsia"/>
          <w:highlight w:val="none"/>
          <w:lang w:val="en-US" w:eastAsia="zh-CN"/>
        </w:rPr>
        <w:t>2.拓展探索</w:t>
      </w:r>
      <w:r>
        <w:rPr>
          <w:rFonts w:hint="eastAsia"/>
          <w:highlight w:val="none"/>
        </w:rPr>
        <w:t>低空经济</w:t>
      </w:r>
      <w:bookmarkEnd w:id="47"/>
      <w:r>
        <w:rPr>
          <w:rFonts w:hint="eastAsia"/>
          <w:highlight w:val="none"/>
          <w:lang w:val="en-US" w:eastAsia="zh-CN"/>
        </w:rPr>
        <w:t>应用场景</w:t>
      </w:r>
    </w:p>
    <w:p w14:paraId="6D776C82">
      <w:pPr>
        <w:pStyle w:val="5"/>
        <w:bidi w:val="0"/>
        <w:rPr>
          <w:rFonts w:hint="eastAsia"/>
          <w:highlight w:val="none"/>
          <w:lang w:eastAsia="zh-CN"/>
        </w:rPr>
      </w:pPr>
      <w:r>
        <w:rPr>
          <w:rFonts w:hint="eastAsia"/>
          <w:highlight w:val="none"/>
          <w:lang w:eastAsia="zh-CN"/>
        </w:rPr>
        <w:t>紧密对接并深度融入国家、省、市相关规划，注重发挥市场在低空资源配置中的决定性作用，充分挖掘石林县文化旅游、生态工业、特色农业以及城镇化、信息化、现代化建设进程中的巨大需求，打造“低空+”应用场景试点，激发市场活力，招引市场主体，加快培育发展低空经济。</w:t>
      </w:r>
    </w:p>
    <w:p w14:paraId="42674DC1">
      <w:pPr>
        <w:pStyle w:val="5"/>
        <w:bidi w:val="0"/>
        <w:rPr>
          <w:rFonts w:hint="eastAsia"/>
          <w:b/>
          <w:bCs/>
          <w:highlight w:val="none"/>
          <w:lang w:eastAsia="zh-CN"/>
        </w:rPr>
      </w:pPr>
      <w:r>
        <w:rPr>
          <w:rFonts w:hint="eastAsia"/>
          <w:b/>
          <w:bCs/>
          <w:highlight w:val="none"/>
          <w:lang w:eastAsia="zh-CN"/>
        </w:rPr>
        <w:t>（</w:t>
      </w:r>
      <w:r>
        <w:rPr>
          <w:rFonts w:hint="eastAsia"/>
          <w:b/>
          <w:bCs/>
          <w:highlight w:val="none"/>
          <w:lang w:val="en-US" w:eastAsia="zh-CN"/>
        </w:rPr>
        <w:t>1</w:t>
      </w:r>
      <w:r>
        <w:rPr>
          <w:rFonts w:hint="eastAsia"/>
          <w:b/>
          <w:bCs/>
          <w:highlight w:val="none"/>
          <w:lang w:eastAsia="zh-CN"/>
        </w:rPr>
        <w:t>）全面覆盖低空应用场景</w:t>
      </w:r>
    </w:p>
    <w:p w14:paraId="2ADDBA76">
      <w:pPr>
        <w:pStyle w:val="5"/>
        <w:bidi w:val="0"/>
        <w:rPr>
          <w:rFonts w:hint="eastAsia"/>
          <w:b/>
          <w:bCs/>
          <w:highlight w:val="none"/>
          <w:lang w:eastAsia="zh-CN"/>
        </w:rPr>
      </w:pPr>
      <w:r>
        <w:rPr>
          <w:rFonts w:hint="eastAsia"/>
          <w:b/>
          <w:bCs/>
          <w:highlight w:val="none"/>
          <w:lang w:eastAsia="zh-CN"/>
        </w:rPr>
        <w:t>——低空+文化旅游</w:t>
      </w:r>
    </w:p>
    <w:p w14:paraId="6C0A15D2">
      <w:pPr>
        <w:pStyle w:val="5"/>
        <w:bidi w:val="0"/>
        <w:rPr>
          <w:rFonts w:hint="eastAsia"/>
          <w:highlight w:val="none"/>
          <w:lang w:eastAsia="zh-CN"/>
        </w:rPr>
      </w:pPr>
      <w:r>
        <w:rPr>
          <w:rFonts w:hint="eastAsia"/>
          <w:highlight w:val="none"/>
          <w:lang w:eastAsia="zh-CN"/>
        </w:rPr>
        <w:t>加快推进低空场景创新、政策与空域支持、技术与装备升级三大核心工作，聚焦低空文旅服务能力提升，多措并举推动低空文旅高质量发展。</w:t>
      </w:r>
      <w:r>
        <w:rPr>
          <w:rFonts w:hint="eastAsia"/>
          <w:b/>
          <w:bCs/>
          <w:highlight w:val="none"/>
          <w:lang w:eastAsia="zh-CN"/>
        </w:rPr>
        <w:t>一是</w:t>
      </w:r>
      <w:r>
        <w:rPr>
          <w:rFonts w:hint="eastAsia"/>
          <w:highlight w:val="none"/>
          <w:lang w:eastAsia="zh-CN"/>
        </w:rPr>
        <w:t>依托石林航空文旅小镇项目建设，完善景区配送与应急网络，开发空中游览及低空运动，构建低空文旅生态，规划低空航线10条以上；</w:t>
      </w:r>
      <w:r>
        <w:rPr>
          <w:rFonts w:hint="eastAsia"/>
          <w:b/>
          <w:bCs/>
          <w:highlight w:val="none"/>
          <w:lang w:eastAsia="zh-CN"/>
        </w:rPr>
        <w:t>二是</w:t>
      </w:r>
      <w:r>
        <w:rPr>
          <w:rFonts w:hint="eastAsia"/>
          <w:b w:val="0"/>
          <w:bCs w:val="0"/>
          <w:highlight w:val="none"/>
          <w:lang w:eastAsia="zh-CN"/>
        </w:rPr>
        <w:t>打造沉浸式、差异化低空文化遗产体验体系，布局发展低空观光、滑翔伞运动、无人机灯光秀、热气球空中游览等特色文旅项目，培育AR实景旅拍、垂直登高观光等新兴业态，</w:t>
      </w:r>
      <w:r>
        <w:rPr>
          <w:rFonts w:hint="eastAsia"/>
          <w:b w:val="0"/>
          <w:bCs w:val="0"/>
          <w:highlight w:val="none"/>
          <w:lang w:val="en-US" w:eastAsia="zh-CN"/>
        </w:rPr>
        <w:t>助力</w:t>
      </w:r>
      <w:r>
        <w:rPr>
          <w:rFonts w:hint="eastAsia"/>
          <w:b w:val="0"/>
          <w:bCs w:val="0"/>
          <w:highlight w:val="none"/>
          <w:lang w:eastAsia="zh-CN"/>
        </w:rPr>
        <w:t>夜间经济发展；</w:t>
      </w:r>
      <w:r>
        <w:rPr>
          <w:rFonts w:hint="eastAsia"/>
          <w:highlight w:val="none"/>
          <w:lang w:eastAsia="zh-CN"/>
        </w:rPr>
        <w:t>三是培育专业化低空文旅运营主体，鼓励本地文旅龙头联合专业机构组建低空文旅运营主体，积极争取政策和空域支持，推动低空文旅从高端小众向大众普惠转型。</w:t>
      </w:r>
    </w:p>
    <w:p w14:paraId="3F1B326B">
      <w:pPr>
        <w:pStyle w:val="5"/>
        <w:bidi w:val="0"/>
        <w:rPr>
          <w:rFonts w:hint="eastAsia"/>
          <w:b/>
          <w:bCs/>
          <w:highlight w:val="none"/>
          <w:lang w:eastAsia="zh-CN"/>
        </w:rPr>
      </w:pPr>
      <w:r>
        <w:rPr>
          <w:rFonts w:hint="eastAsia"/>
          <w:b/>
          <w:bCs/>
          <w:highlight w:val="none"/>
          <w:lang w:eastAsia="zh-CN"/>
        </w:rPr>
        <w:t>——低空+生产作业</w:t>
      </w:r>
    </w:p>
    <w:p w14:paraId="16DFA120">
      <w:pPr>
        <w:pStyle w:val="5"/>
        <w:bidi w:val="0"/>
        <w:rPr>
          <w:rFonts w:hint="eastAsia"/>
          <w:b/>
          <w:bCs/>
          <w:highlight w:val="none"/>
          <w:lang w:eastAsia="zh-CN"/>
        </w:rPr>
      </w:pPr>
      <w:r>
        <w:rPr>
          <w:rFonts w:hint="eastAsia"/>
          <w:highlight w:val="none"/>
          <w:lang w:eastAsia="zh-CN"/>
        </w:rPr>
        <w:t>持续丰富低空生产作业场景，切实降低生产作业成本。</w:t>
      </w:r>
      <w:r>
        <w:rPr>
          <w:rFonts w:hint="eastAsia"/>
          <w:b/>
          <w:bCs/>
          <w:highlight w:val="none"/>
          <w:lang w:eastAsia="zh-CN"/>
        </w:rPr>
        <w:t>一是</w:t>
      </w:r>
      <w:r>
        <w:rPr>
          <w:rFonts w:hint="eastAsia"/>
          <w:highlight w:val="none"/>
          <w:lang w:eastAsia="zh-CN"/>
        </w:rPr>
        <w:t>在粮食生产功能区、重要农产品生产区扩大通用低空作业面积，支持农业无人机开展施药、施肥、播种等作业，提升农业生产效率。</w:t>
      </w:r>
      <w:r>
        <w:rPr>
          <w:rFonts w:hint="eastAsia"/>
          <w:b/>
          <w:bCs/>
          <w:highlight w:val="none"/>
          <w:lang w:eastAsia="zh-CN"/>
        </w:rPr>
        <w:t>二是</w:t>
      </w:r>
      <w:r>
        <w:rPr>
          <w:rFonts w:hint="eastAsia"/>
          <w:highlight w:val="none"/>
          <w:lang w:eastAsia="zh-CN"/>
        </w:rPr>
        <w:t>在重要林场、森林公园等林业区域发展森林灭火、航空护林作业，保障林业发展。在小面积农林作业需求地区，开展精准无人机农林作业。</w:t>
      </w:r>
      <w:r>
        <w:rPr>
          <w:rFonts w:hint="eastAsia"/>
          <w:b/>
          <w:bCs/>
          <w:highlight w:val="none"/>
          <w:lang w:eastAsia="zh-CN"/>
        </w:rPr>
        <w:t>三是</w:t>
      </w:r>
      <w:r>
        <w:rPr>
          <w:rFonts w:hint="eastAsia"/>
          <w:highlight w:val="none"/>
          <w:lang w:eastAsia="zh-CN"/>
        </w:rPr>
        <w:t>在黑龙潭、团结水库、巴江河等水域开展生态治理、禁渔监测等低空作业。</w:t>
      </w:r>
    </w:p>
    <w:p w14:paraId="6591BE98">
      <w:pPr>
        <w:pStyle w:val="5"/>
        <w:bidi w:val="0"/>
        <w:rPr>
          <w:rFonts w:hint="eastAsia"/>
          <w:b/>
          <w:bCs/>
          <w:highlight w:val="none"/>
          <w:lang w:eastAsia="zh-CN"/>
        </w:rPr>
      </w:pPr>
      <w:r>
        <w:rPr>
          <w:rFonts w:hint="eastAsia"/>
          <w:b/>
          <w:bCs/>
          <w:highlight w:val="none"/>
          <w:lang w:eastAsia="zh-CN"/>
        </w:rPr>
        <w:t>——低空+公共服务</w:t>
      </w:r>
    </w:p>
    <w:p w14:paraId="7309EA9D">
      <w:pPr>
        <w:pStyle w:val="5"/>
        <w:bidi w:val="0"/>
        <w:rPr>
          <w:rFonts w:hint="eastAsia"/>
          <w:b/>
          <w:bCs/>
          <w:highlight w:val="none"/>
          <w:lang w:eastAsia="zh-CN"/>
        </w:rPr>
      </w:pPr>
      <w:r>
        <w:rPr>
          <w:rFonts w:hint="eastAsia"/>
          <w:highlight w:val="none"/>
          <w:lang w:eastAsia="zh-CN"/>
        </w:rPr>
        <w:t>积极拓展无人机在智慧城市综合治理中的应用，为城市治理提供数据支撑，提升城市治理现代化水平。一是加快推进低空无人机遥感技术项目建设，建设城市一网统飞监管系统，集成多功能服务多部门巡检需求。二是鼓励应急管理、卫生健康、公安、消防、自然资源、生态环境等政府部门和国有企事业单位通过购买服务方式，加大无人机、民用直升机等低空飞行器在政务服务、市政管理、巡检巡查、医疗救护、应急救援、环境监测等领域的应用。三是拓展低空应用范围，推广无人机在电力巡检、林业监测、公路巡检、矿山巡检等领域的场景应用。</w:t>
      </w:r>
    </w:p>
    <w:p w14:paraId="73451C54">
      <w:pPr>
        <w:pStyle w:val="5"/>
        <w:bidi w:val="0"/>
        <w:rPr>
          <w:rFonts w:hint="eastAsia"/>
          <w:b/>
          <w:bCs/>
          <w:highlight w:val="none"/>
          <w:lang w:eastAsia="zh-CN"/>
        </w:rPr>
      </w:pPr>
      <w:r>
        <w:rPr>
          <w:rFonts w:hint="eastAsia"/>
          <w:b/>
          <w:bCs/>
          <w:highlight w:val="none"/>
          <w:lang w:eastAsia="zh-CN"/>
        </w:rPr>
        <w:t>——低空+物流配送</w:t>
      </w:r>
    </w:p>
    <w:p w14:paraId="7FFC10E8">
      <w:pPr>
        <w:pStyle w:val="5"/>
        <w:bidi w:val="0"/>
        <w:rPr>
          <w:rFonts w:hint="eastAsia"/>
          <w:highlight w:val="none"/>
          <w:lang w:eastAsia="zh-CN"/>
        </w:rPr>
      </w:pPr>
      <w:r>
        <w:rPr>
          <w:rFonts w:hint="eastAsia"/>
          <w:highlight w:val="none"/>
          <w:lang w:eastAsia="zh-CN"/>
        </w:rPr>
        <w:t>大力发展低空物流应用，开通特色农产品及旅游产品低空专线，构建低空物流服务网络，提升服务能级。一是聚焦居民物流配送、景区配送、农特产品及生产资料运输、医疗物资运输和应急物资运输等领域，拓展低空物流场景运用，进一步助推县域物流提质增效。二是培育专业化的低空物流运营主体，鼓励本地龙头联合知名物流企业组建低空物流运营主体，形成多层次服务体系。三是加快对接邮管部门，积极争取出台扶持政策，对运营企业新申报低空新航线给予一定运营补贴，推动低空技术与快递物流深度融合，探索构建“低空+快递”协同运营体系。</w:t>
      </w:r>
    </w:p>
    <w:p w14:paraId="1E8A78D6">
      <w:pPr>
        <w:pStyle w:val="5"/>
        <w:bidi w:val="0"/>
        <w:rPr>
          <w:rFonts w:hint="eastAsia"/>
          <w:b/>
          <w:bCs/>
          <w:highlight w:val="none"/>
          <w:lang w:eastAsia="zh-CN"/>
        </w:rPr>
      </w:pPr>
      <w:r>
        <w:rPr>
          <w:rFonts w:hint="eastAsia"/>
          <w:b/>
          <w:bCs/>
          <w:highlight w:val="none"/>
          <w:lang w:eastAsia="zh-CN"/>
        </w:rPr>
        <w:t>（</w:t>
      </w:r>
      <w:r>
        <w:rPr>
          <w:rFonts w:hint="eastAsia"/>
          <w:b/>
          <w:bCs/>
          <w:highlight w:val="none"/>
          <w:lang w:val="en-US" w:eastAsia="zh-CN"/>
        </w:rPr>
        <w:t>2</w:t>
      </w:r>
      <w:r>
        <w:rPr>
          <w:rFonts w:hint="eastAsia"/>
          <w:b/>
          <w:bCs/>
          <w:highlight w:val="none"/>
          <w:lang w:eastAsia="zh-CN"/>
        </w:rPr>
        <w:t>）科学布设低空起降场（点）</w:t>
      </w:r>
    </w:p>
    <w:p w14:paraId="4961AFC6">
      <w:pPr>
        <w:pStyle w:val="5"/>
        <w:bidi w:val="0"/>
        <w:rPr>
          <w:rFonts w:hint="eastAsia"/>
          <w:highlight w:val="none"/>
          <w:lang w:eastAsia="zh-CN"/>
        </w:rPr>
      </w:pPr>
      <w:r>
        <w:rPr>
          <w:rFonts w:hint="eastAsia"/>
          <w:highlight w:val="none"/>
          <w:lang w:eastAsia="zh-CN"/>
        </w:rPr>
        <w:t>全面落实《云南省支持低空经济健康发展的若干措施》要求，在</w:t>
      </w:r>
      <w:r>
        <w:rPr>
          <w:rFonts w:hint="eastAsia"/>
          <w:highlight w:val="none"/>
          <w:lang w:val="en-US" w:eastAsia="zh-CN"/>
        </w:rPr>
        <w:t>县域</w:t>
      </w:r>
      <w:r>
        <w:rPr>
          <w:rFonts w:hint="eastAsia"/>
          <w:highlight w:val="none"/>
          <w:lang w:eastAsia="zh-CN"/>
        </w:rPr>
        <w:t>旅游景区、交通枢纽、医疗机构、社区、产业园区等规划预留或改造新建低空基础设施，规划布局“1+</w:t>
      </w:r>
      <w:r>
        <w:rPr>
          <w:rFonts w:hint="eastAsia"/>
          <w:highlight w:val="none"/>
          <w:lang w:val="en-US" w:eastAsia="zh-CN"/>
        </w:rPr>
        <w:t>6</w:t>
      </w:r>
      <w:r>
        <w:rPr>
          <w:rFonts w:hint="eastAsia"/>
          <w:highlight w:val="none"/>
          <w:lang w:eastAsia="zh-CN"/>
        </w:rPr>
        <w:t>+2”分级低空起降点体系（1个核心枢纽、</w:t>
      </w:r>
      <w:r>
        <w:rPr>
          <w:rFonts w:hint="eastAsia"/>
          <w:highlight w:val="none"/>
          <w:lang w:val="en-US" w:eastAsia="zh-CN"/>
        </w:rPr>
        <w:t>6</w:t>
      </w:r>
      <w:r>
        <w:rPr>
          <w:rFonts w:hint="eastAsia"/>
          <w:highlight w:val="none"/>
          <w:lang w:eastAsia="zh-CN"/>
        </w:rPr>
        <w:t>个骨干场站、2个补充起降点），实现核心区域、关键节点</w:t>
      </w:r>
      <w:r>
        <w:rPr>
          <w:rFonts w:hint="eastAsia"/>
          <w:highlight w:val="none"/>
          <w:lang w:val="en-US" w:eastAsia="zh-CN"/>
        </w:rPr>
        <w:t>覆盖</w:t>
      </w:r>
      <w:r>
        <w:rPr>
          <w:rFonts w:hint="eastAsia"/>
          <w:highlight w:val="none"/>
          <w:lang w:eastAsia="zh-CN"/>
        </w:rPr>
        <w:t>：</w:t>
      </w:r>
    </w:p>
    <w:p w14:paraId="110F938E">
      <w:pPr>
        <w:pStyle w:val="5"/>
        <w:bidi w:val="0"/>
        <w:rPr>
          <w:rFonts w:hint="eastAsia"/>
          <w:highlight w:val="none"/>
          <w:lang w:eastAsia="zh-CN"/>
        </w:rPr>
      </w:pPr>
      <w:r>
        <w:rPr>
          <w:rFonts w:hint="eastAsia"/>
          <w:highlight w:val="none"/>
          <w:lang w:eastAsia="zh-CN"/>
        </w:rPr>
        <w:t>核心枢纽（1个）：石林西站，定位为县域低空飞行核心接驳枢纽，支撑低空旅客接驳、航线中转、应急调度等核心功能，配套建设简易调度指挥设施，打造低空交通与地面交通无缝衔接的核心节点；</w:t>
      </w:r>
    </w:p>
    <w:p w14:paraId="715C5862">
      <w:pPr>
        <w:pStyle w:val="5"/>
        <w:bidi w:val="0"/>
        <w:rPr>
          <w:rFonts w:hint="eastAsia"/>
          <w:highlight w:val="none"/>
          <w:lang w:eastAsia="zh-CN"/>
        </w:rPr>
      </w:pPr>
      <w:r>
        <w:rPr>
          <w:rFonts w:hint="eastAsia"/>
          <w:highlight w:val="none"/>
          <w:lang w:eastAsia="zh-CN"/>
        </w:rPr>
        <w:t>骨干场站（</w:t>
      </w:r>
      <w:r>
        <w:rPr>
          <w:rFonts w:hint="eastAsia"/>
          <w:highlight w:val="none"/>
          <w:lang w:val="en-US" w:eastAsia="zh-CN"/>
        </w:rPr>
        <w:t>6</w:t>
      </w:r>
      <w:r>
        <w:rPr>
          <w:rFonts w:hint="eastAsia"/>
          <w:highlight w:val="none"/>
          <w:lang w:eastAsia="zh-CN"/>
        </w:rPr>
        <w:t>个）：涵盖3个核心景区型（石林风景区</w:t>
      </w:r>
      <w:r>
        <w:rPr>
          <w:rFonts w:hint="eastAsia"/>
          <w:highlight w:val="none"/>
          <w:lang w:val="en-US" w:eastAsia="zh-CN"/>
        </w:rPr>
        <w:t>/</w:t>
      </w:r>
      <w:r>
        <w:rPr>
          <w:rFonts w:hint="eastAsia"/>
          <w:highlight w:val="none"/>
          <w:lang w:eastAsia="zh-CN"/>
        </w:rPr>
        <w:t>石林航空文旅小镇、长湖风景区、圭山国家森林公园）和</w:t>
      </w:r>
      <w:r>
        <w:rPr>
          <w:rFonts w:hint="eastAsia"/>
          <w:highlight w:val="none"/>
          <w:lang w:val="en-US" w:eastAsia="zh-CN"/>
        </w:rPr>
        <w:t>3</w:t>
      </w:r>
      <w:r>
        <w:rPr>
          <w:rFonts w:hint="eastAsia"/>
          <w:highlight w:val="none"/>
          <w:lang w:eastAsia="zh-CN"/>
        </w:rPr>
        <w:t>个产业园区型（</w:t>
      </w:r>
      <w:r>
        <w:rPr>
          <w:rFonts w:hint="eastAsia"/>
          <w:highlight w:val="none"/>
          <w:lang w:val="en-US" w:eastAsia="zh-CN"/>
        </w:rPr>
        <w:t>石林南站物流园、</w:t>
      </w:r>
      <w:r>
        <w:rPr>
          <w:rFonts w:hint="eastAsia"/>
          <w:highlight w:val="none"/>
          <w:lang w:eastAsia="zh-CN"/>
        </w:rPr>
        <w:t>云南石林产业园区、云南华翔低空产业园（已建））；</w:t>
      </w:r>
    </w:p>
    <w:p w14:paraId="276107D3">
      <w:pPr>
        <w:pStyle w:val="5"/>
        <w:bidi w:val="0"/>
        <w:rPr>
          <w:rFonts w:hint="eastAsia"/>
          <w:highlight w:val="none"/>
          <w:lang w:eastAsia="zh-CN"/>
        </w:rPr>
      </w:pPr>
      <w:r>
        <w:rPr>
          <w:rFonts w:hint="eastAsia"/>
          <w:highlight w:val="none"/>
          <w:lang w:eastAsia="zh-CN"/>
        </w:rPr>
        <w:t>补充起降点（2个）：应急医疗型（石林县人民医院）、乡镇应急型（西街口镇），主要承担医疗急救、应急救援、乡村低空物流等补充功能，布设简易起降场地，满足应急处置和民生保障基本需求。</w:t>
      </w:r>
    </w:p>
    <w:p w14:paraId="71189ED7">
      <w:pPr>
        <w:pStyle w:val="5"/>
        <w:bidi w:val="0"/>
        <w:rPr>
          <w:rFonts w:hint="eastAsia"/>
          <w:b/>
          <w:bCs/>
          <w:highlight w:val="none"/>
          <w:lang w:eastAsia="zh-CN"/>
        </w:rPr>
      </w:pPr>
      <w:r>
        <w:rPr>
          <w:rFonts w:hint="eastAsia"/>
          <w:b/>
          <w:bCs/>
          <w:highlight w:val="none"/>
          <w:lang w:eastAsia="zh-CN"/>
        </w:rPr>
        <w:t>（</w:t>
      </w:r>
      <w:r>
        <w:rPr>
          <w:rFonts w:hint="eastAsia"/>
          <w:b/>
          <w:bCs/>
          <w:highlight w:val="none"/>
          <w:lang w:val="en-US" w:eastAsia="zh-CN"/>
        </w:rPr>
        <w:t>3</w:t>
      </w:r>
      <w:r>
        <w:rPr>
          <w:rFonts w:hint="eastAsia"/>
          <w:b/>
          <w:bCs/>
          <w:highlight w:val="none"/>
          <w:lang w:eastAsia="zh-CN"/>
        </w:rPr>
        <w:t>）优化空域利用，释放低空发展潜能</w:t>
      </w:r>
    </w:p>
    <w:p w14:paraId="19E32B83">
      <w:pPr>
        <w:pStyle w:val="5"/>
        <w:bidi w:val="0"/>
        <w:rPr>
          <w:rFonts w:hint="eastAsia"/>
          <w:highlight w:val="none"/>
          <w:lang w:eastAsia="zh-CN"/>
        </w:rPr>
      </w:pPr>
      <w:r>
        <w:rPr>
          <w:rFonts w:hint="eastAsia"/>
          <w:highlight w:val="none"/>
          <w:lang w:eastAsia="zh-CN"/>
        </w:rPr>
        <w:t>在G类（300米以下）空域划设方案获批前，重点推进编制W类（120米以下）空域优化利用方案，建立健全低空空域军地民协同管理服务机制。强化向上对接协调，必要时报请市委、市政府统筹协调，争取空军、空管等部门政策与资源支持，保障低空飞行活动安全有序开展。提前预留低空航线航道资源，构建规模适度、结构合理、功能协调、兼容互补的县域低空起降场网络。</w:t>
      </w:r>
    </w:p>
    <w:p w14:paraId="1068BB6C">
      <w:pPr>
        <w:pStyle w:val="5"/>
        <w:bidi w:val="0"/>
        <w:rPr>
          <w:rFonts w:hint="eastAsia"/>
          <w:b/>
          <w:bCs/>
          <w:highlight w:val="none"/>
          <w:lang w:eastAsia="zh-CN"/>
        </w:rPr>
      </w:pPr>
      <w:r>
        <w:rPr>
          <w:rFonts w:hint="eastAsia"/>
          <w:b/>
          <w:bCs/>
          <w:highlight w:val="none"/>
          <w:lang w:eastAsia="zh-CN"/>
        </w:rPr>
        <w:t>（</w:t>
      </w:r>
      <w:r>
        <w:rPr>
          <w:rFonts w:hint="eastAsia"/>
          <w:b/>
          <w:bCs/>
          <w:highlight w:val="none"/>
          <w:lang w:val="en-US" w:eastAsia="zh-CN"/>
        </w:rPr>
        <w:t>4</w:t>
      </w:r>
      <w:r>
        <w:rPr>
          <w:rFonts w:hint="eastAsia"/>
          <w:b/>
          <w:bCs/>
          <w:highlight w:val="none"/>
          <w:lang w:eastAsia="zh-CN"/>
        </w:rPr>
        <w:t>）系统规划低空航线航道，</w:t>
      </w:r>
      <w:r>
        <w:rPr>
          <w:rFonts w:hint="eastAsia"/>
          <w:b/>
          <w:bCs/>
          <w:highlight w:val="none"/>
          <w:lang w:val="en-US" w:eastAsia="zh-CN"/>
        </w:rPr>
        <w:t>探索</w:t>
      </w:r>
      <w:r>
        <w:rPr>
          <w:rFonts w:hint="eastAsia"/>
          <w:b/>
          <w:bCs/>
          <w:highlight w:val="none"/>
          <w:lang w:eastAsia="zh-CN"/>
        </w:rPr>
        <w:t>构建全域低空网络</w:t>
      </w:r>
    </w:p>
    <w:p w14:paraId="3A921B49">
      <w:pPr>
        <w:pStyle w:val="5"/>
        <w:bidi w:val="0"/>
        <w:rPr>
          <w:rFonts w:hint="eastAsia"/>
          <w:highlight w:val="none"/>
          <w:lang w:eastAsia="zh-CN"/>
        </w:rPr>
      </w:pPr>
      <w:r>
        <w:rPr>
          <w:rFonts w:hint="eastAsia"/>
          <w:highlight w:val="none"/>
          <w:lang w:eastAsia="zh-CN"/>
        </w:rPr>
        <w:t>结合石林“1+</w:t>
      </w:r>
      <w:r>
        <w:rPr>
          <w:rFonts w:hint="eastAsia"/>
          <w:highlight w:val="none"/>
          <w:lang w:val="en-US" w:eastAsia="zh-CN"/>
        </w:rPr>
        <w:t>6</w:t>
      </w:r>
      <w:r>
        <w:rPr>
          <w:rFonts w:hint="eastAsia"/>
          <w:highlight w:val="none"/>
          <w:lang w:eastAsia="zh-CN"/>
        </w:rPr>
        <w:t>+2”分级起降点体系，</w:t>
      </w:r>
      <w:r>
        <w:rPr>
          <w:rFonts w:hint="eastAsia"/>
          <w:highlight w:val="none"/>
          <w:lang w:val="en-US" w:eastAsia="zh-CN"/>
        </w:rPr>
        <w:t>探索</w:t>
      </w:r>
      <w:r>
        <w:rPr>
          <w:rFonts w:hint="eastAsia"/>
          <w:highlight w:val="none"/>
          <w:lang w:eastAsia="zh-CN"/>
        </w:rPr>
        <w:t>构建“一纵一横”低空主航道+五类特色航线的低空网络，</w:t>
      </w:r>
      <w:r>
        <w:rPr>
          <w:rFonts w:hint="eastAsia"/>
          <w:highlight w:val="none"/>
          <w:lang w:val="en-US" w:eastAsia="zh-CN"/>
        </w:rPr>
        <w:t>提前谋划</w:t>
      </w:r>
      <w:r>
        <w:rPr>
          <w:rFonts w:hint="eastAsia"/>
          <w:highlight w:val="none"/>
          <w:lang w:eastAsia="zh-CN"/>
        </w:rPr>
        <w:t>“空中路权”，推动低空运行规范化发展，实现起降点全衔接、场景全覆盖，具体规划如下：</w:t>
      </w:r>
    </w:p>
    <w:p w14:paraId="735255C2">
      <w:pPr>
        <w:pStyle w:val="5"/>
        <w:bidi w:val="0"/>
        <w:rPr>
          <w:rFonts w:hint="eastAsia"/>
          <w:highlight w:val="none"/>
          <w:lang w:eastAsia="zh-CN"/>
        </w:rPr>
      </w:pPr>
      <w:r>
        <w:rPr>
          <w:rFonts w:hint="eastAsia"/>
          <w:highlight w:val="none"/>
          <w:lang w:eastAsia="zh-CN"/>
        </w:rPr>
        <w:t>“一纵一横”低空主航道骨架：①纵向主航道：</w:t>
      </w:r>
      <w:r>
        <w:rPr>
          <w:rFonts w:hint="eastAsia"/>
          <w:highlight w:val="none"/>
          <w:lang w:val="en-US" w:eastAsia="zh-CN"/>
        </w:rPr>
        <w:t>石林南站物流园</w:t>
      </w:r>
      <w:r>
        <w:rPr>
          <w:rFonts w:hint="eastAsia"/>
          <w:highlight w:val="none"/>
          <w:lang w:eastAsia="zh-CN"/>
        </w:rPr>
        <w:t>—云南华翔低空产业园（已建）—长湖风景区—圭山国家森林公园—西街口镇，串联产业园区、核心景区与乡镇应急节点，贯通县域南北；②横向主航道：石林西站—石林风景区（石林航空文旅小镇）—云南石林产业园区—石林县人民医院，串联核心枢纽、景区、产业园区与医疗应急节点，贯通县域东西，两条主航道形成“十字形”核心骨架，支撑全域低空飞行调度。</w:t>
      </w:r>
    </w:p>
    <w:p w14:paraId="158DD382">
      <w:pPr>
        <w:pStyle w:val="5"/>
        <w:bidi w:val="0"/>
        <w:rPr>
          <w:rFonts w:hint="eastAsia"/>
          <w:highlight w:val="none"/>
          <w:lang w:eastAsia="zh-CN"/>
        </w:rPr>
      </w:pPr>
      <w:r>
        <w:rPr>
          <w:rFonts w:hint="eastAsia"/>
          <w:highlight w:val="none"/>
          <w:lang w:eastAsia="zh-CN"/>
        </w:rPr>
        <w:t>2.文旅观光航线：依托横向主航道支线，串联</w:t>
      </w:r>
      <w:r>
        <w:rPr>
          <w:rFonts w:hint="eastAsia"/>
          <w:highlight w:val="none"/>
          <w:lang w:val="en-US" w:eastAsia="zh-CN"/>
        </w:rPr>
        <w:t>宜良县</w:t>
      </w:r>
      <w:r>
        <w:rPr>
          <w:rFonts w:hint="eastAsia"/>
          <w:highlight w:val="none"/>
          <w:lang w:eastAsia="zh-CN"/>
        </w:rPr>
        <w:t>—石林风景区（石林航空文旅小镇）—长湖风景区—圭山国家森林公园，打造世界遗产空中观光精品航线。</w:t>
      </w:r>
    </w:p>
    <w:p w14:paraId="7E8E8C51">
      <w:pPr>
        <w:pStyle w:val="5"/>
        <w:bidi w:val="0"/>
        <w:rPr>
          <w:rFonts w:hint="eastAsia"/>
          <w:highlight w:val="none"/>
          <w:lang w:eastAsia="zh-CN"/>
        </w:rPr>
      </w:pPr>
      <w:r>
        <w:rPr>
          <w:rFonts w:hint="eastAsia"/>
          <w:highlight w:val="none"/>
          <w:lang w:eastAsia="zh-CN"/>
        </w:rPr>
        <w:t>3.高效物流航线：依托纵向主航道支线，串联</w:t>
      </w:r>
      <w:r>
        <w:rPr>
          <w:rFonts w:hint="eastAsia"/>
          <w:highlight w:val="none"/>
          <w:lang w:val="en-US" w:eastAsia="zh-CN"/>
        </w:rPr>
        <w:t>石林南站物流园</w:t>
      </w:r>
      <w:r>
        <w:rPr>
          <w:rFonts w:hint="eastAsia"/>
          <w:highlight w:val="none"/>
          <w:lang w:eastAsia="zh-CN"/>
        </w:rPr>
        <w:t>—云南华翔低空产业园（已建）—云南石林产业园区，重点开展特色旅游产品、产业物资、民生物资低空配送，探索山区农村快递无人机配送，完善低空物流网络，支撑县域“1+3”百亿级产业发展。</w:t>
      </w:r>
    </w:p>
    <w:p w14:paraId="5FBEEC69">
      <w:pPr>
        <w:pStyle w:val="5"/>
        <w:bidi w:val="0"/>
        <w:rPr>
          <w:rFonts w:hint="eastAsia"/>
          <w:highlight w:val="none"/>
          <w:lang w:eastAsia="zh-CN"/>
        </w:rPr>
      </w:pPr>
      <w:r>
        <w:rPr>
          <w:rFonts w:hint="eastAsia"/>
          <w:highlight w:val="none"/>
          <w:lang w:eastAsia="zh-CN"/>
        </w:rPr>
        <w:t>4.医疗应急航线：以石林县人民医院为核心，衔接石林西站及各骨干场站，联动昆明省级医疗</w:t>
      </w:r>
      <w:r>
        <w:rPr>
          <w:rFonts w:hint="eastAsia"/>
          <w:highlight w:val="none"/>
          <w:lang w:val="en-US" w:eastAsia="zh-CN"/>
        </w:rPr>
        <w:t>中心</w:t>
      </w:r>
      <w:r>
        <w:rPr>
          <w:rFonts w:hint="eastAsia"/>
          <w:highlight w:val="none"/>
          <w:lang w:eastAsia="zh-CN"/>
        </w:rPr>
        <w:t>，构建“核心枢纽+医疗节点+应急节点”的医疗应急航线，重点保障紧急医疗转运、应急物资配送，提升县域应急救援响应效率，呼应《云南省支持低空经济健康发展的若干措施》中医疗救援领域发展要求。</w:t>
      </w:r>
    </w:p>
    <w:p w14:paraId="4D84DF82">
      <w:pPr>
        <w:pStyle w:val="5"/>
        <w:bidi w:val="0"/>
        <w:rPr>
          <w:rFonts w:hint="eastAsia"/>
          <w:highlight w:val="none"/>
          <w:lang w:eastAsia="zh-CN"/>
        </w:rPr>
      </w:pPr>
      <w:r>
        <w:rPr>
          <w:rFonts w:hint="eastAsia"/>
          <w:highlight w:val="none"/>
          <w:lang w:eastAsia="zh-CN"/>
        </w:rPr>
        <w:t>5.</w:t>
      </w:r>
      <w:r>
        <w:rPr>
          <w:rFonts w:hint="eastAsia"/>
          <w:highlight w:val="none"/>
          <w:lang w:val="en-US" w:eastAsia="zh-CN"/>
        </w:rPr>
        <w:t>公共服务</w:t>
      </w:r>
      <w:r>
        <w:rPr>
          <w:rFonts w:hint="eastAsia"/>
          <w:highlight w:val="none"/>
          <w:lang w:eastAsia="zh-CN"/>
        </w:rPr>
        <w:t>航线：覆盖所有起降点及县域重点区域，开展森林巡查、森林防火、电力线路巡检、地质灾害监测、景区安防等政务巡检服务，推动低空技术与公共服务深度融合，提升县域治理智能化水平。</w:t>
      </w:r>
    </w:p>
    <w:p w14:paraId="7BEF9E82">
      <w:pPr>
        <w:pStyle w:val="5"/>
        <w:bidi w:val="0"/>
        <w:rPr>
          <w:rFonts w:hint="eastAsia"/>
          <w:highlight w:val="none"/>
          <w:lang w:eastAsia="zh-CN"/>
        </w:rPr>
      </w:pPr>
      <w:r>
        <w:rPr>
          <w:rFonts w:hint="eastAsia"/>
          <w:highlight w:val="none"/>
          <w:lang w:eastAsia="zh-CN"/>
        </w:rPr>
        <w:t>6.产业</w:t>
      </w:r>
      <w:r>
        <w:rPr>
          <w:rFonts w:hint="eastAsia"/>
          <w:highlight w:val="none"/>
          <w:lang w:val="en-US" w:eastAsia="zh-CN"/>
        </w:rPr>
        <w:t>发展</w:t>
      </w:r>
      <w:r>
        <w:rPr>
          <w:rFonts w:hint="eastAsia"/>
          <w:highlight w:val="none"/>
          <w:lang w:eastAsia="zh-CN"/>
        </w:rPr>
        <w:t>航线：串联</w:t>
      </w:r>
      <w:r>
        <w:rPr>
          <w:rFonts w:hint="eastAsia"/>
          <w:highlight w:val="none"/>
          <w:lang w:val="en-US" w:eastAsia="zh-CN"/>
        </w:rPr>
        <w:t>石林南站物流园</w:t>
      </w:r>
      <w:r>
        <w:rPr>
          <w:rFonts w:hint="eastAsia"/>
          <w:highlight w:val="none"/>
          <w:lang w:eastAsia="zh-CN"/>
        </w:rPr>
        <w:t>—云南华翔低空产业园（已建）—云南石林产业园区，聚焦园区间产业物流、设备巡检等功能，</w:t>
      </w:r>
      <w:r>
        <w:rPr>
          <w:rFonts w:hint="eastAsia"/>
          <w:highlight w:val="none"/>
          <w:lang w:val="en-US" w:eastAsia="zh-CN"/>
        </w:rPr>
        <w:t>探索</w:t>
      </w:r>
      <w:r>
        <w:rPr>
          <w:rFonts w:hint="eastAsia"/>
          <w:highlight w:val="none"/>
          <w:lang w:eastAsia="zh-CN"/>
        </w:rPr>
        <w:t>“装备应用+场景运营”的产业</w:t>
      </w:r>
      <w:r>
        <w:rPr>
          <w:rFonts w:hint="eastAsia"/>
          <w:highlight w:val="none"/>
          <w:lang w:val="en-US" w:eastAsia="zh-CN"/>
        </w:rPr>
        <w:t>模式</w:t>
      </w:r>
      <w:r>
        <w:rPr>
          <w:rFonts w:hint="eastAsia"/>
          <w:highlight w:val="none"/>
          <w:lang w:eastAsia="zh-CN"/>
        </w:rPr>
        <w:t>，推动产业与低空设施深度融合。</w:t>
      </w:r>
    </w:p>
    <w:p w14:paraId="55D31569">
      <w:pPr>
        <w:pStyle w:val="5"/>
        <w:bidi w:val="0"/>
        <w:rPr>
          <w:rFonts w:hint="eastAsia"/>
          <w:b/>
          <w:bCs/>
          <w:highlight w:val="none"/>
          <w:lang w:eastAsia="zh-CN"/>
        </w:rPr>
      </w:pPr>
      <w:r>
        <w:rPr>
          <w:rFonts w:hint="eastAsia"/>
          <w:b/>
          <w:bCs/>
          <w:highlight w:val="none"/>
          <w:lang w:eastAsia="zh-CN"/>
        </w:rPr>
        <w:t>（</w:t>
      </w:r>
      <w:r>
        <w:rPr>
          <w:rFonts w:hint="eastAsia"/>
          <w:b/>
          <w:bCs/>
          <w:highlight w:val="none"/>
          <w:lang w:val="en-US" w:eastAsia="zh-CN"/>
        </w:rPr>
        <w:t>5</w:t>
      </w:r>
      <w:r>
        <w:rPr>
          <w:rFonts w:hint="eastAsia"/>
          <w:b/>
          <w:bCs/>
          <w:highlight w:val="none"/>
          <w:lang w:eastAsia="zh-CN"/>
        </w:rPr>
        <w:t>）强化政策要素支撑，夯实项目建设根基</w:t>
      </w:r>
    </w:p>
    <w:p w14:paraId="3766C6F4">
      <w:pPr>
        <w:pStyle w:val="5"/>
        <w:bidi w:val="0"/>
        <w:rPr>
          <w:rFonts w:hint="eastAsia"/>
          <w:highlight w:val="none"/>
          <w:lang w:eastAsia="zh-CN"/>
        </w:rPr>
      </w:pPr>
      <w:r>
        <w:rPr>
          <w:rFonts w:hint="eastAsia"/>
          <w:highlight w:val="none"/>
          <w:lang w:eastAsia="zh-CN"/>
        </w:rPr>
        <w:t>加快落实《云南省支持低空经济健康发展的若干措施》《昆明市促进低空经济发展的实施意见》，聚焦低空经济安全服务保障、基础设施建设、产业项目落地、应用场景拓展等关键领域。充分发挥财政资金引导撬动作用，开展项目包装谋划，积极争取专项债券、超长期国债等资金支持，为低空经济发展注入金融“活水”。拓宽多元投入渠道，推动国有资本深度参与，有效撬动社会资本参与低空经济项目投资建设，构建“政府引导、市场主导、多元参与”的投融资体系。</w:t>
      </w:r>
    </w:p>
    <w:tbl>
      <w:tblPr>
        <w:tblStyle w:val="20"/>
        <w:tblpPr w:leftFromText="180" w:rightFromText="180" w:vertAnchor="text" w:horzAnchor="page" w:tblpX="1943" w:tblpY="250"/>
        <w:tblOverlap w:val="never"/>
        <w:tblW w:w="83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00"/>
      </w:tblGrid>
      <w:tr w14:paraId="4A16E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trPr>
        <w:tc>
          <w:tcPr>
            <w:tcW w:w="8300" w:type="dxa"/>
          </w:tcPr>
          <w:p w14:paraId="27397B44">
            <w:pPr>
              <w:jc w:val="center"/>
              <w:rPr>
                <w:rFonts w:hint="eastAsia" w:ascii="宋体" w:hAnsi="宋体"/>
                <w:highlight w:val="none"/>
              </w:rPr>
            </w:pPr>
            <w:r>
              <w:rPr>
                <w:rFonts w:hint="eastAsia" w:ascii="宋体" w:hAnsi="宋体" w:eastAsia="方正黑体_GBK"/>
                <w:sz w:val="30"/>
                <w:szCs w:val="30"/>
                <w:highlight w:val="none"/>
              </w:rPr>
              <w:t>专栏</w:t>
            </w:r>
            <w:r>
              <w:rPr>
                <w:rFonts w:hint="eastAsia" w:ascii="宋体" w:hAnsi="宋体" w:eastAsia="方正黑体_GBK"/>
                <w:sz w:val="30"/>
                <w:szCs w:val="30"/>
                <w:highlight w:val="none"/>
                <w:lang w:val="en-US" w:eastAsia="zh-CN"/>
              </w:rPr>
              <w:t>4</w:t>
            </w:r>
            <w:r>
              <w:rPr>
                <w:rFonts w:hint="eastAsia" w:ascii="宋体" w:hAnsi="宋体" w:eastAsia="方正黑体_GBK"/>
                <w:sz w:val="30"/>
                <w:szCs w:val="30"/>
                <w:highlight w:val="none"/>
              </w:rPr>
              <w:t>“十五五</w:t>
            </w:r>
            <w:r>
              <w:rPr>
                <w:rFonts w:hint="eastAsia" w:ascii="宋体" w:hAnsi="宋体" w:eastAsia="方正黑体_GBK"/>
                <w:sz w:val="30"/>
                <w:szCs w:val="30"/>
                <w:highlight w:val="none"/>
                <w:lang w:eastAsia="zh-CN"/>
              </w:rPr>
              <w:t>”时</w:t>
            </w:r>
            <w:r>
              <w:rPr>
                <w:rFonts w:hint="eastAsia" w:ascii="宋体" w:hAnsi="宋体" w:eastAsia="方正黑体_GBK"/>
                <w:sz w:val="30"/>
                <w:szCs w:val="30"/>
                <w:highlight w:val="none"/>
              </w:rPr>
              <w:t>期低空经济发展重点</w:t>
            </w:r>
          </w:p>
        </w:tc>
      </w:tr>
      <w:tr w14:paraId="37ABE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trPr>
        <w:tc>
          <w:tcPr>
            <w:tcW w:w="8300" w:type="dxa"/>
          </w:tcPr>
          <w:p w14:paraId="5024462A">
            <w:pPr>
              <w:spacing w:line="580" w:lineRule="exact"/>
              <w:rPr>
                <w:rFonts w:hint="eastAsia" w:ascii="宋体" w:hAnsi="宋体" w:eastAsia="方正仿宋_GBK"/>
                <w:sz w:val="30"/>
                <w:szCs w:val="30"/>
                <w:highlight w:val="none"/>
                <w:lang w:val="en-US" w:eastAsia="zh-CN"/>
              </w:rPr>
            </w:pPr>
            <w:r>
              <w:rPr>
                <w:rFonts w:hint="eastAsia" w:ascii="宋体" w:hAnsi="宋体" w:eastAsia="方正仿宋_GBK"/>
                <w:sz w:val="30"/>
                <w:szCs w:val="30"/>
                <w:highlight w:val="none"/>
                <w:lang w:val="en-US" w:eastAsia="zh-CN"/>
              </w:rPr>
              <w:t>1.推进石林航空文旅小镇项目建设；</w:t>
            </w:r>
          </w:p>
          <w:p w14:paraId="3FD36ACA">
            <w:pPr>
              <w:spacing w:line="580" w:lineRule="exact"/>
              <w:rPr>
                <w:rFonts w:hint="eastAsia" w:ascii="宋体" w:hAnsi="宋体" w:eastAsia="方正仿宋_GBK"/>
                <w:sz w:val="30"/>
                <w:szCs w:val="30"/>
                <w:highlight w:val="none"/>
                <w:lang w:val="en-US" w:eastAsia="zh-CN"/>
              </w:rPr>
            </w:pPr>
            <w:r>
              <w:rPr>
                <w:rFonts w:hint="eastAsia" w:ascii="宋体" w:hAnsi="宋体" w:eastAsia="方正仿宋_GBK"/>
                <w:sz w:val="30"/>
                <w:szCs w:val="30"/>
                <w:highlight w:val="none"/>
                <w:lang w:val="en-US" w:eastAsia="zh-CN"/>
              </w:rPr>
              <w:t>2.石林县低空无人机遥感技术项目；</w:t>
            </w:r>
          </w:p>
          <w:p w14:paraId="378B4F37">
            <w:pPr>
              <w:spacing w:line="580" w:lineRule="exact"/>
              <w:rPr>
                <w:rFonts w:hint="eastAsia" w:ascii="宋体" w:hAnsi="宋体" w:eastAsia="方正仿宋_GBK"/>
                <w:sz w:val="30"/>
                <w:szCs w:val="30"/>
                <w:highlight w:val="none"/>
                <w:lang w:val="en-US" w:eastAsia="zh-CN"/>
              </w:rPr>
            </w:pPr>
            <w:r>
              <w:rPr>
                <w:rFonts w:hint="eastAsia" w:ascii="宋体" w:hAnsi="宋体" w:eastAsia="方正仿宋_GBK"/>
                <w:sz w:val="30"/>
                <w:szCs w:val="30"/>
                <w:highlight w:val="none"/>
                <w:lang w:val="en-US" w:eastAsia="zh-CN"/>
              </w:rPr>
              <w:t>3.石林县低空文旅体验项目；</w:t>
            </w:r>
          </w:p>
          <w:p w14:paraId="498E8D74">
            <w:pPr>
              <w:spacing w:line="580" w:lineRule="exact"/>
              <w:rPr>
                <w:rFonts w:hint="eastAsia" w:ascii="宋体" w:hAnsi="宋体" w:eastAsia="方正仿宋_GBK"/>
                <w:sz w:val="30"/>
                <w:szCs w:val="30"/>
                <w:highlight w:val="none"/>
                <w:lang w:val="en-US" w:eastAsia="zh-CN"/>
              </w:rPr>
            </w:pPr>
            <w:r>
              <w:rPr>
                <w:rFonts w:hint="eastAsia" w:ascii="宋体" w:hAnsi="宋体" w:eastAsia="方正仿宋_GBK"/>
                <w:sz w:val="30"/>
                <w:szCs w:val="30"/>
                <w:highlight w:val="none"/>
                <w:lang w:val="en-US" w:eastAsia="zh-CN"/>
              </w:rPr>
              <w:t>4.石林县低空生产作业项目；</w:t>
            </w:r>
          </w:p>
          <w:p w14:paraId="26A6A51A">
            <w:pPr>
              <w:spacing w:line="580" w:lineRule="exact"/>
              <w:rPr>
                <w:rFonts w:hint="eastAsia" w:ascii="宋体" w:hAnsi="宋体" w:eastAsia="方正仿宋_GBK"/>
                <w:sz w:val="30"/>
                <w:szCs w:val="30"/>
                <w:highlight w:val="none"/>
                <w:lang w:val="en-US" w:eastAsia="zh-CN"/>
              </w:rPr>
            </w:pPr>
            <w:r>
              <w:rPr>
                <w:rFonts w:hint="eastAsia" w:ascii="宋体" w:hAnsi="宋体" w:eastAsia="方正仿宋_GBK"/>
                <w:sz w:val="30"/>
                <w:szCs w:val="30"/>
                <w:highlight w:val="none"/>
                <w:lang w:val="en-US" w:eastAsia="zh-CN"/>
              </w:rPr>
              <w:t>5.石林县低空公共作业项目；</w:t>
            </w:r>
          </w:p>
          <w:p w14:paraId="2CCC1644">
            <w:pPr>
              <w:spacing w:line="580" w:lineRule="exact"/>
              <w:rPr>
                <w:rFonts w:hint="eastAsia" w:ascii="宋体" w:hAnsi="宋体" w:eastAsia="方正仿宋_GBK"/>
                <w:sz w:val="30"/>
                <w:szCs w:val="30"/>
                <w:highlight w:val="none"/>
                <w:lang w:val="en-US" w:eastAsia="zh-CN"/>
              </w:rPr>
            </w:pPr>
            <w:r>
              <w:rPr>
                <w:rFonts w:hint="eastAsia" w:ascii="宋体" w:hAnsi="宋体" w:eastAsia="方正仿宋_GBK"/>
                <w:sz w:val="30"/>
                <w:szCs w:val="30"/>
                <w:highlight w:val="none"/>
                <w:lang w:val="en-US" w:eastAsia="zh-CN"/>
              </w:rPr>
              <w:t>6.石林县低空物流项目</w:t>
            </w:r>
            <w:r>
              <w:rPr>
                <w:rFonts w:hint="eastAsia" w:ascii="仿宋_GB2312" w:hAnsi="仿宋_GB2312" w:eastAsia="仿宋_GB2312" w:cs="仿宋_GB2312"/>
                <w:sz w:val="32"/>
                <w:szCs w:val="32"/>
                <w:lang w:val="en-US" w:eastAsia="zh-CN"/>
              </w:rPr>
              <w:t>。</w:t>
            </w:r>
          </w:p>
        </w:tc>
      </w:tr>
    </w:tbl>
    <w:p w14:paraId="0ECACFFF">
      <w:pPr>
        <w:pStyle w:val="3"/>
        <w:numPr>
          <w:ilvl w:val="0"/>
          <w:numId w:val="0"/>
        </w:numPr>
        <w:bidi w:val="0"/>
        <w:ind w:left="0" w:leftChars="0" w:firstLine="640" w:firstLineChars="200"/>
        <w:rPr>
          <w:highlight w:val="none"/>
        </w:rPr>
      </w:pPr>
      <w:bookmarkStart w:id="51" w:name="heading_42"/>
      <w:bookmarkStart w:id="52" w:name="_Toc27115"/>
      <w:r>
        <w:rPr>
          <w:rFonts w:hint="eastAsia" w:ascii="宋体" w:hAnsi="宋体" w:eastAsia="方正楷体_GBK" w:cstheme="majorBidi"/>
          <w:bCs/>
          <w:kern w:val="2"/>
          <w:sz w:val="32"/>
          <w:szCs w:val="32"/>
          <w:highlight w:val="none"/>
          <w:lang w:val="en-US" w:eastAsia="zh-CN" w:bidi="ar-SA"/>
        </w:rPr>
        <w:t>（三）</w:t>
      </w:r>
      <w:r>
        <w:rPr>
          <w:rFonts w:hint="eastAsia"/>
          <w:highlight w:val="none"/>
          <w:lang w:val="en-US" w:eastAsia="zh-CN"/>
        </w:rPr>
        <w:t>深化“四好农村路”</w:t>
      </w:r>
      <w:r>
        <w:rPr>
          <w:highlight w:val="none"/>
        </w:rPr>
        <w:t>建设提质扩面</w:t>
      </w:r>
      <w:bookmarkEnd w:id="51"/>
      <w:r>
        <w:rPr>
          <w:rFonts w:hint="eastAsia"/>
          <w:highlight w:val="none"/>
          <w:lang w:eastAsia="zh-CN"/>
        </w:rPr>
        <w:t>，</w:t>
      </w:r>
      <w:r>
        <w:rPr>
          <w:rFonts w:hint="eastAsia"/>
          <w:highlight w:val="none"/>
          <w:lang w:val="en-US" w:eastAsia="zh-CN"/>
        </w:rPr>
        <w:t>提升乡村内畅外联水平</w:t>
      </w:r>
      <w:bookmarkEnd w:id="52"/>
    </w:p>
    <w:p w14:paraId="7FE79BE0">
      <w:pPr>
        <w:pStyle w:val="5"/>
        <w:bidi w:val="0"/>
        <w:rPr>
          <w:rFonts w:hint="eastAsia"/>
          <w:highlight w:val="none"/>
          <w:lang w:val="en-US" w:eastAsia="zh-CN"/>
        </w:rPr>
      </w:pPr>
      <w:r>
        <w:rPr>
          <w:rFonts w:hint="eastAsia"/>
          <w:highlight w:val="none"/>
          <w:lang w:val="en-US" w:eastAsia="zh-CN"/>
        </w:rPr>
        <w:t>深化“四好农村路”全国示范县创建成果，实施新一轮农村公路提升行动，打造绿美农村公路、乡村旅游示范路，构建外通内联、通村畅乡、安全高效、普惠公平的农村公路网络，为乡村振兴提供坚实交通支撑。</w:t>
      </w:r>
    </w:p>
    <w:p w14:paraId="4032666A">
      <w:pPr>
        <w:pStyle w:val="4"/>
        <w:bidi w:val="0"/>
        <w:rPr>
          <w:rFonts w:hint="eastAsia"/>
          <w:highlight w:val="none"/>
          <w:lang w:val="en-US" w:eastAsia="zh-CN"/>
        </w:rPr>
      </w:pPr>
      <w:bookmarkStart w:id="53" w:name="heading_43"/>
      <w:r>
        <w:rPr>
          <w:rFonts w:hint="eastAsia"/>
          <w:highlight w:val="none"/>
          <w:lang w:val="en-US" w:eastAsia="zh-CN"/>
        </w:rPr>
        <w:t>1.提升农村公路路网质量</w:t>
      </w:r>
      <w:bookmarkEnd w:id="53"/>
    </w:p>
    <w:p w14:paraId="48E0024B">
      <w:pPr>
        <w:pStyle w:val="5"/>
        <w:bidi w:val="0"/>
        <w:rPr>
          <w:rFonts w:hint="eastAsia"/>
          <w:highlight w:val="none"/>
          <w:lang w:val="en-US" w:eastAsia="zh-CN"/>
        </w:rPr>
      </w:pPr>
      <w:r>
        <w:rPr>
          <w:rFonts w:hint="eastAsia"/>
          <w:highlight w:val="none"/>
          <w:lang w:val="en-US" w:eastAsia="zh-CN"/>
        </w:rPr>
        <w:t>（1）推动农村公路骨干路网提档升级，打通乡镇、主要经济节点对外快速通道，实施西街口镇、石林街道、大可乡、鹿阜街道、板桥街道、圭山镇等乡镇对外双通道建设163.399公里。统筹农村公路穿村路段兼顾村内主干道功能，实施茶小路、松起公路等169条农村公路老旧公路改造以及过窄农村公路拓宽改造308公里。</w:t>
      </w:r>
    </w:p>
    <w:p w14:paraId="6674C20F">
      <w:pPr>
        <w:pStyle w:val="5"/>
        <w:bidi w:val="0"/>
        <w:rPr>
          <w:rFonts w:hint="eastAsia"/>
          <w:highlight w:val="none"/>
          <w:lang w:val="en-US" w:eastAsia="zh-CN"/>
        </w:rPr>
      </w:pPr>
      <w:r>
        <w:rPr>
          <w:rFonts w:hint="eastAsia"/>
          <w:highlight w:val="none"/>
          <w:lang w:val="en-US" w:eastAsia="zh-CN"/>
        </w:rPr>
        <w:t>（2）延伸完善基础路网，推动农村公路建设项目更多向进村入户倾斜，加快建制村通等级路。重点解决20户及以上自然村互联互通短板问题，实施石林县鹿阜街道、圭山镇、板桥街道、西街口镇、石林街道等乡镇20户及以上自然村路面硬化项目232.53公里。加强农村公路连接互通，健全农村公路与国省干线、城市道路、村内道路的衔接机制，打通“断头路”、畅通“微循环”。</w:t>
      </w:r>
    </w:p>
    <w:p w14:paraId="55DC2ACB">
      <w:pPr>
        <w:pStyle w:val="5"/>
        <w:bidi w:val="0"/>
        <w:rPr>
          <w:rFonts w:hint="eastAsia"/>
          <w:highlight w:val="none"/>
          <w:lang w:val="en-US" w:eastAsia="zh-CN"/>
        </w:rPr>
      </w:pPr>
      <w:r>
        <w:rPr>
          <w:rFonts w:hint="eastAsia"/>
          <w:highlight w:val="none"/>
          <w:lang w:val="en-US" w:eastAsia="zh-CN"/>
        </w:rPr>
        <w:t>（3）推进昆明市县乡公路“互联互通”，开展宜石高速公路阿着底互通至长湖公路、石林县板桥街道石林西站至宜良县竹山镇公路、宜良县匡远至石林县鹿阜公路、石林县小板田至西街口公路等项目建设。</w:t>
      </w:r>
    </w:p>
    <w:p w14:paraId="21F8E3F0">
      <w:pPr>
        <w:pStyle w:val="4"/>
        <w:bidi w:val="0"/>
        <w:rPr>
          <w:rFonts w:hint="eastAsia"/>
          <w:highlight w:val="none"/>
          <w:lang w:val="en-US" w:eastAsia="zh-CN"/>
        </w:rPr>
      </w:pPr>
      <w:bookmarkStart w:id="54" w:name="heading_44"/>
      <w:r>
        <w:rPr>
          <w:rFonts w:hint="eastAsia"/>
          <w:highlight w:val="none"/>
          <w:lang w:val="en-US" w:eastAsia="zh-CN"/>
        </w:rPr>
        <w:t>2.强化农村公路安全保障</w:t>
      </w:r>
      <w:bookmarkEnd w:id="54"/>
    </w:p>
    <w:p w14:paraId="56ACE3D9">
      <w:pPr>
        <w:pStyle w:val="5"/>
        <w:bidi w:val="0"/>
        <w:rPr>
          <w:rFonts w:hint="eastAsia"/>
          <w:highlight w:val="none"/>
          <w:lang w:val="en-US" w:eastAsia="zh-CN"/>
        </w:rPr>
      </w:pPr>
      <w:r>
        <w:rPr>
          <w:rFonts w:hint="eastAsia"/>
          <w:highlight w:val="none"/>
          <w:lang w:val="en-US" w:eastAsia="zh-CN"/>
        </w:rPr>
        <w:t>常态化开展农村公路及桥隧风险隐患排查整治，推进事故易发平交路口安全改造。实施农村公路村道安全生命防护工程，提升防灾减灾能力，优化灾害频发区域设施技术等级，提高重要桥隧抗震设防和防洪标准。提升防灾减灾能力，针对汛期水毁及时开展路面清理与应急保通，优化灾害频发区域设施技术等级，提高重要桥隧抗震设防和防洪标准。新建松子园桥、天生桥等2座中、小桥项目，改造危旧桥梁15座。</w:t>
      </w:r>
    </w:p>
    <w:p w14:paraId="230199F4">
      <w:pPr>
        <w:pStyle w:val="4"/>
        <w:bidi w:val="0"/>
        <w:rPr>
          <w:rFonts w:hint="eastAsia"/>
          <w:highlight w:val="none"/>
          <w:lang w:val="en-US" w:eastAsia="zh-CN"/>
        </w:rPr>
      </w:pPr>
      <w:bookmarkStart w:id="55" w:name="heading_45"/>
      <w:r>
        <w:rPr>
          <w:rFonts w:hint="eastAsia"/>
          <w:highlight w:val="none"/>
          <w:lang w:val="en-US" w:eastAsia="zh-CN"/>
        </w:rPr>
        <w:t>3.赋能乡村产业发展</w:t>
      </w:r>
      <w:bookmarkEnd w:id="55"/>
    </w:p>
    <w:p w14:paraId="1F34A3F1">
      <w:pPr>
        <w:pStyle w:val="5"/>
        <w:bidi w:val="0"/>
        <w:rPr>
          <w:rFonts w:hint="eastAsia"/>
          <w:highlight w:val="none"/>
          <w:lang w:val="en-US" w:eastAsia="zh-CN"/>
        </w:rPr>
      </w:pPr>
      <w:r>
        <w:rPr>
          <w:rFonts w:hint="eastAsia"/>
          <w:highlight w:val="none"/>
          <w:lang w:val="en-US" w:eastAsia="zh-CN"/>
        </w:rPr>
        <w:t>推广“农村公路+”模式，推动产业路、旅游路、资源路一体化建设，聚焦石林人参果核心产区，将北召公路、豆金线、西紫公路纳入产业路重点提升范畴，实施北召公路、绿大公路等13条142公里旅游路资源路产业路建设，促进农村公路与产业园区、旅游景区、物流快递等业态深度融合。</w:t>
      </w:r>
    </w:p>
    <w:p w14:paraId="274B7A88">
      <w:pPr>
        <w:pStyle w:val="4"/>
        <w:bidi w:val="0"/>
        <w:rPr>
          <w:rFonts w:hint="eastAsia"/>
          <w:highlight w:val="none"/>
          <w:lang w:val="en-US" w:eastAsia="zh-CN"/>
        </w:rPr>
      </w:pPr>
      <w:bookmarkStart w:id="56" w:name="heading_46"/>
      <w:r>
        <w:rPr>
          <w:rFonts w:hint="eastAsia"/>
          <w:highlight w:val="none"/>
          <w:lang w:val="en-US" w:eastAsia="zh-CN"/>
        </w:rPr>
        <w:t>4.完善农村公路养护管理体系</w:t>
      </w:r>
      <w:bookmarkEnd w:id="56"/>
    </w:p>
    <w:p w14:paraId="09DE76BA">
      <w:pPr>
        <w:pStyle w:val="5"/>
        <w:bidi w:val="0"/>
        <w:rPr>
          <w:rFonts w:hint="eastAsia"/>
          <w:highlight w:val="none"/>
          <w:lang w:val="en-US" w:eastAsia="zh-CN"/>
        </w:rPr>
      </w:pPr>
      <w:r>
        <w:rPr>
          <w:rFonts w:hint="eastAsia"/>
          <w:b/>
          <w:bCs/>
          <w:highlight w:val="none"/>
          <w:lang w:val="en-US" w:eastAsia="zh-CN"/>
        </w:rPr>
        <w:t>（1）健全“县道县管、乡道乡管、村道村管”三级路长制，</w:t>
      </w:r>
      <w:r>
        <w:rPr>
          <w:rFonts w:hint="eastAsia"/>
          <w:highlight w:val="none"/>
          <w:lang w:val="en-US" w:eastAsia="zh-CN"/>
        </w:rPr>
        <w:t>压实乡镇（街道）农村公路养护主体责任，将养护成效纳入其年度绩效考核范畴。推行“日常巡查+定期专业检测”的常态化管养模式，严格执行月度巡查、恶劣天气加密巡查要求，重点开展预防性养护、应急性养护、桥梁专项养护及水毁抢修，确保公路病害与安全隐患能早期发现、及时处置。</w:t>
      </w:r>
    </w:p>
    <w:p w14:paraId="011A5F56">
      <w:pPr>
        <w:pStyle w:val="5"/>
        <w:bidi w:val="0"/>
        <w:rPr>
          <w:rFonts w:hint="eastAsia"/>
          <w:highlight w:val="none"/>
          <w:lang w:val="en-US" w:eastAsia="zh-CN"/>
        </w:rPr>
      </w:pPr>
      <w:r>
        <w:rPr>
          <w:rFonts w:hint="eastAsia"/>
          <w:b/>
          <w:bCs/>
          <w:highlight w:val="none"/>
          <w:lang w:val="en-US" w:eastAsia="zh-CN"/>
        </w:rPr>
        <w:t>（2）构建稳定多元的资金保障体系，</w:t>
      </w:r>
      <w:r>
        <w:rPr>
          <w:rFonts w:hint="eastAsia"/>
          <w:highlight w:val="none"/>
          <w:lang w:val="en-US" w:eastAsia="zh-CN"/>
        </w:rPr>
        <w:t>积极争取省、市养护补助资金，加大县级财政资金协调与保障力度，破解县级财政配套不足、养护资金滞留问题，确保年度养护经费足额、及时到位，优先将养护资金向破损严重、群众反映强烈的路段倾斜。稳步推进养护市场化改革，规范养护工程招投标管理，积极培育专业化养护市场主体。</w:t>
      </w:r>
    </w:p>
    <w:p w14:paraId="65D2DA32">
      <w:pPr>
        <w:pStyle w:val="5"/>
        <w:bidi w:val="0"/>
        <w:rPr>
          <w:rFonts w:hint="eastAsia"/>
          <w:highlight w:val="none"/>
          <w:lang w:val="en-US" w:eastAsia="zh-CN"/>
        </w:rPr>
      </w:pPr>
      <w:r>
        <w:rPr>
          <w:rFonts w:hint="eastAsia"/>
          <w:b/>
          <w:bCs/>
          <w:highlight w:val="none"/>
          <w:lang w:val="en-US" w:eastAsia="zh-CN"/>
        </w:rPr>
        <w:t>（3）推动养护智慧化与专业化，</w:t>
      </w:r>
      <w:r>
        <w:rPr>
          <w:rFonts w:hint="eastAsia"/>
          <w:highlight w:val="none"/>
          <w:lang w:val="en-US" w:eastAsia="zh-CN"/>
        </w:rPr>
        <w:t>积极推动公路养护管理智慧化，促进大数据等新技术融合应用，推进桥隧等关键设施自动化检测。推广使用“四新”技术，提高养护机械化水平，探索部署无人机巡检系统、智能修补车、无人清扫车等新型设备。强化路政管理，由昆明市交通综合执法支队石林大队承担路政执法任务，常态化开展路政巡查、超限超载治理与路域环境整治，加强货运源头企业监管，普及爱路护路法规，保障路产路权与公路安全畅通。</w:t>
      </w:r>
    </w:p>
    <w:tbl>
      <w:tblPr>
        <w:tblStyle w:val="21"/>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14:paraId="520DF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tcPr>
          <w:p w14:paraId="5407DC48">
            <w:pPr>
              <w:pStyle w:val="5"/>
              <w:ind w:firstLine="0" w:firstLineChars="0"/>
              <w:jc w:val="center"/>
              <w:rPr>
                <w:rFonts w:hint="eastAsia" w:ascii="宋体" w:hAnsi="宋体"/>
                <w:highlight w:val="none"/>
              </w:rPr>
            </w:pPr>
            <w:r>
              <w:rPr>
                <w:rFonts w:hint="eastAsia" w:ascii="宋体" w:hAnsi="宋体" w:eastAsia="方正黑体_GBK" w:cs="方正黑体_GBK"/>
                <w:bCs/>
                <w:sz w:val="28"/>
                <w:szCs w:val="28"/>
                <w:highlight w:val="none"/>
              </w:rPr>
              <w:t>专栏</w:t>
            </w:r>
            <w:r>
              <w:rPr>
                <w:rFonts w:hint="eastAsia" w:ascii="宋体" w:hAnsi="宋体" w:eastAsia="宋体" w:cs="宋体"/>
                <w:b/>
                <w:bCs/>
                <w:sz w:val="28"/>
                <w:szCs w:val="28"/>
                <w:highlight w:val="none"/>
                <w:lang w:val="en-US" w:eastAsia="zh-CN"/>
              </w:rPr>
              <w:t>5</w:t>
            </w:r>
            <w:r>
              <w:rPr>
                <w:rFonts w:hint="eastAsia" w:ascii="宋体" w:hAnsi="宋体" w:eastAsia="方正黑体_GBK" w:cs="方正黑体_GBK"/>
                <w:bCs/>
                <w:sz w:val="28"/>
                <w:szCs w:val="28"/>
                <w:highlight w:val="none"/>
              </w:rPr>
              <w:t>“十五五”期间</w:t>
            </w:r>
            <w:r>
              <w:rPr>
                <w:rFonts w:hint="eastAsia" w:ascii="宋体" w:hAnsi="宋体" w:eastAsia="方正黑体_GBK" w:cs="方正黑体_GBK"/>
                <w:bCs/>
                <w:sz w:val="28"/>
                <w:szCs w:val="28"/>
                <w:highlight w:val="none"/>
                <w:lang w:val="en-US" w:eastAsia="zh-CN"/>
              </w:rPr>
              <w:t>农村公路建设</w:t>
            </w:r>
            <w:r>
              <w:rPr>
                <w:rFonts w:hint="eastAsia" w:ascii="宋体" w:hAnsi="宋体" w:eastAsia="方正黑体_GBK" w:cs="方正黑体_GBK"/>
                <w:bCs/>
                <w:sz w:val="28"/>
                <w:szCs w:val="28"/>
                <w:highlight w:val="none"/>
              </w:rPr>
              <w:t>项目</w:t>
            </w:r>
          </w:p>
        </w:tc>
      </w:tr>
      <w:tr w14:paraId="5D1F9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tcPr>
          <w:p w14:paraId="5C4122E2">
            <w:pPr>
              <w:pStyle w:val="5"/>
              <w:ind w:firstLine="560"/>
              <w:rPr>
                <w:rFonts w:hint="eastAsia" w:ascii="宋体" w:hAnsi="宋体" w:eastAsia="方正仿宋_GBK"/>
                <w:sz w:val="28"/>
                <w:szCs w:val="28"/>
                <w:highlight w:val="none"/>
                <w:lang w:val="en-US" w:eastAsia="zh-CN"/>
              </w:rPr>
            </w:pPr>
            <w:r>
              <w:rPr>
                <w:rFonts w:hint="eastAsia" w:ascii="宋体" w:hAnsi="宋体"/>
                <w:sz w:val="28"/>
                <w:szCs w:val="28"/>
                <w:highlight w:val="none"/>
                <w:lang w:val="en-US" w:eastAsia="zh-CN"/>
              </w:rPr>
              <w:t>1.昆明市县乡公路“互联互通”工程规划：有序推进宜石高速公路阿着底互通至长湖公路工程；石林县板桥街道石林西站－宜良县竹山镇公路工程；宜良县匡远－石林县鹿阜公路工程；石林县小板田至西街口公路工程；石林县圭山镇尾乍黑-弥勒市弥阳镇公路工程；石林县大可乡南大村－弥勒市西二镇公路工程；石林县板桥街道石林西站－宜良县团山公路工程</w:t>
            </w:r>
            <w:r>
              <w:rPr>
                <w:rFonts w:hint="eastAsia" w:ascii="宋体" w:hAnsi="宋体"/>
                <w:sz w:val="28"/>
                <w:szCs w:val="28"/>
                <w:highlight w:val="none"/>
                <w:lang w:eastAsia="zh-CN"/>
              </w:rPr>
              <w:t>。</w:t>
            </w:r>
          </w:p>
          <w:p w14:paraId="3B4F84A5">
            <w:pPr>
              <w:pStyle w:val="5"/>
              <w:ind w:firstLine="560"/>
              <w:rPr>
                <w:rFonts w:hint="eastAsia" w:ascii="宋体" w:hAnsi="宋体"/>
                <w:sz w:val="28"/>
                <w:szCs w:val="28"/>
                <w:highlight w:val="none"/>
                <w:lang w:val="en-US" w:eastAsia="zh-CN"/>
              </w:rPr>
            </w:pPr>
            <w:r>
              <w:rPr>
                <w:rFonts w:hint="eastAsia" w:ascii="宋体" w:hAnsi="宋体"/>
                <w:sz w:val="28"/>
                <w:szCs w:val="28"/>
                <w:highlight w:val="none"/>
                <w:lang w:val="en-US" w:eastAsia="zh-CN"/>
              </w:rPr>
              <w:t>2.窄路基路面加宽改造：拓宽改造过窄农村公路308公里（通建制村茶小路、松起公路、石板哨公路等89条农村公路）。</w:t>
            </w:r>
          </w:p>
          <w:p w14:paraId="5BE2B007">
            <w:pPr>
              <w:pStyle w:val="5"/>
              <w:ind w:firstLine="560"/>
              <w:rPr>
                <w:rFonts w:hint="eastAsia" w:ascii="宋体" w:hAnsi="宋体"/>
                <w:sz w:val="28"/>
                <w:szCs w:val="28"/>
                <w:highlight w:val="none"/>
                <w:lang w:val="en-US" w:eastAsia="zh-CN"/>
              </w:rPr>
            </w:pPr>
            <w:r>
              <w:rPr>
                <w:rFonts w:hint="eastAsia" w:ascii="宋体" w:hAnsi="宋体" w:eastAsia="方正仿宋_GBK" w:cs="Times New Roman"/>
                <w:sz w:val="28"/>
                <w:szCs w:val="28"/>
                <w:highlight w:val="none"/>
                <w:lang w:val="en-US" w:eastAsia="zh-CN"/>
              </w:rPr>
              <w:t>3.20户及以上自然村路面硬化：重点推进</w:t>
            </w:r>
            <w:r>
              <w:rPr>
                <w:rFonts w:hint="eastAsia" w:ascii="宋体" w:hAnsi="宋体" w:cs="Times New Roman"/>
                <w:sz w:val="28"/>
                <w:szCs w:val="28"/>
                <w:highlight w:val="none"/>
                <w:lang w:val="en-US" w:eastAsia="zh-CN"/>
              </w:rPr>
              <w:t>2</w:t>
            </w:r>
            <w:r>
              <w:rPr>
                <w:rFonts w:hint="eastAsia" w:ascii="宋体" w:hAnsi="宋体" w:eastAsia="方正仿宋_GBK" w:cs="Times New Roman"/>
                <w:sz w:val="28"/>
                <w:szCs w:val="28"/>
                <w:highlight w:val="none"/>
                <w:lang w:val="en-US" w:eastAsia="zh-CN"/>
              </w:rPr>
              <w:t>0户</w:t>
            </w:r>
            <w:r>
              <w:rPr>
                <w:rFonts w:hint="eastAsia" w:ascii="宋体" w:hAnsi="宋体" w:cs="Times New Roman"/>
                <w:sz w:val="28"/>
                <w:szCs w:val="28"/>
                <w:highlight w:val="none"/>
                <w:lang w:val="en-US" w:eastAsia="zh-CN"/>
              </w:rPr>
              <w:t>及以上</w:t>
            </w:r>
            <w:r>
              <w:rPr>
                <w:rFonts w:hint="eastAsia" w:ascii="宋体" w:hAnsi="宋体" w:eastAsia="方正仿宋_GBK" w:cs="Times New Roman"/>
                <w:sz w:val="28"/>
                <w:szCs w:val="28"/>
                <w:highlight w:val="none"/>
                <w:lang w:val="en-US" w:eastAsia="zh-CN"/>
              </w:rPr>
              <w:t>较大人口规模自然村（组）改扩建自然村通硬化四级公路232.53公里。</w:t>
            </w:r>
          </w:p>
          <w:p w14:paraId="2FFEFC8A">
            <w:pPr>
              <w:pStyle w:val="5"/>
              <w:ind w:firstLine="560"/>
              <w:rPr>
                <w:rFonts w:hint="default" w:ascii="宋体" w:hAnsi="宋体"/>
                <w:sz w:val="28"/>
                <w:szCs w:val="28"/>
                <w:highlight w:val="none"/>
                <w:lang w:val="en-US" w:eastAsia="zh-CN"/>
              </w:rPr>
            </w:pPr>
            <w:r>
              <w:rPr>
                <w:rFonts w:hint="eastAsia" w:ascii="宋体" w:hAnsi="宋体"/>
                <w:sz w:val="28"/>
                <w:szCs w:val="28"/>
                <w:highlight w:val="none"/>
                <w:lang w:val="en-US" w:eastAsia="zh-CN"/>
              </w:rPr>
              <w:t>4.旅游路资源路产业路：建设北召公路、绿大公路、豆金线等13条具备条件的142公里旅游路资源路产业路。</w:t>
            </w:r>
          </w:p>
          <w:p w14:paraId="4D74309A">
            <w:pPr>
              <w:pStyle w:val="5"/>
              <w:ind w:firstLine="560"/>
              <w:rPr>
                <w:rFonts w:hint="eastAsia" w:ascii="宋体" w:hAnsi="宋体"/>
                <w:sz w:val="28"/>
                <w:szCs w:val="28"/>
                <w:highlight w:val="none"/>
                <w:lang w:val="en-US" w:eastAsia="zh-CN"/>
              </w:rPr>
            </w:pPr>
            <w:r>
              <w:rPr>
                <w:rFonts w:hint="eastAsia" w:ascii="宋体" w:hAnsi="宋体"/>
                <w:sz w:val="28"/>
                <w:szCs w:val="28"/>
                <w:highlight w:val="none"/>
                <w:lang w:val="en-US" w:eastAsia="zh-CN"/>
              </w:rPr>
              <w:t>5.实施一批老旧公路改造、窄路基加宽、断头路贯通、衔接道路等项目。改扩建建制村通双车道163.4公里路基、路面及交通设施(西紫公路、绿大公路、威格公路等33条农村公路建设项目)；拓宽改造过窄农村公路308公里（茶小路、松起公路、石板哨公路等89条农村公路）</w:t>
            </w:r>
          </w:p>
          <w:p w14:paraId="28EDF37C">
            <w:pPr>
              <w:pStyle w:val="5"/>
              <w:ind w:firstLine="560"/>
              <w:rPr>
                <w:rFonts w:hint="eastAsia" w:ascii="宋体" w:hAnsi="宋体"/>
                <w:sz w:val="28"/>
                <w:szCs w:val="28"/>
                <w:highlight w:val="none"/>
                <w:lang w:val="en-US" w:eastAsia="zh-CN"/>
              </w:rPr>
            </w:pPr>
            <w:r>
              <w:rPr>
                <w:rFonts w:hint="eastAsia" w:ascii="宋体" w:hAnsi="宋体"/>
                <w:sz w:val="28"/>
                <w:szCs w:val="28"/>
                <w:highlight w:val="none"/>
                <w:lang w:val="en-US" w:eastAsia="zh-CN"/>
              </w:rPr>
              <w:t>6.石林县中、小桥项目：新建农村公路松子园桥、天生桥2座</w:t>
            </w:r>
          </w:p>
          <w:p w14:paraId="123861F2">
            <w:pPr>
              <w:pStyle w:val="5"/>
              <w:ind w:firstLine="560"/>
              <w:rPr>
                <w:rFonts w:hint="default"/>
                <w:lang w:val="en-US" w:eastAsia="zh-CN"/>
              </w:rPr>
            </w:pPr>
            <w:r>
              <w:rPr>
                <w:rFonts w:hint="eastAsia" w:ascii="宋体" w:hAnsi="宋体"/>
                <w:sz w:val="28"/>
                <w:szCs w:val="28"/>
                <w:highlight w:val="none"/>
                <w:lang w:val="en-US" w:eastAsia="zh-CN"/>
              </w:rPr>
              <w:t>7.改造危旧桥梁15座。</w:t>
            </w:r>
          </w:p>
        </w:tc>
      </w:tr>
      <w:bookmarkEnd w:id="48"/>
      <w:bookmarkEnd w:id="49"/>
      <w:bookmarkEnd w:id="50"/>
    </w:tbl>
    <w:p w14:paraId="31B8D1D9">
      <w:pPr>
        <w:pStyle w:val="3"/>
        <w:numPr>
          <w:ilvl w:val="0"/>
          <w:numId w:val="5"/>
        </w:numPr>
        <w:bidi w:val="0"/>
        <w:ind w:left="-640" w:leftChars="0" w:firstLine="640" w:firstLineChars="0"/>
        <w:rPr>
          <w:rFonts w:hint="eastAsia"/>
          <w:highlight w:val="none"/>
        </w:rPr>
      </w:pPr>
      <w:bookmarkStart w:id="57" w:name="_Toc29985"/>
      <w:bookmarkStart w:id="58" w:name="_Toc26630"/>
      <w:bookmarkStart w:id="59" w:name="_Toc14628"/>
      <w:bookmarkStart w:id="60" w:name="_Toc9086"/>
      <w:bookmarkStart w:id="61" w:name="_Toc25098"/>
      <w:r>
        <w:rPr>
          <w:rFonts w:hint="eastAsia"/>
          <w:highlight w:val="none"/>
        </w:rPr>
        <w:t>推动交通产业深度融合，强化产业发展交通赋能</w:t>
      </w:r>
      <w:bookmarkEnd w:id="57"/>
    </w:p>
    <w:p w14:paraId="4B1948B6">
      <w:pPr>
        <w:pStyle w:val="5"/>
        <w:bidi w:val="0"/>
        <w:rPr>
          <w:rFonts w:hint="default"/>
          <w:lang w:val="en-US" w:eastAsia="zh-CN"/>
        </w:rPr>
      </w:pPr>
      <w:r>
        <w:rPr>
          <w:rFonts w:hint="default"/>
          <w:lang w:val="en-US" w:eastAsia="zh-CN"/>
        </w:rPr>
        <w:t>紧扣石林彝族自治县“十五五”国民经济和社会发展规划纲要，围绕旅游立县、农业稳县、工业强县、生态美县、文化活县发展战略，聚焦“1+3”百亿级产业培育、三产深度融合核心任务，深化交通与文旅、农业、工业、物流、能源、跨境全方位融合，构建交通引领、产业联动、融合共生、高效赋能发展体系，以交通现代化支撑产业转型升级，打造符合县域实际、可落地可实施的交通产业融合新格局。</w:t>
      </w:r>
    </w:p>
    <w:p w14:paraId="110F91C2">
      <w:pPr>
        <w:pStyle w:val="4"/>
        <w:bidi w:val="0"/>
        <w:rPr>
          <w:rFonts w:hint="eastAsia"/>
          <w:highlight w:val="none"/>
        </w:rPr>
      </w:pPr>
      <w:bookmarkStart w:id="62" w:name="_Toc23810"/>
      <w:bookmarkStart w:id="63" w:name="_Toc32573"/>
      <w:r>
        <w:rPr>
          <w:rFonts w:hint="eastAsia"/>
          <w:highlight w:val="none"/>
          <w:lang w:val="en-US" w:eastAsia="zh-CN"/>
        </w:rPr>
        <w:t>1.深化“交通+旅游”，</w:t>
      </w:r>
      <w:r>
        <w:rPr>
          <w:rFonts w:hint="eastAsia"/>
          <w:highlight w:val="none"/>
        </w:rPr>
        <w:t>推进交通和旅游文化融合发展。</w:t>
      </w:r>
      <w:bookmarkEnd w:id="62"/>
    </w:p>
    <w:p w14:paraId="6F58FAD8">
      <w:pPr>
        <w:pStyle w:val="5"/>
        <w:bidi w:val="0"/>
        <w:rPr>
          <w:rFonts w:hint="eastAsia" w:ascii="宋体" w:hAnsi="宋体" w:eastAsia="方正仿宋_GBK" w:cs="方正仿宋_GBK"/>
          <w:b w:val="0"/>
          <w:bCs w:val="0"/>
          <w:sz w:val="32"/>
          <w:szCs w:val="32"/>
          <w:highlight w:val="green"/>
        </w:rPr>
      </w:pPr>
      <w:r>
        <w:rPr>
          <w:rFonts w:hint="eastAsia" w:ascii="宋体" w:hAnsi="宋体" w:eastAsia="方正仿宋_GBK" w:cs="方正仿宋_GBK"/>
          <w:b w:val="0"/>
          <w:bCs w:val="0"/>
          <w:sz w:val="32"/>
          <w:szCs w:val="32"/>
          <w:highlight w:val="none"/>
        </w:rPr>
        <w:t>深化交通与文旅深度融合，持续优化综合交通网络结构，补齐交通发展短板，全力构建布局合理、功能完善、衔接顺畅、体验丰富的“快进慢游”交通网络，为石林全域旅游高质量发展筑牢坚实交通保障。</w:t>
      </w:r>
    </w:p>
    <w:p w14:paraId="74183002">
      <w:pPr>
        <w:pStyle w:val="5"/>
        <w:bidi w:val="0"/>
        <w:rPr>
          <w:rFonts w:hint="eastAsia"/>
          <w:b/>
          <w:bCs/>
          <w:highlight w:val="none"/>
        </w:rPr>
      </w:pPr>
      <w:r>
        <w:rPr>
          <w:rFonts w:hint="eastAsia"/>
          <w:b/>
          <w:bCs/>
          <w:highlight w:val="none"/>
          <w:lang w:eastAsia="zh-CN"/>
        </w:rPr>
        <w:t>（</w:t>
      </w:r>
      <w:r>
        <w:rPr>
          <w:rFonts w:hint="eastAsia"/>
          <w:b/>
          <w:bCs/>
          <w:highlight w:val="none"/>
          <w:lang w:val="en-US" w:eastAsia="zh-CN"/>
        </w:rPr>
        <w:t>1</w:t>
      </w:r>
      <w:r>
        <w:rPr>
          <w:rFonts w:hint="eastAsia"/>
          <w:b/>
          <w:bCs/>
          <w:highlight w:val="none"/>
          <w:lang w:eastAsia="zh-CN"/>
        </w:rPr>
        <w:t>）</w:t>
      </w:r>
      <w:r>
        <w:rPr>
          <w:rFonts w:hint="eastAsia"/>
          <w:b/>
          <w:bCs/>
          <w:highlight w:val="none"/>
        </w:rPr>
        <w:t>推进旅游交通服务优化提升</w:t>
      </w:r>
    </w:p>
    <w:p w14:paraId="22C2EDB1">
      <w:pPr>
        <w:pStyle w:val="5"/>
        <w:bidi w:val="0"/>
        <w:rPr>
          <w:rFonts w:hint="eastAsia"/>
          <w:highlight w:val="none"/>
        </w:rPr>
      </w:pPr>
      <w:r>
        <w:rPr>
          <w:rFonts w:hint="eastAsia"/>
          <w:highlight w:val="none"/>
        </w:rPr>
        <w:t>按照《石林彝族自治县旅游交通服务调整优化工作方案》要求，扎实推进四大工程实施，重点抓好县内外畅通工程、精品旅游公路示范工程、旅游标识标牌建设工程和停车泊位优化工程落地见效。全面夯实旅游交通服务基础，助力全域旅游高质量发展。</w:t>
      </w:r>
    </w:p>
    <w:p w14:paraId="2AB2ABA0">
      <w:pPr>
        <w:pStyle w:val="5"/>
        <w:bidi w:val="0"/>
        <w:rPr>
          <w:rFonts w:hint="eastAsia"/>
          <w:b/>
          <w:bCs/>
          <w:highlight w:val="none"/>
        </w:rPr>
      </w:pPr>
      <w:r>
        <w:rPr>
          <w:rFonts w:hint="eastAsia"/>
          <w:b/>
          <w:bCs/>
          <w:highlight w:val="none"/>
          <w:lang w:eastAsia="zh-CN"/>
        </w:rPr>
        <w:t>（</w:t>
      </w:r>
      <w:r>
        <w:rPr>
          <w:rFonts w:hint="eastAsia"/>
          <w:b/>
          <w:bCs/>
          <w:highlight w:val="none"/>
          <w:lang w:val="en-US" w:eastAsia="zh-CN"/>
        </w:rPr>
        <w:t>2</w:t>
      </w:r>
      <w:r>
        <w:rPr>
          <w:rFonts w:hint="eastAsia"/>
          <w:b/>
          <w:bCs/>
          <w:highlight w:val="none"/>
          <w:lang w:eastAsia="zh-CN"/>
        </w:rPr>
        <w:t>）</w:t>
      </w:r>
      <w:r>
        <w:rPr>
          <w:rFonts w:hint="eastAsia"/>
          <w:b/>
          <w:bCs/>
          <w:highlight w:val="none"/>
        </w:rPr>
        <w:t>构建多维协同交旅融合交通体系</w:t>
      </w:r>
    </w:p>
    <w:p w14:paraId="0677BA67">
      <w:pPr>
        <w:pStyle w:val="5"/>
        <w:bidi w:val="0"/>
        <w:rPr>
          <w:rFonts w:hint="eastAsia"/>
          <w:highlight w:val="none"/>
        </w:rPr>
      </w:pPr>
      <w:r>
        <w:rPr>
          <w:rFonts w:hint="eastAsia"/>
          <w:highlight w:val="none"/>
        </w:rPr>
        <w:t>按照“一核引领、两带串联、五区联动、多点支撑”的文旅融合发展总体空间结构，依托“五高两铁三专”的现代交通网络，加快推进“景区内环+景区外环”项目建设，逐步构建以铁路、高速公路高效衔接的综合交通快速网为骨架，普通国省道、重要县道组成的高效率普通干线网为支撑，一般县道、乡道织就的广覆盖基础服务网为脉络，为全域旅游发展提供坚实的交通保障。一是配合省、市加快推进G78、G80高速公路改扩建，国道324、326，省道S209路面修复养护及绿美公路建设，进一步完善综合交通快速网，让游客能快速到达石林。二是以石林风景名胜区为中心，有效串联石林风景区、长湖、圭山、大叠水等核心文旅资源，重点推进S209（石林景区至圭山）、豆金线（县城至长湖景区）、板塘公路（长湖至大叠水景区）等道路路面提升改造，切实加强各区域间、景区内部的旅游交通布局和联动功能。</w:t>
      </w:r>
    </w:p>
    <w:p w14:paraId="3B14DF5B">
      <w:pPr>
        <w:pStyle w:val="5"/>
        <w:bidi w:val="0"/>
        <w:rPr>
          <w:rFonts w:hint="eastAsia"/>
          <w:b/>
          <w:bCs/>
          <w:highlight w:val="none"/>
          <w:lang w:val="en-US" w:eastAsia="zh-CN"/>
        </w:rPr>
      </w:pPr>
      <w:r>
        <w:rPr>
          <w:rFonts w:hint="eastAsia"/>
          <w:b/>
          <w:bCs/>
          <w:highlight w:val="none"/>
          <w:lang w:val="en-US" w:eastAsia="zh-CN"/>
        </w:rPr>
        <w:t>（3）强化绿道建设与文旅基础设施保障</w:t>
      </w:r>
    </w:p>
    <w:p w14:paraId="55B02D0B">
      <w:pPr>
        <w:pStyle w:val="5"/>
        <w:bidi w:val="0"/>
        <w:rPr>
          <w:rFonts w:hint="eastAsia"/>
          <w:highlight w:val="none"/>
          <w:lang w:val="en-US" w:eastAsia="zh-CN"/>
        </w:rPr>
      </w:pPr>
      <w:r>
        <w:rPr>
          <w:rFonts w:hint="eastAsia"/>
          <w:highlight w:val="none"/>
          <w:lang w:val="en-US" w:eastAsia="zh-CN"/>
        </w:rPr>
        <w:t>聚焦阿诗玛民族文化体验带、巴江河生态休闲景观带“两带”以及景城融合示范区、农旅融合示范区、康旅融合示范区、文旅融合示范区、夜间经济示范“五带”，积极推进全域旅游公路布局建设。一是依托省道S209路面提升改造项目，重点谋划打造“乃古石林—石林景区—长湖景区—圭山景区”的地质奇观体验绿美公路；二是加快推进大叠水旅游专线二期绿美项目建设，重点谋划打造“石林县城—板桥—大叠水”的旅游观光体验绿美公路；三是加快实施豆金线、豆西线、豆宜线等道路路面提升改造，重点谋划打造“石林县城—长湖—阿着底—糯黑村”的民族文化体验公路；四是继续实施台创园、石林街道、西街口镇农村道路提升改造项目，打造“台创园—石林街道—西街口镇”的农旅融合示范公路，逐步在全域范围形成“文旅引领公路、公路助推文旅发展”的良好局面。</w:t>
      </w:r>
    </w:p>
    <w:bookmarkEnd w:id="63"/>
    <w:p w14:paraId="690D0415">
      <w:pPr>
        <w:pStyle w:val="4"/>
        <w:bidi w:val="0"/>
        <w:rPr>
          <w:rFonts w:hint="eastAsia"/>
          <w:highlight w:val="none"/>
          <w:lang w:val="en-US" w:eastAsia="zh-CN"/>
        </w:rPr>
      </w:pPr>
      <w:r>
        <w:rPr>
          <w:rFonts w:hint="eastAsia"/>
          <w:highlight w:val="none"/>
          <w:lang w:val="en-US" w:eastAsia="zh-CN"/>
        </w:rPr>
        <w:t>2.推进交通与现代农业深度融合</w:t>
      </w:r>
    </w:p>
    <w:p w14:paraId="5A9BB85D">
      <w:pPr>
        <w:pStyle w:val="5"/>
        <w:bidi w:val="0"/>
        <w:rPr>
          <w:rFonts w:hint="eastAsia"/>
          <w:highlight w:val="none"/>
          <w:lang w:val="en-US" w:eastAsia="zh-CN"/>
        </w:rPr>
      </w:pPr>
      <w:r>
        <w:rPr>
          <w:rFonts w:hint="eastAsia"/>
          <w:highlight w:val="none"/>
          <w:lang w:val="en-US" w:eastAsia="zh-CN"/>
        </w:rPr>
        <w:t>乡村振兴，交通先行。交通是经济发展的大动脉，加强交通基础设施建设是实现乡村产业兴旺的关键。聚焦百亿级人参果产业、高原特色农业，将“四好农村路”与特色产业、美丽乡村建设有机结合，持续推进乡村振兴产业路、资源路、幸福美丽乡村路建设，串联村民聚居点和重要经济节点，推动农村公路与产业深度融合发展。</w:t>
      </w:r>
    </w:p>
    <w:p w14:paraId="5A975FAD">
      <w:pPr>
        <w:pStyle w:val="5"/>
        <w:bidi w:val="0"/>
        <w:rPr>
          <w:rFonts w:hint="eastAsia"/>
          <w:b/>
          <w:bCs/>
          <w:highlight w:val="none"/>
          <w:lang w:val="en-US" w:eastAsia="zh-CN"/>
        </w:rPr>
      </w:pPr>
      <w:r>
        <w:rPr>
          <w:rFonts w:hint="eastAsia"/>
          <w:b/>
          <w:bCs/>
          <w:highlight w:val="none"/>
          <w:lang w:val="en-US" w:eastAsia="zh-CN"/>
        </w:rPr>
        <w:t>（1）完善路网补齐交通短板</w:t>
      </w:r>
    </w:p>
    <w:p w14:paraId="683DCFA1">
      <w:pPr>
        <w:pStyle w:val="5"/>
        <w:bidi w:val="0"/>
        <w:rPr>
          <w:rFonts w:hint="eastAsia"/>
          <w:highlight w:val="none"/>
          <w:lang w:val="en-US" w:eastAsia="zh-CN"/>
        </w:rPr>
      </w:pPr>
      <w:r>
        <w:rPr>
          <w:rFonts w:hint="eastAsia"/>
          <w:highlight w:val="none"/>
          <w:lang w:val="en-US" w:eastAsia="zh-CN"/>
        </w:rPr>
        <w:t>统筹考虑农业种植、产业园区等要素和交通需求，充分利用现有条件做好“补短板”工作，完善各方面要素和综合交通运输体系的有机衔接，为巩固脱贫攻坚和实施乡村振兴战略提供坚实的交通保障。聚焦老旧公路、窄路拓宽、次差路段提升、危旧桥梁整治和安全防护设施完善，全面提升农村公路通行能力与安全水平。</w:t>
      </w:r>
    </w:p>
    <w:p w14:paraId="4FD03780">
      <w:pPr>
        <w:pStyle w:val="5"/>
        <w:bidi w:val="0"/>
        <w:rPr>
          <w:rFonts w:hint="eastAsia"/>
          <w:b/>
          <w:bCs/>
          <w:highlight w:val="none"/>
          <w:lang w:val="en-US" w:eastAsia="zh-CN"/>
        </w:rPr>
      </w:pPr>
      <w:r>
        <w:rPr>
          <w:rFonts w:hint="eastAsia"/>
          <w:b/>
          <w:bCs/>
          <w:highlight w:val="none"/>
          <w:lang w:val="en-US" w:eastAsia="zh-CN"/>
        </w:rPr>
        <w:t>（2）聚焦特色助推产业发展</w:t>
      </w:r>
    </w:p>
    <w:p w14:paraId="5D1E240B">
      <w:pPr>
        <w:pStyle w:val="5"/>
        <w:bidi w:val="0"/>
        <w:rPr>
          <w:rFonts w:hint="eastAsia"/>
          <w:highlight w:val="none"/>
          <w:lang w:val="en-US" w:eastAsia="zh-CN"/>
        </w:rPr>
      </w:pPr>
      <w:r>
        <w:rPr>
          <w:rFonts w:hint="eastAsia"/>
          <w:highlight w:val="none"/>
          <w:lang w:val="en-US" w:eastAsia="zh-CN"/>
        </w:rPr>
        <w:t>统筹人口分布、产业布局与乡村建设规划，优先建设产业路、资源路、旅游路，推动交通网络与粮食生产、特色种养、乡村文旅、园区发展深度衔接。结合石林县特色农业发展方向，重点谋划人参果、枇杷、葡萄、花卉、畜禽等产业道路，推进北召公路、鹿平公路、矣木公路、龙小公路等资源路、产业路项目，将农村道路与花卉、果蔬、畜禽基地有效衔接，打通农产品出村进城“最后一公里”。</w:t>
      </w:r>
    </w:p>
    <w:p w14:paraId="3B856F4A">
      <w:pPr>
        <w:pStyle w:val="5"/>
        <w:bidi w:val="0"/>
        <w:rPr>
          <w:rFonts w:hint="eastAsia"/>
          <w:b/>
          <w:bCs/>
          <w:highlight w:val="none"/>
          <w:lang w:val="en-US" w:eastAsia="zh-CN"/>
        </w:rPr>
      </w:pPr>
      <w:r>
        <w:rPr>
          <w:rFonts w:hint="eastAsia"/>
          <w:b/>
          <w:bCs/>
          <w:highlight w:val="none"/>
          <w:lang w:val="en-US" w:eastAsia="zh-CN"/>
        </w:rPr>
        <w:t>（3）强化管护提升治理能力</w:t>
      </w:r>
    </w:p>
    <w:p w14:paraId="14F563CF">
      <w:pPr>
        <w:pStyle w:val="5"/>
        <w:bidi w:val="0"/>
        <w:rPr>
          <w:rFonts w:hint="eastAsia"/>
          <w:highlight w:val="none"/>
          <w:lang w:val="en-US" w:eastAsia="zh-CN"/>
        </w:rPr>
      </w:pPr>
      <w:r>
        <w:rPr>
          <w:rFonts w:hint="eastAsia"/>
          <w:highlight w:val="none"/>
          <w:lang w:val="en-US" w:eastAsia="zh-CN"/>
        </w:rPr>
        <w:t>深入推进“美丽农村路”建设，开展路域环境综合整治，实现农村公路路域环境洁化、绿化、美化。稳步推进绿美农村路项目建设，覆盖县道、乡道、村道等规划里程，打造与周边生态环境相协调、地域特色显著的绿美交通廊道示范段。推动数字化巡查与日常管护深度融合，建立问题上报、处置、反馈闭环管理；强化养护资金保障，推广专业化、机械化养护，延长设施使用寿命。</w:t>
      </w:r>
    </w:p>
    <w:p w14:paraId="7BED11A0">
      <w:pPr>
        <w:pStyle w:val="4"/>
        <w:bidi w:val="0"/>
        <w:rPr>
          <w:rFonts w:hint="eastAsia"/>
          <w:lang w:val="en-US" w:eastAsia="zh-CN"/>
        </w:rPr>
      </w:pPr>
      <w:r>
        <w:rPr>
          <w:rFonts w:hint="eastAsia"/>
          <w:lang w:val="en-US" w:eastAsia="zh-CN"/>
        </w:rPr>
        <w:t>3.深化“交通+工业”，推进交通与新型工业深度融合</w:t>
      </w:r>
    </w:p>
    <w:p w14:paraId="597F7BEC">
      <w:pPr>
        <w:pStyle w:val="5"/>
        <w:bidi w:val="0"/>
        <w:rPr>
          <w:rFonts w:hint="eastAsia"/>
          <w:highlight w:val="none"/>
          <w:lang w:val="en-US" w:eastAsia="zh-CN"/>
        </w:rPr>
      </w:pPr>
      <w:r>
        <w:rPr>
          <w:rFonts w:hint="eastAsia"/>
          <w:highlight w:val="none"/>
          <w:lang w:val="en-US" w:eastAsia="zh-CN"/>
        </w:rPr>
        <w:t>围绕石林县工业“一主三辅”发展思路及产业发展导向，聚焦绿色肉制品、生物医药、新型建材及现代物流产业，加快推进交通项目建设、物流降本赋能、产运深度融合、场景开放创新，实现园区与国省干线、铁路枢纽无缝衔接。</w:t>
      </w:r>
    </w:p>
    <w:p w14:paraId="6EC15173">
      <w:pPr>
        <w:pStyle w:val="5"/>
        <w:bidi w:val="0"/>
        <w:rPr>
          <w:rFonts w:hint="eastAsia"/>
          <w:b/>
          <w:bCs/>
          <w:highlight w:val="none"/>
          <w:lang w:val="en-US" w:eastAsia="zh-CN"/>
        </w:rPr>
      </w:pPr>
      <w:r>
        <w:rPr>
          <w:rFonts w:hint="eastAsia"/>
          <w:b/>
          <w:bCs/>
          <w:highlight w:val="none"/>
          <w:lang w:val="en-US" w:eastAsia="zh-CN"/>
        </w:rPr>
        <w:t>（1）完善产业园区交通路网</w:t>
      </w:r>
    </w:p>
    <w:p w14:paraId="3EEAC559">
      <w:pPr>
        <w:pStyle w:val="5"/>
        <w:bidi w:val="0"/>
        <w:rPr>
          <w:rFonts w:hint="eastAsia"/>
          <w:highlight w:val="none"/>
          <w:lang w:val="en-US" w:eastAsia="zh-CN"/>
        </w:rPr>
      </w:pPr>
      <w:r>
        <w:rPr>
          <w:rFonts w:hint="eastAsia"/>
          <w:highlight w:val="none"/>
          <w:lang w:val="en-US" w:eastAsia="zh-CN"/>
        </w:rPr>
        <w:t>按照石林县工业发展规划，重点谋划包装石林产业园区、西街口产业园区道路建设项目。一是结合石林县“十五五”现代物流发展规划，聚焦石林南站、产业园区北片区、宜耐片区，谋划包装铁路至产业园区、物流园区延链补链项目，谋划铁路专用线及铁路连接线；二是加快推进国道G326和G324线石林县城过境公路、国道G324线陆良召夸至石林北大村段改造工程项目前期，实施老326国道冷链物流中心段改扩建项目、北召公路路面提质改造等项目，实现园区与国省干线、铁路枢纽无缝衔接。</w:t>
      </w:r>
    </w:p>
    <w:p w14:paraId="064C7FF8">
      <w:pPr>
        <w:pStyle w:val="5"/>
        <w:bidi w:val="0"/>
        <w:rPr>
          <w:rFonts w:hint="eastAsia"/>
          <w:b/>
          <w:bCs/>
          <w:highlight w:val="none"/>
          <w:lang w:val="en-US" w:eastAsia="zh-CN"/>
        </w:rPr>
      </w:pPr>
      <w:r>
        <w:rPr>
          <w:rFonts w:hint="eastAsia"/>
          <w:b/>
          <w:bCs/>
          <w:highlight w:val="none"/>
          <w:lang w:val="en-US" w:eastAsia="zh-CN"/>
        </w:rPr>
        <w:t>（2）提升大宗物流服务能力</w:t>
      </w:r>
    </w:p>
    <w:p w14:paraId="3C75AD33">
      <w:pPr>
        <w:pStyle w:val="5"/>
        <w:bidi w:val="0"/>
        <w:rPr>
          <w:rFonts w:hint="eastAsia"/>
          <w:highlight w:val="none"/>
          <w:lang w:val="en-US" w:eastAsia="zh-CN"/>
        </w:rPr>
      </w:pPr>
      <w:r>
        <w:rPr>
          <w:rFonts w:hint="eastAsia"/>
          <w:highlight w:val="none"/>
          <w:lang w:val="en-US" w:eastAsia="zh-CN"/>
        </w:rPr>
        <w:t>加快推进多式联运和大宗物流服务发展，打通运输环节壁垒，匹配大宗品类需求，构建“节约高效、服务精准”的多式联运和大宗物流服务体系。一是针对建材、矿石、工业制成品等货物，规划运输专用线路；二是针对园区大宗货物运输需求，加快推进国道、省道、县道路面维修养护，加强桥梁监测和养护，进一步提升大宗物流服务能力。</w:t>
      </w:r>
    </w:p>
    <w:p w14:paraId="538AC711">
      <w:pPr>
        <w:pStyle w:val="4"/>
        <w:bidi w:val="0"/>
        <w:rPr>
          <w:rFonts w:hint="eastAsia"/>
          <w:lang w:val="en-US" w:eastAsia="zh-CN"/>
        </w:rPr>
      </w:pPr>
      <w:r>
        <w:rPr>
          <w:rFonts w:hint="eastAsia"/>
          <w:lang w:val="en-US" w:eastAsia="zh-CN"/>
        </w:rPr>
        <w:t>4.推进交通与跨境融合发展</w:t>
      </w:r>
    </w:p>
    <w:p w14:paraId="725C4579">
      <w:pPr>
        <w:pStyle w:val="5"/>
        <w:bidi w:val="0"/>
        <w:rPr>
          <w:rFonts w:hint="eastAsia"/>
          <w:highlight w:val="none"/>
        </w:rPr>
      </w:pPr>
      <w:r>
        <w:rPr>
          <w:rFonts w:hint="eastAsia"/>
          <w:highlight w:val="none"/>
          <w:lang w:val="en-US" w:eastAsia="zh-CN"/>
        </w:rPr>
        <w:t>畅通跨境物流通道。依托“五高两铁一专”综合交通枢纽，对接昆明托管磨憨国际口岸城市建设，畅通石林—磨憨跨境物流通道，联动中老铁路、中越国际物流通道，支撑绿色肉制品、人参果、石材、文创产品面向南亚东南亚跨境运输。强化跨区域交通协作，推进石林—磨憨跨区域协作项目交通配套，主动融入滇中城市群、昆明都市圈交通一体化，承接东部产业转移交通保障，提升开放发展交通支撑能力</w:t>
      </w:r>
      <w:r>
        <w:rPr>
          <w:rFonts w:hint="eastAsia"/>
          <w:highlight w:val="none"/>
        </w:rPr>
        <w:t>。</w:t>
      </w:r>
    </w:p>
    <w:tbl>
      <w:tblPr>
        <w:tblStyle w:val="20"/>
        <w:tblpPr w:leftFromText="180" w:rightFromText="180" w:vertAnchor="text" w:horzAnchor="page" w:tblpX="1943" w:tblpY="250"/>
        <w:tblOverlap w:val="never"/>
        <w:tblW w:w="83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00"/>
      </w:tblGrid>
      <w:tr w14:paraId="4E70C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trPr>
        <w:tc>
          <w:tcPr>
            <w:tcW w:w="8300" w:type="dxa"/>
          </w:tcPr>
          <w:p w14:paraId="002042D5">
            <w:pPr>
              <w:jc w:val="center"/>
              <w:rPr>
                <w:rFonts w:hint="eastAsia" w:ascii="宋体" w:hAnsi="宋体"/>
                <w:highlight w:val="none"/>
              </w:rPr>
            </w:pPr>
            <w:r>
              <w:rPr>
                <w:rFonts w:hint="eastAsia" w:ascii="宋体" w:hAnsi="宋体" w:eastAsia="方正黑体_GBK"/>
                <w:sz w:val="30"/>
                <w:szCs w:val="30"/>
                <w:highlight w:val="none"/>
              </w:rPr>
              <w:t>专栏</w:t>
            </w:r>
            <w:r>
              <w:rPr>
                <w:rFonts w:hint="eastAsia" w:ascii="宋体" w:hAnsi="宋体" w:eastAsia="方正黑体_GBK"/>
                <w:sz w:val="30"/>
                <w:szCs w:val="30"/>
                <w:highlight w:val="none"/>
                <w:lang w:val="en-US" w:eastAsia="zh-CN"/>
              </w:rPr>
              <w:t>6</w:t>
            </w:r>
            <w:r>
              <w:rPr>
                <w:rFonts w:hint="eastAsia" w:ascii="宋体" w:hAnsi="宋体" w:eastAsia="方正黑体_GBK"/>
                <w:sz w:val="30"/>
                <w:szCs w:val="30"/>
                <w:highlight w:val="none"/>
              </w:rPr>
              <w:t>“十五五</w:t>
            </w:r>
            <w:r>
              <w:rPr>
                <w:rFonts w:hint="eastAsia" w:ascii="宋体" w:hAnsi="宋体" w:eastAsia="方正黑体_GBK"/>
                <w:sz w:val="30"/>
                <w:szCs w:val="30"/>
                <w:highlight w:val="none"/>
                <w:lang w:eastAsia="zh-CN"/>
              </w:rPr>
              <w:t>”时</w:t>
            </w:r>
            <w:r>
              <w:rPr>
                <w:rFonts w:hint="eastAsia" w:ascii="宋体" w:hAnsi="宋体" w:eastAsia="方正黑体_GBK"/>
                <w:sz w:val="30"/>
                <w:szCs w:val="30"/>
                <w:highlight w:val="none"/>
              </w:rPr>
              <w:t>期现代化交通运输产业融合发展重点</w:t>
            </w:r>
          </w:p>
        </w:tc>
      </w:tr>
      <w:tr w14:paraId="0E629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0" w:hRule="atLeast"/>
        </w:trPr>
        <w:tc>
          <w:tcPr>
            <w:tcW w:w="8300" w:type="dxa"/>
          </w:tcPr>
          <w:p w14:paraId="48FD4585">
            <w:pPr>
              <w:spacing w:line="580" w:lineRule="exact"/>
              <w:ind w:firstLine="560"/>
              <w:rPr>
                <w:rFonts w:hint="eastAsia" w:ascii="宋体" w:hAnsi="宋体" w:eastAsia="方正仿宋_GBK"/>
                <w:b/>
                <w:bCs/>
                <w:sz w:val="30"/>
                <w:szCs w:val="30"/>
                <w:highlight w:val="none"/>
              </w:rPr>
            </w:pPr>
            <w:r>
              <w:rPr>
                <w:rFonts w:hint="eastAsia" w:ascii="宋体" w:hAnsi="宋体" w:eastAsia="方正仿宋_GBK"/>
                <w:b/>
                <w:bCs/>
                <w:sz w:val="30"/>
                <w:szCs w:val="30"/>
                <w:highlight w:val="none"/>
              </w:rPr>
              <w:t>1.交通+文旅融合</w:t>
            </w:r>
          </w:p>
          <w:p w14:paraId="15B2497D">
            <w:pPr>
              <w:spacing w:line="580" w:lineRule="exact"/>
              <w:ind w:firstLine="560"/>
              <w:rPr>
                <w:rFonts w:hint="eastAsia" w:ascii="宋体" w:hAnsi="宋体" w:eastAsia="方正仿宋_GBK"/>
                <w:sz w:val="30"/>
                <w:szCs w:val="30"/>
                <w:highlight w:val="none"/>
                <w:lang w:val="en-US" w:eastAsia="zh-CN"/>
              </w:rPr>
            </w:pPr>
            <w:r>
              <w:rPr>
                <w:rFonts w:hint="eastAsia" w:ascii="宋体" w:hAnsi="宋体" w:eastAsia="方正仿宋_GBK"/>
                <w:sz w:val="30"/>
                <w:szCs w:val="30"/>
                <w:highlight w:val="none"/>
                <w:lang w:val="en-US" w:eastAsia="zh-CN"/>
              </w:rPr>
              <w:t>石林县全域旅游“快进慢游”交通提升工程：完成G78、G80高速公路改扩建石林段，完成豆金线（县城至长湖景区）、板塘公路（长湖至大叠水景区）等路面提升改造。</w:t>
            </w:r>
          </w:p>
          <w:p w14:paraId="6E46B2DE">
            <w:pPr>
              <w:spacing w:line="580" w:lineRule="exact"/>
              <w:ind w:firstLine="560"/>
              <w:rPr>
                <w:rFonts w:hint="eastAsia" w:ascii="宋体" w:hAnsi="宋体" w:eastAsia="方正仿宋_GBK"/>
                <w:sz w:val="30"/>
                <w:szCs w:val="30"/>
                <w:highlight w:val="none"/>
                <w:lang w:val="en-US" w:eastAsia="zh-CN"/>
              </w:rPr>
            </w:pPr>
            <w:r>
              <w:rPr>
                <w:rFonts w:hint="eastAsia" w:ascii="宋体" w:hAnsi="宋体" w:eastAsia="方正仿宋_GBK"/>
                <w:sz w:val="30"/>
                <w:szCs w:val="30"/>
                <w:highlight w:val="none"/>
                <w:lang w:val="en-US" w:eastAsia="zh-CN"/>
              </w:rPr>
              <w:t>打造5条文旅交通公路：“乃古石林—石林景区—长湖景区—圭山景区”的地质奇观体验绿美公路、“石林县城—板桥—大叠水”的旅游观光体验绿美公路、“石林县城—长湖—阿着底—糯黑村”民族文化体验公路、“台创园—石林街道—西街口镇”的农旅融合示范公路。</w:t>
            </w:r>
          </w:p>
          <w:p w14:paraId="11A18CA2">
            <w:pPr>
              <w:spacing w:line="580" w:lineRule="exact"/>
              <w:ind w:firstLine="560"/>
              <w:rPr>
                <w:rFonts w:hint="eastAsia" w:ascii="宋体" w:hAnsi="宋体" w:eastAsia="方正仿宋_GBK"/>
                <w:sz w:val="30"/>
                <w:szCs w:val="30"/>
                <w:highlight w:val="none"/>
                <w:lang w:val="en-US" w:eastAsia="zh-CN"/>
              </w:rPr>
            </w:pPr>
            <w:r>
              <w:rPr>
                <w:rFonts w:hint="eastAsia" w:ascii="宋体" w:hAnsi="宋体" w:eastAsia="方正仿宋_GBK"/>
                <w:sz w:val="30"/>
                <w:szCs w:val="30"/>
                <w:highlight w:val="none"/>
                <w:lang w:val="en-US" w:eastAsia="zh-CN"/>
              </w:rPr>
              <w:t>石林县自驾旅居配套设施建设项目：在台创园、石林景区、长湖、圭山、大叠水建设自驾车营地，完善旅居配套设施。</w:t>
            </w:r>
          </w:p>
          <w:p w14:paraId="5F15B399">
            <w:pPr>
              <w:spacing w:line="580" w:lineRule="exact"/>
              <w:ind w:firstLine="560"/>
              <w:rPr>
                <w:rFonts w:hint="eastAsia" w:ascii="宋体" w:hAnsi="宋体" w:eastAsia="方正仿宋_GBK"/>
                <w:b/>
                <w:bCs/>
                <w:sz w:val="30"/>
                <w:szCs w:val="30"/>
                <w:highlight w:val="none"/>
              </w:rPr>
            </w:pPr>
            <w:r>
              <w:rPr>
                <w:rFonts w:hint="eastAsia" w:ascii="宋体" w:hAnsi="宋体" w:eastAsia="方正仿宋_GBK"/>
                <w:b/>
                <w:bCs/>
                <w:sz w:val="30"/>
                <w:szCs w:val="30"/>
                <w:highlight w:val="none"/>
                <w:lang w:val="en-US" w:eastAsia="zh-CN"/>
              </w:rPr>
              <w:t>2</w:t>
            </w:r>
            <w:r>
              <w:rPr>
                <w:rFonts w:hint="eastAsia" w:ascii="宋体" w:hAnsi="宋体" w:eastAsia="方正仿宋_GBK"/>
                <w:b/>
                <w:bCs/>
                <w:sz w:val="30"/>
                <w:szCs w:val="30"/>
                <w:highlight w:val="none"/>
              </w:rPr>
              <w:t>.交通+现代农业融合</w:t>
            </w:r>
          </w:p>
          <w:p w14:paraId="15D6461A">
            <w:pPr>
              <w:spacing w:line="580" w:lineRule="exact"/>
              <w:ind w:firstLine="560"/>
              <w:rPr>
                <w:rFonts w:hint="eastAsia" w:ascii="宋体" w:hAnsi="宋体" w:eastAsia="方正仿宋_GBK"/>
                <w:sz w:val="30"/>
                <w:szCs w:val="30"/>
                <w:highlight w:val="none"/>
              </w:rPr>
            </w:pPr>
            <w:r>
              <w:rPr>
                <w:rFonts w:hint="eastAsia" w:ascii="宋体" w:hAnsi="宋体" w:eastAsia="方正仿宋_GBK"/>
                <w:sz w:val="30"/>
                <w:szCs w:val="30"/>
                <w:highlight w:val="none"/>
              </w:rPr>
              <w:t>石林县老旧公路、窄路拓宽、次差路段提升、危旧桥梁整治，石林县特色农业产业路资源路建设工程、石林县乡镇产地冷链物流交通配套工程</w:t>
            </w:r>
          </w:p>
          <w:p w14:paraId="0AEDFB14">
            <w:pPr>
              <w:spacing w:line="580" w:lineRule="exact"/>
              <w:ind w:firstLine="560"/>
              <w:rPr>
                <w:rFonts w:hint="eastAsia" w:ascii="宋体" w:hAnsi="宋体" w:eastAsia="方正仿宋_GBK"/>
                <w:b/>
                <w:bCs/>
                <w:sz w:val="30"/>
                <w:szCs w:val="30"/>
                <w:highlight w:val="none"/>
              </w:rPr>
            </w:pPr>
            <w:r>
              <w:rPr>
                <w:rFonts w:hint="eastAsia" w:ascii="宋体" w:hAnsi="宋体" w:eastAsia="方正仿宋_GBK"/>
                <w:b/>
                <w:bCs/>
                <w:sz w:val="30"/>
                <w:szCs w:val="30"/>
                <w:highlight w:val="none"/>
                <w:lang w:val="en-US" w:eastAsia="zh-CN"/>
              </w:rPr>
              <w:t>3.交通+新型工业融合</w:t>
            </w:r>
          </w:p>
          <w:p w14:paraId="51A1EF7E">
            <w:pPr>
              <w:spacing w:line="580" w:lineRule="exact"/>
              <w:ind w:firstLine="560"/>
              <w:rPr>
                <w:rFonts w:hint="eastAsia" w:ascii="宋体" w:hAnsi="宋体" w:eastAsia="方正仿宋_GBK"/>
                <w:sz w:val="30"/>
                <w:szCs w:val="30"/>
                <w:highlight w:val="none"/>
              </w:rPr>
            </w:pPr>
            <w:r>
              <w:rPr>
                <w:rFonts w:hint="eastAsia" w:ascii="宋体" w:hAnsi="宋体" w:eastAsia="方正仿宋_GBK"/>
                <w:sz w:val="30"/>
                <w:szCs w:val="30"/>
                <w:highlight w:val="none"/>
              </w:rPr>
              <w:t>谋划铁路至产业园区、物流园区延链补链项目（铁路专用线及铁路连接线）、国道G326和G324线石林县城过境公路、国道G324线陆良召夸至石林北大村段改造工程项目前期，实施老326国道冷链物流中心段改扩建项目</w:t>
            </w:r>
          </w:p>
          <w:p w14:paraId="63EDF088">
            <w:pPr>
              <w:spacing w:line="580" w:lineRule="exact"/>
              <w:ind w:firstLine="560"/>
              <w:rPr>
                <w:rFonts w:hint="eastAsia" w:ascii="宋体" w:hAnsi="宋体" w:eastAsia="方正仿宋_GBK"/>
                <w:sz w:val="30"/>
                <w:szCs w:val="30"/>
                <w:highlight w:val="none"/>
              </w:rPr>
            </w:pPr>
            <w:r>
              <w:rPr>
                <w:rFonts w:hint="eastAsia" w:ascii="宋体" w:hAnsi="宋体" w:eastAsia="方正仿宋_GBK"/>
                <w:sz w:val="30"/>
                <w:szCs w:val="30"/>
                <w:highlight w:val="none"/>
              </w:rPr>
              <w:t>实施北召公路路面提质改造。</w:t>
            </w:r>
          </w:p>
        </w:tc>
      </w:tr>
      <w:bookmarkEnd w:id="58"/>
      <w:bookmarkEnd w:id="59"/>
      <w:bookmarkEnd w:id="60"/>
      <w:bookmarkEnd w:id="61"/>
    </w:tbl>
    <w:p w14:paraId="1C5729EB">
      <w:pPr>
        <w:pStyle w:val="3"/>
        <w:numPr>
          <w:ilvl w:val="0"/>
          <w:numId w:val="0"/>
        </w:numPr>
        <w:bidi w:val="0"/>
        <w:ind w:left="0" w:leftChars="0" w:firstLine="640" w:firstLineChars="200"/>
        <w:rPr>
          <w:rFonts w:hint="eastAsia"/>
          <w:highlight w:val="none"/>
        </w:rPr>
      </w:pPr>
      <w:bookmarkStart w:id="64" w:name="_Toc11311"/>
      <w:bookmarkStart w:id="65" w:name="_Toc23522"/>
      <w:bookmarkStart w:id="66" w:name="_Toc21235"/>
      <w:bookmarkStart w:id="67" w:name="_Toc83909074"/>
      <w:bookmarkStart w:id="68" w:name="_Toc15251"/>
      <w:bookmarkStart w:id="69" w:name="_Hlk194869485"/>
      <w:bookmarkStart w:id="70" w:name="_Toc15183"/>
      <w:bookmarkStart w:id="71" w:name="_Toc9734"/>
      <w:bookmarkStart w:id="72" w:name="_Toc26317"/>
      <w:r>
        <w:rPr>
          <w:rFonts w:hint="eastAsia" w:ascii="宋体" w:hAnsi="宋体" w:eastAsia="方正楷体_GBK" w:cstheme="majorBidi"/>
          <w:bCs/>
          <w:kern w:val="2"/>
          <w:sz w:val="32"/>
          <w:szCs w:val="32"/>
          <w:lang w:val="en-US" w:eastAsia="zh-CN" w:bidi="ar-SA"/>
        </w:rPr>
        <w:t>（</w:t>
      </w:r>
      <w:r>
        <w:rPr>
          <w:rFonts w:hint="eastAsia" w:cstheme="majorBidi"/>
          <w:bCs/>
          <w:kern w:val="2"/>
          <w:sz w:val="32"/>
          <w:szCs w:val="32"/>
          <w:lang w:val="en-US" w:eastAsia="zh-CN" w:bidi="ar-SA"/>
        </w:rPr>
        <w:t>五</w:t>
      </w:r>
      <w:r>
        <w:rPr>
          <w:rFonts w:hint="eastAsia" w:ascii="宋体" w:hAnsi="宋体" w:eastAsia="方正楷体_GBK" w:cstheme="majorBidi"/>
          <w:bCs/>
          <w:kern w:val="2"/>
          <w:sz w:val="32"/>
          <w:szCs w:val="32"/>
          <w:lang w:val="en-US" w:eastAsia="zh-CN" w:bidi="ar-SA"/>
        </w:rPr>
        <w:t>）</w:t>
      </w:r>
      <w:bookmarkEnd w:id="64"/>
      <w:bookmarkEnd w:id="65"/>
      <w:bookmarkEnd w:id="66"/>
      <w:bookmarkEnd w:id="67"/>
      <w:r>
        <w:rPr>
          <w:rFonts w:hint="eastAsia"/>
          <w:highlight w:val="none"/>
        </w:rPr>
        <w:t>提升综合运输服务效能，破解</w:t>
      </w:r>
      <w:r>
        <w:rPr>
          <w:rFonts w:hint="eastAsia"/>
          <w:highlight w:val="none"/>
          <w:lang w:val="en-US" w:eastAsia="zh-CN"/>
        </w:rPr>
        <w:t>多式联运设施</w:t>
      </w:r>
      <w:r>
        <w:rPr>
          <w:rFonts w:hint="eastAsia"/>
          <w:highlight w:val="none"/>
        </w:rPr>
        <w:t>堵点</w:t>
      </w:r>
      <w:bookmarkEnd w:id="68"/>
    </w:p>
    <w:p w14:paraId="7B24678D">
      <w:pPr>
        <w:pStyle w:val="4"/>
        <w:bidi w:val="0"/>
        <w:rPr>
          <w:rFonts w:hint="eastAsia"/>
          <w:highlight w:val="none"/>
        </w:rPr>
      </w:pPr>
      <w:bookmarkStart w:id="73" w:name="_Toc18480"/>
      <w:bookmarkStart w:id="74" w:name="_Toc1645"/>
      <w:bookmarkStart w:id="75" w:name="_Toc20383"/>
      <w:bookmarkStart w:id="76" w:name="_Toc29885"/>
      <w:bookmarkStart w:id="77" w:name="_Toc23777"/>
      <w:bookmarkStart w:id="78" w:name="_Toc18381"/>
      <w:r>
        <w:rPr>
          <w:rFonts w:hint="eastAsia"/>
          <w:highlight w:val="none"/>
          <w:lang w:val="en-US" w:eastAsia="zh-CN"/>
        </w:rPr>
        <w:t>1.</w:t>
      </w:r>
      <w:bookmarkEnd w:id="73"/>
      <w:bookmarkEnd w:id="74"/>
      <w:bookmarkEnd w:id="75"/>
      <w:r>
        <w:rPr>
          <w:rFonts w:hint="eastAsia"/>
          <w:highlight w:val="none"/>
          <w:lang w:val="en-US" w:eastAsia="zh-CN"/>
        </w:rPr>
        <w:t>打造一体融合的综合交通枢纽</w:t>
      </w:r>
    </w:p>
    <w:p w14:paraId="4F8250B1">
      <w:pPr>
        <w:pStyle w:val="5"/>
        <w:bidi w:val="0"/>
        <w:rPr>
          <w:rFonts w:hint="eastAsia"/>
          <w:b w:val="0"/>
          <w:bCs w:val="0"/>
          <w:highlight w:val="none"/>
          <w:lang w:eastAsia="zh-CN"/>
        </w:rPr>
      </w:pPr>
      <w:bookmarkStart w:id="79" w:name="_Hlk194871411"/>
      <w:r>
        <w:rPr>
          <w:rFonts w:hint="eastAsia"/>
          <w:b/>
          <w:bCs/>
          <w:highlight w:val="none"/>
          <w:lang w:eastAsia="zh-CN"/>
        </w:rPr>
        <w:t>（</w:t>
      </w:r>
      <w:r>
        <w:rPr>
          <w:rFonts w:hint="eastAsia"/>
          <w:b/>
          <w:bCs/>
          <w:highlight w:val="none"/>
          <w:lang w:val="en-US" w:eastAsia="zh-CN"/>
        </w:rPr>
        <w:t>1</w:t>
      </w:r>
      <w:r>
        <w:rPr>
          <w:rFonts w:hint="eastAsia"/>
          <w:b/>
          <w:bCs/>
          <w:highlight w:val="none"/>
          <w:lang w:eastAsia="zh-CN"/>
        </w:rPr>
        <w:t>）优化综合客运枢纽功能，</w:t>
      </w:r>
      <w:r>
        <w:rPr>
          <w:rFonts w:hint="eastAsia"/>
          <w:b w:val="0"/>
          <w:bCs w:val="0"/>
          <w:highlight w:val="none"/>
          <w:lang w:eastAsia="zh-CN"/>
        </w:rPr>
        <w:t>推进既有客运枢纽升级，实现与火车站一体化衔接。引导在公共交通枢纽、高校、商超、景区等客流密集区域设立停靠点；加强客运站与机场、火车站的接驳设施建设，提升联程运输服务水平。加快客运场站建设，建设完善城乡公路沿线公交站台（牌）等配套设施，根据公交线路调整优化，在主要交通停靠点建设公交车站台，在部分路段增设停靠站和站牌；加强石林西站配套服务设施保障，启动石林西站客运提质工程，根据客流分析结果相应扩建候车厅面积、增加公共卫生间厕位。</w:t>
      </w:r>
    </w:p>
    <w:p w14:paraId="3D2D8A7D">
      <w:pPr>
        <w:pStyle w:val="5"/>
        <w:bidi w:val="0"/>
        <w:rPr>
          <w:rFonts w:hint="eastAsia"/>
          <w:b/>
          <w:bCs/>
          <w:highlight w:val="none"/>
          <w:lang w:val="en-US" w:eastAsia="zh-CN"/>
        </w:rPr>
      </w:pPr>
      <w:r>
        <w:rPr>
          <w:rFonts w:hint="eastAsia"/>
          <w:b/>
          <w:bCs/>
          <w:highlight w:val="none"/>
          <w:lang w:val="en-US" w:eastAsia="zh-CN"/>
        </w:rPr>
        <w:t>（2）打造一体化货运枢纽体系</w:t>
      </w:r>
    </w:p>
    <w:p w14:paraId="783A2DB5">
      <w:pPr>
        <w:pStyle w:val="5"/>
        <w:bidi w:val="0"/>
        <w:rPr>
          <w:rFonts w:hint="eastAsia"/>
          <w:b w:val="0"/>
          <w:bCs w:val="0"/>
          <w:highlight w:val="none"/>
          <w:lang w:eastAsia="zh-CN"/>
        </w:rPr>
      </w:pPr>
      <w:r>
        <w:rPr>
          <w:rFonts w:hint="eastAsia"/>
          <w:b w:val="0"/>
          <w:bCs w:val="0"/>
          <w:highlight w:val="none"/>
          <w:lang w:eastAsia="zh-CN"/>
        </w:rPr>
        <w:t>围绕新昆石、南昆铁路等高速通道，G324、G326等干线通道，规划建设区域性物流园区、仓储配送中心，推动交通优势转化为物流与产业集聚优势，为滇东矿产、滇南农产品流通提供实体支撑平台。重点建设：</w:t>
      </w:r>
    </w:p>
    <w:p w14:paraId="1CF41729">
      <w:pPr>
        <w:pStyle w:val="5"/>
        <w:bidi w:val="0"/>
        <w:rPr>
          <w:rFonts w:hint="eastAsia"/>
          <w:b w:val="0"/>
          <w:bCs w:val="0"/>
          <w:highlight w:val="none"/>
          <w:lang w:eastAsia="zh-CN"/>
        </w:rPr>
      </w:pPr>
      <w:r>
        <w:rPr>
          <w:rFonts w:hint="eastAsia"/>
          <w:highlight w:val="none"/>
          <w:lang w:eastAsia="zh-CN"/>
        </w:rPr>
        <w:t>——</w:t>
      </w:r>
      <w:r>
        <w:rPr>
          <w:rFonts w:hint="eastAsia"/>
          <w:b w:val="0"/>
          <w:bCs w:val="0"/>
          <w:highlight w:val="none"/>
          <w:lang w:eastAsia="zh-CN"/>
        </w:rPr>
        <w:t>三大货运</w:t>
      </w:r>
      <w:r>
        <w:rPr>
          <w:rFonts w:hint="eastAsia"/>
          <w:b w:val="0"/>
          <w:bCs w:val="0"/>
          <w:highlight w:val="none"/>
          <w:lang w:val="en-US" w:eastAsia="zh-CN"/>
        </w:rPr>
        <w:t>物流</w:t>
      </w:r>
      <w:r>
        <w:rPr>
          <w:rFonts w:hint="eastAsia"/>
          <w:b w:val="0"/>
          <w:bCs w:val="0"/>
          <w:highlight w:val="none"/>
          <w:lang w:eastAsia="zh-CN"/>
        </w:rPr>
        <w:t>园</w:t>
      </w:r>
    </w:p>
    <w:p w14:paraId="44B21307">
      <w:pPr>
        <w:pStyle w:val="5"/>
        <w:bidi w:val="0"/>
        <w:rPr>
          <w:rFonts w:hint="eastAsia"/>
          <w:b w:val="0"/>
          <w:bCs w:val="0"/>
          <w:highlight w:val="none"/>
          <w:lang w:eastAsia="zh-CN"/>
        </w:rPr>
      </w:pPr>
      <w:r>
        <w:rPr>
          <w:rFonts w:hint="eastAsia"/>
          <w:b w:val="0"/>
          <w:bCs w:val="0"/>
          <w:highlight w:val="none"/>
          <w:lang w:eastAsia="zh-CN"/>
        </w:rPr>
        <w:t>昆明石林南站物流园：依托南昆铁路石林南站，建设公铁联运核心枢纽，提供集货分拨、多式联运、仓储配送、交易展示、信息服务一体化功能；</w:t>
      </w:r>
    </w:p>
    <w:p w14:paraId="1F18729E">
      <w:pPr>
        <w:pStyle w:val="5"/>
        <w:bidi w:val="0"/>
        <w:rPr>
          <w:rFonts w:hint="eastAsia"/>
          <w:b w:val="0"/>
          <w:bCs w:val="0"/>
          <w:highlight w:val="none"/>
          <w:lang w:eastAsia="zh-CN"/>
        </w:rPr>
      </w:pPr>
      <w:r>
        <w:rPr>
          <w:rFonts w:hint="eastAsia"/>
          <w:b w:val="0"/>
          <w:bCs w:val="0"/>
          <w:highlight w:val="none"/>
          <w:lang w:val="en-US" w:eastAsia="zh-CN"/>
        </w:rPr>
        <w:t>昆明石林宜奈站物流园</w:t>
      </w:r>
      <w:r>
        <w:rPr>
          <w:rFonts w:hint="eastAsia"/>
          <w:b w:val="0"/>
          <w:bCs w:val="0"/>
          <w:highlight w:val="none"/>
          <w:lang w:eastAsia="zh-CN"/>
        </w:rPr>
        <w:t>：依托南昆铁路宜奈站，服务石材</w:t>
      </w:r>
      <w:r>
        <w:rPr>
          <w:rFonts w:hint="eastAsia"/>
          <w:b w:val="0"/>
          <w:bCs w:val="0"/>
          <w:highlight w:val="none"/>
          <w:lang w:val="en-US" w:eastAsia="zh-CN"/>
        </w:rPr>
        <w:t>特色产业</w:t>
      </w:r>
      <w:r>
        <w:rPr>
          <w:rFonts w:hint="eastAsia"/>
          <w:b w:val="0"/>
          <w:bCs w:val="0"/>
          <w:highlight w:val="none"/>
          <w:lang w:eastAsia="zh-CN"/>
        </w:rPr>
        <w:t>、绿色食品加工产业，保障大宗建材、农产品高效集疏运；</w:t>
      </w:r>
    </w:p>
    <w:p w14:paraId="0A124C1F">
      <w:pPr>
        <w:pStyle w:val="5"/>
        <w:bidi w:val="0"/>
        <w:rPr>
          <w:rFonts w:hint="eastAsia"/>
          <w:b w:val="0"/>
          <w:bCs w:val="0"/>
          <w:highlight w:val="none"/>
          <w:lang w:eastAsia="zh-CN"/>
        </w:rPr>
      </w:pPr>
      <w:r>
        <w:rPr>
          <w:rFonts w:hint="eastAsia"/>
          <w:b w:val="0"/>
          <w:bCs w:val="0"/>
          <w:highlight w:val="none"/>
          <w:lang w:eastAsia="zh-CN"/>
        </w:rPr>
        <w:t>324国道物流园：沿G324国道布局专业化仓储配送节点，支撑北部工业、现代农业产业货运需求。</w:t>
      </w:r>
    </w:p>
    <w:p w14:paraId="0FDFD0EB">
      <w:pPr>
        <w:pStyle w:val="5"/>
        <w:bidi w:val="0"/>
        <w:rPr>
          <w:rFonts w:hint="eastAsia"/>
          <w:b w:val="0"/>
          <w:bCs w:val="0"/>
          <w:highlight w:val="none"/>
          <w:lang w:eastAsia="zh-CN"/>
        </w:rPr>
      </w:pPr>
      <w:r>
        <w:rPr>
          <w:rFonts w:hint="eastAsia"/>
          <w:highlight w:val="none"/>
          <w:lang w:eastAsia="zh-CN"/>
        </w:rPr>
        <w:t>——</w:t>
      </w:r>
      <w:r>
        <w:rPr>
          <w:rFonts w:hint="eastAsia"/>
          <w:b w:val="0"/>
          <w:bCs w:val="0"/>
          <w:highlight w:val="none"/>
          <w:lang w:eastAsia="zh-CN"/>
        </w:rPr>
        <w:t>货运集疏运联络网络：建设产业园区—铁路站场—物流园区专用货运联络线，打通公铁联运衔接堵点，实现园区、站场、物流节点无缝对接；推进老326国道冷链物流中心段改扩建，提升冷链货运通道通行与集散能力。</w:t>
      </w:r>
    </w:p>
    <w:p w14:paraId="644A9866">
      <w:pPr>
        <w:pStyle w:val="5"/>
        <w:bidi w:val="0"/>
        <w:rPr>
          <w:rFonts w:hint="eastAsia"/>
          <w:b w:val="0"/>
          <w:bCs w:val="0"/>
          <w:highlight w:val="none"/>
          <w:lang w:eastAsia="zh-CN"/>
        </w:rPr>
      </w:pPr>
      <w:r>
        <w:rPr>
          <w:rFonts w:hint="eastAsia"/>
          <w:highlight w:val="none"/>
          <w:lang w:eastAsia="zh-CN"/>
        </w:rPr>
        <w:t>——</w:t>
      </w:r>
      <w:r>
        <w:rPr>
          <w:rFonts w:hint="eastAsia"/>
          <w:b w:val="0"/>
          <w:bCs w:val="0"/>
          <w:highlight w:val="none"/>
          <w:lang w:eastAsia="zh-CN"/>
        </w:rPr>
        <w:t>城乡共配与站场货运功能：建成县级客货邮共配中心，整合电商仓储、客运站、邮政快递资源，实现统仓共配、双向流通；拓展既有客运站物流服务功能，改造增设货运仓储、快件分拣、代收代运设施，完善邮件快件托寄、仓储、分拣、配送一体化服务。</w:t>
      </w:r>
    </w:p>
    <w:p w14:paraId="61CF3836">
      <w:pPr>
        <w:pStyle w:val="5"/>
        <w:bidi w:val="0"/>
        <w:rPr>
          <w:rFonts w:hint="eastAsia"/>
          <w:b w:val="0"/>
          <w:bCs w:val="0"/>
          <w:highlight w:val="none"/>
          <w:lang w:eastAsia="zh-CN"/>
        </w:rPr>
      </w:pPr>
      <w:r>
        <w:rPr>
          <w:rFonts w:hint="eastAsia"/>
          <w:highlight w:val="none"/>
          <w:lang w:eastAsia="zh-CN"/>
        </w:rPr>
        <w:t>——</w:t>
      </w:r>
      <w:r>
        <w:rPr>
          <w:rFonts w:hint="eastAsia"/>
          <w:b w:val="0"/>
          <w:bCs w:val="0"/>
          <w:highlight w:val="none"/>
          <w:lang w:eastAsia="zh-CN"/>
        </w:rPr>
        <w:t>乡镇产地冷链物流节点：在圭山、西街口、长湖等人参果主产乡镇，建设乡镇级冷链物流中心，配套产地预冷、分拣、冷藏设施，支撑百亿级人参果产业全链条冷链流通。</w:t>
      </w:r>
    </w:p>
    <w:p w14:paraId="110F92AC">
      <w:pPr>
        <w:pStyle w:val="5"/>
        <w:bidi w:val="0"/>
        <w:rPr>
          <w:rFonts w:hint="eastAsia"/>
          <w:b w:val="0"/>
          <w:bCs w:val="0"/>
          <w:highlight w:val="none"/>
          <w:lang w:eastAsia="zh-CN"/>
        </w:rPr>
      </w:pPr>
      <w:r>
        <w:rPr>
          <w:rFonts w:hint="eastAsia"/>
          <w:b/>
          <w:bCs/>
          <w:highlight w:val="none"/>
          <w:lang w:eastAsia="zh-CN"/>
        </w:rPr>
        <w:t>（</w:t>
      </w:r>
      <w:r>
        <w:rPr>
          <w:rFonts w:hint="eastAsia"/>
          <w:b/>
          <w:bCs/>
          <w:highlight w:val="none"/>
          <w:lang w:val="en-US" w:eastAsia="zh-CN"/>
        </w:rPr>
        <w:t>3</w:t>
      </w:r>
      <w:r>
        <w:rPr>
          <w:rFonts w:hint="eastAsia"/>
          <w:b/>
          <w:bCs/>
          <w:highlight w:val="none"/>
          <w:lang w:eastAsia="zh-CN"/>
        </w:rPr>
        <w:t>）构建多层次旅游集散</w:t>
      </w:r>
      <w:r>
        <w:rPr>
          <w:rFonts w:hint="eastAsia"/>
          <w:b/>
          <w:bCs/>
          <w:highlight w:val="none"/>
          <w:lang w:val="en-US" w:eastAsia="zh-CN"/>
        </w:rPr>
        <w:t>体系</w:t>
      </w:r>
      <w:r>
        <w:rPr>
          <w:rFonts w:hint="eastAsia"/>
          <w:b/>
          <w:bCs/>
          <w:highlight w:val="none"/>
          <w:lang w:eastAsia="zh-CN"/>
        </w:rPr>
        <w:t>，</w:t>
      </w:r>
      <w:r>
        <w:rPr>
          <w:rFonts w:hint="eastAsia"/>
          <w:b w:val="0"/>
          <w:bCs w:val="0"/>
          <w:highlight w:val="none"/>
          <w:lang w:eastAsia="zh-CN"/>
        </w:rPr>
        <w:t>协同文旅、客运企业等部门，完善交通网络，</w:t>
      </w:r>
      <w:r>
        <w:rPr>
          <w:rFonts w:hint="eastAsia"/>
          <w:b w:val="0"/>
          <w:bCs w:val="0"/>
          <w:highlight w:val="none"/>
          <w:lang w:val="en-US" w:eastAsia="zh-CN"/>
        </w:rPr>
        <w:t>依托</w:t>
      </w:r>
      <w:r>
        <w:rPr>
          <w:rFonts w:hint="eastAsia"/>
          <w:b w:val="0"/>
          <w:bCs w:val="0"/>
          <w:highlight w:val="none"/>
          <w:lang w:eastAsia="zh-CN"/>
        </w:rPr>
        <w:t>客运站内设立旅游集散中心，完善至景区、度假区、旅游村镇的直通车网络。规划构建三级旅游集散咨询服务</w:t>
      </w:r>
      <w:r>
        <w:rPr>
          <w:rFonts w:hint="eastAsia"/>
          <w:b w:val="0"/>
          <w:bCs w:val="0"/>
          <w:highlight w:val="none"/>
          <w:lang w:val="en-US" w:eastAsia="zh-CN"/>
        </w:rPr>
        <w:t>站点</w:t>
      </w:r>
      <w:r>
        <w:rPr>
          <w:rFonts w:hint="eastAsia"/>
          <w:b w:val="0"/>
          <w:bCs w:val="0"/>
          <w:highlight w:val="none"/>
          <w:lang w:eastAsia="zh-CN"/>
        </w:rPr>
        <w:t>体系：</w:t>
      </w:r>
    </w:p>
    <w:p w14:paraId="06C147D0">
      <w:pPr>
        <w:pStyle w:val="5"/>
        <w:bidi w:val="0"/>
        <w:rPr>
          <w:rFonts w:hint="eastAsia"/>
          <w:b w:val="0"/>
          <w:bCs w:val="0"/>
          <w:highlight w:val="none"/>
          <w:lang w:eastAsia="zh-CN"/>
        </w:rPr>
      </w:pPr>
      <w:r>
        <w:rPr>
          <w:rFonts w:hint="eastAsia"/>
          <w:b w:val="0"/>
          <w:bCs w:val="0"/>
          <w:highlight w:val="none"/>
          <w:lang w:eastAsia="zh-CN"/>
        </w:rPr>
        <w:t>一级中心：依托石林县城客运站、石林景区客运站、石林西站交通集聚优势，设立三个县级旅游交通集散与综合服务中心，集成专线公交、常规公交和旅游咨询服务等功能，开通集散中心至景区各片区、研学小镇、旅游小镇、乡村旅游点的专线公交车，提供定制公交、旅游包车等服务，加密与昆明高铁、机场的联动班次；优化停车场、自驾补给区设计，实现交通组织、信息咨询、旅游接待等服务全域覆盖，助力游客向全域分流。</w:t>
      </w:r>
    </w:p>
    <w:p w14:paraId="4A053BF5">
      <w:pPr>
        <w:pStyle w:val="5"/>
        <w:bidi w:val="0"/>
        <w:rPr>
          <w:rFonts w:hint="eastAsia"/>
          <w:b w:val="0"/>
          <w:bCs w:val="0"/>
          <w:highlight w:val="none"/>
          <w:lang w:eastAsia="zh-CN"/>
        </w:rPr>
      </w:pPr>
      <w:r>
        <w:rPr>
          <w:rFonts w:hint="eastAsia"/>
          <w:b w:val="0"/>
          <w:bCs w:val="0"/>
          <w:highlight w:val="none"/>
          <w:lang w:eastAsia="zh-CN"/>
        </w:rPr>
        <w:t>二级服务站：依托各乡镇（街道）客运站设立旅游交通集散服务站，充分发挥常规公交串联作用，结合周边景区布局，串联县域内主要景点，实现将游客、旅居客向一级中心汇集。</w:t>
      </w:r>
    </w:p>
    <w:p w14:paraId="27262576">
      <w:pPr>
        <w:pStyle w:val="5"/>
        <w:bidi w:val="0"/>
        <w:rPr>
          <w:rFonts w:hint="eastAsia"/>
          <w:b w:val="0"/>
          <w:bCs w:val="0"/>
          <w:highlight w:val="none"/>
          <w:lang w:eastAsia="zh-CN"/>
        </w:rPr>
      </w:pPr>
      <w:r>
        <w:rPr>
          <w:rFonts w:hint="eastAsia"/>
          <w:b w:val="0"/>
          <w:bCs w:val="0"/>
          <w:highlight w:val="none"/>
          <w:lang w:eastAsia="zh-CN"/>
        </w:rPr>
        <w:t>三级服务点：依托县内其他旅游景区、特色旅游村寨等设立旅游交通服务点，开通常规公交线路，提供定制公交和旅游接送服务，完善全域旅游集散网络。</w:t>
      </w:r>
    </w:p>
    <w:p w14:paraId="23427F7D">
      <w:pPr>
        <w:pStyle w:val="5"/>
        <w:bidi w:val="0"/>
        <w:rPr>
          <w:rFonts w:hint="eastAsia"/>
          <w:b w:val="0"/>
          <w:bCs w:val="0"/>
          <w:highlight w:val="none"/>
          <w:lang w:eastAsia="zh-CN"/>
        </w:rPr>
      </w:pPr>
      <w:r>
        <w:rPr>
          <w:rFonts w:hint="eastAsia"/>
          <w:b w:val="0"/>
          <w:bCs w:val="0"/>
          <w:highlight w:val="none"/>
          <w:lang w:eastAsia="zh-CN"/>
        </w:rPr>
        <w:t>（4）建设</w:t>
      </w:r>
      <w:r>
        <w:rPr>
          <w:rFonts w:hint="eastAsia"/>
          <w:b w:val="0"/>
          <w:bCs w:val="0"/>
          <w:highlight w:val="none"/>
          <w:lang w:val="en-US" w:eastAsia="zh-CN"/>
        </w:rPr>
        <w:t>大型</w:t>
      </w:r>
      <w:r>
        <w:rPr>
          <w:rFonts w:hint="eastAsia"/>
          <w:b w:val="0"/>
          <w:bCs w:val="0"/>
          <w:highlight w:val="none"/>
          <w:lang w:eastAsia="zh-CN"/>
        </w:rPr>
        <w:t>综合货运停车场</w:t>
      </w:r>
    </w:p>
    <w:p w14:paraId="233BC2DA">
      <w:pPr>
        <w:pStyle w:val="5"/>
        <w:bidi w:val="0"/>
        <w:rPr>
          <w:rFonts w:hint="eastAsia"/>
          <w:b w:val="0"/>
          <w:bCs w:val="0"/>
          <w:highlight w:val="none"/>
          <w:lang w:eastAsia="zh-CN"/>
        </w:rPr>
      </w:pPr>
      <w:r>
        <w:rPr>
          <w:rFonts w:hint="eastAsia"/>
          <w:b w:val="0"/>
          <w:bCs w:val="0"/>
          <w:highlight w:val="none"/>
          <w:lang w:eastAsia="zh-CN"/>
        </w:rPr>
        <w:t>在G324国道沿线、石林南站物流园、云南石林产业园区布局</w:t>
      </w:r>
      <w:r>
        <w:rPr>
          <w:rFonts w:hint="eastAsia"/>
          <w:b w:val="0"/>
          <w:bCs w:val="0"/>
          <w:highlight w:val="none"/>
          <w:lang w:val="en-US" w:eastAsia="zh-CN"/>
        </w:rPr>
        <w:t>3</w:t>
      </w:r>
      <w:r>
        <w:rPr>
          <w:rFonts w:hint="eastAsia"/>
          <w:b w:val="0"/>
          <w:bCs w:val="0"/>
          <w:highlight w:val="none"/>
          <w:lang w:eastAsia="zh-CN"/>
        </w:rPr>
        <w:t>处</w:t>
      </w:r>
      <w:r>
        <w:rPr>
          <w:rFonts w:hint="eastAsia"/>
          <w:b w:val="0"/>
          <w:bCs w:val="0"/>
          <w:highlight w:val="none"/>
          <w:lang w:val="en-US" w:eastAsia="zh-CN"/>
        </w:rPr>
        <w:t>大型</w:t>
      </w:r>
      <w:r>
        <w:rPr>
          <w:rFonts w:hint="eastAsia"/>
          <w:b w:val="0"/>
          <w:bCs w:val="0"/>
          <w:highlight w:val="none"/>
          <w:lang w:eastAsia="zh-CN"/>
        </w:rPr>
        <w:t>综合货运停车场，打破单一停车功能，集货运停车、新能源重卡充换电、乘用车充电、车辆维保、司机驿站（休息、餐饮、补给）、仓储分拨、临时中转、货物安检、物流信息咨询等功能于一体，配套智慧管理、无感支付、安全监控系统，同时按标准设置重卡换电位、乘用车充电位，服务干线货运、产业物流、城乡配送绿色转型。</w:t>
      </w:r>
    </w:p>
    <w:tbl>
      <w:tblPr>
        <w:tblStyle w:val="21"/>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14:paraId="57B30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tcPr>
          <w:p w14:paraId="2B7F3D5B">
            <w:pPr>
              <w:pStyle w:val="5"/>
              <w:ind w:firstLine="0" w:firstLineChars="0"/>
              <w:jc w:val="center"/>
              <w:rPr>
                <w:rFonts w:hint="eastAsia" w:ascii="宋体" w:hAnsi="宋体"/>
                <w:highlight w:val="none"/>
              </w:rPr>
            </w:pPr>
            <w:r>
              <w:rPr>
                <w:rFonts w:hint="eastAsia" w:ascii="宋体" w:hAnsi="宋体" w:eastAsia="方正黑体_GBK" w:cs="方正黑体_GBK"/>
                <w:bCs/>
                <w:sz w:val="28"/>
                <w:szCs w:val="28"/>
                <w:highlight w:val="none"/>
              </w:rPr>
              <w:t>专栏</w:t>
            </w:r>
            <w:r>
              <w:rPr>
                <w:rFonts w:hint="eastAsia" w:ascii="宋体" w:hAnsi="宋体" w:eastAsia="宋体" w:cs="宋体"/>
                <w:b/>
                <w:bCs/>
                <w:sz w:val="28"/>
                <w:szCs w:val="28"/>
                <w:highlight w:val="none"/>
                <w:lang w:val="en-US" w:eastAsia="zh-CN"/>
              </w:rPr>
              <w:t>7</w:t>
            </w:r>
            <w:r>
              <w:rPr>
                <w:rFonts w:hint="eastAsia" w:ascii="宋体" w:hAnsi="宋体" w:eastAsia="方正黑体_GBK" w:cs="方正黑体_GBK"/>
                <w:bCs/>
                <w:sz w:val="28"/>
                <w:szCs w:val="28"/>
                <w:highlight w:val="none"/>
              </w:rPr>
              <w:t>“十五五”期间</w:t>
            </w:r>
            <w:r>
              <w:rPr>
                <w:rFonts w:hint="eastAsia" w:ascii="宋体" w:hAnsi="宋体" w:eastAsia="方正黑体_GBK" w:cs="方正黑体_GBK"/>
                <w:bCs/>
                <w:sz w:val="28"/>
                <w:szCs w:val="28"/>
                <w:highlight w:val="none"/>
                <w:lang w:val="en-US" w:eastAsia="zh-CN"/>
              </w:rPr>
              <w:t>枢纽建设</w:t>
            </w:r>
            <w:r>
              <w:rPr>
                <w:rFonts w:hint="eastAsia" w:ascii="宋体" w:hAnsi="宋体" w:eastAsia="方正黑体_GBK" w:cs="方正黑体_GBK"/>
                <w:bCs/>
                <w:sz w:val="28"/>
                <w:szCs w:val="28"/>
                <w:highlight w:val="none"/>
              </w:rPr>
              <w:t>项目</w:t>
            </w:r>
          </w:p>
        </w:tc>
      </w:tr>
      <w:tr w14:paraId="2181D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tcPr>
          <w:p w14:paraId="45EE275C">
            <w:pPr>
              <w:pStyle w:val="5"/>
              <w:ind w:firstLine="560"/>
              <w:rPr>
                <w:rFonts w:hint="eastAsia" w:ascii="宋体" w:hAnsi="宋体"/>
                <w:b/>
                <w:bCs/>
                <w:sz w:val="28"/>
                <w:szCs w:val="28"/>
                <w:highlight w:val="none"/>
                <w:lang w:val="en-US" w:eastAsia="zh-CN"/>
              </w:rPr>
            </w:pPr>
            <w:r>
              <w:rPr>
                <w:rFonts w:hint="eastAsia" w:ascii="宋体" w:hAnsi="宋体"/>
                <w:b/>
                <w:bCs/>
                <w:sz w:val="28"/>
                <w:szCs w:val="28"/>
                <w:highlight w:val="none"/>
                <w:lang w:val="en-US" w:eastAsia="zh-CN"/>
              </w:rPr>
              <w:t>货运枢纽：</w:t>
            </w:r>
          </w:p>
          <w:p w14:paraId="33039893">
            <w:pPr>
              <w:pStyle w:val="5"/>
              <w:ind w:firstLine="560"/>
              <w:rPr>
                <w:rFonts w:hint="default" w:ascii="宋体" w:hAnsi="宋体"/>
                <w:sz w:val="28"/>
                <w:szCs w:val="28"/>
                <w:highlight w:val="none"/>
                <w:lang w:val="en-US" w:eastAsia="zh-CN"/>
              </w:rPr>
            </w:pPr>
            <w:r>
              <w:rPr>
                <w:rFonts w:hint="eastAsia" w:ascii="宋体" w:hAnsi="宋体"/>
                <w:sz w:val="28"/>
                <w:szCs w:val="28"/>
                <w:highlight w:val="none"/>
                <w:lang w:val="en-US" w:eastAsia="zh-CN"/>
              </w:rPr>
              <w:t>重点推进石林南站现代物流产业园、宜耐站公铁联运物流基地、云南石林产业园区物流园。</w:t>
            </w:r>
          </w:p>
          <w:p w14:paraId="41E4180A">
            <w:pPr>
              <w:pStyle w:val="5"/>
              <w:ind w:firstLine="560"/>
              <w:rPr>
                <w:rFonts w:hint="eastAsia" w:ascii="宋体" w:hAnsi="宋体"/>
                <w:sz w:val="28"/>
                <w:szCs w:val="28"/>
                <w:highlight w:val="none"/>
                <w:lang w:val="en-US" w:eastAsia="zh-CN"/>
              </w:rPr>
            </w:pPr>
            <w:r>
              <w:rPr>
                <w:rFonts w:hint="eastAsia" w:ascii="宋体" w:hAnsi="宋体"/>
                <w:sz w:val="28"/>
                <w:szCs w:val="28"/>
                <w:highlight w:val="none"/>
                <w:lang w:val="en-US" w:eastAsia="zh-CN"/>
              </w:rPr>
              <w:t>有序推进老326国道冷链物流中心段改扩建项目</w:t>
            </w:r>
          </w:p>
          <w:p w14:paraId="1F9487D1">
            <w:pPr>
              <w:pStyle w:val="5"/>
              <w:ind w:firstLine="560"/>
              <w:rPr>
                <w:rFonts w:hint="eastAsia" w:ascii="宋体" w:hAnsi="宋体"/>
                <w:sz w:val="28"/>
                <w:szCs w:val="28"/>
                <w:highlight w:val="none"/>
                <w:lang w:val="en-US" w:eastAsia="zh-CN"/>
              </w:rPr>
            </w:pPr>
            <w:r>
              <w:rPr>
                <w:rFonts w:hint="eastAsia" w:ascii="宋体" w:hAnsi="宋体"/>
                <w:sz w:val="28"/>
                <w:szCs w:val="28"/>
                <w:highlight w:val="none"/>
                <w:lang w:val="en-US" w:eastAsia="zh-CN"/>
              </w:rPr>
              <w:t>乡镇产地冷链物流节点：在圭山、西街口、长湖等人参果主产乡镇，建设乡镇级冷链物流中心，配套产地预冷、分拣、冷藏设施，支撑百亿级人参果产业全链条冷链流通。</w:t>
            </w:r>
          </w:p>
          <w:p w14:paraId="14A7B014">
            <w:pPr>
              <w:pStyle w:val="5"/>
              <w:ind w:firstLine="560"/>
              <w:rPr>
                <w:rFonts w:hint="eastAsia" w:ascii="宋体" w:hAnsi="宋体"/>
                <w:sz w:val="28"/>
                <w:szCs w:val="28"/>
                <w:highlight w:val="none"/>
                <w:lang w:val="en-US" w:eastAsia="zh-CN"/>
              </w:rPr>
            </w:pPr>
            <w:r>
              <w:rPr>
                <w:rFonts w:hint="eastAsia" w:ascii="宋体" w:hAnsi="宋体"/>
                <w:b/>
                <w:bCs/>
                <w:sz w:val="28"/>
                <w:szCs w:val="28"/>
                <w:highlight w:val="none"/>
                <w:lang w:val="en-US" w:eastAsia="zh-CN"/>
              </w:rPr>
              <w:t>大型综合货运停车场：</w:t>
            </w:r>
            <w:r>
              <w:rPr>
                <w:rFonts w:hint="eastAsia" w:ascii="宋体" w:hAnsi="宋体"/>
                <w:sz w:val="28"/>
                <w:szCs w:val="28"/>
                <w:highlight w:val="none"/>
                <w:lang w:val="en-US" w:eastAsia="zh-CN"/>
              </w:rPr>
              <w:t>在G324国道沿线、石林南站物流园、云南石林产业园区规划布局3处，集货运停车、充换电、车辆维保、司机驿站、仓储等功能于一体的大型综合货运停车场。</w:t>
            </w:r>
          </w:p>
        </w:tc>
      </w:tr>
      <w:bookmarkEnd w:id="79"/>
    </w:tbl>
    <w:p w14:paraId="1156465C">
      <w:pPr>
        <w:pStyle w:val="4"/>
        <w:bidi w:val="0"/>
        <w:rPr>
          <w:rFonts w:hint="eastAsia" w:eastAsia="方正仿宋_GBK"/>
          <w:highlight w:val="none"/>
          <w:lang w:eastAsia="zh-CN"/>
        </w:rPr>
      </w:pPr>
      <w:r>
        <w:rPr>
          <w:rFonts w:hint="eastAsia"/>
          <w:highlight w:val="none"/>
          <w:lang w:val="en-US" w:eastAsia="zh-CN"/>
        </w:rPr>
        <w:t>2.</w:t>
      </w:r>
      <w:r>
        <w:rPr>
          <w:rFonts w:hint="eastAsia"/>
          <w:highlight w:val="none"/>
        </w:rPr>
        <w:t>推动交通物流降本提质增效</w:t>
      </w:r>
    </w:p>
    <w:p w14:paraId="10A4DFC9">
      <w:pPr>
        <w:pStyle w:val="5"/>
        <w:ind w:firstLine="64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bCs/>
          <w:sz w:val="32"/>
          <w:szCs w:val="32"/>
          <w:highlight w:val="none"/>
        </w:rPr>
        <w:t>优化货物运输结构。</w:t>
      </w:r>
      <w:r>
        <w:rPr>
          <w:rFonts w:hint="eastAsia" w:ascii="宋体" w:hAnsi="宋体" w:eastAsia="方正仿宋_GBK" w:cs="方正仿宋_GBK"/>
          <w:b w:val="0"/>
          <w:bCs w:val="0"/>
          <w:sz w:val="32"/>
          <w:szCs w:val="32"/>
          <w:highlight w:val="none"/>
        </w:rPr>
        <w:t>以大宗物资“公转铁”为核心，推动石材、粮油、肉制品等货物向铁路转移，推广集装箱、甩挂运输、一单制、一箱制多式联运服务。</w:t>
      </w:r>
    </w:p>
    <w:p w14:paraId="4FF719F9">
      <w:pPr>
        <w:pStyle w:val="5"/>
        <w:ind w:firstLine="64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bCs/>
          <w:sz w:val="32"/>
          <w:szCs w:val="32"/>
          <w:highlight w:val="none"/>
        </w:rPr>
        <w:t>完善城乡物流配送体系</w:t>
      </w:r>
      <w:r>
        <w:rPr>
          <w:rFonts w:hint="eastAsia" w:ascii="宋体" w:hAnsi="宋体" w:cs="方正仿宋_GBK"/>
          <w:b/>
          <w:bCs/>
          <w:sz w:val="32"/>
          <w:szCs w:val="32"/>
          <w:highlight w:val="none"/>
          <w:lang w:eastAsia="zh-CN"/>
        </w:rPr>
        <w:t>。</w:t>
      </w:r>
      <w:r>
        <w:rPr>
          <w:rFonts w:hint="eastAsia" w:ascii="宋体" w:hAnsi="宋体" w:eastAsia="方正仿宋_GBK" w:cs="方正仿宋_GBK"/>
          <w:b w:val="0"/>
          <w:bCs w:val="0"/>
          <w:sz w:val="32"/>
          <w:szCs w:val="32"/>
          <w:highlight w:val="none"/>
        </w:rPr>
        <w:t>深化客运、公交企业客货邮合作，推广适配车型，利用客运车辆代运邮件快件，优化“客车捎带、共同配送”模式。拓展乡镇客运站综合服务功能，整合乡镇物流资源，推动快递服务行政村全覆盖。积极吸引韵达、圆通、申通、顺丰等快递企业进驻县级物流中心，实现全部快件共配与免费取件，强化乡村级站点运营监督，联合社区团购业务规划配送线路，增加邮路快件量及站点派件收入，增强站点盈利能力。</w:t>
      </w:r>
    </w:p>
    <w:p w14:paraId="234BBB66">
      <w:pPr>
        <w:pStyle w:val="5"/>
        <w:ind w:firstLine="64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bCs/>
          <w:sz w:val="32"/>
          <w:szCs w:val="32"/>
          <w:highlight w:val="none"/>
        </w:rPr>
        <w:t>提升货运智慧化水平。</w:t>
      </w:r>
      <w:r>
        <w:rPr>
          <w:rFonts w:hint="eastAsia" w:ascii="宋体" w:hAnsi="宋体" w:eastAsia="方正仿宋_GBK" w:cs="方正仿宋_GBK"/>
          <w:b w:val="0"/>
          <w:bCs w:val="0"/>
          <w:sz w:val="32"/>
          <w:szCs w:val="32"/>
          <w:highlight w:val="none"/>
        </w:rPr>
        <w:t>建设县级多式联运信息平台，整合货运、快递、电商数据，实现运力精准匹配、货物全程溯源。</w:t>
      </w:r>
    </w:p>
    <w:p w14:paraId="38690AAD">
      <w:pPr>
        <w:pStyle w:val="4"/>
        <w:bidi w:val="0"/>
        <w:rPr>
          <w:rFonts w:hint="eastAsia" w:eastAsia="方正仿宋_GBK"/>
          <w:highlight w:val="none"/>
          <w:lang w:val="en-US" w:eastAsia="zh-CN"/>
        </w:rPr>
      </w:pPr>
      <w:r>
        <w:rPr>
          <w:rFonts w:hint="eastAsia"/>
          <w:highlight w:val="none"/>
          <w:lang w:val="en-US" w:eastAsia="zh-CN"/>
        </w:rPr>
        <w:t>3</w:t>
      </w:r>
      <w:r>
        <w:rPr>
          <w:rFonts w:hint="eastAsia"/>
          <w:highlight w:val="none"/>
        </w:rPr>
        <w:t>.</w:t>
      </w:r>
      <w:r>
        <w:rPr>
          <w:rFonts w:hint="eastAsia"/>
          <w:highlight w:val="none"/>
          <w:lang w:val="en-US" w:eastAsia="zh-CN"/>
        </w:rPr>
        <w:t>深化</w:t>
      </w:r>
      <w:r>
        <w:rPr>
          <w:rFonts w:hint="eastAsia"/>
          <w:highlight w:val="none"/>
        </w:rPr>
        <w:t>农村客货邮融合</w:t>
      </w:r>
      <w:r>
        <w:rPr>
          <w:rFonts w:hint="eastAsia"/>
          <w:highlight w:val="none"/>
          <w:lang w:val="en-US" w:eastAsia="zh-CN"/>
        </w:rPr>
        <w:t>发展</w:t>
      </w:r>
    </w:p>
    <w:p w14:paraId="5996BF27">
      <w:pPr>
        <w:pStyle w:val="5"/>
        <w:ind w:firstLine="640"/>
        <w:rPr>
          <w:rFonts w:hint="eastAsia" w:ascii="宋体" w:hAnsi="宋体" w:eastAsia="方正仿宋_GBK" w:cs="方正仿宋_GBK"/>
          <w:b/>
          <w:bCs/>
          <w:sz w:val="32"/>
          <w:szCs w:val="32"/>
          <w:highlight w:val="none"/>
          <w:lang w:eastAsia="zh-CN"/>
        </w:rPr>
      </w:pPr>
      <w:r>
        <w:rPr>
          <w:rFonts w:hint="eastAsia" w:ascii="宋体" w:hAnsi="宋体" w:cs="方正仿宋_GBK"/>
          <w:b/>
          <w:bCs/>
          <w:sz w:val="32"/>
          <w:szCs w:val="32"/>
          <w:highlight w:val="none"/>
          <w:lang w:eastAsia="zh-CN"/>
        </w:rPr>
        <w:t>（</w:t>
      </w:r>
      <w:r>
        <w:rPr>
          <w:rFonts w:hint="eastAsia" w:ascii="宋体" w:hAnsi="宋体" w:cs="方正仿宋_GBK"/>
          <w:b/>
          <w:bCs/>
          <w:sz w:val="32"/>
          <w:szCs w:val="32"/>
          <w:highlight w:val="none"/>
          <w:lang w:val="en-US" w:eastAsia="zh-CN"/>
        </w:rPr>
        <w:t>1</w:t>
      </w:r>
      <w:r>
        <w:rPr>
          <w:rFonts w:hint="eastAsia" w:ascii="宋体" w:hAnsi="宋体" w:cs="方正仿宋_GBK"/>
          <w:b/>
          <w:bCs/>
          <w:sz w:val="32"/>
          <w:szCs w:val="32"/>
          <w:highlight w:val="none"/>
          <w:lang w:eastAsia="zh-CN"/>
        </w:rPr>
        <w:t>）</w:t>
      </w:r>
      <w:r>
        <w:rPr>
          <w:rFonts w:hint="eastAsia" w:ascii="宋体" w:hAnsi="宋体" w:eastAsia="方正仿宋_GBK" w:cs="方正仿宋_GBK"/>
          <w:b/>
          <w:bCs/>
          <w:sz w:val="32"/>
          <w:szCs w:val="32"/>
          <w:highlight w:val="none"/>
        </w:rPr>
        <w:t>推进县、乡、村三级客货邮融合基础设施建设</w:t>
      </w:r>
      <w:r>
        <w:rPr>
          <w:rFonts w:hint="eastAsia" w:ascii="宋体" w:hAnsi="宋体" w:cs="方正仿宋_GBK"/>
          <w:b/>
          <w:bCs/>
          <w:sz w:val="32"/>
          <w:szCs w:val="32"/>
          <w:highlight w:val="none"/>
          <w:lang w:eastAsia="zh-CN"/>
        </w:rPr>
        <w:t>。</w:t>
      </w:r>
    </w:p>
    <w:p w14:paraId="2DFC3D47">
      <w:pPr>
        <w:pStyle w:val="5"/>
        <w:ind w:firstLine="64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val="0"/>
          <w:bCs w:val="0"/>
          <w:sz w:val="32"/>
          <w:szCs w:val="32"/>
          <w:highlight w:val="none"/>
        </w:rPr>
        <w:t>加快落实《石林彝族自治县农村客货邮融合发展实施方案》，深入推进农村客运、货运物流、邮政快递融合发展。到2026年底，全面完成农村客货邮融合发展任务：</w:t>
      </w:r>
    </w:p>
    <w:p w14:paraId="079F9AB3">
      <w:pPr>
        <w:pStyle w:val="5"/>
        <w:ind w:firstLine="64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val="0"/>
          <w:bCs w:val="0"/>
          <w:sz w:val="32"/>
          <w:szCs w:val="32"/>
          <w:highlight w:val="none"/>
        </w:rPr>
        <w:t>•建成县级客货邮寄递物流公共配送中心，引导至少3家邮政快递品牌入驻</w:t>
      </w:r>
    </w:p>
    <w:p w14:paraId="0F8A4C83">
      <w:pPr>
        <w:pStyle w:val="5"/>
        <w:ind w:firstLine="64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val="0"/>
          <w:bCs w:val="0"/>
          <w:sz w:val="32"/>
          <w:szCs w:val="32"/>
          <w:highlight w:val="none"/>
        </w:rPr>
        <w:t>•6个乡镇（街道）客货邮综合服务站全覆盖</w:t>
      </w:r>
    </w:p>
    <w:p w14:paraId="66DEDD6A">
      <w:pPr>
        <w:pStyle w:val="5"/>
        <w:ind w:firstLine="64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val="0"/>
          <w:bCs w:val="0"/>
          <w:sz w:val="32"/>
          <w:szCs w:val="32"/>
          <w:highlight w:val="none"/>
        </w:rPr>
        <w:t>•建制村客货邮综合服务站点覆盖率达100%，邮政快递100%通达建制村</w:t>
      </w:r>
    </w:p>
    <w:p w14:paraId="7BD91D29">
      <w:pPr>
        <w:pStyle w:val="5"/>
        <w:ind w:firstLine="64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val="0"/>
          <w:bCs w:val="0"/>
          <w:sz w:val="32"/>
          <w:szCs w:val="32"/>
          <w:highlight w:val="none"/>
        </w:rPr>
        <w:t>•开通客货邮融合发展线路不少于6条</w:t>
      </w:r>
    </w:p>
    <w:p w14:paraId="23880860">
      <w:pPr>
        <w:pStyle w:val="5"/>
        <w:ind w:firstLine="64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val="0"/>
          <w:bCs w:val="0"/>
          <w:sz w:val="32"/>
          <w:szCs w:val="32"/>
          <w:highlight w:val="none"/>
        </w:rPr>
        <w:t>构建功能完善、服务高效、可持续运营的县乡村三级客货邮融合发展体系，显著提升农村客运服务水平和可持续发展能力，有效降低邮政、快递、电商、供销等运输成本。</w:t>
      </w:r>
    </w:p>
    <w:p w14:paraId="12A9357D">
      <w:pPr>
        <w:pStyle w:val="5"/>
        <w:ind w:firstLine="64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val="0"/>
          <w:bCs w:val="0"/>
          <w:sz w:val="32"/>
          <w:szCs w:val="32"/>
          <w:highlight w:val="none"/>
        </w:rPr>
        <w:t>打造特色服务品牌。以石林、阿诗玛元素统一设计站点及车辆标志标识，扩大影响力；结合产业特点培育区域共配、客车直送等模式，打造本地特色服务品牌。</w:t>
      </w:r>
    </w:p>
    <w:p w14:paraId="6B1326FA">
      <w:pPr>
        <w:pStyle w:val="5"/>
        <w:ind w:firstLine="640"/>
        <w:rPr>
          <w:rFonts w:hint="eastAsia" w:ascii="宋体" w:hAnsi="宋体" w:eastAsia="方正仿宋_GBK" w:cs="方正仿宋_GBK"/>
          <w:b/>
          <w:bCs/>
          <w:sz w:val="32"/>
          <w:szCs w:val="32"/>
          <w:highlight w:val="none"/>
        </w:rPr>
      </w:pPr>
      <w:r>
        <w:rPr>
          <w:rFonts w:hint="eastAsia" w:ascii="宋体" w:hAnsi="宋体" w:cs="方正仿宋_GBK"/>
          <w:b/>
          <w:bCs/>
          <w:sz w:val="32"/>
          <w:szCs w:val="32"/>
          <w:highlight w:val="none"/>
          <w:lang w:eastAsia="zh-CN"/>
        </w:rPr>
        <w:t>（</w:t>
      </w:r>
      <w:r>
        <w:rPr>
          <w:rFonts w:hint="eastAsia" w:ascii="宋体" w:hAnsi="宋体" w:cs="方正仿宋_GBK"/>
          <w:b/>
          <w:bCs/>
          <w:sz w:val="32"/>
          <w:szCs w:val="32"/>
          <w:highlight w:val="none"/>
          <w:lang w:val="en-US" w:eastAsia="zh-CN"/>
        </w:rPr>
        <w:t>2</w:t>
      </w:r>
      <w:r>
        <w:rPr>
          <w:rFonts w:hint="eastAsia" w:ascii="宋体" w:hAnsi="宋体" w:cs="方正仿宋_GBK"/>
          <w:b/>
          <w:bCs/>
          <w:sz w:val="32"/>
          <w:szCs w:val="32"/>
          <w:highlight w:val="none"/>
          <w:lang w:eastAsia="zh-CN"/>
        </w:rPr>
        <w:t>）</w:t>
      </w:r>
      <w:r>
        <w:rPr>
          <w:rFonts w:hint="eastAsia" w:ascii="宋体" w:hAnsi="宋体" w:eastAsia="方正仿宋_GBK" w:cs="方正仿宋_GBK"/>
          <w:b/>
          <w:bCs/>
          <w:sz w:val="32"/>
          <w:szCs w:val="32"/>
          <w:highlight w:val="none"/>
        </w:rPr>
        <w:t>推进客货邮资源深度融合</w:t>
      </w:r>
    </w:p>
    <w:p w14:paraId="5E2ACB41">
      <w:pPr>
        <w:pStyle w:val="5"/>
        <w:ind w:firstLine="640"/>
        <w:rPr>
          <w:rFonts w:hint="eastAsia" w:ascii="宋体" w:hAnsi="宋体" w:eastAsia="方正仿宋_GBK" w:cs="方正仿宋_GBK"/>
          <w:b w:val="0"/>
          <w:bCs w:val="0"/>
          <w:sz w:val="32"/>
          <w:szCs w:val="32"/>
          <w:highlight w:val="none"/>
        </w:rPr>
      </w:pPr>
      <w:r>
        <w:rPr>
          <w:rFonts w:hint="eastAsia" w:ascii="宋体" w:hAnsi="宋体" w:cs="方正仿宋_GBK"/>
          <w:b w:val="0"/>
          <w:bCs w:val="0"/>
          <w:sz w:val="32"/>
          <w:szCs w:val="32"/>
          <w:highlight w:val="none"/>
          <w:lang w:val="en-US" w:eastAsia="zh-CN"/>
        </w:rPr>
        <w:t>一是</w:t>
      </w:r>
      <w:r>
        <w:rPr>
          <w:rFonts w:hint="eastAsia" w:ascii="宋体" w:hAnsi="宋体" w:eastAsia="方正仿宋_GBK" w:cs="方正仿宋_GBK"/>
          <w:b w:val="0"/>
          <w:bCs w:val="0"/>
          <w:sz w:val="32"/>
          <w:szCs w:val="32"/>
          <w:highlight w:val="none"/>
        </w:rPr>
        <w:t>推进线路融合，按照“邮路就是线路、线路就是邮路”原则，规划“定时、定点、定线”运输模式，开通不少于6条客货邮融合线路，降低末端配送成本。</w:t>
      </w:r>
      <w:r>
        <w:rPr>
          <w:rFonts w:hint="eastAsia" w:ascii="宋体" w:hAnsi="宋体" w:cs="方正仿宋_GBK"/>
          <w:b w:val="0"/>
          <w:bCs w:val="0"/>
          <w:sz w:val="32"/>
          <w:szCs w:val="32"/>
          <w:highlight w:val="none"/>
          <w:lang w:val="en-US" w:eastAsia="zh-CN"/>
        </w:rPr>
        <w:t>二是</w:t>
      </w:r>
      <w:r>
        <w:rPr>
          <w:rFonts w:hint="eastAsia" w:ascii="宋体" w:hAnsi="宋体" w:eastAsia="方正仿宋_GBK" w:cs="方正仿宋_GBK"/>
          <w:b w:val="0"/>
          <w:bCs w:val="0"/>
          <w:sz w:val="32"/>
          <w:szCs w:val="32"/>
          <w:highlight w:val="none"/>
        </w:rPr>
        <w:t>推动运输车辆融合，</w:t>
      </w:r>
      <w:r>
        <w:rPr>
          <w:rFonts w:hint="eastAsia" w:ascii="宋体" w:hAnsi="宋体" w:cs="方正仿宋_GBK"/>
          <w:b w:val="0"/>
          <w:bCs w:val="0"/>
          <w:sz w:val="32"/>
          <w:szCs w:val="32"/>
          <w:highlight w:val="none"/>
          <w:lang w:val="en-US" w:eastAsia="zh-CN"/>
        </w:rPr>
        <w:t>鼓励</w:t>
      </w:r>
      <w:r>
        <w:rPr>
          <w:rFonts w:hint="eastAsia" w:ascii="宋体" w:hAnsi="宋体" w:eastAsia="方正仿宋_GBK" w:cs="方正仿宋_GBK"/>
          <w:b w:val="0"/>
          <w:bCs w:val="0"/>
          <w:sz w:val="32"/>
          <w:szCs w:val="32"/>
          <w:highlight w:val="none"/>
        </w:rPr>
        <w:t>改造</w:t>
      </w:r>
      <w:r>
        <w:rPr>
          <w:rFonts w:hint="eastAsia" w:ascii="宋体" w:hAnsi="宋体" w:cs="方正仿宋_GBK"/>
          <w:b w:val="0"/>
          <w:bCs w:val="0"/>
          <w:sz w:val="32"/>
          <w:szCs w:val="32"/>
          <w:highlight w:val="none"/>
          <w:lang w:val="en-US" w:eastAsia="zh-CN"/>
        </w:rPr>
        <w:t>符合要求的</w:t>
      </w:r>
      <w:r>
        <w:rPr>
          <w:rFonts w:hint="eastAsia" w:ascii="宋体" w:hAnsi="宋体" w:eastAsia="方正仿宋_GBK" w:cs="方正仿宋_GBK"/>
          <w:b w:val="0"/>
          <w:bCs w:val="0"/>
          <w:sz w:val="32"/>
          <w:szCs w:val="32"/>
          <w:highlight w:val="none"/>
        </w:rPr>
        <w:t>农村客运车辆代送邮件快件，提升车辆利用率与投递效率。</w:t>
      </w:r>
      <w:r>
        <w:rPr>
          <w:rFonts w:hint="eastAsia" w:ascii="宋体" w:hAnsi="宋体" w:cs="方正仿宋_GBK"/>
          <w:b w:val="0"/>
          <w:bCs w:val="0"/>
          <w:sz w:val="32"/>
          <w:szCs w:val="32"/>
          <w:highlight w:val="none"/>
          <w:lang w:val="en-US" w:eastAsia="zh-CN"/>
        </w:rPr>
        <w:t>三是</w:t>
      </w:r>
      <w:r>
        <w:rPr>
          <w:rFonts w:hint="eastAsia" w:ascii="宋体" w:hAnsi="宋体" w:eastAsia="方正仿宋_GBK" w:cs="方正仿宋_GBK"/>
          <w:b w:val="0"/>
          <w:bCs w:val="0"/>
          <w:sz w:val="32"/>
          <w:szCs w:val="32"/>
          <w:highlight w:val="none"/>
        </w:rPr>
        <w:t>加强配送企业培育。争取资金支持站点建设、线路开通与设施升级，引导企业合作共配，构建联盟配送机制，提升物流效能。</w:t>
      </w:r>
    </w:p>
    <w:p w14:paraId="334AB369">
      <w:pPr>
        <w:pStyle w:val="4"/>
        <w:bidi w:val="0"/>
        <w:rPr>
          <w:rFonts w:hint="eastAsia"/>
          <w:highlight w:val="none"/>
        </w:rPr>
      </w:pPr>
      <w:r>
        <w:rPr>
          <w:rFonts w:hint="eastAsia"/>
          <w:highlight w:val="none"/>
          <w:lang w:val="en-US" w:eastAsia="zh-CN"/>
        </w:rPr>
        <w:t>4.</w:t>
      </w:r>
      <w:r>
        <w:rPr>
          <w:rFonts w:hint="eastAsia"/>
          <w:highlight w:val="none"/>
        </w:rPr>
        <w:t>提升客运服务品质</w:t>
      </w:r>
      <w:bookmarkEnd w:id="76"/>
      <w:bookmarkEnd w:id="77"/>
      <w:bookmarkEnd w:id="78"/>
    </w:p>
    <w:p w14:paraId="201E5204">
      <w:pPr>
        <w:pStyle w:val="5"/>
        <w:bidi w:val="0"/>
        <w:rPr>
          <w:rFonts w:hint="eastAsia"/>
          <w:highlight w:val="none"/>
        </w:rPr>
      </w:pPr>
      <w:r>
        <w:rPr>
          <w:rFonts w:hint="eastAsia"/>
          <w:b/>
          <w:bCs/>
          <w:highlight w:val="none"/>
        </w:rPr>
        <w:t>完善客运服务网络</w:t>
      </w:r>
      <w:r>
        <w:rPr>
          <w:rFonts w:hint="eastAsia"/>
          <w:b/>
          <w:bCs/>
          <w:highlight w:val="none"/>
          <w:lang w:eastAsia="zh-CN"/>
        </w:rPr>
        <w:t>，</w:t>
      </w:r>
      <w:r>
        <w:rPr>
          <w:rFonts w:hint="eastAsia"/>
          <w:b/>
          <w:bCs/>
          <w:highlight w:val="none"/>
        </w:rPr>
        <w:t>统筹发展旅客</w:t>
      </w:r>
      <w:r>
        <w:rPr>
          <w:b/>
          <w:bCs/>
          <w:highlight w:val="none"/>
        </w:rPr>
        <w:t>联程联运。</w:t>
      </w:r>
      <w:r>
        <w:rPr>
          <w:rFonts w:hint="eastAsia"/>
          <w:highlight w:val="none"/>
          <w:lang w:val="en-US" w:eastAsia="zh-CN"/>
        </w:rPr>
        <w:t>统筹推进</w:t>
      </w:r>
      <w:r>
        <w:rPr>
          <w:rFonts w:hint="eastAsia"/>
          <w:highlight w:val="none"/>
        </w:rPr>
        <w:t>旅客联程运输发展，综合客运枢纽集疏运体系，优化客运组织模式，加强各种旅客运输方式的衔接，依托</w:t>
      </w:r>
      <w:r>
        <w:rPr>
          <w:rFonts w:hint="eastAsia"/>
          <w:highlight w:val="none"/>
          <w:lang w:eastAsia="zh-CN"/>
        </w:rPr>
        <w:t>石林</w:t>
      </w:r>
      <w:r>
        <w:rPr>
          <w:rFonts w:hint="eastAsia"/>
          <w:highlight w:val="none"/>
        </w:rPr>
        <w:t>站</w:t>
      </w:r>
      <w:r>
        <w:rPr>
          <w:rFonts w:hint="eastAsia"/>
          <w:highlight w:val="none"/>
          <w:lang w:eastAsia="zh-CN"/>
        </w:rPr>
        <w:t>、</w:t>
      </w:r>
      <w:r>
        <w:rPr>
          <w:rFonts w:hint="eastAsia"/>
          <w:highlight w:val="none"/>
          <w:lang w:val="en-US" w:eastAsia="zh-CN"/>
        </w:rPr>
        <w:t>石林西站</w:t>
      </w:r>
      <w:r>
        <w:rPr>
          <w:rFonts w:hint="eastAsia"/>
          <w:highlight w:val="none"/>
        </w:rPr>
        <w:t>综合客运枢纽，提高旅客换乘</w:t>
      </w:r>
      <w:r>
        <w:rPr>
          <w:highlight w:val="none"/>
        </w:rPr>
        <w:t>便捷程度，</w:t>
      </w:r>
      <w:r>
        <w:rPr>
          <w:rFonts w:hint="eastAsia"/>
          <w:highlight w:val="none"/>
        </w:rPr>
        <w:t>积极发展“一票制”联程联运，加快实现客运“零距离换乘”，拓展“一次购票、一次支付、一证(码)通行”服务产品。</w:t>
      </w:r>
      <w:r>
        <w:rPr>
          <w:highlight w:val="none"/>
        </w:rPr>
        <w:t>提升</w:t>
      </w:r>
      <w:r>
        <w:rPr>
          <w:rFonts w:hint="eastAsia"/>
          <w:highlight w:val="none"/>
        </w:rPr>
        <w:t>旅客</w:t>
      </w:r>
      <w:r>
        <w:rPr>
          <w:highlight w:val="none"/>
        </w:rPr>
        <w:t>一站式出行服务水平，</w:t>
      </w:r>
      <w:r>
        <w:rPr>
          <w:rFonts w:hint="eastAsia"/>
          <w:highlight w:val="none"/>
        </w:rPr>
        <w:t>积极探索“</w:t>
      </w:r>
      <w:r>
        <w:rPr>
          <w:highlight w:val="none"/>
        </w:rPr>
        <w:t>出行即服务</w:t>
      </w:r>
      <w:r>
        <w:rPr>
          <w:rFonts w:hint="eastAsia"/>
          <w:highlight w:val="none"/>
        </w:rPr>
        <w:t>”发展模式。</w:t>
      </w:r>
    </w:p>
    <w:p w14:paraId="652DEB34">
      <w:pPr>
        <w:pStyle w:val="5"/>
        <w:bidi w:val="0"/>
        <w:rPr>
          <w:rFonts w:hint="eastAsia"/>
          <w:highlight w:val="none"/>
        </w:rPr>
      </w:pPr>
      <w:r>
        <w:rPr>
          <w:rFonts w:hint="eastAsia"/>
          <w:b/>
          <w:bCs/>
          <w:highlight w:val="none"/>
        </w:rPr>
        <w:t>扩展旅游</w:t>
      </w:r>
      <w:r>
        <w:rPr>
          <w:rFonts w:hint="eastAsia"/>
          <w:b/>
          <w:bCs/>
          <w:highlight w:val="none"/>
          <w:lang w:val="en-US" w:eastAsia="zh-CN"/>
        </w:rPr>
        <w:t>客运</w:t>
      </w:r>
      <w:r>
        <w:rPr>
          <w:rFonts w:hint="eastAsia"/>
          <w:b/>
          <w:bCs/>
          <w:highlight w:val="none"/>
        </w:rPr>
        <w:t>商贸服务</w:t>
      </w:r>
      <w:r>
        <w:rPr>
          <w:rFonts w:hint="eastAsia"/>
          <w:b/>
          <w:bCs/>
          <w:highlight w:val="none"/>
          <w:lang w:val="en-US" w:eastAsia="zh-CN"/>
        </w:rPr>
        <w:t>广度</w:t>
      </w:r>
      <w:r>
        <w:rPr>
          <w:rFonts w:hint="eastAsia"/>
          <w:b/>
          <w:bCs/>
          <w:highlight w:val="none"/>
          <w:lang w:eastAsia="zh-CN"/>
        </w:rPr>
        <w:t>。</w:t>
      </w:r>
      <w:r>
        <w:rPr>
          <w:rFonts w:hint="eastAsia"/>
          <w:highlight w:val="none"/>
        </w:rPr>
        <w:t>协同文化和旅游部门引导客运站经营者与旅行社等主体加强合作，在客运站内设立旅游集散中心，提供旅游票务预订、信息咨询、旅游集散等综合服务，完善客运站至景区景点、旅游度假区、乡村旅游重点村镇的旅游直通车网络</w:t>
      </w:r>
      <w:r>
        <w:rPr>
          <w:rFonts w:hint="eastAsia"/>
          <w:highlight w:val="none"/>
          <w:lang w:eastAsia="zh-CN"/>
        </w:rPr>
        <w:t>；</w:t>
      </w:r>
      <w:r>
        <w:rPr>
          <w:rFonts w:hint="eastAsia"/>
          <w:highlight w:val="none"/>
        </w:rPr>
        <w:t>规划构建多层级旅游集散咨询服务体系</w:t>
      </w:r>
      <w:r>
        <w:rPr>
          <w:rFonts w:hint="eastAsia"/>
          <w:highlight w:val="none"/>
          <w:lang w:eastAsia="zh-CN"/>
        </w:rPr>
        <w:t>；</w:t>
      </w:r>
      <w:r>
        <w:rPr>
          <w:rFonts w:hint="eastAsia"/>
          <w:highlight w:val="none"/>
        </w:rPr>
        <w:t>协同商务、文化和旅游部门鼓励客运站开展电商销售、酒店住宿、汽车后市场、体育休闲、农产品和旅游文创产品展销、便利店销售等多元化商贸服务。</w:t>
      </w:r>
    </w:p>
    <w:p w14:paraId="578DBDC3">
      <w:pPr>
        <w:pStyle w:val="5"/>
        <w:bidi w:val="0"/>
        <w:rPr>
          <w:rFonts w:hint="eastAsia"/>
          <w:highlight w:val="none"/>
        </w:rPr>
      </w:pPr>
      <w:r>
        <w:rPr>
          <w:rFonts w:hint="eastAsia"/>
          <w:b/>
          <w:bCs/>
          <w:highlight w:val="none"/>
        </w:rPr>
        <w:t>提升公共交通服务水平。</w:t>
      </w:r>
      <w:r>
        <w:rPr>
          <w:rFonts w:hint="eastAsia"/>
          <w:highlight w:val="none"/>
        </w:rPr>
        <w:t>深入实施公共交通优先发展战略，优化公交线网布局与运力配置，完善普惠便捷、层次多样的公共交通出行体系，持续提升服务品质与行业吸引力，引导群众优先选择绿色公交出行。</w:t>
      </w:r>
    </w:p>
    <w:p w14:paraId="0168E188">
      <w:pPr>
        <w:pStyle w:val="5"/>
        <w:bidi w:val="0"/>
        <w:rPr>
          <w:rFonts w:hint="eastAsia"/>
          <w:highlight w:val="none"/>
        </w:rPr>
      </w:pPr>
      <w:r>
        <w:rPr>
          <w:rFonts w:hint="eastAsia" w:ascii="宋体" w:hAnsi="宋体" w:eastAsia="方正仿宋_GBK" w:cs="方正仿宋_GBK"/>
          <w:b w:val="0"/>
          <w:bCs w:val="0"/>
          <w:sz w:val="32"/>
          <w:szCs w:val="32"/>
          <w:highlight w:val="none"/>
        </w:rPr>
        <w:t>•</w:t>
      </w:r>
      <w:r>
        <w:rPr>
          <w:rFonts w:hint="eastAsia"/>
          <w:highlight w:val="none"/>
        </w:rPr>
        <w:t>推进智慧公交建设</w:t>
      </w:r>
    </w:p>
    <w:p w14:paraId="6B035DE3">
      <w:pPr>
        <w:pStyle w:val="5"/>
        <w:bidi w:val="0"/>
        <w:rPr>
          <w:rFonts w:hint="eastAsia"/>
          <w:highlight w:val="none"/>
        </w:rPr>
      </w:pPr>
      <w:r>
        <w:rPr>
          <w:rFonts w:hint="eastAsia"/>
          <w:highlight w:val="none"/>
        </w:rPr>
        <w:t>完成全县所有运营公交车辆（含城乡公交、旅游专线）北斗/GPS双模高精度定位终端换装。</w:t>
      </w:r>
    </w:p>
    <w:p w14:paraId="0323AF6E">
      <w:pPr>
        <w:pStyle w:val="5"/>
        <w:bidi w:val="0"/>
        <w:rPr>
          <w:rFonts w:hint="eastAsia"/>
          <w:highlight w:val="none"/>
        </w:rPr>
      </w:pPr>
      <w:r>
        <w:rPr>
          <w:rFonts w:hint="eastAsia"/>
          <w:highlight w:val="none"/>
        </w:rPr>
        <w:t>搭建智慧公交调度系统，实现车辆实时定位、智能调度、客流分析、运行监管一体化，提升公交运营效率与响应速度。</w:t>
      </w:r>
    </w:p>
    <w:p w14:paraId="2127205F">
      <w:pPr>
        <w:pStyle w:val="5"/>
        <w:bidi w:val="0"/>
        <w:rPr>
          <w:rFonts w:hint="eastAsia"/>
          <w:highlight w:val="none"/>
        </w:rPr>
      </w:pPr>
      <w:r>
        <w:rPr>
          <w:rFonts w:hint="eastAsia"/>
          <w:highlight w:val="none"/>
        </w:rPr>
        <w:t>升级改造智慧公交站台</w:t>
      </w:r>
      <w:r>
        <w:rPr>
          <w:rFonts w:hint="eastAsia"/>
          <w:highlight w:val="none"/>
          <w:lang w:val="en-US" w:eastAsia="zh-CN"/>
        </w:rPr>
        <w:t>1</w:t>
      </w:r>
      <w:r>
        <w:rPr>
          <w:rFonts w:hint="eastAsia"/>
          <w:highlight w:val="none"/>
        </w:rPr>
        <w:t>0个，配套电子站牌、实时公交信息显示、</w:t>
      </w:r>
      <w:r>
        <w:rPr>
          <w:rFonts w:hint="eastAsia"/>
          <w:highlight w:val="none"/>
          <w:lang w:val="en-US" w:eastAsia="zh-CN"/>
        </w:rPr>
        <w:t>无线</w:t>
      </w:r>
      <w:r>
        <w:rPr>
          <w:rFonts w:hint="eastAsia"/>
          <w:highlight w:val="none"/>
        </w:rPr>
        <w:t>充电等便民设施，改善候乘体验。</w:t>
      </w:r>
    </w:p>
    <w:p w14:paraId="49944397">
      <w:pPr>
        <w:pStyle w:val="5"/>
        <w:bidi w:val="0"/>
        <w:rPr>
          <w:rFonts w:hint="eastAsia"/>
          <w:highlight w:val="none"/>
        </w:rPr>
      </w:pPr>
      <w:r>
        <w:rPr>
          <w:rFonts w:hint="eastAsia"/>
          <w:highlight w:val="none"/>
        </w:rPr>
        <w:t>开通线上定制公交服务，精准对接通勤、就医、文旅等个性化出行需求，丰富公交服务供给。</w:t>
      </w:r>
    </w:p>
    <w:p w14:paraId="0728DF79">
      <w:pPr>
        <w:pStyle w:val="5"/>
        <w:bidi w:val="0"/>
        <w:rPr>
          <w:rFonts w:hint="eastAsia" w:eastAsia="方正仿宋_GBK"/>
          <w:highlight w:val="none"/>
          <w:lang w:eastAsia="zh-CN"/>
        </w:rPr>
      </w:pPr>
      <w:r>
        <w:rPr>
          <w:rFonts w:hint="eastAsia"/>
          <w:highlight w:val="none"/>
        </w:rPr>
        <w:t>优化公交车服务能力，提供公交车语音播报服务，分批次完成主要交通干线、旅游专线公交车语音自动播报系统安装，到站前、起步后对到站信息进行播报</w:t>
      </w:r>
      <w:r>
        <w:rPr>
          <w:rFonts w:hint="eastAsia"/>
          <w:highlight w:val="none"/>
          <w:lang w:eastAsia="zh-CN"/>
        </w:rPr>
        <w:t>。</w:t>
      </w:r>
    </w:p>
    <w:p w14:paraId="452C9CE3">
      <w:pPr>
        <w:pStyle w:val="5"/>
        <w:bidi w:val="0"/>
        <w:rPr>
          <w:rFonts w:hint="eastAsia"/>
          <w:highlight w:val="none"/>
        </w:rPr>
      </w:pPr>
      <w:r>
        <w:rPr>
          <w:rFonts w:hint="eastAsia"/>
          <w:b/>
          <w:bCs/>
          <w:highlight w:val="none"/>
        </w:rPr>
        <w:t>进一步提高城乡客运一体化水平。</w:t>
      </w:r>
      <w:r>
        <w:rPr>
          <w:rFonts w:hint="eastAsia"/>
          <w:b w:val="0"/>
          <w:bCs w:val="0"/>
          <w:highlight w:val="none"/>
        </w:rPr>
        <w:t>助力石林“旅游强县”跨越发展，加快打造“天然氧吧·旅居石林”特色标杆，不断改善城乡道路网络和路面质量。调整优化现有公交线路</w:t>
      </w:r>
      <w:r>
        <w:rPr>
          <w:rFonts w:hint="eastAsia"/>
          <w:b w:val="0"/>
          <w:bCs w:val="0"/>
          <w:highlight w:val="none"/>
          <w:lang w:eastAsia="zh-CN"/>
        </w:rPr>
        <w:t>，</w:t>
      </w:r>
      <w:r>
        <w:rPr>
          <w:rFonts w:hint="eastAsia"/>
          <w:highlight w:val="none"/>
        </w:rPr>
        <w:t>巩固建制村通客车比例始终保持100%，进一步提高农村客运车辆动态监控率，推进公交化改造，优化小型化公交运营，扩大偏远片区覆盖。</w:t>
      </w:r>
    </w:p>
    <w:p w14:paraId="14A76598">
      <w:pPr>
        <w:pStyle w:val="5"/>
        <w:bidi w:val="0"/>
        <w:rPr>
          <w:rFonts w:hint="eastAsia"/>
          <w:highlight w:val="none"/>
        </w:rPr>
      </w:pPr>
      <w:r>
        <w:rPr>
          <w:rFonts w:hint="eastAsia"/>
          <w:b/>
          <w:bCs/>
          <w:highlight w:val="none"/>
        </w:rPr>
        <w:t>提升无障碍设施服务水平。</w:t>
      </w:r>
      <w:r>
        <w:rPr>
          <w:rFonts w:hint="eastAsia"/>
          <w:highlight w:val="none"/>
          <w:lang w:val="en-US" w:eastAsia="zh-CN"/>
        </w:rPr>
        <w:t>加强</w:t>
      </w:r>
      <w:r>
        <w:rPr>
          <w:rFonts w:hint="eastAsia"/>
          <w:highlight w:val="none"/>
        </w:rPr>
        <w:t>无障碍设施系统建设，完善配套装备设备，为公交车增设车身外置喇叭及语音报站功能，便利视障人士识别乘车；推进公共交通无障碍设施升级改造，健全适老化出行服务体系，持续提升特殊人群、老龄人群出行便利度与服务品质。</w:t>
      </w:r>
    </w:p>
    <w:p w14:paraId="79C13F7C">
      <w:pPr>
        <w:pStyle w:val="4"/>
        <w:bidi w:val="0"/>
        <w:rPr>
          <w:rFonts w:hint="eastAsia"/>
          <w:highlight w:val="none"/>
          <w:lang w:val="en-US" w:eastAsia="zh-CN"/>
        </w:rPr>
      </w:pPr>
      <w:r>
        <w:rPr>
          <w:rFonts w:hint="eastAsia"/>
          <w:highlight w:val="none"/>
          <w:lang w:val="en-US" w:eastAsia="zh-CN"/>
        </w:rPr>
        <w:t>5.重塑旅游公交运营体系</w:t>
      </w:r>
    </w:p>
    <w:p w14:paraId="28C4A6C3">
      <w:pPr>
        <w:pStyle w:val="5"/>
        <w:bidi w:val="0"/>
        <w:rPr>
          <w:rFonts w:hint="eastAsia"/>
          <w:highlight w:val="none"/>
        </w:rPr>
      </w:pPr>
      <w:r>
        <w:rPr>
          <w:rFonts w:hint="eastAsia"/>
          <w:highlight w:val="none"/>
        </w:rPr>
        <w:t>一是“高铁快线”提质升级。将石林西站—石林风景区旅游专线（现99路）优化为大站快车，精简停靠站点，将全程通行时间控制在30分钟以内，精准对接高铁到站时刻表，末班车发车时间不早于21:00，实现高铁与旅游交通无缝衔接。</w:t>
      </w:r>
    </w:p>
    <w:p w14:paraId="73828FDA">
      <w:pPr>
        <w:pStyle w:val="5"/>
        <w:bidi w:val="0"/>
        <w:rPr>
          <w:rFonts w:hint="eastAsia"/>
          <w:highlight w:val="none"/>
        </w:rPr>
      </w:pPr>
      <w:r>
        <w:rPr>
          <w:rFonts w:hint="eastAsia"/>
          <w:highlight w:val="none"/>
        </w:rPr>
        <w:t>二是完善北部景区循环公交。优化石林西站—石林风景区—台创园旅游公交直通车线路，在各核心旅游景区增设公交站台（点），构建覆盖石林风景区、冰雪海洋世界、彝族第一村、乃古石林、杏林大观园、万家欢的环形旅游公交网络，提升景区间通行效率。</w:t>
      </w:r>
    </w:p>
    <w:p w14:paraId="6A9D35D3">
      <w:pPr>
        <w:pStyle w:val="5"/>
        <w:bidi w:val="0"/>
        <w:rPr>
          <w:rFonts w:hint="eastAsia"/>
          <w:highlight w:val="none"/>
        </w:rPr>
      </w:pPr>
      <w:r>
        <w:rPr>
          <w:rFonts w:hint="eastAsia"/>
          <w:highlight w:val="none"/>
        </w:rPr>
        <w:t>三是推行喀斯特旅游专线预约公交。针对长湖、大叠水、圭山森林公园、糯黑石头寨等分散景点及特色旅游村寨，依托数字化手段推行“网约公交”“定制公交”模式，游客可通过小程序或公交公司提前预约，采用“定站不定线”运营方式，优化运力配置，有效降低常规公交空驶率，提升旅游出行便捷度。</w:t>
      </w:r>
    </w:p>
    <w:tbl>
      <w:tblPr>
        <w:tblStyle w:val="21"/>
        <w:tblW w:w="830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02"/>
      </w:tblGrid>
      <w:tr w14:paraId="554FB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2" w:type="dxa"/>
          </w:tcPr>
          <w:p w14:paraId="62D0AD02">
            <w:pPr>
              <w:jc w:val="center"/>
              <w:rPr>
                <w:rFonts w:hint="eastAsia" w:ascii="宋体" w:hAnsi="宋体" w:eastAsia="方正黑体_GBK"/>
                <w:highlight w:val="none"/>
                <w:lang w:val="en-US" w:eastAsia="zh-CN"/>
              </w:rPr>
            </w:pPr>
            <w:r>
              <w:rPr>
                <w:rFonts w:hint="eastAsia" w:ascii="宋体" w:hAnsi="宋体" w:eastAsia="方正黑体_GBK"/>
                <w:sz w:val="28"/>
                <w:szCs w:val="28"/>
                <w:highlight w:val="none"/>
              </w:rPr>
              <w:t>专栏</w:t>
            </w:r>
            <w:r>
              <w:rPr>
                <w:rFonts w:hint="eastAsia" w:ascii="宋体" w:hAnsi="宋体" w:eastAsia="方正黑体_GBK"/>
                <w:sz w:val="28"/>
                <w:szCs w:val="28"/>
                <w:highlight w:val="none"/>
                <w:lang w:val="en-US" w:eastAsia="zh-CN"/>
              </w:rPr>
              <w:t>8</w:t>
            </w:r>
            <w:r>
              <w:rPr>
                <w:rFonts w:hint="eastAsia" w:ascii="宋体" w:hAnsi="宋体" w:eastAsia="方正黑体_GBK"/>
                <w:sz w:val="28"/>
                <w:szCs w:val="28"/>
                <w:highlight w:val="none"/>
              </w:rPr>
              <w:t>“十五五”期</w:t>
            </w:r>
            <w:r>
              <w:rPr>
                <w:rFonts w:hint="eastAsia" w:ascii="宋体" w:hAnsi="宋体" w:eastAsia="方正黑体_GBK"/>
                <w:sz w:val="28"/>
                <w:szCs w:val="28"/>
                <w:highlight w:val="none"/>
                <w:lang w:val="en-US" w:eastAsia="zh-CN"/>
              </w:rPr>
              <w:t>综合运输</w:t>
            </w:r>
            <w:r>
              <w:rPr>
                <w:rFonts w:hint="eastAsia" w:ascii="宋体" w:hAnsi="宋体" w:eastAsia="方正黑体_GBK"/>
                <w:sz w:val="28"/>
                <w:szCs w:val="28"/>
                <w:highlight w:val="none"/>
              </w:rPr>
              <w:t>发展重点</w:t>
            </w:r>
            <w:r>
              <w:rPr>
                <w:rFonts w:hint="eastAsia" w:ascii="宋体" w:hAnsi="宋体" w:eastAsia="方正黑体_GBK"/>
                <w:sz w:val="28"/>
                <w:szCs w:val="28"/>
                <w:highlight w:val="none"/>
                <w:lang w:val="en-US" w:eastAsia="zh-CN"/>
              </w:rPr>
              <w:t>项目</w:t>
            </w:r>
          </w:p>
        </w:tc>
      </w:tr>
      <w:tr w14:paraId="6F655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302" w:type="dxa"/>
          </w:tcPr>
          <w:p w14:paraId="5182C883">
            <w:pPr>
              <w:spacing w:line="580" w:lineRule="exact"/>
              <w:ind w:firstLine="560" w:firstLineChars="200"/>
              <w:rPr>
                <w:rFonts w:hint="eastAsia" w:ascii="宋体" w:hAnsi="宋体" w:eastAsia="方正仿宋_GBK"/>
                <w:sz w:val="28"/>
                <w:szCs w:val="28"/>
                <w:highlight w:val="none"/>
                <w:lang w:val="en-US" w:eastAsia="zh-CN"/>
              </w:rPr>
            </w:pPr>
            <w:r>
              <w:rPr>
                <w:rFonts w:hint="eastAsia" w:ascii="宋体" w:hAnsi="宋体" w:eastAsia="方正仿宋_GBK"/>
                <w:sz w:val="28"/>
                <w:szCs w:val="28"/>
                <w:highlight w:val="none"/>
              </w:rPr>
              <w:t>1.</w:t>
            </w:r>
            <w:r>
              <w:rPr>
                <w:rFonts w:hint="eastAsia" w:ascii="宋体" w:hAnsi="宋体" w:eastAsia="方正仿宋_GBK"/>
                <w:sz w:val="28"/>
                <w:szCs w:val="28"/>
                <w:highlight w:val="none"/>
                <w:lang w:val="en-US" w:eastAsia="zh-CN"/>
              </w:rPr>
              <w:t>公共交通：完成全县运营车辆定位终端换装，推进智慧公交建设，搭建智慧公交调度系统；升级改造智慧公交站台10个，开通线上定制公交服务。</w:t>
            </w:r>
          </w:p>
          <w:p w14:paraId="5D5A6A22">
            <w:pPr>
              <w:spacing w:line="580" w:lineRule="exact"/>
              <w:ind w:firstLine="560" w:firstLineChars="200"/>
              <w:rPr>
                <w:rFonts w:hint="eastAsia" w:ascii="宋体" w:hAnsi="宋体" w:eastAsia="方正仿宋_GBK"/>
                <w:sz w:val="28"/>
                <w:szCs w:val="28"/>
                <w:highlight w:val="none"/>
                <w:lang w:eastAsia="zh-CN"/>
              </w:rPr>
            </w:pPr>
            <w:r>
              <w:rPr>
                <w:rFonts w:hint="eastAsia" w:ascii="宋体" w:hAnsi="宋体" w:eastAsia="方正仿宋_GBK"/>
                <w:sz w:val="28"/>
                <w:szCs w:val="28"/>
                <w:highlight w:val="none"/>
                <w:lang w:val="en-US" w:eastAsia="zh-CN"/>
              </w:rPr>
              <w:t>2</w:t>
            </w:r>
            <w:r>
              <w:rPr>
                <w:rFonts w:hint="eastAsia" w:ascii="宋体" w:hAnsi="宋体" w:eastAsia="方正仿宋_GBK"/>
                <w:sz w:val="28"/>
                <w:szCs w:val="28"/>
                <w:highlight w:val="none"/>
              </w:rPr>
              <w:t>.</w:t>
            </w:r>
            <w:r>
              <w:rPr>
                <w:rFonts w:hint="eastAsia" w:ascii="宋体" w:hAnsi="宋体" w:eastAsia="方正仿宋_GBK"/>
                <w:sz w:val="28"/>
                <w:szCs w:val="28"/>
                <w:highlight w:val="none"/>
                <w:lang w:val="en-US" w:eastAsia="zh-CN"/>
              </w:rPr>
              <w:t>城乡客货邮融合</w:t>
            </w:r>
            <w:r>
              <w:rPr>
                <w:rFonts w:hint="eastAsia" w:ascii="宋体" w:hAnsi="宋体" w:eastAsia="方正仿宋_GBK"/>
                <w:sz w:val="28"/>
                <w:szCs w:val="28"/>
                <w:highlight w:val="none"/>
              </w:rPr>
              <w:t>发展</w:t>
            </w:r>
            <w:r>
              <w:rPr>
                <w:rFonts w:hint="eastAsia" w:ascii="宋体" w:hAnsi="宋体" w:eastAsia="方正仿宋_GBK"/>
                <w:sz w:val="28"/>
                <w:szCs w:val="28"/>
                <w:highlight w:val="none"/>
                <w:lang w:eastAsia="zh-CN"/>
              </w:rPr>
              <w:t>：</w:t>
            </w:r>
            <w:r>
              <w:rPr>
                <w:rFonts w:hint="eastAsia" w:ascii="宋体" w:hAnsi="宋体" w:eastAsia="方正仿宋_GBK"/>
                <w:sz w:val="28"/>
                <w:szCs w:val="28"/>
                <w:highlight w:val="none"/>
                <w:lang w:val="en-US" w:eastAsia="zh-CN"/>
              </w:rPr>
              <w:t>建成</w:t>
            </w:r>
            <w:r>
              <w:rPr>
                <w:rFonts w:hint="eastAsia" w:ascii="宋体" w:hAnsi="宋体" w:eastAsia="方正仿宋_GBK"/>
                <w:sz w:val="28"/>
                <w:szCs w:val="28"/>
                <w:highlight w:val="none"/>
                <w:lang w:eastAsia="zh-CN"/>
              </w:rPr>
              <w:t>石林县客货邮寄递物流公共配送中心、乡镇客货邮综合服务站</w:t>
            </w:r>
            <w:r>
              <w:rPr>
                <w:rFonts w:hint="eastAsia" w:ascii="宋体" w:hAnsi="宋体" w:eastAsia="方正仿宋_GBK"/>
                <w:sz w:val="28"/>
                <w:szCs w:val="28"/>
                <w:highlight w:val="none"/>
                <w:lang w:val="en-US" w:eastAsia="zh-CN"/>
              </w:rPr>
              <w:t>等</w:t>
            </w:r>
            <w:r>
              <w:rPr>
                <w:rFonts w:hint="eastAsia" w:ascii="宋体" w:hAnsi="宋体" w:eastAsia="方正仿宋_GBK"/>
                <w:sz w:val="28"/>
                <w:szCs w:val="28"/>
                <w:highlight w:val="none"/>
                <w:lang w:eastAsia="zh-CN"/>
              </w:rPr>
              <w:t>建设项目、</w:t>
            </w:r>
            <w:r>
              <w:rPr>
                <w:rFonts w:hint="eastAsia" w:ascii="宋体" w:hAnsi="宋体" w:eastAsia="方正仿宋_GBK"/>
                <w:sz w:val="28"/>
                <w:szCs w:val="28"/>
                <w:highlight w:val="none"/>
                <w:lang w:val="en-US" w:eastAsia="zh-CN"/>
              </w:rPr>
              <w:t>稳步推进</w:t>
            </w:r>
            <w:r>
              <w:rPr>
                <w:rFonts w:hint="eastAsia" w:ascii="宋体" w:hAnsi="宋体" w:eastAsia="方正仿宋_GBK"/>
                <w:sz w:val="28"/>
                <w:szCs w:val="28"/>
                <w:highlight w:val="none"/>
                <w:lang w:eastAsia="zh-CN"/>
              </w:rPr>
              <w:t>村级客货邮寄递物流综合服务站建设项目，</w:t>
            </w:r>
            <w:r>
              <w:rPr>
                <w:rFonts w:hint="eastAsia" w:ascii="宋体" w:hAnsi="宋体" w:eastAsia="方正仿宋_GBK"/>
                <w:sz w:val="28"/>
                <w:szCs w:val="28"/>
                <w:highlight w:val="none"/>
                <w:lang w:val="en-US" w:eastAsia="zh-CN"/>
              </w:rPr>
              <w:t>积极推动</w:t>
            </w:r>
            <w:r>
              <w:rPr>
                <w:rFonts w:hint="eastAsia" w:ascii="宋体" w:hAnsi="宋体" w:eastAsia="方正仿宋_GBK"/>
                <w:sz w:val="28"/>
                <w:szCs w:val="28"/>
                <w:highlight w:val="none"/>
              </w:rPr>
              <w:t>客货邮融合公交车改造项目</w:t>
            </w:r>
            <w:r>
              <w:rPr>
                <w:rFonts w:hint="eastAsia" w:ascii="宋体" w:hAnsi="宋体" w:eastAsia="方正仿宋_GBK"/>
                <w:sz w:val="28"/>
                <w:szCs w:val="28"/>
                <w:highlight w:val="none"/>
                <w:lang w:eastAsia="zh-CN"/>
              </w:rPr>
              <w:t>。</w:t>
            </w:r>
          </w:p>
          <w:p w14:paraId="6C36AD29">
            <w:pPr>
              <w:spacing w:line="580" w:lineRule="exact"/>
              <w:ind w:firstLine="560" w:firstLineChars="200"/>
              <w:rPr>
                <w:rFonts w:hint="eastAsia" w:ascii="宋体" w:hAnsi="宋体" w:eastAsia="方正仿宋_GBK"/>
                <w:sz w:val="28"/>
                <w:szCs w:val="28"/>
                <w:highlight w:val="none"/>
                <w:lang w:eastAsia="zh-CN"/>
              </w:rPr>
            </w:pPr>
            <w:r>
              <w:rPr>
                <w:rFonts w:hint="eastAsia" w:ascii="宋体" w:hAnsi="宋体" w:eastAsia="方正仿宋_GBK"/>
                <w:sz w:val="28"/>
                <w:szCs w:val="28"/>
                <w:highlight w:val="none"/>
                <w:lang w:val="en-US" w:eastAsia="zh-CN"/>
              </w:rPr>
              <w:t>3</w:t>
            </w:r>
            <w:r>
              <w:rPr>
                <w:rFonts w:hint="eastAsia" w:ascii="宋体" w:hAnsi="宋体" w:eastAsia="方正仿宋_GBK"/>
                <w:sz w:val="28"/>
                <w:szCs w:val="28"/>
                <w:highlight w:val="none"/>
                <w:lang w:eastAsia="zh-CN"/>
              </w:rPr>
              <w:t>.客运设施更新改造</w:t>
            </w:r>
          </w:p>
          <w:p w14:paraId="6B188ACD">
            <w:pPr>
              <w:spacing w:line="580" w:lineRule="exact"/>
              <w:ind w:firstLine="560" w:firstLineChars="200"/>
              <w:rPr>
                <w:rFonts w:hint="eastAsia" w:ascii="宋体" w:hAnsi="宋体" w:eastAsia="方正仿宋_GBK"/>
                <w:sz w:val="28"/>
                <w:szCs w:val="28"/>
                <w:highlight w:val="none"/>
                <w:lang w:eastAsia="zh-CN"/>
              </w:rPr>
            </w:pPr>
            <w:r>
              <w:rPr>
                <w:rFonts w:hint="eastAsia" w:ascii="宋体" w:hAnsi="宋体" w:eastAsia="方正仿宋_GBK"/>
                <w:sz w:val="28"/>
                <w:szCs w:val="28"/>
                <w:highlight w:val="none"/>
                <w:lang w:eastAsia="zh-CN"/>
              </w:rPr>
              <w:t>完成石林西站客运提质工程，根据客流分析结果相应扩建候车厅面积、增加公共卫生间厕位，保障旅客正常需要；优化调整城乡公交线路，同步更新改造公交车站台、站牌。</w:t>
            </w:r>
          </w:p>
        </w:tc>
      </w:tr>
    </w:tbl>
    <w:p w14:paraId="2851FFD7">
      <w:pPr>
        <w:pStyle w:val="3"/>
        <w:numPr>
          <w:ilvl w:val="0"/>
          <w:numId w:val="0"/>
        </w:numPr>
        <w:bidi w:val="0"/>
        <w:ind w:left="0" w:leftChars="0" w:firstLine="640" w:firstLineChars="200"/>
        <w:rPr>
          <w:rFonts w:hint="eastAsia"/>
          <w:highlight w:val="none"/>
          <w:lang w:val="en-US" w:eastAsia="zh-CN"/>
        </w:rPr>
      </w:pPr>
      <w:bookmarkStart w:id="80" w:name="_Toc2028"/>
      <w:r>
        <w:rPr>
          <w:rFonts w:hint="eastAsia" w:ascii="宋体" w:hAnsi="宋体" w:eastAsia="方正楷体_GBK" w:cstheme="majorBidi"/>
          <w:bCs/>
          <w:kern w:val="2"/>
          <w:sz w:val="32"/>
          <w:szCs w:val="32"/>
          <w:highlight w:val="none"/>
          <w:lang w:val="en-US" w:eastAsia="zh-CN" w:bidi="ar-SA"/>
        </w:rPr>
        <w:t>（六）</w:t>
      </w:r>
      <w:r>
        <w:rPr>
          <w:rFonts w:hint="eastAsia"/>
          <w:highlight w:val="none"/>
        </w:rPr>
        <w:t>推进交通运输</w:t>
      </w:r>
      <w:bookmarkEnd w:id="69"/>
      <w:bookmarkEnd w:id="70"/>
      <w:bookmarkEnd w:id="71"/>
      <w:bookmarkEnd w:id="72"/>
      <w:bookmarkStart w:id="81" w:name="_Hlk194869458"/>
      <w:r>
        <w:rPr>
          <w:rFonts w:hint="eastAsia"/>
          <w:highlight w:val="none"/>
        </w:rPr>
        <w:t>数字绿色转型</w:t>
      </w:r>
      <w:bookmarkEnd w:id="80"/>
    </w:p>
    <w:p w14:paraId="7ED02901">
      <w:pPr>
        <w:pStyle w:val="5"/>
        <w:bidi w:val="0"/>
        <w:rPr>
          <w:rFonts w:hint="eastAsia"/>
          <w:highlight w:val="none"/>
          <w:lang w:val="en-US" w:eastAsia="zh-CN"/>
        </w:rPr>
      </w:pPr>
      <w:r>
        <w:rPr>
          <w:rFonts w:hint="eastAsia"/>
          <w:highlight w:val="none"/>
          <w:lang w:val="en-US" w:eastAsia="zh-CN"/>
        </w:rPr>
        <w:t>立足石林县国家数字乡村试点建设契机，以信息基础设施建设为支撑，推动交通行业与数字技术深度融合，同时深入践行绿色发展理念，推动交通运输绿色低碳转型，构建便捷高效、安全可靠、绿色低碳的城乡综合交通体系。</w:t>
      </w:r>
    </w:p>
    <w:p w14:paraId="54B47AA2">
      <w:pPr>
        <w:pStyle w:val="4"/>
        <w:bidi w:val="0"/>
        <w:rPr>
          <w:rFonts w:hint="eastAsia"/>
          <w:highlight w:val="none"/>
          <w:lang w:val="en-US" w:eastAsia="zh-CN"/>
        </w:rPr>
      </w:pPr>
      <w:r>
        <w:rPr>
          <w:rFonts w:hint="eastAsia"/>
          <w:highlight w:val="none"/>
          <w:lang w:val="en-US" w:eastAsia="zh-CN"/>
        </w:rPr>
        <w:t>1.推进交通运输数字化转型</w:t>
      </w:r>
    </w:p>
    <w:p w14:paraId="3680987D">
      <w:pPr>
        <w:pStyle w:val="5"/>
        <w:bidi w:val="0"/>
        <w:rPr>
          <w:rFonts w:hint="default"/>
          <w:highlight w:val="none"/>
          <w:lang w:val="en-US" w:eastAsia="zh-CN"/>
        </w:rPr>
      </w:pPr>
      <w:r>
        <w:rPr>
          <w:rFonts w:hint="eastAsia"/>
          <w:highlight w:val="none"/>
          <w:lang w:val="en-US" w:eastAsia="zh-CN"/>
        </w:rPr>
        <w:t>（1）提升交通基础设施数字化水平。</w:t>
      </w:r>
    </w:p>
    <w:p w14:paraId="738CC03F">
      <w:pPr>
        <w:pStyle w:val="5"/>
        <w:bidi w:val="0"/>
        <w:rPr>
          <w:rFonts w:hint="eastAsia"/>
          <w:highlight w:val="none"/>
          <w:lang w:val="en-US" w:eastAsia="zh-CN"/>
        </w:rPr>
      </w:pPr>
      <w:r>
        <w:rPr>
          <w:rFonts w:hint="eastAsia"/>
          <w:highlight w:val="none"/>
          <w:lang w:val="en-US" w:eastAsia="zh-CN"/>
        </w:rPr>
        <w:t>加强大数据、云计算、物联网、5G等技术在交通基础设施建设运维中的融合应用，推进交通基础设施信号升格与网络覆盖提质。重点实现国省道、农村公路重要路段、公路服务区、景区节点、收费站、桥梁隧道等关键点位移动网络连续覆盖；推广智能建造装备应用，普及智慧监控、智慧围栏、智能监测等技术，实施石林县智慧公路建设工程，推进国省道、重点农村公路数字化，在重点路段部署毫米波雷达、复合型电子警察，构建全路段实时监测网络，提升交通工程建设与管养智能化水平。</w:t>
      </w:r>
    </w:p>
    <w:p w14:paraId="13F9C8E0">
      <w:pPr>
        <w:pStyle w:val="5"/>
        <w:bidi w:val="0"/>
        <w:rPr>
          <w:rFonts w:hint="eastAsia"/>
          <w:highlight w:val="none"/>
          <w:lang w:val="en-US" w:eastAsia="zh-CN"/>
        </w:rPr>
      </w:pPr>
      <w:r>
        <w:rPr>
          <w:rFonts w:hint="eastAsia"/>
          <w:highlight w:val="none"/>
          <w:lang w:val="en-US" w:eastAsia="zh-CN"/>
        </w:rPr>
        <w:t>（2）打造智慧旅游交通服务体系</w:t>
      </w:r>
    </w:p>
    <w:p w14:paraId="37557771">
      <w:pPr>
        <w:pStyle w:val="5"/>
        <w:bidi w:val="0"/>
        <w:rPr>
          <w:rFonts w:hint="eastAsia"/>
          <w:highlight w:val="none"/>
          <w:lang w:val="en-US" w:eastAsia="zh-CN"/>
        </w:rPr>
      </w:pPr>
      <w:r>
        <w:rPr>
          <w:rFonts w:hint="eastAsia"/>
          <w:highlight w:val="none"/>
          <w:lang w:val="en-US" w:eastAsia="zh-CN"/>
        </w:rPr>
        <w:t>推动交通与文旅深度融合，对接“阿诗玛游石林”数字文旅平台，构建吃住行一体化融合服务平台，实现票务预订、交通接驳、餐饮住宿、景区导览“一屏通办、一证通行”。交通配套方面，重点优化15个重点村寨、22条“景区+红色教育”线路的交通配套服务能力，在沿线增设12个配套电子站牌的智慧候车亭，完善交通标识（景区指引、限速、避险提示）；开通3条定制旅游专线、5条景区直通车，强化客运站与核心景区、航空文旅小镇、乡村旅游点的无缝衔接，完善错峰出行、客流疏导、停车保障机制，新增景区临时停车位200个，提升“智慧游乡村”体验。</w:t>
      </w:r>
    </w:p>
    <w:p w14:paraId="429190BE">
      <w:pPr>
        <w:pStyle w:val="5"/>
        <w:bidi w:val="0"/>
        <w:rPr>
          <w:rFonts w:hint="eastAsia"/>
          <w:highlight w:val="none"/>
          <w:lang w:val="en-US" w:eastAsia="zh-CN"/>
        </w:rPr>
      </w:pPr>
      <w:r>
        <w:rPr>
          <w:rFonts w:hint="eastAsia"/>
          <w:highlight w:val="none"/>
          <w:lang w:val="en-US" w:eastAsia="zh-CN"/>
        </w:rPr>
        <w:t>（3）智慧交通赋能乡村振兴</w:t>
      </w:r>
    </w:p>
    <w:p w14:paraId="7EFA3E74">
      <w:pPr>
        <w:pStyle w:val="5"/>
        <w:bidi w:val="0"/>
        <w:rPr>
          <w:rFonts w:hint="eastAsia"/>
          <w:highlight w:val="none"/>
          <w:lang w:val="en-US" w:eastAsia="zh-CN"/>
        </w:rPr>
      </w:pPr>
      <w:r>
        <w:rPr>
          <w:rFonts w:hint="eastAsia"/>
          <w:highlight w:val="none"/>
          <w:lang w:val="en-US" w:eastAsia="zh-CN"/>
        </w:rPr>
        <w:t>接入昆明市“四好农村路”高质量发展养护系统，推进农村公路养护数字化管理，实现路况监测、养护调度、资金使用等全流程智能化。将农村交通应急管理融入应急智慧广播体系，依托县乡村组四级传播体系，及时发布路况预警、灾害天气交通管制、应急疏散等信息，提升农村交通应急保障能力。</w:t>
      </w:r>
    </w:p>
    <w:p w14:paraId="15AA21AA">
      <w:pPr>
        <w:pStyle w:val="5"/>
        <w:bidi w:val="0"/>
        <w:rPr>
          <w:rFonts w:hint="default"/>
          <w:highlight w:val="none"/>
          <w:lang w:val="en-US" w:eastAsia="zh-CN"/>
        </w:rPr>
      </w:pPr>
      <w:r>
        <w:rPr>
          <w:rFonts w:hint="eastAsia"/>
          <w:highlight w:val="none"/>
          <w:lang w:val="en-US" w:eastAsia="zh-CN"/>
        </w:rPr>
        <w:t>（4）搭建智慧一体化管理、服务平台</w:t>
      </w:r>
    </w:p>
    <w:p w14:paraId="03E5CF9D">
      <w:pPr>
        <w:pStyle w:val="5"/>
        <w:bidi w:val="0"/>
        <w:rPr>
          <w:rFonts w:hint="eastAsia"/>
          <w:highlight w:val="none"/>
          <w:lang w:val="en-US" w:eastAsia="zh-CN"/>
        </w:rPr>
      </w:pPr>
      <w:r>
        <w:rPr>
          <w:rFonts w:hint="eastAsia"/>
          <w:highlight w:val="none"/>
          <w:lang w:val="en-US" w:eastAsia="zh-CN"/>
        </w:rPr>
        <w:t>构建市级指挥中心县级协同节点：依托昆明市智慧交通大数据中心，搭建石林县协同服务端口，对接县网格化综合监管指挥中心交通监管资源，运用云计算、大数据技术实现交通事件精准定位、一键调取与智能可视调度，实现数据互通、协同调度、统一监管，有效降低建设成本，提升跨层级交通治理协同效能。</w:t>
      </w:r>
    </w:p>
    <w:p w14:paraId="2E817DDC">
      <w:pPr>
        <w:pStyle w:val="5"/>
        <w:bidi w:val="0"/>
        <w:rPr>
          <w:rFonts w:hint="eastAsia"/>
          <w:highlight w:val="none"/>
          <w:lang w:val="en-US" w:eastAsia="zh-CN"/>
        </w:rPr>
      </w:pPr>
      <w:r>
        <w:rPr>
          <w:rFonts w:hint="eastAsia"/>
          <w:highlight w:val="none"/>
          <w:lang w:val="en-US" w:eastAsia="zh-CN"/>
        </w:rPr>
        <w:t>打造石林县综合智慧交通服务平台，平台整合公交运营、网络预约客运、智慧停车、车辆维修清洗（线上预约、上门维保、标准化洗车）、充换电服务等出行资源，实现“出行+服务”全链条线上化、一体化。</w:t>
      </w:r>
    </w:p>
    <w:p w14:paraId="0B04227F">
      <w:pPr>
        <w:pStyle w:val="5"/>
        <w:bidi w:val="0"/>
        <w:rPr>
          <w:rFonts w:hint="eastAsia"/>
          <w:highlight w:val="none"/>
          <w:lang w:val="en-US" w:eastAsia="zh-CN"/>
        </w:rPr>
      </w:pPr>
      <w:r>
        <w:rPr>
          <w:rFonts w:hint="eastAsia"/>
          <w:highlight w:val="none"/>
          <w:lang w:val="en-US" w:eastAsia="zh-CN"/>
        </w:rPr>
        <w:t>（5）打造智慧物流网络。</w:t>
      </w:r>
    </w:p>
    <w:p w14:paraId="1FBFFA18">
      <w:pPr>
        <w:pStyle w:val="5"/>
        <w:bidi w:val="0"/>
        <w:rPr>
          <w:rFonts w:hint="eastAsia"/>
          <w:highlight w:val="none"/>
          <w:lang w:val="en-US" w:eastAsia="zh-CN"/>
        </w:rPr>
      </w:pPr>
      <w:r>
        <w:rPr>
          <w:rFonts w:hint="eastAsia"/>
          <w:highlight w:val="none"/>
          <w:lang w:val="en-US" w:eastAsia="zh-CN"/>
        </w:rPr>
        <w:t>推进货运枢纽智能化升级，实施石林南站物流园智慧物流信息平台建设项目，在石林南站物流园、宜奈站物流园搭建数字化、一体化、绿色化智慧物流平台，实现多式联运智能调度、电子货运单证“一单制”，整合物流资源、优化调度效率；鼓励寄递企业发展仓配一体化、智能分拣、无接触投递等新模式，在物流园配套建设智能分拣中心，提升物流效率、降低流通成本。</w:t>
      </w:r>
    </w:p>
    <w:bookmarkEnd w:id="81"/>
    <w:p w14:paraId="35791491">
      <w:pPr>
        <w:pStyle w:val="4"/>
        <w:numPr>
          <w:ilvl w:val="0"/>
          <w:numId w:val="0"/>
        </w:numPr>
        <w:bidi w:val="0"/>
        <w:ind w:left="0" w:leftChars="0" w:firstLine="643" w:firstLineChars="200"/>
        <w:rPr>
          <w:rFonts w:hint="eastAsia"/>
          <w:highlight w:val="none"/>
        </w:rPr>
      </w:pPr>
      <w:bookmarkStart w:id="82" w:name="_Toc26613"/>
      <w:bookmarkStart w:id="83" w:name="_Toc17731"/>
      <w:bookmarkStart w:id="84" w:name="_Toc29761"/>
      <w:r>
        <w:rPr>
          <w:rFonts w:hint="eastAsia"/>
          <w:highlight w:val="none"/>
          <w:lang w:val="en-US" w:eastAsia="zh-CN"/>
        </w:rPr>
        <w:t>2.</w:t>
      </w:r>
      <w:r>
        <w:rPr>
          <w:rFonts w:hint="eastAsia"/>
          <w:highlight w:val="none"/>
        </w:rPr>
        <w:t>推动交通运输绿色低碳发展</w:t>
      </w:r>
    </w:p>
    <w:p w14:paraId="14B23E5D">
      <w:pPr>
        <w:pStyle w:val="5"/>
        <w:bidi w:val="0"/>
        <w:rPr>
          <w:rFonts w:hint="eastAsia"/>
          <w:highlight w:val="none"/>
          <w:lang w:val="en-US" w:eastAsia="zh-CN"/>
        </w:rPr>
      </w:pPr>
      <w:bookmarkStart w:id="85" w:name="_Hlk194862057"/>
      <w:r>
        <w:rPr>
          <w:rFonts w:hint="eastAsia"/>
          <w:highlight w:val="none"/>
          <w:lang w:val="en-US" w:eastAsia="zh-CN"/>
        </w:rPr>
        <w:t>（1）构建绿色交通能源补给体系</w:t>
      </w:r>
    </w:p>
    <w:p w14:paraId="3D1AA981">
      <w:pPr>
        <w:pStyle w:val="5"/>
        <w:bidi w:val="0"/>
        <w:rPr>
          <w:rFonts w:hint="eastAsia"/>
          <w:b/>
          <w:bCs/>
          <w:highlight w:val="none"/>
          <w:lang w:val="en-US" w:eastAsia="zh-CN"/>
        </w:rPr>
      </w:pPr>
      <w:r>
        <w:rPr>
          <w:b/>
          <w:bCs/>
          <w:highlight w:val="none"/>
        </w:rPr>
        <w:t>——</w:t>
      </w:r>
      <w:r>
        <w:rPr>
          <w:rFonts w:hint="eastAsia"/>
          <w:b/>
          <w:bCs/>
          <w:highlight w:val="none"/>
          <w:lang w:val="en-US" w:eastAsia="zh-CN"/>
        </w:rPr>
        <w:t>推进新能源货运与重卡换电网络建设</w:t>
      </w:r>
    </w:p>
    <w:p w14:paraId="1E41C185">
      <w:pPr>
        <w:pStyle w:val="5"/>
        <w:bidi w:val="0"/>
        <w:rPr>
          <w:rFonts w:hint="eastAsia"/>
          <w:highlight w:val="none"/>
          <w:lang w:val="en-US" w:eastAsia="zh-CN"/>
        </w:rPr>
      </w:pPr>
      <w:r>
        <w:rPr>
          <w:rFonts w:hint="eastAsia"/>
          <w:highlight w:val="none"/>
          <w:lang w:val="en-US" w:eastAsia="zh-CN"/>
        </w:rPr>
        <w:t>谋划交通新能源、低碳数字化重点项目，在G324石林段、G326西街口段各建设1处换电重卡示范站，在新昆石高速石林服务区、石林南站物流园各建设1处大功率充电站，推广新能源重卡、电动配送车应用，打造2条县域绿色货运通道；分阶段更新公交、出租、定制客运、旅游大巴，到2030年实现城市公交新能源化率100%、出租车新能源化率90%以上，同步实施石林县新能源公交车及动力电池更新项目，争取新能源车企合作，落实补贴政策。</w:t>
      </w:r>
    </w:p>
    <w:p w14:paraId="19F0C6FF">
      <w:pPr>
        <w:pStyle w:val="5"/>
        <w:bidi w:val="0"/>
        <w:rPr>
          <w:rFonts w:hint="eastAsia"/>
          <w:highlight w:val="none"/>
          <w:lang w:val="en-US" w:eastAsia="zh-CN"/>
        </w:rPr>
      </w:pPr>
      <w:r>
        <w:rPr>
          <w:rFonts w:hint="eastAsia"/>
          <w:highlight w:val="none"/>
          <w:lang w:val="en-US" w:eastAsia="zh-CN"/>
        </w:rPr>
        <w:t>有序推进城市公交、城乡班线客运及旅游客运车辆迭代更新，到2030年实现城市公交新能源化率100%；严格执行出租汽车、网约车新增及更新车辆全部采用新能源车型的硬性要求；全面落实国家新能源公交车运营补贴延续政策，统筹推进石林县新能源公交车及动力电池更新改造项目，精准落地车辆更新配套补贴政策。</w:t>
      </w:r>
    </w:p>
    <w:p w14:paraId="1671DA4C">
      <w:pPr>
        <w:pStyle w:val="5"/>
        <w:bidi w:val="0"/>
        <w:rPr>
          <w:rFonts w:hint="eastAsia"/>
          <w:b/>
          <w:bCs/>
          <w:highlight w:val="none"/>
          <w:lang w:val="en-US" w:eastAsia="zh-CN"/>
        </w:rPr>
      </w:pPr>
      <w:r>
        <w:rPr>
          <w:b/>
          <w:bCs/>
          <w:highlight w:val="none"/>
        </w:rPr>
        <w:t>——</w:t>
      </w:r>
      <w:r>
        <w:rPr>
          <w:rFonts w:hint="eastAsia"/>
          <w:b/>
          <w:bCs/>
          <w:highlight w:val="none"/>
          <w:lang w:val="en-US" w:eastAsia="zh-CN"/>
        </w:rPr>
        <w:t>交通沿线分布式光伏开发利用</w:t>
      </w:r>
    </w:p>
    <w:p w14:paraId="6CB70A33">
      <w:pPr>
        <w:pStyle w:val="5"/>
        <w:bidi w:val="0"/>
        <w:rPr>
          <w:rFonts w:hint="eastAsia"/>
          <w:highlight w:val="none"/>
          <w:lang w:val="en-US" w:eastAsia="zh-CN"/>
        </w:rPr>
      </w:pPr>
      <w:r>
        <w:rPr>
          <w:rFonts w:hint="eastAsia"/>
          <w:highlight w:val="none"/>
          <w:lang w:val="en-US" w:eastAsia="zh-CN"/>
        </w:rPr>
        <w:t>实施新昆石高速、国省道沿线交通分布式光伏示范项目，依托新昆石高速、G324/G326国省道沿线服务区、收费站、场站屋顶、匝道圈、边坡闲置用地，实施“交通+光伏”工程，建设分布式光伏项目，每个服务区、收费站建设1处光伏电站，实现“自发自用、余电上网”，为场站照明、充换电设施、监控设备提供绿电支撑，降低运营能耗。</w:t>
      </w:r>
    </w:p>
    <w:p w14:paraId="5CE895F5">
      <w:pPr>
        <w:pStyle w:val="5"/>
        <w:bidi w:val="0"/>
        <w:rPr>
          <w:rFonts w:hint="eastAsia"/>
          <w:highlight w:val="none"/>
          <w:lang w:val="en-US" w:eastAsia="zh-CN"/>
        </w:rPr>
      </w:pPr>
      <w:r>
        <w:rPr>
          <w:rFonts w:hint="eastAsia"/>
          <w:highlight w:val="none"/>
          <w:lang w:val="en-US" w:eastAsia="zh-CN"/>
        </w:rPr>
        <w:t>（2）优化绿色运输与出行结构</w:t>
      </w:r>
    </w:p>
    <w:p w14:paraId="1B283311">
      <w:pPr>
        <w:pStyle w:val="5"/>
        <w:bidi w:val="0"/>
        <w:rPr>
          <w:rFonts w:hint="eastAsia"/>
          <w:highlight w:val="none"/>
          <w:lang w:val="en-US" w:eastAsia="zh-CN"/>
        </w:rPr>
      </w:pPr>
      <w:r>
        <w:rPr>
          <w:rFonts w:hint="eastAsia"/>
          <w:highlight w:val="none"/>
          <w:lang w:val="en-US" w:eastAsia="zh-CN"/>
        </w:rPr>
        <w:t>大力发展多式联运，推动大宗货物“公转铁”，鼓励共同配送、集中配送；深入实施公交优先战略，优化公交线网，推广小型化公交、定制客运，建设10个智慧公交站台（配套电子站牌、实时信息显示、便民服务设施）；开展绿色出行宣传，结合节能宣传周、绿色出行宣传月等活动，引导公众选择公交、骑行、步行等低碳出行方式。</w:t>
      </w:r>
    </w:p>
    <w:p w14:paraId="071FF91F">
      <w:pPr>
        <w:pStyle w:val="5"/>
        <w:bidi w:val="0"/>
        <w:rPr>
          <w:rFonts w:hint="eastAsia"/>
          <w:highlight w:val="none"/>
          <w:lang w:val="en-US" w:eastAsia="zh-CN"/>
        </w:rPr>
      </w:pPr>
      <w:r>
        <w:rPr>
          <w:rFonts w:hint="eastAsia"/>
          <w:highlight w:val="none"/>
          <w:lang w:val="en-US" w:eastAsia="zh-CN"/>
        </w:rPr>
        <w:t>（3）强化交通污染防治与节能减排</w:t>
      </w:r>
    </w:p>
    <w:p w14:paraId="7797CE0B">
      <w:pPr>
        <w:pStyle w:val="5"/>
        <w:bidi w:val="0"/>
        <w:rPr>
          <w:rFonts w:hint="eastAsia" w:ascii="宋体" w:hAnsi="宋体" w:eastAsia="方正仿宋_GBK" w:cs="方正仿宋_GBK"/>
          <w:szCs w:val="32"/>
          <w:highlight w:val="none"/>
        </w:rPr>
      </w:pPr>
      <w:r>
        <w:rPr>
          <w:rFonts w:hint="eastAsia"/>
          <w:highlight w:val="none"/>
          <w:lang w:val="en-US" w:eastAsia="zh-CN"/>
        </w:rPr>
        <w:t>严格执行机动车排放检验与维护（I/M）制度，强化超标车辆闭环管控；规范维修行业废气、废液、固废处置，推进绿色维修；加强施工扬尘在线监测，推进交通领域污染防治攻坚</w:t>
      </w:r>
      <w:r>
        <w:rPr>
          <w:rFonts w:hint="eastAsia"/>
          <w:highlight w:val="none"/>
        </w:rPr>
        <w:t>。</w:t>
      </w:r>
    </w:p>
    <w:tbl>
      <w:tblPr>
        <w:tblStyle w:val="21"/>
        <w:tblW w:w="830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02"/>
      </w:tblGrid>
      <w:tr w14:paraId="2B672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2" w:type="dxa"/>
          </w:tcPr>
          <w:p w14:paraId="0FD3F7CB">
            <w:pPr>
              <w:jc w:val="center"/>
              <w:rPr>
                <w:rFonts w:hint="eastAsia" w:ascii="宋体" w:hAnsi="宋体"/>
                <w:highlight w:val="none"/>
              </w:rPr>
            </w:pPr>
            <w:r>
              <w:rPr>
                <w:rFonts w:hint="eastAsia" w:ascii="宋体" w:hAnsi="宋体" w:eastAsia="方正黑体_GBK"/>
                <w:sz w:val="30"/>
                <w:szCs w:val="30"/>
                <w:highlight w:val="none"/>
              </w:rPr>
              <w:t>专栏</w:t>
            </w:r>
            <w:r>
              <w:rPr>
                <w:rFonts w:hint="eastAsia" w:ascii="宋体" w:hAnsi="宋体" w:eastAsia="方正黑体_GBK"/>
                <w:sz w:val="30"/>
                <w:szCs w:val="30"/>
                <w:highlight w:val="none"/>
                <w:lang w:val="en-US" w:eastAsia="zh-CN"/>
              </w:rPr>
              <w:t>9</w:t>
            </w:r>
            <w:r>
              <w:rPr>
                <w:rFonts w:hint="eastAsia" w:ascii="宋体" w:hAnsi="宋体" w:eastAsia="方正黑体_GBK"/>
                <w:sz w:val="30"/>
                <w:szCs w:val="30"/>
                <w:highlight w:val="none"/>
              </w:rPr>
              <w:t>“十五五”期</w:t>
            </w:r>
            <w:r>
              <w:rPr>
                <w:rFonts w:hint="eastAsia" w:ascii="宋体" w:hAnsi="宋体" w:eastAsia="方正黑体_GBK"/>
                <w:sz w:val="30"/>
                <w:szCs w:val="30"/>
                <w:highlight w:val="none"/>
                <w:lang w:val="en-US" w:eastAsia="zh-CN"/>
              </w:rPr>
              <w:t>智慧</w:t>
            </w:r>
            <w:r>
              <w:rPr>
                <w:rFonts w:hint="eastAsia" w:ascii="宋体" w:hAnsi="宋体" w:eastAsia="方正黑体_GBK"/>
                <w:sz w:val="30"/>
                <w:szCs w:val="30"/>
                <w:highlight w:val="none"/>
              </w:rPr>
              <w:t>绿色发展重点</w:t>
            </w:r>
          </w:p>
        </w:tc>
      </w:tr>
      <w:tr w14:paraId="38372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302" w:type="dxa"/>
          </w:tcPr>
          <w:p w14:paraId="19C01CC0">
            <w:pPr>
              <w:spacing w:line="580" w:lineRule="exact"/>
              <w:ind w:firstLine="560"/>
              <w:rPr>
                <w:rFonts w:hint="eastAsia" w:ascii="宋体" w:hAnsi="宋体" w:eastAsia="方正仿宋_GBK"/>
                <w:b/>
                <w:bCs/>
                <w:sz w:val="30"/>
                <w:szCs w:val="30"/>
                <w:highlight w:val="none"/>
                <w:lang w:val="en-US" w:eastAsia="zh-CN"/>
              </w:rPr>
            </w:pPr>
            <w:r>
              <w:rPr>
                <w:rFonts w:hint="eastAsia" w:ascii="宋体" w:hAnsi="宋体" w:eastAsia="方正仿宋_GBK"/>
                <w:b/>
                <w:bCs/>
                <w:sz w:val="30"/>
                <w:szCs w:val="30"/>
                <w:highlight w:val="none"/>
                <w:lang w:val="en-US" w:eastAsia="zh-CN"/>
              </w:rPr>
              <w:t>数字化转型：</w:t>
            </w:r>
          </w:p>
          <w:p w14:paraId="0A5FD307">
            <w:pPr>
              <w:spacing w:line="580" w:lineRule="exact"/>
              <w:ind w:firstLine="560"/>
              <w:rPr>
                <w:rFonts w:hint="eastAsia" w:ascii="宋体" w:hAnsi="宋体" w:eastAsia="方正仿宋_GBK"/>
                <w:sz w:val="30"/>
                <w:szCs w:val="30"/>
                <w:highlight w:val="none"/>
                <w:lang w:val="en-US" w:eastAsia="zh-CN"/>
              </w:rPr>
            </w:pPr>
            <w:r>
              <w:rPr>
                <w:rFonts w:hint="eastAsia" w:ascii="宋体" w:hAnsi="宋体" w:eastAsia="方正仿宋_GBK"/>
                <w:sz w:val="30"/>
                <w:szCs w:val="30"/>
                <w:highlight w:val="none"/>
                <w:lang w:val="en-US" w:eastAsia="zh-CN"/>
              </w:rPr>
              <w:t>1.石林县智慧公路建设工程：实现国省道、重点农村公路数字化全覆盖，部署路况监测、非现场治超、智能预警设备，构建全路段实时监测网络</w:t>
            </w:r>
          </w:p>
          <w:p w14:paraId="7CDEF7C3">
            <w:pPr>
              <w:spacing w:line="580" w:lineRule="exact"/>
              <w:ind w:firstLine="560"/>
              <w:rPr>
                <w:rFonts w:hint="eastAsia" w:ascii="宋体" w:hAnsi="宋体" w:eastAsia="方正仿宋_GBK"/>
                <w:sz w:val="30"/>
                <w:szCs w:val="30"/>
                <w:highlight w:val="none"/>
                <w:lang w:val="en-US" w:eastAsia="zh-CN"/>
              </w:rPr>
            </w:pPr>
            <w:r>
              <w:rPr>
                <w:rFonts w:hint="eastAsia" w:ascii="宋体" w:hAnsi="宋体" w:eastAsia="方正仿宋_GBK"/>
                <w:sz w:val="30"/>
                <w:szCs w:val="30"/>
                <w:highlight w:val="none"/>
                <w:lang w:val="en-US" w:eastAsia="zh-CN"/>
              </w:rPr>
              <w:t>2.县级综合智慧交通服务端口（依托昆明市智慧交通大数据中心）</w:t>
            </w:r>
          </w:p>
          <w:p w14:paraId="1CCC7E6C">
            <w:pPr>
              <w:spacing w:line="580" w:lineRule="exact"/>
              <w:ind w:firstLine="560"/>
              <w:rPr>
                <w:rFonts w:hint="eastAsia" w:ascii="宋体" w:hAnsi="宋体" w:eastAsia="方正仿宋_GBK"/>
                <w:sz w:val="30"/>
                <w:szCs w:val="30"/>
                <w:highlight w:val="none"/>
                <w:lang w:val="en-US" w:eastAsia="zh-CN"/>
              </w:rPr>
            </w:pPr>
            <w:r>
              <w:rPr>
                <w:rFonts w:hint="eastAsia" w:ascii="宋体" w:hAnsi="宋体" w:eastAsia="方正仿宋_GBK"/>
                <w:sz w:val="30"/>
                <w:szCs w:val="30"/>
                <w:highlight w:val="none"/>
                <w:lang w:val="en-US" w:eastAsia="zh-CN"/>
              </w:rPr>
              <w:t>3.智慧旅游交通“吃住行一体化”融合平台建设</w:t>
            </w:r>
          </w:p>
          <w:p w14:paraId="60BF8407">
            <w:pPr>
              <w:spacing w:line="580" w:lineRule="exact"/>
              <w:ind w:firstLine="560"/>
              <w:rPr>
                <w:rFonts w:hint="eastAsia" w:ascii="宋体" w:hAnsi="宋体" w:eastAsia="方正仿宋_GBK"/>
                <w:sz w:val="30"/>
                <w:szCs w:val="30"/>
                <w:highlight w:val="none"/>
                <w:lang w:val="en-US" w:eastAsia="zh-CN"/>
              </w:rPr>
            </w:pPr>
            <w:r>
              <w:rPr>
                <w:rFonts w:hint="eastAsia" w:ascii="宋体" w:hAnsi="宋体" w:eastAsia="方正仿宋_GBK"/>
                <w:sz w:val="30"/>
                <w:szCs w:val="30"/>
                <w:highlight w:val="none"/>
                <w:lang w:val="en-US" w:eastAsia="zh-CN"/>
              </w:rPr>
              <w:t>4.石林南站物流园智慧物流信息平台建设：搭建数字化调度、电子单证“一单制”系统，配套智能分拣中心，提升物流效率</w:t>
            </w:r>
          </w:p>
          <w:p w14:paraId="5D49B36C">
            <w:pPr>
              <w:spacing w:line="580" w:lineRule="exact"/>
              <w:ind w:firstLine="560"/>
              <w:rPr>
                <w:rFonts w:hint="eastAsia" w:ascii="宋体" w:hAnsi="宋体" w:eastAsia="方正仿宋_GBK"/>
                <w:b/>
                <w:bCs/>
                <w:sz w:val="30"/>
                <w:szCs w:val="30"/>
                <w:highlight w:val="none"/>
                <w:lang w:val="en-US" w:eastAsia="zh-CN"/>
              </w:rPr>
            </w:pPr>
            <w:r>
              <w:rPr>
                <w:rFonts w:hint="eastAsia" w:ascii="宋体" w:hAnsi="宋体" w:eastAsia="方正仿宋_GBK"/>
                <w:b/>
                <w:bCs/>
                <w:sz w:val="30"/>
                <w:szCs w:val="30"/>
                <w:highlight w:val="none"/>
                <w:lang w:val="en-US" w:eastAsia="zh-CN"/>
              </w:rPr>
              <w:t>绿色低碳发展：</w:t>
            </w:r>
          </w:p>
          <w:p w14:paraId="376EF959">
            <w:pPr>
              <w:spacing w:line="580" w:lineRule="exact"/>
              <w:ind w:firstLine="560"/>
              <w:rPr>
                <w:rFonts w:hint="eastAsia" w:ascii="宋体" w:hAnsi="宋体" w:eastAsia="方正仿宋_GBK"/>
                <w:sz w:val="30"/>
                <w:szCs w:val="30"/>
                <w:highlight w:val="none"/>
                <w:lang w:val="en-US" w:eastAsia="zh-CN"/>
              </w:rPr>
            </w:pPr>
            <w:r>
              <w:rPr>
                <w:rFonts w:hint="eastAsia" w:ascii="宋体" w:hAnsi="宋体" w:eastAsia="方正仿宋_GBK"/>
                <w:sz w:val="30"/>
                <w:szCs w:val="30"/>
                <w:highlight w:val="none"/>
                <w:lang w:val="en-US" w:eastAsia="zh-CN"/>
              </w:rPr>
              <w:t>1.大型综合货运停车场建设项目（3处，布局G324、石林南站物流园、云南石林产业园区）：每处配套充换电、维保、仓储、司机驿站等功能；</w:t>
            </w:r>
          </w:p>
          <w:p w14:paraId="485B121E">
            <w:pPr>
              <w:spacing w:line="580" w:lineRule="exact"/>
              <w:ind w:firstLine="560"/>
              <w:rPr>
                <w:rFonts w:hint="eastAsia" w:ascii="宋体" w:hAnsi="宋体" w:eastAsia="方正仿宋_GBK"/>
                <w:sz w:val="30"/>
                <w:szCs w:val="30"/>
                <w:highlight w:val="none"/>
                <w:lang w:val="en-US" w:eastAsia="zh-CN"/>
              </w:rPr>
            </w:pPr>
            <w:r>
              <w:rPr>
                <w:rFonts w:hint="eastAsia" w:ascii="宋体" w:hAnsi="宋体" w:eastAsia="方正仿宋_GBK"/>
                <w:sz w:val="30"/>
                <w:szCs w:val="30"/>
                <w:highlight w:val="none"/>
                <w:lang w:val="en-US" w:eastAsia="zh-CN"/>
              </w:rPr>
              <w:t>2.国省道及物流园区换电重卡充换电站建设项目：在G324、G326国省道及重点物流园区建设2处换电重卡示范站、2处大功率充电站；</w:t>
            </w:r>
          </w:p>
          <w:p w14:paraId="7127BB30">
            <w:pPr>
              <w:spacing w:line="580" w:lineRule="exact"/>
              <w:ind w:firstLine="560"/>
              <w:rPr>
                <w:rFonts w:hint="eastAsia" w:ascii="宋体" w:hAnsi="宋体" w:eastAsia="方正仿宋_GBK"/>
                <w:sz w:val="30"/>
                <w:szCs w:val="30"/>
                <w:highlight w:val="none"/>
                <w:lang w:val="en-US" w:eastAsia="zh-CN"/>
              </w:rPr>
            </w:pPr>
            <w:r>
              <w:rPr>
                <w:rFonts w:hint="eastAsia" w:ascii="宋体" w:hAnsi="宋体" w:eastAsia="方正仿宋_GBK"/>
                <w:sz w:val="30"/>
                <w:szCs w:val="30"/>
                <w:highlight w:val="none"/>
                <w:lang w:val="en-US" w:eastAsia="zh-CN"/>
              </w:rPr>
              <w:t>3.新昆石高速、国省道沿线交通分布式光伏示范项目：在高速服务区、国省道收费站等布局光伏电站</w:t>
            </w:r>
          </w:p>
          <w:p w14:paraId="62E3CC97">
            <w:pPr>
              <w:spacing w:line="580" w:lineRule="exact"/>
              <w:ind w:firstLine="560"/>
              <w:rPr>
                <w:rFonts w:hint="eastAsia" w:ascii="宋体" w:hAnsi="宋体" w:eastAsia="方正仿宋_GBK"/>
                <w:sz w:val="30"/>
                <w:szCs w:val="30"/>
                <w:highlight w:val="none"/>
                <w:lang w:val="en-US" w:eastAsia="zh-CN"/>
              </w:rPr>
            </w:pPr>
            <w:r>
              <w:rPr>
                <w:rFonts w:hint="eastAsia" w:ascii="宋体" w:hAnsi="宋体" w:eastAsia="方正仿宋_GBK"/>
                <w:sz w:val="30"/>
                <w:szCs w:val="30"/>
                <w:highlight w:val="none"/>
                <w:lang w:val="en-US" w:eastAsia="zh-CN"/>
              </w:rPr>
              <w:t>4.新能源公交车及动力电池更新项目</w:t>
            </w:r>
          </w:p>
          <w:p w14:paraId="060286DA">
            <w:pPr>
              <w:spacing w:line="580" w:lineRule="exact"/>
              <w:ind w:firstLine="560"/>
              <w:rPr>
                <w:rFonts w:hint="eastAsia" w:ascii="宋体" w:hAnsi="宋体" w:eastAsia="方正仿宋_GBK" w:cs="方正仿宋_GBK"/>
                <w:sz w:val="28"/>
                <w:szCs w:val="32"/>
                <w:highlight w:val="none"/>
              </w:rPr>
            </w:pPr>
            <w:r>
              <w:rPr>
                <w:rFonts w:hint="eastAsia" w:ascii="宋体" w:hAnsi="宋体" w:eastAsia="方正仿宋_GBK"/>
                <w:sz w:val="30"/>
                <w:szCs w:val="30"/>
                <w:highlight w:val="none"/>
                <w:lang w:val="en-US" w:eastAsia="zh-CN"/>
              </w:rPr>
              <w:t>5.绿美公路、生态廊道建设工程</w:t>
            </w:r>
            <w:r>
              <w:rPr>
                <w:rFonts w:hint="eastAsia" w:ascii="宋体" w:hAnsi="宋体" w:eastAsia="方正仿宋_GBK"/>
                <w:sz w:val="30"/>
                <w:szCs w:val="30"/>
                <w:highlight w:val="none"/>
              </w:rPr>
              <w:t>。</w:t>
            </w:r>
          </w:p>
        </w:tc>
      </w:tr>
      <w:bookmarkEnd w:id="85"/>
    </w:tbl>
    <w:p w14:paraId="35E3F96A">
      <w:pPr>
        <w:pStyle w:val="3"/>
        <w:numPr>
          <w:ilvl w:val="0"/>
          <w:numId w:val="0"/>
        </w:numPr>
        <w:bidi w:val="0"/>
        <w:ind w:left="0" w:leftChars="0" w:firstLine="640" w:firstLineChars="200"/>
        <w:rPr>
          <w:rFonts w:hint="eastAsia"/>
          <w:highlight w:val="none"/>
        </w:rPr>
      </w:pPr>
      <w:bookmarkStart w:id="86" w:name="_Toc31746"/>
      <w:r>
        <w:rPr>
          <w:rFonts w:hint="eastAsia" w:ascii="宋体" w:hAnsi="宋体" w:eastAsia="方正楷体_GBK" w:cstheme="majorBidi"/>
          <w:bCs/>
          <w:kern w:val="2"/>
          <w:sz w:val="32"/>
          <w:szCs w:val="32"/>
          <w:highlight w:val="none"/>
          <w:lang w:val="en-US" w:eastAsia="zh-CN" w:bidi="ar-SA"/>
        </w:rPr>
        <w:t>（</w:t>
      </w:r>
      <w:r>
        <w:rPr>
          <w:rFonts w:hint="eastAsia" w:cstheme="majorBidi"/>
          <w:bCs/>
          <w:kern w:val="2"/>
          <w:sz w:val="32"/>
          <w:szCs w:val="32"/>
          <w:highlight w:val="none"/>
          <w:lang w:val="en-US" w:eastAsia="zh-CN" w:bidi="ar-SA"/>
        </w:rPr>
        <w:t>七</w:t>
      </w:r>
      <w:r>
        <w:rPr>
          <w:rFonts w:hint="eastAsia" w:ascii="宋体" w:hAnsi="宋体" w:eastAsia="方正楷体_GBK" w:cstheme="majorBidi"/>
          <w:bCs/>
          <w:kern w:val="2"/>
          <w:sz w:val="32"/>
          <w:szCs w:val="32"/>
          <w:highlight w:val="none"/>
          <w:lang w:val="en-US" w:eastAsia="zh-CN" w:bidi="ar-SA"/>
        </w:rPr>
        <w:t>）</w:t>
      </w:r>
      <w:bookmarkEnd w:id="82"/>
      <w:bookmarkEnd w:id="83"/>
      <w:bookmarkEnd w:id="84"/>
      <w:r>
        <w:rPr>
          <w:rFonts w:hint="eastAsia"/>
          <w:highlight w:val="none"/>
        </w:rPr>
        <w:t>强化安全应急保障，提升路网养护韧性</w:t>
      </w:r>
      <w:bookmarkEnd w:id="86"/>
    </w:p>
    <w:p w14:paraId="0387F832">
      <w:pPr>
        <w:pStyle w:val="4"/>
        <w:bidi w:val="0"/>
        <w:rPr>
          <w:rFonts w:hint="eastAsia"/>
          <w:highlight w:val="none"/>
        </w:rPr>
      </w:pPr>
      <w:bookmarkStart w:id="87" w:name="_Toc24929"/>
      <w:bookmarkStart w:id="88" w:name="_Toc26339"/>
      <w:bookmarkStart w:id="89" w:name="_Toc25934"/>
      <w:r>
        <w:rPr>
          <w:rFonts w:hint="eastAsia"/>
          <w:highlight w:val="none"/>
          <w:lang w:val="en-US" w:eastAsia="zh-CN"/>
        </w:rPr>
        <w:t>1.</w:t>
      </w:r>
      <w:r>
        <w:rPr>
          <w:rFonts w:hint="eastAsia"/>
          <w:highlight w:val="none"/>
        </w:rPr>
        <w:t>提高交通网络系统韧性</w:t>
      </w:r>
      <w:bookmarkEnd w:id="87"/>
      <w:bookmarkEnd w:id="88"/>
      <w:bookmarkEnd w:id="89"/>
    </w:p>
    <w:p w14:paraId="043E1A1F">
      <w:pPr>
        <w:pStyle w:val="5"/>
        <w:bidi w:val="0"/>
        <w:rPr>
          <w:rFonts w:hint="eastAsia"/>
          <w:highlight w:val="none"/>
        </w:rPr>
      </w:pPr>
      <w:r>
        <w:rPr>
          <w:rFonts w:hint="eastAsia"/>
          <w:highlight w:val="none"/>
          <w:lang w:eastAsia="zh-CN"/>
        </w:rPr>
        <w:t>（</w:t>
      </w:r>
      <w:r>
        <w:rPr>
          <w:rFonts w:hint="eastAsia"/>
          <w:highlight w:val="none"/>
          <w:lang w:val="en-US" w:eastAsia="zh-CN"/>
        </w:rPr>
        <w:t>1</w:t>
      </w:r>
      <w:r>
        <w:rPr>
          <w:rFonts w:hint="eastAsia"/>
          <w:highlight w:val="none"/>
          <w:lang w:eastAsia="zh-CN"/>
        </w:rPr>
        <w:t>）</w:t>
      </w:r>
      <w:r>
        <w:rPr>
          <w:rFonts w:hint="eastAsia"/>
          <w:highlight w:val="none"/>
        </w:rPr>
        <w:t>系统提升基础设施韧性。围绕道路、桥梁、隧道等关键设施，推进安全韧性提升工程，加强沿线地质灾害治理，优化防灾减灾设计，增强结构自身抗灾能力。强化长大桥隧、枢纽场站等重要节点监测预警与病害整治，常态化开展桥梁检测与路面改造，持续消除安全隐患。</w:t>
      </w:r>
    </w:p>
    <w:p w14:paraId="0D2C7C72">
      <w:pPr>
        <w:pStyle w:val="5"/>
        <w:bidi w:val="0"/>
        <w:rPr>
          <w:rFonts w:hint="eastAsia"/>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深入实施公路安保工程。集中整治县乡</w:t>
      </w:r>
      <w:r>
        <w:rPr>
          <w:rFonts w:hint="eastAsia"/>
          <w:highlight w:val="none"/>
          <w:lang w:eastAsia="zh-CN"/>
        </w:rPr>
        <w:t>村</w:t>
      </w:r>
      <w:r>
        <w:rPr>
          <w:rFonts w:hint="eastAsia"/>
          <w:highlight w:val="none"/>
        </w:rPr>
        <w:t>公路、旅游公路安全隐患，基本消除四、五类桥梁，推进宽路窄桥改造。加强公路灾害防治，对危险性较大的地质灾害隐患点实施综合治理，基本消除严重威胁公路安全的地质灾害隐患，推动地质灾害防治向有序化、主动化转变。在城乡结合部</w:t>
      </w:r>
      <w:r>
        <w:rPr>
          <w:rFonts w:hint="eastAsia"/>
          <w:highlight w:val="none"/>
          <w:lang w:val="en-US" w:eastAsia="zh-CN"/>
        </w:rPr>
        <w:t>等关键</w:t>
      </w:r>
      <w:r>
        <w:rPr>
          <w:rFonts w:hint="eastAsia"/>
          <w:highlight w:val="none"/>
        </w:rPr>
        <w:t>路段，全面增设警示桩、安全提示牌、防护栏等设施，实现通村公路防护设施设置全覆盖。‌</w:t>
      </w:r>
    </w:p>
    <w:p w14:paraId="0D04AF79">
      <w:pPr>
        <w:pStyle w:val="5"/>
        <w:bidi w:val="0"/>
        <w:rPr>
          <w:rFonts w:hint="eastAsia"/>
          <w:highlight w:val="none"/>
          <w:lang w:val="en-US" w:eastAsia="zh-CN"/>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完善</w:t>
      </w:r>
      <w:r>
        <w:rPr>
          <w:rFonts w:hint="eastAsia"/>
          <w:highlight w:val="none"/>
          <w:lang w:val="en-US" w:eastAsia="zh-CN"/>
        </w:rPr>
        <w:t>交通网灾害预警与</w:t>
      </w:r>
      <w:r>
        <w:rPr>
          <w:rFonts w:hint="eastAsia"/>
          <w:highlight w:val="none"/>
        </w:rPr>
        <w:t>应急保障体系。</w:t>
      </w:r>
      <w:r>
        <w:rPr>
          <w:rFonts w:hint="eastAsia"/>
          <w:highlight w:val="none"/>
          <w:lang w:val="en-US" w:eastAsia="zh-CN"/>
        </w:rPr>
        <w:t>积极推进地质灾害监测网络与信息系统建立，完善地质灾害监测预警体系。构建“生命线”交通网络，增强多灾易灾区域多路径连通能力，提升疏散救援效率。</w:t>
      </w:r>
    </w:p>
    <w:p w14:paraId="4339E0E0">
      <w:pPr>
        <w:pStyle w:val="5"/>
        <w:bidi w:val="0"/>
        <w:rPr>
          <w:rFonts w:hint="eastAsia"/>
          <w:highlight w:val="none"/>
          <w:lang w:val="en-US" w:eastAsia="zh-CN"/>
        </w:rPr>
      </w:pPr>
      <w:r>
        <w:rPr>
          <w:rFonts w:hint="eastAsia"/>
          <w:highlight w:val="none"/>
          <w:lang w:val="en-US" w:eastAsia="zh-CN"/>
        </w:rPr>
        <w:t>•直升机临时起降点：在县城、主要景区、乡镇（街道）政府（办事处）所在地规划建设10个直升机临时起降点。</w:t>
      </w:r>
    </w:p>
    <w:p w14:paraId="6015B8B7">
      <w:pPr>
        <w:pStyle w:val="5"/>
        <w:bidi w:val="0"/>
        <w:rPr>
          <w:rFonts w:hint="eastAsia"/>
          <w:highlight w:val="none"/>
          <w:lang w:val="en-US" w:eastAsia="zh-CN"/>
        </w:rPr>
      </w:pPr>
      <w:r>
        <w:rPr>
          <w:rFonts w:hint="eastAsia"/>
          <w:highlight w:val="none"/>
          <w:lang w:val="en-US" w:eastAsia="zh-CN"/>
        </w:rPr>
        <w:t>•应急物资储备：建设3个县级交通应急物资储备库和6个乡镇（街道）应急物资储备点。</w:t>
      </w:r>
    </w:p>
    <w:p w14:paraId="3498B378">
      <w:pPr>
        <w:pStyle w:val="5"/>
        <w:bidi w:val="0"/>
        <w:rPr>
          <w:rFonts w:hint="eastAsia"/>
          <w:highlight w:val="none"/>
          <w:lang w:val="en-US" w:eastAsia="zh-CN"/>
        </w:rPr>
      </w:pPr>
      <w:r>
        <w:rPr>
          <w:rFonts w:hint="eastAsia"/>
          <w:highlight w:val="none"/>
          <w:lang w:val="en-US" w:eastAsia="zh-CN"/>
        </w:rPr>
        <w:t>•应急钢便桥：储备5套应急钢便桥，用于水毁、地质灾害等紧急情况</w:t>
      </w:r>
    </w:p>
    <w:p w14:paraId="0D3DE118">
      <w:pPr>
        <w:pStyle w:val="5"/>
        <w:bidi w:val="0"/>
        <w:rPr>
          <w:rFonts w:hint="eastAsia"/>
          <w:highlight w:val="none"/>
        </w:rPr>
      </w:pPr>
      <w:r>
        <w:rPr>
          <w:rFonts w:hint="eastAsia"/>
          <w:highlight w:val="none"/>
          <w:lang w:val="en-US" w:eastAsia="zh-CN"/>
        </w:rPr>
        <w:t>•应急车辆：配备应急救援车辆15辆，包括清障车、吊车、应急发电车等</w:t>
      </w:r>
      <w:r>
        <w:rPr>
          <w:rFonts w:hint="eastAsia"/>
          <w:highlight w:val="none"/>
        </w:rPr>
        <w:t>。</w:t>
      </w:r>
    </w:p>
    <w:p w14:paraId="3A66F4A4">
      <w:pPr>
        <w:pStyle w:val="4"/>
        <w:bidi w:val="0"/>
        <w:rPr>
          <w:rFonts w:hint="eastAsia"/>
          <w:highlight w:val="none"/>
          <w:lang w:val="en-US" w:eastAsia="zh-CN"/>
        </w:rPr>
      </w:pPr>
      <w:bookmarkStart w:id="90" w:name="_Toc11483"/>
      <w:bookmarkStart w:id="91" w:name="_Toc2016"/>
      <w:bookmarkStart w:id="92" w:name="_Toc9986"/>
      <w:r>
        <w:rPr>
          <w:rFonts w:hint="eastAsia"/>
          <w:highlight w:val="none"/>
          <w:lang w:val="en-US" w:eastAsia="zh-CN"/>
        </w:rPr>
        <w:t>2.</w:t>
      </w:r>
      <w:bookmarkEnd w:id="90"/>
      <w:bookmarkEnd w:id="91"/>
      <w:bookmarkEnd w:id="92"/>
      <w:r>
        <w:rPr>
          <w:rFonts w:hint="eastAsia"/>
          <w:highlight w:val="none"/>
          <w:lang w:val="en-US" w:eastAsia="zh-CN"/>
        </w:rPr>
        <w:t>强化智慧安防，严守交通安全底线</w:t>
      </w:r>
    </w:p>
    <w:p w14:paraId="683FC8E1">
      <w:pPr>
        <w:spacing w:line="590" w:lineRule="exact"/>
        <w:ind w:firstLine="640" w:firstLineChars="200"/>
        <w:rPr>
          <w:rFonts w:hint="eastAsia" w:ascii="宋体" w:hAnsi="宋体" w:eastAsia="方正仿宋_GBK" w:cstheme="minorBidi"/>
          <w:kern w:val="0"/>
          <w:sz w:val="32"/>
          <w:szCs w:val="32"/>
          <w:highlight w:val="none"/>
        </w:rPr>
      </w:pPr>
      <w:r>
        <w:rPr>
          <w:rFonts w:hint="eastAsia" w:ascii="宋体" w:hAnsi="宋体" w:eastAsia="方正仿宋_GBK" w:cstheme="minorBidi"/>
          <w:kern w:val="0"/>
          <w:sz w:val="32"/>
          <w:szCs w:val="32"/>
          <w:highlight w:val="none"/>
        </w:rPr>
        <w:t>严格落实安全生产监管责任。健全完善安全生产党政同责、专业监管、部门协同、网格管理的责任体系，规范履责行为。压实企业安全生产主体责任，强化企业安全生产信用管理。</w:t>
      </w:r>
    </w:p>
    <w:p w14:paraId="40C76816">
      <w:pPr>
        <w:spacing w:line="590" w:lineRule="exact"/>
        <w:ind w:firstLine="640" w:firstLineChars="200"/>
        <w:rPr>
          <w:rFonts w:hint="eastAsia" w:ascii="宋体" w:hAnsi="宋体" w:eastAsia="方正仿宋_GBK" w:cstheme="minorBidi"/>
          <w:kern w:val="0"/>
          <w:sz w:val="32"/>
          <w:szCs w:val="32"/>
          <w:highlight w:val="none"/>
        </w:rPr>
      </w:pPr>
      <w:r>
        <w:rPr>
          <w:rFonts w:hint="eastAsia" w:ascii="宋体" w:hAnsi="宋体" w:eastAsia="方正仿宋_GBK" w:cstheme="minorBidi"/>
          <w:kern w:val="0"/>
          <w:sz w:val="32"/>
          <w:szCs w:val="32"/>
          <w:highlight w:val="none"/>
        </w:rPr>
        <w:t>——强化智慧化安全保障</w:t>
      </w:r>
    </w:p>
    <w:p w14:paraId="2B1F84E0">
      <w:pPr>
        <w:spacing w:line="590" w:lineRule="exact"/>
        <w:ind w:firstLine="640" w:firstLineChars="200"/>
        <w:rPr>
          <w:rFonts w:hint="eastAsia" w:ascii="宋体" w:hAnsi="宋体" w:eastAsia="方正仿宋_GBK" w:cstheme="minorBidi"/>
          <w:kern w:val="0"/>
          <w:sz w:val="32"/>
          <w:szCs w:val="32"/>
          <w:highlight w:val="none"/>
        </w:rPr>
      </w:pPr>
      <w:r>
        <w:rPr>
          <w:rFonts w:hint="eastAsia" w:ascii="宋体" w:hAnsi="宋体" w:eastAsia="方正仿宋_GBK" w:cstheme="minorBidi"/>
          <w:kern w:val="0"/>
          <w:sz w:val="32"/>
          <w:szCs w:val="32"/>
          <w:highlight w:val="none"/>
        </w:rPr>
        <w:t>•推广使用无人机巡查，对重点危险路段、山区公路进行常态化巡查</w:t>
      </w:r>
    </w:p>
    <w:p w14:paraId="00721E1B">
      <w:pPr>
        <w:spacing w:line="590" w:lineRule="exact"/>
        <w:ind w:firstLine="640" w:firstLineChars="200"/>
        <w:rPr>
          <w:rFonts w:hint="eastAsia" w:ascii="宋体" w:hAnsi="宋体" w:eastAsia="方正仿宋_GBK" w:cstheme="minorBidi"/>
          <w:kern w:val="0"/>
          <w:sz w:val="32"/>
          <w:szCs w:val="32"/>
          <w:highlight w:val="none"/>
        </w:rPr>
      </w:pPr>
      <w:r>
        <w:rPr>
          <w:rFonts w:hint="eastAsia" w:ascii="宋体" w:hAnsi="宋体" w:eastAsia="方正仿宋_GBK" w:cstheme="minorBidi"/>
          <w:kern w:val="0"/>
          <w:sz w:val="32"/>
          <w:szCs w:val="32"/>
          <w:highlight w:val="none"/>
        </w:rPr>
        <w:t>•在重点危险路段安装高清监控设备，实现24小时实时监控</w:t>
      </w:r>
    </w:p>
    <w:p w14:paraId="1D04FDCF">
      <w:pPr>
        <w:spacing w:line="590" w:lineRule="exact"/>
        <w:ind w:firstLine="640" w:firstLineChars="200"/>
        <w:rPr>
          <w:rFonts w:hint="eastAsia" w:ascii="宋体" w:hAnsi="宋体" w:eastAsia="方正仿宋_GBK" w:cstheme="minorBidi"/>
          <w:kern w:val="0"/>
          <w:sz w:val="32"/>
          <w:szCs w:val="32"/>
          <w:highlight w:val="none"/>
        </w:rPr>
      </w:pPr>
      <w:r>
        <w:rPr>
          <w:rFonts w:hint="eastAsia" w:ascii="宋体" w:hAnsi="宋体" w:eastAsia="方正仿宋_GBK" w:cstheme="minorBidi"/>
          <w:kern w:val="0"/>
          <w:sz w:val="32"/>
          <w:szCs w:val="32"/>
          <w:highlight w:val="none"/>
        </w:rPr>
        <w:t>•建设运输企业监管平台，实现</w:t>
      </w:r>
      <w:r>
        <w:rPr>
          <w:rFonts w:hint="eastAsia" w:ascii="宋体" w:hAnsi="宋体" w:eastAsia="方正仿宋_GBK" w:cstheme="minorBidi"/>
          <w:kern w:val="0"/>
          <w:sz w:val="32"/>
          <w:szCs w:val="32"/>
          <w:highlight w:val="none"/>
          <w:lang w:eastAsia="zh-CN"/>
        </w:rPr>
        <w:t>“</w:t>
      </w:r>
      <w:r>
        <w:rPr>
          <w:rFonts w:hint="eastAsia" w:ascii="宋体" w:hAnsi="宋体" w:eastAsia="方正仿宋_GBK" w:cstheme="minorBidi"/>
          <w:kern w:val="0"/>
          <w:sz w:val="32"/>
          <w:szCs w:val="32"/>
          <w:highlight w:val="none"/>
        </w:rPr>
        <w:t>两客一危、一网一货</w:t>
      </w:r>
      <w:r>
        <w:rPr>
          <w:rFonts w:hint="eastAsia" w:ascii="宋体" w:hAnsi="宋体" w:eastAsia="方正仿宋_GBK" w:cstheme="minorBidi"/>
          <w:kern w:val="0"/>
          <w:sz w:val="32"/>
          <w:szCs w:val="32"/>
          <w:highlight w:val="none"/>
          <w:lang w:eastAsia="zh-CN"/>
        </w:rPr>
        <w:t>”</w:t>
      </w:r>
      <w:r>
        <w:rPr>
          <w:rFonts w:hint="eastAsia" w:ascii="宋体" w:hAnsi="宋体" w:eastAsia="方正仿宋_GBK" w:cstheme="minorBidi"/>
          <w:kern w:val="0"/>
          <w:sz w:val="32"/>
          <w:szCs w:val="32"/>
          <w:highlight w:val="none"/>
        </w:rPr>
        <w:t>车辆动态监控全覆盖</w:t>
      </w:r>
    </w:p>
    <w:p w14:paraId="58DA6F84">
      <w:pPr>
        <w:spacing w:line="590" w:lineRule="exact"/>
        <w:ind w:firstLine="640" w:firstLineChars="200"/>
        <w:rPr>
          <w:rFonts w:hint="eastAsia" w:ascii="宋体" w:hAnsi="宋体" w:eastAsia="方正仿宋_GBK" w:cstheme="minorBidi"/>
          <w:kern w:val="0"/>
          <w:sz w:val="32"/>
          <w:szCs w:val="32"/>
          <w:highlight w:val="none"/>
        </w:rPr>
      </w:pPr>
      <w:r>
        <w:rPr>
          <w:rFonts w:hint="eastAsia" w:ascii="宋体" w:hAnsi="宋体" w:eastAsia="方正仿宋_GBK" w:cstheme="minorBidi"/>
          <w:kern w:val="0"/>
          <w:sz w:val="32"/>
          <w:szCs w:val="32"/>
          <w:highlight w:val="none"/>
        </w:rPr>
        <w:t>•推广使用非现场治超，建设石林县公路超限检测站项目</w:t>
      </w:r>
    </w:p>
    <w:p w14:paraId="07AA31F3">
      <w:pPr>
        <w:spacing w:line="590" w:lineRule="exact"/>
        <w:ind w:firstLine="640" w:firstLineChars="200"/>
        <w:rPr>
          <w:rFonts w:hint="eastAsia" w:ascii="宋体" w:hAnsi="宋体" w:eastAsia="方正仿宋_GBK" w:cstheme="minorBidi"/>
          <w:kern w:val="0"/>
          <w:sz w:val="32"/>
          <w:szCs w:val="32"/>
          <w:highlight w:val="none"/>
        </w:rPr>
      </w:pPr>
      <w:r>
        <w:rPr>
          <w:rFonts w:hint="eastAsia" w:ascii="宋体" w:hAnsi="宋体" w:eastAsia="方正仿宋_GBK" w:cstheme="minorBidi"/>
          <w:kern w:val="0"/>
          <w:sz w:val="32"/>
          <w:szCs w:val="32"/>
          <w:highlight w:val="none"/>
        </w:rPr>
        <w:t>加大非法营运打击力度，强化危险货物运输全过程监测预警。加强安全宣传教育，广泛开展教育宣传，增强安全意识。</w:t>
      </w:r>
    </w:p>
    <w:p w14:paraId="1F602186">
      <w:pPr>
        <w:pStyle w:val="4"/>
        <w:numPr>
          <w:ilvl w:val="0"/>
          <w:numId w:val="0"/>
        </w:numPr>
        <w:bidi w:val="0"/>
        <w:ind w:firstLine="643" w:firstLineChars="200"/>
        <w:rPr>
          <w:rFonts w:hint="eastAsia"/>
          <w:highlight w:val="none"/>
        </w:rPr>
      </w:pPr>
      <w:bookmarkStart w:id="93" w:name="_Toc19239"/>
      <w:bookmarkStart w:id="94" w:name="_Toc28015"/>
      <w:bookmarkStart w:id="95" w:name="_Toc10911"/>
      <w:r>
        <w:rPr>
          <w:rFonts w:hint="eastAsia" w:cs="Times New Roman"/>
          <w:b/>
          <w:bCs/>
          <w:kern w:val="2"/>
          <w:sz w:val="32"/>
          <w:szCs w:val="32"/>
          <w:highlight w:val="none"/>
          <w:lang w:val="en-US" w:eastAsia="zh-CN" w:bidi="ar-SA"/>
        </w:rPr>
        <w:t>3.</w:t>
      </w:r>
      <w:r>
        <w:rPr>
          <w:rFonts w:hint="eastAsia"/>
          <w:highlight w:val="none"/>
        </w:rPr>
        <w:t>提升安全应急保障</w:t>
      </w:r>
      <w:r>
        <w:rPr>
          <w:rFonts w:hint="eastAsia"/>
          <w:highlight w:val="none"/>
          <w:lang w:val="en-US" w:eastAsia="zh-CN"/>
        </w:rPr>
        <w:t>管理</w:t>
      </w:r>
      <w:r>
        <w:rPr>
          <w:rFonts w:hint="eastAsia"/>
          <w:highlight w:val="none"/>
        </w:rPr>
        <w:t>水平</w:t>
      </w:r>
      <w:bookmarkEnd w:id="93"/>
      <w:bookmarkEnd w:id="94"/>
      <w:bookmarkEnd w:id="95"/>
    </w:p>
    <w:p w14:paraId="35454E4B">
      <w:pPr>
        <w:spacing w:line="590" w:lineRule="exact"/>
        <w:ind w:firstLine="640" w:firstLineChars="200"/>
        <w:rPr>
          <w:rFonts w:hint="eastAsia" w:ascii="宋体" w:hAnsi="宋体" w:eastAsia="方正仿宋_GBK" w:cstheme="minorBidi"/>
          <w:kern w:val="0"/>
          <w:sz w:val="32"/>
          <w:szCs w:val="32"/>
          <w:highlight w:val="none"/>
          <w:lang w:eastAsia="zh-CN"/>
        </w:rPr>
      </w:pPr>
      <w:r>
        <w:rPr>
          <w:rFonts w:hint="eastAsia" w:ascii="宋体" w:hAnsi="宋体" w:eastAsia="方正仿宋_GBK" w:cstheme="minorBidi"/>
          <w:kern w:val="0"/>
          <w:sz w:val="32"/>
          <w:szCs w:val="32"/>
          <w:highlight w:val="none"/>
        </w:rPr>
        <w:t>建立健全综合交通应急管理体制机制和预案体系；强化</w:t>
      </w:r>
      <w:r>
        <w:rPr>
          <w:rFonts w:hint="eastAsia" w:ascii="宋体" w:hAnsi="宋体" w:eastAsia="方正仿宋_GBK" w:cstheme="minorBidi"/>
          <w:kern w:val="0"/>
          <w:sz w:val="32"/>
          <w:szCs w:val="32"/>
          <w:highlight w:val="none"/>
          <w:lang w:eastAsia="zh-CN"/>
        </w:rPr>
        <w:t>“平急两用”</w:t>
      </w:r>
      <w:r>
        <w:rPr>
          <w:rFonts w:hint="eastAsia" w:ascii="宋体" w:hAnsi="宋体" w:eastAsia="方正仿宋_GBK" w:cstheme="minorBidi"/>
          <w:kern w:val="0"/>
          <w:sz w:val="32"/>
          <w:szCs w:val="32"/>
          <w:highlight w:val="none"/>
        </w:rPr>
        <w:t>基础设施布局与功能融合；加强应急救援能力建设，完善应急平台、设施和人员队伍</w:t>
      </w:r>
      <w:r>
        <w:rPr>
          <w:rFonts w:hint="eastAsia" w:ascii="宋体" w:hAnsi="宋体" w:eastAsia="方正仿宋_GBK" w:cstheme="minorBidi"/>
          <w:kern w:val="0"/>
          <w:sz w:val="32"/>
          <w:szCs w:val="32"/>
          <w:highlight w:val="none"/>
          <w:lang w:val="en-US" w:eastAsia="zh-CN"/>
        </w:rPr>
        <w:t>。</w:t>
      </w:r>
    </w:p>
    <w:p w14:paraId="4F7C2297">
      <w:pPr>
        <w:spacing w:line="590" w:lineRule="exact"/>
        <w:ind w:firstLine="640" w:firstLineChars="200"/>
        <w:rPr>
          <w:rFonts w:hint="eastAsia" w:ascii="宋体" w:hAnsi="宋体" w:eastAsia="方正仿宋_GBK" w:cstheme="minorBidi"/>
          <w:kern w:val="0"/>
          <w:sz w:val="32"/>
          <w:szCs w:val="32"/>
          <w:highlight w:val="none"/>
        </w:rPr>
      </w:pPr>
      <w:r>
        <w:rPr>
          <w:rFonts w:hint="eastAsia" w:ascii="宋体" w:hAnsi="宋体" w:eastAsia="方正仿宋_GBK" w:cstheme="minorBidi"/>
          <w:kern w:val="0"/>
          <w:sz w:val="32"/>
          <w:szCs w:val="32"/>
          <w:highlight w:val="none"/>
          <w:lang w:eastAsia="zh-CN"/>
        </w:rPr>
        <w:t>加强对地质灾害险情的动态监测，</w:t>
      </w:r>
      <w:r>
        <w:rPr>
          <w:rFonts w:hint="eastAsia" w:ascii="宋体" w:hAnsi="宋体" w:eastAsia="方正仿宋_GBK" w:cstheme="minorBidi"/>
          <w:kern w:val="0"/>
          <w:sz w:val="32"/>
          <w:szCs w:val="32"/>
          <w:highlight w:val="none"/>
        </w:rPr>
        <w:t>持续开展</w:t>
      </w:r>
      <w:r>
        <w:rPr>
          <w:rFonts w:hint="eastAsia" w:ascii="宋体" w:hAnsi="宋体" w:eastAsia="方正仿宋_GBK" w:cstheme="minorBidi"/>
          <w:kern w:val="0"/>
          <w:sz w:val="32"/>
          <w:szCs w:val="32"/>
          <w:highlight w:val="none"/>
          <w:lang w:val="en-US" w:eastAsia="zh-CN"/>
        </w:rPr>
        <w:t>道路</w:t>
      </w:r>
      <w:r>
        <w:rPr>
          <w:rFonts w:hint="eastAsia" w:ascii="宋体" w:hAnsi="宋体" w:eastAsia="方正仿宋_GBK" w:cstheme="minorBidi"/>
          <w:kern w:val="0"/>
          <w:sz w:val="32"/>
          <w:szCs w:val="32"/>
          <w:highlight w:val="none"/>
        </w:rPr>
        <w:t>交通运输风险隐患排查治理，分级分类管控整治重大风险隐患</w:t>
      </w:r>
      <w:r>
        <w:rPr>
          <w:rFonts w:hint="eastAsia" w:ascii="宋体" w:hAnsi="宋体" w:eastAsia="方正仿宋_GBK" w:cstheme="minorBidi"/>
          <w:kern w:val="0"/>
          <w:sz w:val="32"/>
          <w:szCs w:val="32"/>
          <w:highlight w:val="none"/>
          <w:lang w:eastAsia="zh-CN"/>
        </w:rPr>
        <w:t>；</w:t>
      </w:r>
      <w:r>
        <w:rPr>
          <w:rFonts w:hint="eastAsia" w:ascii="宋体" w:hAnsi="宋体" w:eastAsia="方正仿宋_GBK" w:cstheme="minorBidi"/>
          <w:kern w:val="0"/>
          <w:sz w:val="32"/>
          <w:szCs w:val="32"/>
          <w:highlight w:val="none"/>
        </w:rPr>
        <w:t>对公众广泛开展地质灾害防治及应急知识宣传教育，增强全社会对地质灾害的防范意识和应对能力。</w:t>
      </w:r>
    </w:p>
    <w:p w14:paraId="685DC66A">
      <w:pPr>
        <w:pStyle w:val="4"/>
        <w:bidi w:val="0"/>
        <w:rPr>
          <w:rFonts w:hint="eastAsia"/>
          <w:highlight w:val="none"/>
        </w:rPr>
      </w:pPr>
      <w:bookmarkStart w:id="96" w:name="_Toc3290"/>
      <w:bookmarkStart w:id="97" w:name="_Toc16369"/>
      <w:bookmarkStart w:id="98" w:name="_Toc28768"/>
      <w:r>
        <w:rPr>
          <w:rFonts w:hint="eastAsia"/>
          <w:highlight w:val="none"/>
          <w:lang w:val="en-US" w:eastAsia="zh-CN"/>
        </w:rPr>
        <w:t>4.</w:t>
      </w:r>
      <w:r>
        <w:rPr>
          <w:rFonts w:hint="eastAsia"/>
          <w:highlight w:val="none"/>
        </w:rPr>
        <w:t>强化保障国家安全能力</w:t>
      </w:r>
    </w:p>
    <w:p w14:paraId="7FDF4A5B">
      <w:pPr>
        <w:spacing w:line="590" w:lineRule="exact"/>
        <w:ind w:firstLine="640" w:firstLineChars="200"/>
        <w:rPr>
          <w:rFonts w:hint="eastAsia" w:ascii="宋体" w:hAnsi="宋体" w:eastAsia="方正仿宋_GBK" w:cstheme="minorBidi"/>
          <w:kern w:val="0"/>
          <w:sz w:val="32"/>
          <w:szCs w:val="32"/>
          <w:highlight w:val="green"/>
        </w:rPr>
      </w:pPr>
      <w:r>
        <w:rPr>
          <w:rFonts w:hint="eastAsia" w:ascii="宋体" w:hAnsi="宋体" w:eastAsia="方正仿宋_GBK" w:cstheme="minorBidi"/>
          <w:kern w:val="0"/>
          <w:sz w:val="32"/>
          <w:szCs w:val="32"/>
          <w:highlight w:val="none"/>
        </w:rPr>
        <w:t>落实总体国家安全观。统筹发展和安全，紧抓新时代交通建设新机遇，加强统筹协调，实施</w:t>
      </w:r>
      <w:r>
        <w:rPr>
          <w:rFonts w:hint="eastAsia" w:ascii="宋体" w:hAnsi="宋体" w:eastAsia="方正仿宋_GBK" w:cstheme="minorBidi"/>
          <w:kern w:val="0"/>
          <w:sz w:val="32"/>
          <w:szCs w:val="32"/>
          <w:highlight w:val="none"/>
          <w:lang w:val="en-US" w:eastAsia="zh-CN"/>
        </w:rPr>
        <w:t>县</w:t>
      </w:r>
      <w:r>
        <w:rPr>
          <w:rFonts w:hint="eastAsia" w:ascii="宋体" w:hAnsi="宋体" w:eastAsia="方正仿宋_GBK" w:cstheme="minorBidi"/>
          <w:kern w:val="0"/>
          <w:sz w:val="32"/>
          <w:szCs w:val="32"/>
          <w:highlight w:val="none"/>
        </w:rPr>
        <w:t>域内平战两用公路设施建设，提升</w:t>
      </w:r>
      <w:r>
        <w:rPr>
          <w:rFonts w:hint="eastAsia" w:ascii="宋体" w:hAnsi="宋体" w:eastAsia="方正仿宋_GBK" w:cstheme="minorBidi"/>
          <w:kern w:val="0"/>
          <w:sz w:val="32"/>
          <w:szCs w:val="32"/>
          <w:highlight w:val="none"/>
          <w:lang w:eastAsia="zh-CN"/>
        </w:rPr>
        <w:t>地区</w:t>
      </w:r>
      <w:r>
        <w:rPr>
          <w:rFonts w:hint="eastAsia" w:ascii="宋体" w:hAnsi="宋体" w:eastAsia="方正仿宋_GBK" w:cstheme="minorBidi"/>
          <w:kern w:val="0"/>
          <w:sz w:val="32"/>
          <w:szCs w:val="32"/>
          <w:highlight w:val="none"/>
        </w:rPr>
        <w:t>战略通道安全保障能力，提升极端情景下的应对能力，把立体互联的设施网络转化为保通保畅的硬实力，为保障国家安全提供强有力的交通运输支撑。</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2E727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42E61534">
            <w:pPr>
              <w:overflowPunct/>
              <w:topLinePunct w:val="0"/>
              <w:adjustRightInd/>
              <w:snapToGrid/>
              <w:jc w:val="center"/>
              <w:outlineLvl w:val="9"/>
              <w:rPr>
                <w:rFonts w:hint="eastAsia" w:eastAsia="方正黑体_GBK"/>
                <w:color w:val="000000"/>
                <w:sz w:val="28"/>
                <w:szCs w:val="28"/>
                <w:highlight w:val="none"/>
                <w:lang w:val="en-US" w:eastAsia="zh-CN"/>
              </w:rPr>
            </w:pPr>
            <w:r>
              <w:rPr>
                <w:rFonts w:hint="eastAsia" w:ascii="宋体" w:hAnsi="宋体" w:eastAsia="方正黑体_GBK"/>
                <w:sz w:val="30"/>
                <w:szCs w:val="30"/>
                <w:highlight w:val="none"/>
              </w:rPr>
              <w:t>专栏</w:t>
            </w:r>
            <w:r>
              <w:rPr>
                <w:rFonts w:hint="eastAsia" w:ascii="宋体" w:hAnsi="宋体" w:eastAsia="方正黑体_GBK"/>
                <w:sz w:val="30"/>
                <w:szCs w:val="30"/>
                <w:highlight w:val="none"/>
                <w:lang w:val="en-US" w:eastAsia="zh-CN"/>
              </w:rPr>
              <w:t>9</w:t>
            </w:r>
            <w:r>
              <w:rPr>
                <w:rFonts w:hint="eastAsia" w:ascii="宋体" w:hAnsi="宋体" w:eastAsia="方正黑体_GBK"/>
                <w:sz w:val="30"/>
                <w:szCs w:val="30"/>
                <w:highlight w:val="none"/>
              </w:rPr>
              <w:t>“十五五”期公路安全</w:t>
            </w:r>
            <w:r>
              <w:rPr>
                <w:rFonts w:hint="eastAsia" w:ascii="宋体" w:hAnsi="宋体" w:eastAsia="方正黑体_GBK"/>
                <w:sz w:val="30"/>
                <w:szCs w:val="30"/>
                <w:highlight w:val="none"/>
                <w:lang w:val="en-US" w:eastAsia="zh-CN"/>
              </w:rPr>
              <w:t>应急保障</w:t>
            </w:r>
            <w:r>
              <w:rPr>
                <w:rFonts w:hint="eastAsia" w:ascii="宋体" w:hAnsi="宋体" w:eastAsia="方正黑体_GBK"/>
                <w:sz w:val="30"/>
                <w:szCs w:val="30"/>
                <w:highlight w:val="none"/>
              </w:rPr>
              <w:t>提升</w:t>
            </w:r>
            <w:r>
              <w:rPr>
                <w:rFonts w:hint="eastAsia" w:ascii="宋体" w:hAnsi="宋体" w:eastAsia="方正黑体_GBK"/>
                <w:sz w:val="30"/>
                <w:szCs w:val="30"/>
                <w:highlight w:val="none"/>
                <w:lang w:val="en-US" w:eastAsia="zh-CN"/>
              </w:rPr>
              <w:t>重点</w:t>
            </w:r>
          </w:p>
        </w:tc>
      </w:tr>
      <w:tr w14:paraId="15595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505062A7">
            <w:pPr>
              <w:numPr>
                <w:ilvl w:val="0"/>
                <w:numId w:val="6"/>
              </w:numPr>
              <w:overflowPunct w:val="0"/>
              <w:topLinePunct/>
              <w:adjustRightInd w:val="0"/>
              <w:snapToGrid w:val="0"/>
              <w:ind w:left="425" w:leftChars="0" w:hanging="425" w:firstLineChars="0"/>
              <w:rPr>
                <w:rFonts w:hint="eastAsia" w:ascii="宋体" w:hAnsi="宋体" w:eastAsia="方正仿宋_GBK"/>
                <w:sz w:val="30"/>
                <w:szCs w:val="30"/>
                <w:highlight w:val="none"/>
              </w:rPr>
            </w:pPr>
            <w:r>
              <w:rPr>
                <w:rFonts w:hint="eastAsia" w:ascii="宋体" w:hAnsi="宋体" w:eastAsia="方正仿宋_GBK"/>
                <w:sz w:val="30"/>
                <w:szCs w:val="30"/>
                <w:highlight w:val="none"/>
              </w:rPr>
              <w:t>安全韧性提升工程</w:t>
            </w:r>
            <w:r>
              <w:rPr>
                <w:rFonts w:hint="eastAsia" w:ascii="宋体" w:hAnsi="宋体" w:eastAsia="方正仿宋_GBK"/>
                <w:sz w:val="30"/>
                <w:szCs w:val="30"/>
                <w:highlight w:val="none"/>
                <w:lang w:eastAsia="zh-CN"/>
              </w:rPr>
              <w:t>：</w:t>
            </w:r>
            <w:r>
              <w:rPr>
                <w:rFonts w:hint="eastAsia" w:ascii="宋体" w:hAnsi="宋体" w:eastAsia="方正仿宋_GBK"/>
                <w:sz w:val="30"/>
                <w:szCs w:val="30"/>
                <w:highlight w:val="none"/>
                <w:lang w:val="en-US" w:eastAsia="zh-CN"/>
              </w:rPr>
              <w:t>XXX</w:t>
            </w:r>
            <w:r>
              <w:rPr>
                <w:rFonts w:hint="eastAsia" w:ascii="宋体" w:hAnsi="宋体" w:eastAsia="方正仿宋_GBK"/>
                <w:sz w:val="30"/>
                <w:szCs w:val="30"/>
                <w:highlight w:val="none"/>
              </w:rPr>
              <w:t>安全韧性提升工程</w:t>
            </w:r>
            <w:r>
              <w:rPr>
                <w:rFonts w:hint="eastAsia" w:ascii="宋体" w:hAnsi="宋体" w:eastAsia="方正仿宋_GBK"/>
                <w:sz w:val="30"/>
                <w:szCs w:val="30"/>
                <w:highlight w:val="none"/>
                <w:lang w:eastAsia="zh-CN"/>
              </w:rPr>
              <w:t>、</w:t>
            </w:r>
            <w:r>
              <w:rPr>
                <w:rFonts w:hint="eastAsia" w:ascii="宋体" w:hAnsi="宋体" w:eastAsia="方正仿宋_GBK"/>
                <w:sz w:val="30"/>
                <w:szCs w:val="30"/>
                <w:highlight w:val="none"/>
              </w:rPr>
              <w:t>拆除重建县乡村道危桥</w:t>
            </w:r>
            <w:r>
              <w:rPr>
                <w:rFonts w:hint="eastAsia" w:ascii="宋体" w:hAnsi="宋体" w:eastAsia="方正仿宋_GBK"/>
                <w:sz w:val="30"/>
                <w:szCs w:val="30"/>
                <w:highlight w:val="none"/>
                <w:lang w:val="en-US" w:eastAsia="zh-CN"/>
              </w:rPr>
              <w:t>XX</w:t>
            </w:r>
            <w:r>
              <w:rPr>
                <w:rFonts w:hint="eastAsia" w:ascii="宋体" w:hAnsi="宋体" w:eastAsia="方正仿宋_GBK"/>
                <w:sz w:val="30"/>
                <w:szCs w:val="30"/>
                <w:highlight w:val="none"/>
              </w:rPr>
              <w:t>座，</w:t>
            </w:r>
            <w:r>
              <w:rPr>
                <w:rFonts w:hint="eastAsia" w:ascii="宋体" w:hAnsi="宋体" w:eastAsia="方正仿宋_GBK"/>
                <w:sz w:val="30"/>
                <w:szCs w:val="30"/>
                <w:highlight w:val="none"/>
                <w:lang w:eastAsia="zh-CN"/>
              </w:rPr>
              <w:t>石林</w:t>
            </w:r>
            <w:r>
              <w:rPr>
                <w:rFonts w:hint="eastAsia" w:ascii="宋体" w:hAnsi="宋体" w:eastAsia="方正仿宋_GBK"/>
                <w:sz w:val="30"/>
                <w:szCs w:val="30"/>
                <w:highlight w:val="none"/>
              </w:rPr>
              <w:t>县农村公路安全生命防护工程</w:t>
            </w:r>
            <w:r>
              <w:rPr>
                <w:rFonts w:hint="eastAsia" w:ascii="宋体" w:hAnsi="宋体" w:eastAsia="方正仿宋_GBK"/>
                <w:sz w:val="30"/>
                <w:szCs w:val="30"/>
                <w:highlight w:val="none"/>
                <w:lang w:val="en-US" w:eastAsia="zh-CN"/>
              </w:rPr>
              <w:t>XXX公里</w:t>
            </w:r>
            <w:r>
              <w:rPr>
                <w:rFonts w:hint="eastAsia" w:ascii="宋体" w:hAnsi="宋体" w:eastAsia="方正仿宋_GBK"/>
                <w:sz w:val="30"/>
                <w:szCs w:val="30"/>
                <w:highlight w:val="none"/>
              </w:rPr>
              <w:t>。</w:t>
            </w:r>
          </w:p>
          <w:p w14:paraId="677DFDE4">
            <w:pPr>
              <w:numPr>
                <w:ilvl w:val="0"/>
                <w:numId w:val="6"/>
              </w:numPr>
              <w:overflowPunct w:val="0"/>
              <w:topLinePunct/>
              <w:adjustRightInd w:val="0"/>
              <w:snapToGrid w:val="0"/>
              <w:ind w:left="425" w:leftChars="0" w:hanging="425" w:firstLineChars="0"/>
              <w:rPr>
                <w:rFonts w:hint="eastAsia" w:ascii="宋体" w:hAnsi="宋体" w:eastAsia="方正仿宋_GBK"/>
                <w:sz w:val="30"/>
                <w:szCs w:val="30"/>
                <w:highlight w:val="none"/>
                <w:lang w:eastAsia="zh-CN"/>
              </w:rPr>
            </w:pPr>
            <w:r>
              <w:rPr>
                <w:rFonts w:hint="eastAsia" w:ascii="宋体" w:hAnsi="宋体" w:eastAsia="方正仿宋_GBK"/>
                <w:sz w:val="30"/>
                <w:szCs w:val="30"/>
                <w:highlight w:val="none"/>
              </w:rPr>
              <w:t>安全应急保障</w:t>
            </w:r>
            <w:r>
              <w:rPr>
                <w:rFonts w:hint="eastAsia" w:ascii="宋体" w:hAnsi="宋体" w:eastAsia="方正仿宋_GBK"/>
                <w:sz w:val="30"/>
                <w:szCs w:val="30"/>
                <w:highlight w:val="none"/>
                <w:lang w:eastAsia="zh-CN"/>
              </w:rPr>
              <w:t>：石林</w:t>
            </w:r>
            <w:r>
              <w:rPr>
                <w:rFonts w:hint="eastAsia" w:ascii="宋体" w:hAnsi="宋体" w:eastAsia="方正仿宋_GBK"/>
                <w:sz w:val="30"/>
                <w:szCs w:val="30"/>
                <w:highlight w:val="none"/>
              </w:rPr>
              <w:t>县综合交通智慧（应急）</w:t>
            </w:r>
            <w:r>
              <w:rPr>
                <w:rFonts w:hint="eastAsia" w:ascii="宋体" w:hAnsi="宋体" w:eastAsia="方正仿宋_GBK"/>
                <w:sz w:val="30"/>
                <w:szCs w:val="30"/>
                <w:highlight w:val="none"/>
                <w:lang w:val="en-US" w:eastAsia="zh-CN"/>
              </w:rPr>
              <w:t>管理</w:t>
            </w:r>
            <w:r>
              <w:rPr>
                <w:rFonts w:hint="eastAsia" w:ascii="宋体" w:hAnsi="宋体" w:eastAsia="方正仿宋_GBK"/>
                <w:sz w:val="30"/>
                <w:szCs w:val="30"/>
                <w:highlight w:val="none"/>
              </w:rPr>
              <w:t>中心建设项目</w:t>
            </w:r>
            <w:r>
              <w:rPr>
                <w:rFonts w:hint="eastAsia" w:ascii="宋体" w:hAnsi="宋体" w:eastAsia="方正仿宋_GBK"/>
                <w:sz w:val="30"/>
                <w:szCs w:val="30"/>
                <w:highlight w:val="none"/>
                <w:lang w:eastAsia="zh-CN"/>
              </w:rPr>
              <w:t>。</w:t>
            </w:r>
          </w:p>
          <w:p w14:paraId="10DFF8FA">
            <w:pPr>
              <w:numPr>
                <w:ilvl w:val="0"/>
                <w:numId w:val="6"/>
              </w:numPr>
              <w:overflowPunct w:val="0"/>
              <w:topLinePunct/>
              <w:adjustRightInd w:val="0"/>
              <w:snapToGrid w:val="0"/>
              <w:ind w:left="425" w:leftChars="0" w:hanging="425" w:firstLineChars="0"/>
              <w:rPr>
                <w:rFonts w:hint="eastAsia" w:ascii="宋体" w:hAnsi="宋体" w:eastAsia="方正仿宋_GBK"/>
                <w:sz w:val="30"/>
                <w:szCs w:val="30"/>
                <w:highlight w:val="none"/>
                <w:lang w:eastAsia="zh-CN"/>
              </w:rPr>
            </w:pPr>
            <w:r>
              <w:rPr>
                <w:rFonts w:hint="eastAsia" w:ascii="宋体" w:hAnsi="宋体" w:eastAsia="方正仿宋_GBK"/>
                <w:sz w:val="30"/>
                <w:szCs w:val="30"/>
                <w:highlight w:val="yellow"/>
                <w:lang w:val="en-US" w:eastAsia="zh-CN"/>
              </w:rPr>
              <w:t>直升机停靠点，应急物资，钢便桥，应急物资储备</w:t>
            </w:r>
          </w:p>
        </w:tc>
      </w:tr>
      <w:bookmarkEnd w:id="96"/>
      <w:bookmarkEnd w:id="97"/>
      <w:bookmarkEnd w:id="98"/>
    </w:tbl>
    <w:p w14:paraId="3033B0E4">
      <w:pPr>
        <w:pStyle w:val="3"/>
        <w:numPr>
          <w:ilvl w:val="0"/>
          <w:numId w:val="0"/>
        </w:numPr>
        <w:bidi w:val="0"/>
        <w:ind w:left="0" w:leftChars="0" w:firstLine="640" w:firstLineChars="200"/>
        <w:rPr>
          <w:rFonts w:hint="eastAsia"/>
          <w:highlight w:val="none"/>
        </w:rPr>
      </w:pPr>
      <w:bookmarkStart w:id="99" w:name="_Toc9569"/>
      <w:bookmarkStart w:id="100" w:name="_Toc25692"/>
      <w:bookmarkStart w:id="101" w:name="_Toc21774"/>
      <w:bookmarkStart w:id="102" w:name="_Toc11217"/>
      <w:r>
        <w:rPr>
          <w:rFonts w:hint="eastAsia" w:ascii="宋体" w:hAnsi="宋体" w:eastAsia="方正楷体_GBK" w:cstheme="majorBidi"/>
          <w:bCs/>
          <w:kern w:val="2"/>
          <w:sz w:val="32"/>
          <w:szCs w:val="32"/>
          <w:highlight w:val="none"/>
          <w:lang w:val="en-US" w:eastAsia="zh-CN" w:bidi="ar-SA"/>
        </w:rPr>
        <w:t>（</w:t>
      </w:r>
      <w:r>
        <w:rPr>
          <w:rFonts w:hint="eastAsia" w:cstheme="majorBidi"/>
          <w:bCs/>
          <w:kern w:val="2"/>
          <w:sz w:val="32"/>
          <w:szCs w:val="32"/>
          <w:highlight w:val="none"/>
          <w:lang w:val="en-US" w:eastAsia="zh-CN" w:bidi="ar-SA"/>
        </w:rPr>
        <w:t>八</w:t>
      </w:r>
      <w:r>
        <w:rPr>
          <w:rFonts w:hint="eastAsia" w:ascii="宋体" w:hAnsi="宋体" w:eastAsia="方正楷体_GBK" w:cstheme="majorBidi"/>
          <w:bCs/>
          <w:kern w:val="2"/>
          <w:sz w:val="32"/>
          <w:szCs w:val="32"/>
          <w:highlight w:val="none"/>
          <w:lang w:val="en-US" w:eastAsia="zh-CN" w:bidi="ar-SA"/>
        </w:rPr>
        <w:t>）</w:t>
      </w:r>
      <w:r>
        <w:rPr>
          <w:highlight w:val="none"/>
        </w:rPr>
        <w:t>进一步全面深化交通运输领域改革</w:t>
      </w:r>
      <w:bookmarkEnd w:id="99"/>
      <w:bookmarkEnd w:id="100"/>
      <w:bookmarkEnd w:id="101"/>
      <w:bookmarkEnd w:id="102"/>
    </w:p>
    <w:p w14:paraId="2EA665F9">
      <w:pPr>
        <w:pStyle w:val="4"/>
        <w:bidi w:val="0"/>
        <w:rPr>
          <w:rFonts w:hint="eastAsia"/>
          <w:highlight w:val="none"/>
        </w:rPr>
      </w:pPr>
      <w:bookmarkStart w:id="103" w:name="_Toc12024"/>
      <w:bookmarkStart w:id="104" w:name="_Toc16670"/>
      <w:bookmarkStart w:id="105" w:name="_Toc796"/>
      <w:r>
        <w:rPr>
          <w:rFonts w:hint="eastAsia"/>
          <w:highlight w:val="none"/>
          <w:lang w:val="en-US" w:eastAsia="zh-CN"/>
        </w:rPr>
        <w:t>1.</w:t>
      </w:r>
      <w:r>
        <w:rPr>
          <w:rFonts w:hint="eastAsia"/>
          <w:highlight w:val="none"/>
        </w:rPr>
        <w:t>完善综合交通运输管理体制机制</w:t>
      </w:r>
      <w:bookmarkEnd w:id="103"/>
      <w:bookmarkEnd w:id="104"/>
      <w:bookmarkEnd w:id="105"/>
    </w:p>
    <w:p w14:paraId="7C8903D9">
      <w:pPr>
        <w:spacing w:line="600" w:lineRule="exact"/>
        <w:ind w:firstLine="643" w:firstLineChars="20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bCs/>
          <w:sz w:val="32"/>
          <w:szCs w:val="32"/>
          <w:highlight w:val="none"/>
        </w:rPr>
        <w:t>健全统筹协调机制。</w:t>
      </w:r>
      <w:r>
        <w:rPr>
          <w:rFonts w:hint="eastAsia" w:ascii="宋体" w:hAnsi="宋体" w:eastAsia="方正仿宋_GBK" w:cs="方正仿宋_GBK"/>
          <w:b w:val="0"/>
          <w:bCs w:val="0"/>
          <w:sz w:val="32"/>
          <w:szCs w:val="32"/>
          <w:highlight w:val="none"/>
        </w:rPr>
        <w:t>厘清部门职责边界，健全交通运输跨部门联动机制，强化与发改、财政、自然资源等部门协同，提升规划衔接、要素保障、项目推进等统筹能力。</w:t>
      </w:r>
    </w:p>
    <w:p w14:paraId="354802EC">
      <w:pPr>
        <w:spacing w:line="600" w:lineRule="exact"/>
        <w:ind w:firstLine="643" w:firstLineChars="20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bCs/>
          <w:sz w:val="32"/>
          <w:szCs w:val="32"/>
          <w:highlight w:val="none"/>
        </w:rPr>
        <w:t>强化法治与执法建设。</w:t>
      </w:r>
      <w:r>
        <w:rPr>
          <w:rFonts w:hint="eastAsia" w:ascii="宋体" w:hAnsi="宋体" w:eastAsia="方正仿宋_GBK" w:cs="方正仿宋_GBK"/>
          <w:b w:val="0"/>
          <w:bCs w:val="0"/>
          <w:sz w:val="32"/>
          <w:szCs w:val="32"/>
          <w:highlight w:val="none"/>
        </w:rPr>
        <w:t>严格落实国家交通运输法律法规，推进地方性法规、政府规章制修订。深化交通运输综合行政执法改革，构建多部门协同、权责清晰、高效规范的执法体系，提升执法公信力。</w:t>
      </w:r>
    </w:p>
    <w:p w14:paraId="0C9BB127">
      <w:pPr>
        <w:spacing w:line="600" w:lineRule="exact"/>
        <w:ind w:firstLine="643" w:firstLineChars="20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bCs/>
          <w:sz w:val="32"/>
          <w:szCs w:val="32"/>
          <w:highlight w:val="none"/>
        </w:rPr>
        <w:t>优化行业治理体系。</w:t>
      </w:r>
      <w:r>
        <w:rPr>
          <w:rFonts w:hint="eastAsia" w:ascii="宋体" w:hAnsi="宋体" w:eastAsia="方正仿宋_GBK" w:cs="方正仿宋_GBK"/>
          <w:b w:val="0"/>
          <w:bCs w:val="0"/>
          <w:sz w:val="32"/>
          <w:szCs w:val="32"/>
          <w:highlight w:val="none"/>
        </w:rPr>
        <w:t>深化“放管服”改革，构建以“双随机、一公开”为基本、重点监管为补充、信用监管为基础的新型监管机制。完善守信联合激励、失信联合惩戒制度，激发市场主体活力。在防范地方政府债务风险前提下，规范实施PPP新机制，支持民营企业参与交通基础设施建设运营。</w:t>
      </w:r>
    </w:p>
    <w:p w14:paraId="7C83DC9E">
      <w:pPr>
        <w:spacing w:line="600" w:lineRule="exact"/>
        <w:ind w:firstLine="643" w:firstLineChars="200"/>
        <w:rPr>
          <w:rFonts w:hint="eastAsia" w:ascii="宋体" w:hAnsi="宋体" w:eastAsia="方正仿宋_GBK" w:cs="方正仿宋_GBK"/>
          <w:sz w:val="32"/>
          <w:szCs w:val="32"/>
          <w:highlight w:val="none"/>
        </w:rPr>
      </w:pPr>
      <w:r>
        <w:rPr>
          <w:rFonts w:hint="eastAsia" w:ascii="宋体" w:hAnsi="宋体" w:eastAsia="方正仿宋_GBK" w:cs="方正仿宋_GBK"/>
          <w:b/>
          <w:bCs/>
          <w:sz w:val="32"/>
          <w:szCs w:val="32"/>
          <w:highlight w:val="none"/>
        </w:rPr>
        <w:t>扩大公众参与共治。</w:t>
      </w:r>
      <w:r>
        <w:rPr>
          <w:rFonts w:hint="eastAsia" w:ascii="宋体" w:hAnsi="宋体" w:eastAsia="方正仿宋_GBK" w:cs="方正仿宋_GBK"/>
          <w:b w:val="0"/>
          <w:bCs w:val="0"/>
          <w:sz w:val="32"/>
          <w:szCs w:val="32"/>
          <w:highlight w:val="none"/>
        </w:rPr>
        <w:t>健全依法决策、民主决策机制，鼓励行业组织参与治理，引导社会组织自律规范。拓宽公众参与渠道，推进政务公开，完善监督机制</w:t>
      </w:r>
      <w:r>
        <w:rPr>
          <w:rFonts w:hint="eastAsia" w:ascii="宋体" w:hAnsi="宋体" w:eastAsia="方正仿宋_GBK" w:cs="方正仿宋_GBK"/>
          <w:sz w:val="32"/>
          <w:szCs w:val="32"/>
          <w:highlight w:val="none"/>
        </w:rPr>
        <w:t>。</w:t>
      </w:r>
    </w:p>
    <w:p w14:paraId="26F8AF2F">
      <w:pPr>
        <w:pStyle w:val="4"/>
        <w:bidi w:val="0"/>
        <w:rPr>
          <w:rFonts w:hint="eastAsia"/>
          <w:highlight w:val="none"/>
        </w:rPr>
      </w:pPr>
      <w:bookmarkStart w:id="106" w:name="_Toc11288"/>
      <w:bookmarkStart w:id="107" w:name="_Toc11364"/>
      <w:bookmarkStart w:id="108" w:name="_Toc23228"/>
      <w:r>
        <w:rPr>
          <w:rFonts w:hint="eastAsia"/>
          <w:highlight w:val="none"/>
          <w:lang w:val="en-US" w:eastAsia="zh-CN"/>
        </w:rPr>
        <w:t>2.</w:t>
      </w:r>
      <w:r>
        <w:rPr>
          <w:rFonts w:hint="eastAsia"/>
          <w:highlight w:val="none"/>
        </w:rPr>
        <w:t>加强交通运输人才队伍和思想文化建设</w:t>
      </w:r>
      <w:bookmarkEnd w:id="106"/>
      <w:bookmarkEnd w:id="107"/>
      <w:bookmarkEnd w:id="108"/>
    </w:p>
    <w:p w14:paraId="557FDC04">
      <w:pPr>
        <w:spacing w:line="600" w:lineRule="exact"/>
        <w:ind w:firstLine="643" w:firstLineChars="20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bCs/>
          <w:sz w:val="32"/>
          <w:szCs w:val="32"/>
          <w:highlight w:val="none"/>
          <w:lang w:eastAsia="zh-CN"/>
        </w:rPr>
        <w:t>建</w:t>
      </w:r>
      <w:r>
        <w:rPr>
          <w:rFonts w:hint="eastAsia" w:ascii="宋体" w:hAnsi="宋体" w:eastAsia="方正仿宋_GBK" w:cs="方正仿宋_GBK"/>
          <w:b/>
          <w:bCs/>
          <w:sz w:val="32"/>
          <w:szCs w:val="32"/>
          <w:highlight w:val="none"/>
        </w:rPr>
        <w:t>强高素质人才队伍。</w:t>
      </w:r>
      <w:r>
        <w:rPr>
          <w:rFonts w:hint="eastAsia" w:ascii="宋体" w:hAnsi="宋体" w:eastAsia="方正仿宋_GBK" w:cs="方正仿宋_GBK"/>
          <w:b w:val="0"/>
          <w:bCs w:val="0"/>
          <w:sz w:val="32"/>
          <w:szCs w:val="32"/>
          <w:highlight w:val="none"/>
        </w:rPr>
        <w:t>完善干部选拔任用、考核评价与专业技术职称评聘制度，健全人才激励机制，优化人才配置。加强跨部门、跨领域人才交流，培养复合型、创新型人才，支撑交通高质量发展。</w:t>
      </w:r>
    </w:p>
    <w:p w14:paraId="48C7284D">
      <w:pPr>
        <w:spacing w:line="600" w:lineRule="exact"/>
        <w:ind w:firstLine="643" w:firstLineChars="200"/>
        <w:rPr>
          <w:rFonts w:hint="eastAsia" w:ascii="宋体" w:hAnsi="宋体" w:eastAsia="方正仿宋_GBK" w:cs="方正仿宋_GBK"/>
          <w:b w:val="0"/>
          <w:bCs w:val="0"/>
          <w:sz w:val="32"/>
          <w:szCs w:val="32"/>
          <w:highlight w:val="none"/>
        </w:rPr>
      </w:pPr>
      <w:r>
        <w:rPr>
          <w:rFonts w:hint="eastAsia" w:ascii="宋体" w:hAnsi="宋体" w:eastAsia="方正仿宋_GBK" w:cs="方正仿宋_GBK"/>
          <w:b/>
          <w:bCs/>
          <w:sz w:val="32"/>
          <w:szCs w:val="32"/>
          <w:highlight w:val="none"/>
        </w:rPr>
        <w:t>深化思想政治与行业文化建设。</w:t>
      </w:r>
      <w:r>
        <w:rPr>
          <w:rFonts w:hint="eastAsia" w:ascii="宋体" w:hAnsi="宋体" w:eastAsia="方正仿宋_GBK" w:cs="方正仿宋_GBK"/>
          <w:b w:val="0"/>
          <w:bCs w:val="0"/>
          <w:sz w:val="32"/>
          <w:szCs w:val="32"/>
          <w:highlight w:val="none"/>
        </w:rPr>
        <w:t>坚持</w:t>
      </w:r>
      <w:bookmarkStart w:id="127" w:name="_GoBack"/>
      <w:r>
        <w:rPr>
          <w:rFonts w:hint="eastAsia" w:ascii="宋体" w:hAnsi="宋体" w:eastAsia="方正仿宋_GBK" w:cs="方正仿宋_GBK"/>
          <w:b w:val="0"/>
          <w:bCs w:val="0"/>
          <w:sz w:val="32"/>
          <w:szCs w:val="32"/>
          <w:highlight w:val="none"/>
        </w:rPr>
        <w:t>以习近平新时代中国特色社会主义思想凝心铸魂</w:t>
      </w:r>
      <w:bookmarkEnd w:id="127"/>
      <w:r>
        <w:rPr>
          <w:rFonts w:hint="eastAsia" w:ascii="宋体" w:hAnsi="宋体" w:eastAsia="方正仿宋_GBK" w:cs="方正仿宋_GBK"/>
          <w:b w:val="0"/>
          <w:bCs w:val="0"/>
          <w:sz w:val="32"/>
          <w:szCs w:val="32"/>
          <w:highlight w:val="none"/>
        </w:rPr>
        <w:t>，大力弘扬新时代交通精神。系统宣传交通运输改革发展成就，增强全行业当好开路先锋、建设交通强国的信心决心。选树宣传时代楷模、道德模范及“感动交通”“最美交通人”等先进典型，强化示范引领，营造见贤思齐、争当先进的浓厚氛围。</w:t>
      </w:r>
    </w:p>
    <w:p w14:paraId="1F885F91">
      <w:pPr>
        <w:pStyle w:val="2"/>
        <w:bidi w:val="0"/>
        <w:rPr>
          <w:rFonts w:hint="eastAsia"/>
          <w:highlight w:val="none"/>
        </w:rPr>
      </w:pPr>
      <w:bookmarkStart w:id="109" w:name="_Toc8931"/>
      <w:bookmarkStart w:id="110" w:name="_Toc27855"/>
      <w:bookmarkStart w:id="111" w:name="_Toc29149"/>
      <w:bookmarkStart w:id="112" w:name="_Toc28820"/>
      <w:r>
        <w:rPr>
          <w:rFonts w:hint="eastAsia"/>
          <w:highlight w:val="none"/>
        </w:rPr>
        <w:t>规划实施保障</w:t>
      </w:r>
      <w:bookmarkEnd w:id="109"/>
      <w:bookmarkEnd w:id="110"/>
      <w:bookmarkEnd w:id="111"/>
      <w:bookmarkEnd w:id="112"/>
    </w:p>
    <w:p w14:paraId="3EE3A0F7">
      <w:pPr>
        <w:pStyle w:val="3"/>
        <w:numPr>
          <w:ilvl w:val="0"/>
          <w:numId w:val="0"/>
        </w:numPr>
        <w:bidi w:val="0"/>
        <w:ind w:left="0" w:leftChars="0" w:firstLine="640" w:firstLineChars="200"/>
        <w:rPr>
          <w:rFonts w:hint="eastAsia"/>
          <w:highlight w:val="none"/>
        </w:rPr>
      </w:pPr>
      <w:bookmarkStart w:id="113" w:name="_Toc8100"/>
      <w:bookmarkStart w:id="114" w:name="_Toc14427"/>
      <w:bookmarkStart w:id="115" w:name="_Toc19280"/>
      <w:bookmarkStart w:id="116" w:name="_Toc29249"/>
      <w:r>
        <w:rPr>
          <w:rFonts w:hint="eastAsia" w:ascii="宋体" w:hAnsi="宋体" w:eastAsia="方正楷体_GBK" w:cstheme="majorBidi"/>
          <w:bCs/>
          <w:kern w:val="2"/>
          <w:sz w:val="32"/>
          <w:szCs w:val="32"/>
          <w:highlight w:val="none"/>
          <w:lang w:val="en-US" w:eastAsia="zh-CN" w:bidi="ar-SA"/>
        </w:rPr>
        <w:t>（一）</w:t>
      </w:r>
      <w:r>
        <w:rPr>
          <w:rFonts w:hint="eastAsia"/>
          <w:highlight w:val="none"/>
        </w:rPr>
        <w:t>加强党的全面领导</w:t>
      </w:r>
      <w:bookmarkEnd w:id="113"/>
      <w:bookmarkEnd w:id="114"/>
      <w:bookmarkEnd w:id="115"/>
      <w:bookmarkEnd w:id="116"/>
    </w:p>
    <w:p w14:paraId="08433A46">
      <w:pPr>
        <w:spacing w:line="600" w:lineRule="exact"/>
        <w:ind w:firstLine="640" w:firstLineChars="200"/>
        <w:rPr>
          <w:rFonts w:hint="eastAsia" w:ascii="宋体" w:hAnsi="宋体" w:eastAsia="方正仿宋_GBK" w:cs="方正仿宋_GBK"/>
          <w:sz w:val="32"/>
          <w:szCs w:val="32"/>
          <w:highlight w:val="none"/>
        </w:rPr>
      </w:pPr>
      <w:r>
        <w:rPr>
          <w:rFonts w:hint="eastAsia" w:ascii="宋体" w:hAnsi="宋体" w:eastAsia="方正仿宋_GBK" w:cs="方正仿宋_GBK"/>
          <w:sz w:val="32"/>
          <w:szCs w:val="32"/>
          <w:highlight w:val="none"/>
        </w:rPr>
        <w:t>坚持和加强党的全面领导，认真贯彻落实党中央、国务院决策部署</w:t>
      </w:r>
      <w:r>
        <w:rPr>
          <w:rFonts w:hint="eastAsia" w:ascii="宋体" w:hAnsi="宋体" w:eastAsia="方正仿宋_GBK" w:cs="方正仿宋_GBK"/>
          <w:sz w:val="32"/>
          <w:szCs w:val="32"/>
          <w:highlight w:val="none"/>
          <w:lang w:eastAsia="zh-CN"/>
        </w:rPr>
        <w:t>，</w:t>
      </w:r>
      <w:r>
        <w:rPr>
          <w:rFonts w:hint="eastAsia" w:ascii="宋体" w:hAnsi="宋体" w:eastAsia="方正仿宋_GBK" w:cs="方正仿宋_GBK"/>
          <w:sz w:val="32"/>
          <w:szCs w:val="32"/>
          <w:highlight w:val="none"/>
        </w:rPr>
        <w:t>增强“四个意识”、坚定“四个自信”、做到“两个维护”。充分发挥党</w:t>
      </w:r>
      <w:r>
        <w:rPr>
          <w:rFonts w:hint="eastAsia" w:ascii="宋体" w:hAnsi="宋体" w:eastAsia="方正仿宋_GBK" w:cs="方正仿宋_GBK"/>
          <w:sz w:val="32"/>
          <w:szCs w:val="32"/>
          <w:highlight w:val="none"/>
          <w:lang w:eastAsia="zh-CN"/>
        </w:rPr>
        <w:t>总揽全局、协调各方</w:t>
      </w:r>
      <w:r>
        <w:rPr>
          <w:rFonts w:hint="eastAsia" w:ascii="宋体" w:hAnsi="宋体" w:eastAsia="方正仿宋_GBK" w:cs="方正仿宋_GBK"/>
          <w:sz w:val="32"/>
          <w:szCs w:val="32"/>
          <w:highlight w:val="none"/>
        </w:rPr>
        <w:t>的作用，加强党对</w:t>
      </w:r>
      <w:r>
        <w:rPr>
          <w:rFonts w:hint="eastAsia" w:ascii="宋体" w:hAnsi="宋体" w:eastAsia="方正仿宋_GBK" w:cs="方正仿宋_GBK"/>
          <w:sz w:val="32"/>
          <w:szCs w:val="32"/>
          <w:highlight w:val="none"/>
          <w:lang w:eastAsia="zh-CN"/>
        </w:rPr>
        <w:t>石林县</w:t>
      </w:r>
      <w:r>
        <w:rPr>
          <w:rFonts w:hint="eastAsia" w:ascii="宋体" w:hAnsi="宋体" w:eastAsia="方正仿宋_GBK" w:cs="方正仿宋_GBK"/>
          <w:sz w:val="32"/>
          <w:szCs w:val="32"/>
          <w:highlight w:val="none"/>
        </w:rPr>
        <w:t>综合交通发展各方面各环节的领导。加强基层党组织建设，引导广大党员发挥先锋模范作用，把基层党组织建设成为新时代综合交通高质量发展的坚强战斗堡垒。</w:t>
      </w:r>
    </w:p>
    <w:p w14:paraId="7130C330">
      <w:pPr>
        <w:pStyle w:val="3"/>
        <w:numPr>
          <w:ilvl w:val="0"/>
          <w:numId w:val="0"/>
        </w:numPr>
        <w:bidi w:val="0"/>
        <w:ind w:left="0" w:leftChars="0" w:firstLine="640" w:firstLineChars="200"/>
        <w:rPr>
          <w:rFonts w:hint="eastAsia"/>
          <w:highlight w:val="none"/>
        </w:rPr>
      </w:pPr>
      <w:bookmarkStart w:id="117" w:name="_Toc11540"/>
      <w:bookmarkStart w:id="118" w:name="_Toc19154"/>
      <w:bookmarkStart w:id="119" w:name="_Toc20229"/>
      <w:bookmarkStart w:id="120" w:name="_Toc16557"/>
      <w:r>
        <w:rPr>
          <w:rFonts w:hint="eastAsia" w:ascii="宋体" w:hAnsi="宋体" w:eastAsia="方正楷体_GBK" w:cstheme="majorBidi"/>
          <w:bCs/>
          <w:kern w:val="2"/>
          <w:sz w:val="32"/>
          <w:szCs w:val="32"/>
          <w:highlight w:val="none"/>
          <w:lang w:val="en-US" w:eastAsia="zh-CN" w:bidi="ar-SA"/>
        </w:rPr>
        <w:t>（二）</w:t>
      </w:r>
      <w:r>
        <w:rPr>
          <w:rFonts w:hint="eastAsia"/>
          <w:highlight w:val="none"/>
        </w:rPr>
        <w:t>加强</w:t>
      </w:r>
      <w:bookmarkEnd w:id="117"/>
      <w:bookmarkEnd w:id="118"/>
      <w:bookmarkEnd w:id="119"/>
      <w:r>
        <w:rPr>
          <w:rFonts w:hint="eastAsia"/>
          <w:highlight w:val="none"/>
          <w:lang w:eastAsia="zh-CN"/>
        </w:rPr>
        <w:t>部门联动</w:t>
      </w:r>
      <w:bookmarkEnd w:id="120"/>
    </w:p>
    <w:p w14:paraId="5D7D8087">
      <w:pPr>
        <w:spacing w:line="600" w:lineRule="exact"/>
        <w:ind w:firstLine="640" w:firstLineChars="200"/>
        <w:rPr>
          <w:rFonts w:hint="eastAsia" w:ascii="宋体" w:hAnsi="宋体" w:eastAsia="方正仿宋_GBK" w:cs="方正仿宋_GBK"/>
          <w:sz w:val="32"/>
          <w:szCs w:val="32"/>
          <w:highlight w:val="none"/>
        </w:rPr>
      </w:pPr>
      <w:r>
        <w:rPr>
          <w:rFonts w:hint="eastAsia" w:ascii="宋体" w:hAnsi="宋体" w:eastAsia="方正仿宋_GBK" w:cs="方正仿宋_GBK"/>
          <w:sz w:val="32"/>
          <w:szCs w:val="32"/>
          <w:highlight w:val="none"/>
        </w:rPr>
        <w:t>构建上下联动、部门协同的规划实施机制。成立县级“十</w:t>
      </w:r>
      <w:r>
        <w:rPr>
          <w:rFonts w:hint="eastAsia" w:ascii="宋体" w:hAnsi="宋体" w:eastAsia="方正仿宋_GBK" w:cs="方正仿宋_GBK"/>
          <w:sz w:val="32"/>
          <w:szCs w:val="32"/>
          <w:highlight w:val="none"/>
          <w:lang w:val="en-US" w:eastAsia="zh-CN"/>
        </w:rPr>
        <w:t>五</w:t>
      </w:r>
      <w:r>
        <w:rPr>
          <w:rFonts w:hint="eastAsia" w:ascii="宋体" w:hAnsi="宋体" w:eastAsia="方正仿宋_GBK" w:cs="方正仿宋_GBK"/>
          <w:sz w:val="32"/>
          <w:szCs w:val="32"/>
          <w:highlight w:val="none"/>
        </w:rPr>
        <w:t>五”综合交通规划实施领导小组，加强市、县联动，协同推进规划实施。交通主管部门落实各自工作职责，建立分工协作机制，抓好重大项目、重大工程及重大政策的落实。加强与发改、财政、自然资源、环保、林业、金融机构等相关部门的协调，建立健全工作机制，定期组织召开项目协调调度会，研究解决项目筹融资、资金到位、征地拆迁、投资完成、施工环境和施工要素保障等方面的问题，确保项目建设有序推进。</w:t>
      </w:r>
    </w:p>
    <w:p w14:paraId="2B6CFAFC">
      <w:pPr>
        <w:pStyle w:val="3"/>
        <w:numPr>
          <w:ilvl w:val="0"/>
          <w:numId w:val="0"/>
        </w:numPr>
        <w:bidi w:val="0"/>
        <w:ind w:left="0" w:leftChars="0" w:firstLine="640" w:firstLineChars="200"/>
        <w:rPr>
          <w:rFonts w:hint="eastAsia"/>
          <w:highlight w:val="none"/>
        </w:rPr>
      </w:pPr>
      <w:bookmarkStart w:id="121" w:name="_Toc19542"/>
      <w:bookmarkStart w:id="122" w:name="_Toc6541"/>
      <w:bookmarkStart w:id="123" w:name="_Toc3613"/>
      <w:bookmarkStart w:id="124" w:name="_Toc20753"/>
      <w:r>
        <w:rPr>
          <w:rFonts w:hint="eastAsia" w:ascii="宋体" w:hAnsi="宋体" w:eastAsia="方正楷体_GBK" w:cstheme="majorBidi"/>
          <w:bCs/>
          <w:kern w:val="2"/>
          <w:sz w:val="32"/>
          <w:szCs w:val="32"/>
          <w:highlight w:val="none"/>
          <w:lang w:val="en-US" w:eastAsia="zh-CN" w:bidi="ar-SA"/>
        </w:rPr>
        <w:t>（三）</w:t>
      </w:r>
      <w:r>
        <w:rPr>
          <w:rFonts w:hint="eastAsia"/>
          <w:highlight w:val="none"/>
        </w:rPr>
        <w:t>加强要素保障</w:t>
      </w:r>
      <w:bookmarkEnd w:id="121"/>
      <w:bookmarkEnd w:id="122"/>
      <w:bookmarkEnd w:id="123"/>
      <w:bookmarkEnd w:id="124"/>
    </w:p>
    <w:p w14:paraId="5D3F137C">
      <w:pPr>
        <w:spacing w:line="600" w:lineRule="exact"/>
        <w:ind w:firstLine="640" w:firstLineChars="200"/>
        <w:rPr>
          <w:rFonts w:hint="eastAsia" w:ascii="宋体" w:hAnsi="宋体" w:eastAsia="方正仿宋_GBK" w:cs="方正仿宋_GBK"/>
          <w:sz w:val="32"/>
          <w:szCs w:val="32"/>
          <w:highlight w:val="none"/>
        </w:rPr>
      </w:pPr>
      <w:r>
        <w:rPr>
          <w:rFonts w:hint="eastAsia" w:ascii="宋体" w:hAnsi="宋体" w:eastAsia="方正仿宋_GBK" w:cs="方正仿宋_GBK"/>
          <w:sz w:val="32"/>
          <w:szCs w:val="32"/>
          <w:highlight w:val="none"/>
        </w:rPr>
        <w:t>加强与市</w:t>
      </w:r>
      <w:r>
        <w:rPr>
          <w:rFonts w:hint="eastAsia" w:ascii="宋体" w:hAnsi="宋体" w:eastAsia="方正仿宋_GBK" w:cs="方正仿宋_GBK"/>
          <w:sz w:val="32"/>
          <w:szCs w:val="32"/>
          <w:highlight w:val="none"/>
          <w:lang w:eastAsia="zh-CN"/>
        </w:rPr>
        <w:t>、</w:t>
      </w:r>
      <w:r>
        <w:rPr>
          <w:rFonts w:hint="eastAsia" w:ascii="宋体" w:hAnsi="宋体" w:eastAsia="方正仿宋_GBK" w:cs="方正仿宋_GBK"/>
          <w:sz w:val="32"/>
          <w:szCs w:val="32"/>
          <w:highlight w:val="none"/>
          <w:lang w:val="en-US" w:eastAsia="zh-CN"/>
        </w:rPr>
        <w:t>县</w:t>
      </w:r>
      <w:r>
        <w:rPr>
          <w:rFonts w:hint="eastAsia" w:ascii="宋体" w:hAnsi="宋体" w:eastAsia="方正仿宋_GBK" w:cs="方正仿宋_GBK"/>
          <w:sz w:val="32"/>
          <w:szCs w:val="32"/>
          <w:highlight w:val="none"/>
        </w:rPr>
        <w:t>级国民经济和社会发展规划、交通专项规划等上位规划和国土空间控制规划的充分对接。积极对接林草、生态、自然资源、水利等职能部门，做好重要通道和重大项目的空间预留，实现交通基础设施国土空间资源的提前储备、多方统筹、有效管控和高效利用，保障交通基础设施用地、用林等需求，提高项目前期报件报批效率。</w:t>
      </w:r>
      <w:r>
        <w:rPr>
          <w:rFonts w:hint="eastAsia" w:ascii="宋体" w:hAnsi="宋体" w:eastAsia="方正仿宋_GBK" w:cs="方正仿宋_GBK"/>
          <w:sz w:val="32"/>
          <w:szCs w:val="32"/>
          <w:highlight w:val="none"/>
          <w:lang w:val="en-US" w:eastAsia="zh-CN"/>
        </w:rPr>
        <w:t>建立督促机制，</w:t>
      </w:r>
      <w:r>
        <w:rPr>
          <w:rFonts w:hint="eastAsia" w:ascii="宋体" w:hAnsi="宋体" w:eastAsia="方正仿宋_GBK" w:cs="方正仿宋_GBK"/>
          <w:sz w:val="32"/>
          <w:szCs w:val="32"/>
          <w:highlight w:val="none"/>
        </w:rPr>
        <w:t>扎实推进征迁及施工环境保障，确保项目顺利推进。</w:t>
      </w:r>
    </w:p>
    <w:p w14:paraId="66643F4A">
      <w:pPr>
        <w:pStyle w:val="3"/>
        <w:numPr>
          <w:ilvl w:val="0"/>
          <w:numId w:val="0"/>
        </w:numPr>
        <w:bidi w:val="0"/>
        <w:ind w:left="0" w:leftChars="0" w:firstLine="640" w:firstLineChars="200"/>
        <w:rPr>
          <w:rFonts w:hint="eastAsia"/>
          <w:highlight w:val="none"/>
          <w:lang w:eastAsia="zh-CN"/>
        </w:rPr>
      </w:pPr>
      <w:bookmarkStart w:id="125" w:name="_Toc11675"/>
      <w:r>
        <w:rPr>
          <w:rFonts w:hint="eastAsia"/>
          <w:highlight w:val="none"/>
          <w:lang w:eastAsia="zh-CN"/>
        </w:rPr>
        <w:t>（四）加强资金筹措</w:t>
      </w:r>
      <w:bookmarkEnd w:id="125"/>
    </w:p>
    <w:p w14:paraId="459A1275">
      <w:pPr>
        <w:numPr>
          <w:ilvl w:val="0"/>
          <w:numId w:val="0"/>
        </w:numPr>
        <w:spacing w:line="600" w:lineRule="exact"/>
        <w:ind w:left="0" w:leftChars="0" w:firstLine="640" w:firstLineChars="200"/>
        <w:rPr>
          <w:rFonts w:hint="eastAsia" w:ascii="宋体" w:hAnsi="宋体" w:eastAsia="方正仿宋_GBK" w:cs="方正仿宋_GBK"/>
          <w:sz w:val="32"/>
          <w:szCs w:val="32"/>
          <w:highlight w:val="none"/>
        </w:rPr>
      </w:pPr>
      <w:r>
        <w:rPr>
          <w:rFonts w:hint="eastAsia" w:ascii="宋体" w:hAnsi="宋体" w:eastAsia="方正仿宋_GBK" w:cs="方正仿宋_GBK"/>
          <w:sz w:val="32"/>
          <w:szCs w:val="32"/>
          <w:highlight w:val="none"/>
        </w:rPr>
        <w:t>资金压力将是“十五五</w:t>
      </w:r>
      <w:r>
        <w:rPr>
          <w:rFonts w:hint="eastAsia" w:ascii="宋体" w:hAnsi="宋体" w:eastAsia="方正仿宋_GBK" w:cs="方正仿宋_GBK"/>
          <w:sz w:val="32"/>
          <w:szCs w:val="32"/>
          <w:highlight w:val="none"/>
          <w:lang w:eastAsia="zh-CN"/>
        </w:rPr>
        <w:t>”时</w:t>
      </w:r>
      <w:r>
        <w:rPr>
          <w:rFonts w:hint="eastAsia" w:ascii="宋体" w:hAnsi="宋体" w:eastAsia="方正仿宋_GBK" w:cs="方正仿宋_GBK"/>
          <w:sz w:val="32"/>
          <w:szCs w:val="32"/>
          <w:highlight w:val="none"/>
        </w:rPr>
        <w:t>期</w:t>
      </w:r>
      <w:r>
        <w:rPr>
          <w:rFonts w:hint="eastAsia" w:ascii="宋体" w:hAnsi="宋体" w:eastAsia="方正仿宋_GBK" w:cs="方正仿宋_GBK"/>
          <w:sz w:val="32"/>
          <w:szCs w:val="32"/>
          <w:highlight w:val="none"/>
          <w:lang w:val="en-US" w:eastAsia="zh-CN"/>
        </w:rPr>
        <w:t>石林</w:t>
      </w:r>
      <w:r>
        <w:rPr>
          <w:rFonts w:hint="eastAsia" w:ascii="宋体" w:hAnsi="宋体" w:eastAsia="方正仿宋_GBK" w:cs="方正仿宋_GBK"/>
          <w:sz w:val="32"/>
          <w:szCs w:val="32"/>
          <w:highlight w:val="none"/>
        </w:rPr>
        <w:t>县综合交通运输发展面临的主要问题之一，也是关系</w:t>
      </w:r>
      <w:r>
        <w:rPr>
          <w:rFonts w:hint="eastAsia" w:ascii="宋体" w:hAnsi="宋体" w:eastAsia="方正仿宋_GBK" w:cs="方正仿宋_GBK"/>
          <w:sz w:val="32"/>
          <w:szCs w:val="32"/>
          <w:highlight w:val="none"/>
          <w:lang w:val="en-US" w:eastAsia="zh-CN"/>
        </w:rPr>
        <w:t>石林</w:t>
      </w:r>
      <w:r>
        <w:rPr>
          <w:rFonts w:hint="eastAsia" w:ascii="宋体" w:hAnsi="宋体" w:eastAsia="方正仿宋_GBK" w:cs="方正仿宋_GBK"/>
          <w:sz w:val="32"/>
          <w:szCs w:val="32"/>
          <w:highlight w:val="none"/>
        </w:rPr>
        <w:t>县未来发展的重点问题，应重点争取中央预算资金、超长期特别国债、专项债的资金支持并做好以下工作：</w:t>
      </w:r>
    </w:p>
    <w:p w14:paraId="62C0D365">
      <w:pPr>
        <w:pStyle w:val="5"/>
        <w:bidi w:val="0"/>
        <w:rPr>
          <w:rFonts w:hint="eastAsia"/>
          <w:b/>
          <w:bCs/>
          <w:highlight w:val="none"/>
          <w:lang w:eastAsia="zh-CN"/>
        </w:rPr>
      </w:pPr>
      <w:r>
        <w:rPr>
          <w:rFonts w:hint="eastAsia"/>
          <w:b/>
          <w:bCs/>
          <w:highlight w:val="none"/>
        </w:rPr>
        <w:t>一</w:t>
      </w:r>
      <w:r>
        <w:rPr>
          <w:rFonts w:hint="eastAsia"/>
          <w:b/>
          <w:bCs/>
          <w:highlight w:val="none"/>
          <w:lang w:val="en-US" w:eastAsia="zh-CN"/>
        </w:rPr>
        <w:t>是加强政策</w:t>
      </w:r>
      <w:r>
        <w:rPr>
          <w:rFonts w:hint="eastAsia"/>
          <w:b/>
          <w:bCs/>
          <w:highlight w:val="none"/>
        </w:rPr>
        <w:t>对接，争取上级专项资金支持</w:t>
      </w:r>
      <w:r>
        <w:rPr>
          <w:rFonts w:hint="eastAsia"/>
          <w:b/>
          <w:bCs/>
          <w:highlight w:val="none"/>
          <w:lang w:eastAsia="zh-CN"/>
        </w:rPr>
        <w:t>。</w:t>
      </w:r>
    </w:p>
    <w:p w14:paraId="1B944CF1">
      <w:pPr>
        <w:pStyle w:val="5"/>
        <w:bidi w:val="0"/>
        <w:rPr>
          <w:rFonts w:hint="eastAsia"/>
          <w:highlight w:val="none"/>
        </w:rPr>
      </w:pPr>
      <w:r>
        <w:rPr>
          <w:rFonts w:hint="eastAsia"/>
          <w:highlight w:val="none"/>
        </w:rPr>
        <w:t>把握国家、省、市交通领域财政政策窗口期，提升项目申报成功率。全力争取国家级专项补助资金。紧扣《新一轮农村公路提升行动方案》支持方向，重点申报农村公路提质改造、安全生命防护工程、危旧桥梁改造、农村客货邮融合发展等项目，争取中央财政农村公路建设养护补助资金；依据《车辆购置税收入补助地方资金管理办法》</w:t>
      </w:r>
      <w:r>
        <w:rPr>
          <w:rFonts w:hint="eastAsia"/>
          <w:highlight w:val="none"/>
          <w:lang w:val="en-US" w:eastAsia="zh-CN"/>
        </w:rPr>
        <w:t>相关要求</w:t>
      </w:r>
      <w:r>
        <w:rPr>
          <w:rFonts w:hint="eastAsia"/>
          <w:highlight w:val="none"/>
        </w:rPr>
        <w:t>，申报国省道升级改造、县乡公路互联互通、综合客货运枢纽建设、旅游公路等项目，全力争取车辆购置税收入补助地方资金；</w:t>
      </w:r>
      <w:r>
        <w:rPr>
          <w:rFonts w:hint="eastAsia"/>
          <w:highlight w:val="none"/>
          <w:lang w:val="en-US" w:eastAsia="zh-CN"/>
        </w:rPr>
        <w:t>依据</w:t>
      </w:r>
      <w:r>
        <w:rPr>
          <w:rFonts w:hint="eastAsia"/>
          <w:highlight w:val="none"/>
        </w:rPr>
        <w:t>《关于加强衔接推进乡村振兴补助资金使用管理的通知》</w:t>
      </w:r>
      <w:r>
        <w:rPr>
          <w:rFonts w:hint="eastAsia"/>
          <w:highlight w:val="none"/>
          <w:lang w:val="en-US" w:eastAsia="zh-CN"/>
        </w:rPr>
        <w:t>内容</w:t>
      </w:r>
      <w:r>
        <w:rPr>
          <w:rFonts w:hint="eastAsia"/>
          <w:highlight w:val="none"/>
        </w:rPr>
        <w:t>，积极争取各级财政衔接推进乡村振兴补助资金，用于乡村产业路、资源路、旅游路建设。</w:t>
      </w:r>
    </w:p>
    <w:p w14:paraId="20AE0CF4">
      <w:pPr>
        <w:pStyle w:val="5"/>
        <w:bidi w:val="0"/>
        <w:rPr>
          <w:rFonts w:hint="eastAsia"/>
          <w:highlight w:val="none"/>
        </w:rPr>
      </w:pPr>
      <w:r>
        <w:rPr>
          <w:rFonts w:hint="eastAsia"/>
          <w:highlight w:val="none"/>
        </w:rPr>
        <w:t>申报超长期特别国债与地方政府专项债券。把握超长期特别国债政策窗口期</w:t>
      </w:r>
      <w:r>
        <w:rPr>
          <w:rFonts w:hint="eastAsia"/>
          <w:highlight w:val="none"/>
          <w:lang w:eastAsia="zh-CN"/>
        </w:rPr>
        <w:t>，</w:t>
      </w:r>
      <w:r>
        <w:rPr>
          <w:rFonts w:hint="eastAsia"/>
          <w:highlight w:val="none"/>
        </w:rPr>
        <w:t>争取资金支持</w:t>
      </w:r>
      <w:r>
        <w:rPr>
          <w:rFonts w:hint="eastAsia"/>
          <w:highlight w:val="none"/>
          <w:lang w:eastAsia="zh-CN"/>
        </w:rPr>
        <w:t>。</w:t>
      </w:r>
      <w:r>
        <w:rPr>
          <w:rFonts w:hint="eastAsia"/>
          <w:highlight w:val="none"/>
        </w:rPr>
        <w:t>聚焦国家“两重”支持领域，重点包装申报干线公路提质升级、交通防灾减灾、智慧交通体系建设等符合支持范围的重点项目；</w:t>
      </w:r>
      <w:r>
        <w:rPr>
          <w:rFonts w:hint="eastAsia"/>
          <w:highlight w:val="none"/>
          <w:lang w:val="en-US" w:eastAsia="zh-CN"/>
        </w:rPr>
        <w:t>对接国家发展改革委</w:t>
      </w:r>
      <w:r>
        <w:rPr>
          <w:rFonts w:hint="eastAsia"/>
          <w:highlight w:val="none"/>
        </w:rPr>
        <w:t>、财政部年度地方政府专项债券发行使用要求，围绕综合交通枢纽、冷链物流园区、农村公路、智慧停车场及充换电设施、旅游交通配套等重点方向，扩大专项债券对交通建设的支持规模。</w:t>
      </w:r>
    </w:p>
    <w:p w14:paraId="6AB8CAFE">
      <w:pPr>
        <w:pStyle w:val="5"/>
        <w:bidi w:val="0"/>
        <w:rPr>
          <w:rFonts w:hint="eastAsia"/>
          <w:highlight w:val="none"/>
        </w:rPr>
      </w:pPr>
      <w:r>
        <w:rPr>
          <w:rFonts w:hint="eastAsia"/>
          <w:highlight w:val="none"/>
        </w:rPr>
        <w:t>争取省级交通专项资金用于交旅融合示范项目、高速公路融合发展项目；紧扣昆明市“强省会”战略和“十五五”综合交通运输发展规划，争取市级财政资金对县乡公路互联互通、旅游交通配套、农村公路养护、城乡客运保障等项目的倾斜；严格落实《农村客运补贴资金和城市交通发展奖励资金管理办法》，规范争取和使用农村客运补贴资金、城市交通发展奖励资金，保障城乡客运体系可持续运营。</w:t>
      </w:r>
    </w:p>
    <w:p w14:paraId="18FDB852">
      <w:pPr>
        <w:pStyle w:val="5"/>
        <w:bidi w:val="0"/>
        <w:rPr>
          <w:rFonts w:hint="eastAsia"/>
          <w:highlight w:val="none"/>
        </w:rPr>
      </w:pPr>
      <w:r>
        <w:rPr>
          <w:rFonts w:hint="eastAsia"/>
          <w:b/>
          <w:bCs/>
          <w:highlight w:val="none"/>
        </w:rPr>
        <w:t>二</w:t>
      </w:r>
      <w:r>
        <w:rPr>
          <w:rFonts w:hint="eastAsia"/>
          <w:b/>
          <w:bCs/>
          <w:highlight w:val="none"/>
          <w:lang w:val="en-US" w:eastAsia="zh-CN"/>
        </w:rPr>
        <w:t>是完善</w:t>
      </w:r>
      <w:r>
        <w:rPr>
          <w:rFonts w:hint="eastAsia"/>
          <w:b/>
          <w:bCs/>
          <w:highlight w:val="none"/>
        </w:rPr>
        <w:t>项目储备</w:t>
      </w:r>
      <w:r>
        <w:rPr>
          <w:rFonts w:hint="eastAsia"/>
          <w:b/>
          <w:bCs/>
          <w:highlight w:val="none"/>
          <w:lang w:val="en-US" w:eastAsia="zh-CN"/>
        </w:rPr>
        <w:t>库，紧跟政策趋势</w:t>
      </w:r>
      <w:r>
        <w:rPr>
          <w:rFonts w:hint="eastAsia"/>
          <w:b/>
          <w:bCs/>
          <w:highlight w:val="none"/>
        </w:rPr>
        <w:t>，</w:t>
      </w:r>
      <w:r>
        <w:rPr>
          <w:rFonts w:hint="eastAsia"/>
          <w:highlight w:val="none"/>
        </w:rPr>
        <w:t>围绕“十五五”交通规划重点任务，建立</w:t>
      </w:r>
      <w:r>
        <w:rPr>
          <w:rFonts w:hint="eastAsia"/>
          <w:highlight w:val="none"/>
          <w:lang w:val="en-US" w:eastAsia="zh-CN"/>
        </w:rPr>
        <w:t>符合政策条件</w:t>
      </w:r>
      <w:r>
        <w:rPr>
          <w:rFonts w:hint="eastAsia"/>
          <w:highlight w:val="none"/>
        </w:rPr>
        <w:t>项目库，提前</w:t>
      </w:r>
      <w:r>
        <w:rPr>
          <w:rFonts w:hint="eastAsia"/>
          <w:highlight w:val="none"/>
          <w:lang w:val="en-US" w:eastAsia="zh-CN"/>
        </w:rPr>
        <w:t>谋划</w:t>
      </w:r>
      <w:r>
        <w:rPr>
          <w:rFonts w:hint="eastAsia"/>
          <w:highlight w:val="none"/>
        </w:rPr>
        <w:t>可研、用地、环评等前期工作，确保项目达标可报；统筹化解农村公路建设历史欠款等遗留问题，保障项目顺利推进。</w:t>
      </w:r>
    </w:p>
    <w:p w14:paraId="06219A37">
      <w:pPr>
        <w:pStyle w:val="5"/>
        <w:bidi w:val="0"/>
        <w:rPr>
          <w:rFonts w:hint="eastAsia"/>
          <w:highlight w:val="none"/>
        </w:rPr>
      </w:pPr>
      <w:r>
        <w:rPr>
          <w:rFonts w:hint="eastAsia"/>
          <w:b/>
          <w:bCs/>
          <w:highlight w:val="none"/>
        </w:rPr>
        <w:t>三</w:t>
      </w:r>
      <w:r>
        <w:rPr>
          <w:rFonts w:hint="eastAsia"/>
          <w:b/>
          <w:bCs/>
          <w:highlight w:val="none"/>
          <w:lang w:val="en-US" w:eastAsia="zh-CN"/>
        </w:rPr>
        <w:t>是</w:t>
      </w:r>
      <w:r>
        <w:rPr>
          <w:rFonts w:hint="eastAsia"/>
          <w:b/>
          <w:bCs/>
          <w:highlight w:val="none"/>
        </w:rPr>
        <w:t>整合县域财政资金，强化本级预算保障</w:t>
      </w:r>
      <w:r>
        <w:rPr>
          <w:rFonts w:hint="eastAsia"/>
          <w:b/>
          <w:bCs/>
          <w:highlight w:val="none"/>
          <w:lang w:eastAsia="zh-CN"/>
        </w:rPr>
        <w:t>。</w:t>
      </w:r>
      <w:r>
        <w:rPr>
          <w:rFonts w:hint="eastAsia"/>
          <w:highlight w:val="none"/>
        </w:rPr>
        <w:t>重点保障</w:t>
      </w:r>
      <w:r>
        <w:rPr>
          <w:rFonts w:hint="eastAsia"/>
          <w:highlight w:val="none"/>
          <w:lang w:val="en-US" w:eastAsia="zh-CN"/>
        </w:rPr>
        <w:t>刚性支出</w:t>
      </w:r>
      <w:r>
        <w:rPr>
          <w:rFonts w:hint="eastAsia"/>
          <w:highlight w:val="none"/>
          <w:lang w:eastAsia="zh-CN"/>
        </w:rPr>
        <w:t>，</w:t>
      </w:r>
      <w:r>
        <w:rPr>
          <w:rFonts w:hint="eastAsia"/>
          <w:highlight w:val="none"/>
        </w:rPr>
        <w:t>严控一般性支出</w:t>
      </w:r>
      <w:r>
        <w:rPr>
          <w:rFonts w:hint="eastAsia"/>
          <w:highlight w:val="none"/>
          <w:lang w:eastAsia="zh-CN"/>
        </w:rPr>
        <w:t>。</w:t>
      </w:r>
      <w:r>
        <w:rPr>
          <w:rFonts w:hint="eastAsia"/>
          <w:highlight w:val="none"/>
        </w:rPr>
        <w:t>统筹衔接推进</w:t>
      </w:r>
      <w:r>
        <w:rPr>
          <w:rFonts w:hint="eastAsia"/>
          <w:highlight w:val="none"/>
          <w:lang w:val="en-US" w:eastAsia="zh-CN"/>
        </w:rPr>
        <w:t>跨行业</w:t>
      </w:r>
      <w:r>
        <w:rPr>
          <w:rFonts w:hint="eastAsia"/>
          <w:highlight w:val="none"/>
        </w:rPr>
        <w:t>乡村振兴补助资金、农业农村发展资金、文旅融合发展资金、园区建设资金等，将农村公路养护、乡村交通基础设施建设、产业路资源路建设纳入县级财政保障范围。打破行业资金壁垒，聚焦产业路、旅游路、资源路等交叉领域项目建设，统筹县级财政安排的城乡基础设施建设、涉农、文旅发展等各类资金，集中支持交通与产业、文旅、乡村振兴融合发展项目。</w:t>
      </w:r>
    </w:p>
    <w:p w14:paraId="6A8B2D81">
      <w:pPr>
        <w:pStyle w:val="5"/>
        <w:bidi w:val="0"/>
        <w:rPr>
          <w:rFonts w:hint="eastAsia" w:eastAsia="方正仿宋_GBK"/>
          <w:b/>
          <w:bCs/>
          <w:highlight w:val="none"/>
          <w:lang w:eastAsia="zh-CN"/>
        </w:rPr>
      </w:pPr>
      <w:r>
        <w:rPr>
          <w:rFonts w:hint="eastAsia"/>
          <w:b/>
          <w:bCs/>
          <w:highlight w:val="none"/>
        </w:rPr>
        <w:t>四</w:t>
      </w:r>
      <w:r>
        <w:rPr>
          <w:rFonts w:hint="eastAsia"/>
          <w:b/>
          <w:bCs/>
          <w:highlight w:val="none"/>
          <w:lang w:val="en-US" w:eastAsia="zh-CN"/>
        </w:rPr>
        <w:t>是</w:t>
      </w:r>
      <w:r>
        <w:rPr>
          <w:rFonts w:hint="eastAsia"/>
          <w:b/>
          <w:bCs/>
          <w:highlight w:val="none"/>
        </w:rPr>
        <w:t>拓宽多元投融资渠道，构建市场化融资体系</w:t>
      </w:r>
      <w:r>
        <w:rPr>
          <w:rFonts w:hint="eastAsia"/>
          <w:b/>
          <w:bCs/>
          <w:highlight w:val="none"/>
          <w:lang w:eastAsia="zh-CN"/>
        </w:rPr>
        <w:t>。</w:t>
      </w:r>
    </w:p>
    <w:p w14:paraId="49524C21">
      <w:pPr>
        <w:pStyle w:val="5"/>
        <w:bidi w:val="0"/>
        <w:rPr>
          <w:rFonts w:hint="eastAsia"/>
          <w:highlight w:val="none"/>
        </w:rPr>
      </w:pPr>
      <w:r>
        <w:rPr>
          <w:rFonts w:hint="eastAsia"/>
          <w:highlight w:val="none"/>
        </w:rPr>
        <w:t>坚持投融资主体多元化、渠道多样化，在强化财政资金引导作用的同时，充分撬动金融资本、社会资本参与交通建设运营。深化政银企协同合作</w:t>
      </w:r>
      <w:r>
        <w:rPr>
          <w:rFonts w:hint="eastAsia"/>
          <w:highlight w:val="none"/>
          <w:lang w:eastAsia="zh-CN"/>
        </w:rPr>
        <w:t>，</w:t>
      </w:r>
      <w:r>
        <w:rPr>
          <w:rFonts w:hint="eastAsia"/>
          <w:highlight w:val="none"/>
        </w:rPr>
        <w:t>主动对接国家开发银行、中国农业发展银行等政策性银行，争取交通基础设施建设中长期低息贷款；加强与国有商业银行、股份制银行合作，重点支持农村公路提质、物流园区建设、新能源交通配套等项目；积极对接保险资金、产业投资基金等长期限资金，参与投资规模大、收益稳定的交通重点项目。</w:t>
      </w:r>
    </w:p>
    <w:p w14:paraId="5F3B23D6">
      <w:pPr>
        <w:pStyle w:val="5"/>
        <w:bidi w:val="0"/>
        <w:rPr>
          <w:rFonts w:hint="eastAsia"/>
          <w:highlight w:val="none"/>
        </w:rPr>
      </w:pPr>
      <w:r>
        <w:rPr>
          <w:rFonts w:hint="eastAsia"/>
          <w:highlight w:val="none"/>
        </w:rPr>
        <w:t>撬动社会资本多元参与。规范运用PPP、特许经营等模式，吸引社会资本参与综合物流园区、公共停车场、充换电站等有稳定收益的交通项目投资、建设、运营；大力发展路衍经济，围绕“高速+文旅”“高速+光伏”“农村公路+产业”融合发展，以项目运营收益反哺交通建设养护；依托全县“1+3”百亿级产业布局，开展交通配套项目招商引资，引导绿色食品、钙基新材料、文旅等领域龙头企业参与产业路、冷链物流枢纽等配套交通设施建设。</w:t>
      </w:r>
    </w:p>
    <w:p w14:paraId="2D84B579">
      <w:pPr>
        <w:pStyle w:val="5"/>
        <w:bidi w:val="0"/>
        <w:rPr>
          <w:rFonts w:hint="eastAsia"/>
          <w:highlight w:val="none"/>
        </w:rPr>
      </w:pPr>
      <w:r>
        <w:rPr>
          <w:rFonts w:hint="eastAsia"/>
          <w:b/>
          <w:bCs/>
          <w:highlight w:val="none"/>
        </w:rPr>
        <w:t>五是严控债务风险，优化投融资结构。</w:t>
      </w:r>
      <w:r>
        <w:rPr>
          <w:rFonts w:hint="eastAsia"/>
          <w:highlight w:val="none"/>
        </w:rPr>
        <w:t>坚持量力而行，合理控制融资规模，优化资本性与债务性资金配比，统筹偿债能力，坚决遏制新增隐性债务，同步落实偿债来源，实现交通发展与财政安全平衡。</w:t>
      </w:r>
    </w:p>
    <w:p w14:paraId="7B266EDC">
      <w:pPr>
        <w:pStyle w:val="5"/>
        <w:bidi w:val="0"/>
        <w:rPr>
          <w:rFonts w:hint="eastAsia"/>
          <w:highlight w:val="none"/>
        </w:rPr>
      </w:pPr>
      <w:r>
        <w:rPr>
          <w:rFonts w:hint="eastAsia"/>
          <w:b/>
          <w:bCs/>
          <w:highlight w:val="none"/>
        </w:rPr>
        <w:t>六是健全资金监管机制，提升使用</w:t>
      </w:r>
      <w:r>
        <w:rPr>
          <w:rFonts w:hint="eastAsia"/>
          <w:b/>
          <w:bCs/>
          <w:highlight w:val="none"/>
          <w:lang w:val="en-US" w:eastAsia="zh-CN"/>
        </w:rPr>
        <w:t>效率</w:t>
      </w:r>
      <w:r>
        <w:rPr>
          <w:rFonts w:hint="eastAsia"/>
          <w:b/>
          <w:bCs/>
          <w:highlight w:val="none"/>
        </w:rPr>
        <w:t>。</w:t>
      </w:r>
      <w:r>
        <w:rPr>
          <w:rFonts w:hint="eastAsia"/>
          <w:highlight w:val="none"/>
        </w:rPr>
        <w:t>建立交通资金全过程监管体系，完善预算、拨付、核算、监管制度，全面实施预算绩效管理，强化审计监督，厉行节约、严控成本，确保资金安全规范、高效使用。</w:t>
      </w:r>
    </w:p>
    <w:p w14:paraId="46354200">
      <w:pPr>
        <w:pStyle w:val="2"/>
        <w:bidi w:val="0"/>
        <w:rPr>
          <w:rFonts w:hint="eastAsia"/>
          <w:highlight w:val="none"/>
        </w:rPr>
      </w:pPr>
      <w:bookmarkStart w:id="126" w:name="_Toc11464"/>
      <w:r>
        <w:rPr>
          <w:rFonts w:hint="eastAsia"/>
          <w:highlight w:val="none"/>
        </w:rPr>
        <w:t>附表及附图</w:t>
      </w:r>
      <w:bookmarkEnd w:id="126"/>
    </w:p>
    <w:p w14:paraId="2BF3154A">
      <w:pPr>
        <w:pStyle w:val="4"/>
        <w:bidi w:val="0"/>
        <w:rPr>
          <w:rFonts w:hint="eastAsia"/>
          <w:highlight w:val="none"/>
        </w:rPr>
      </w:pPr>
      <w:r>
        <w:rPr>
          <w:rFonts w:hint="eastAsia"/>
          <w:highlight w:val="none"/>
          <w:lang w:eastAsia="zh-CN"/>
        </w:rPr>
        <w:t>1.石林</w:t>
      </w:r>
      <w:r>
        <w:rPr>
          <w:rFonts w:hint="eastAsia"/>
          <w:highlight w:val="none"/>
        </w:rPr>
        <w:t>县“十</w:t>
      </w:r>
      <w:r>
        <w:rPr>
          <w:rFonts w:hint="eastAsia"/>
          <w:highlight w:val="none"/>
          <w:lang w:val="en-US" w:eastAsia="zh-CN"/>
        </w:rPr>
        <w:t>五</w:t>
      </w:r>
      <w:r>
        <w:rPr>
          <w:rFonts w:hint="eastAsia"/>
          <w:highlight w:val="none"/>
        </w:rPr>
        <w:t>五”及中长期综合交通规划项目表</w:t>
      </w:r>
    </w:p>
    <w:p w14:paraId="23DD66D8">
      <w:pPr>
        <w:pStyle w:val="4"/>
        <w:bidi w:val="0"/>
        <w:rPr>
          <w:rFonts w:hint="eastAsia"/>
        </w:rPr>
      </w:pPr>
      <w:r>
        <w:rPr>
          <w:rFonts w:hint="eastAsia"/>
          <w:highlight w:val="none"/>
          <w:lang w:eastAsia="zh-CN"/>
        </w:rPr>
        <w:t>2.石林</w:t>
      </w:r>
      <w:r>
        <w:rPr>
          <w:rFonts w:hint="eastAsia"/>
          <w:highlight w:val="none"/>
        </w:rPr>
        <w:t>县“十</w:t>
      </w:r>
      <w:r>
        <w:rPr>
          <w:rFonts w:hint="eastAsia"/>
          <w:highlight w:val="none"/>
          <w:lang w:val="en-US" w:eastAsia="zh-CN"/>
        </w:rPr>
        <w:t>五</w:t>
      </w:r>
      <w:r>
        <w:rPr>
          <w:rFonts w:hint="eastAsia"/>
          <w:highlight w:val="none"/>
        </w:rPr>
        <w:t>五”综合交通规划示意图</w:t>
      </w:r>
    </w:p>
    <w:sectPr>
      <w:footerReference r:id="rId6" w:type="default"/>
      <w:pgSz w:w="11906" w:h="16838"/>
      <w:pgMar w:top="1440" w:right="1797" w:bottom="1440" w:left="1797" w:header="851" w:footer="992" w:gutter="0"/>
      <w:pgNumType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AFF" w:usb1="C0007841" w:usb2="00000009" w:usb3="00000000" w:csb0="400001FF" w:csb1="FFFF0000"/>
  </w:font>
  <w:font w:name="宋体">
    <w:panose1 w:val="02010600030101010101"/>
    <w:charset w:val="4D"/>
    <w:family w:val="roman"/>
    <w:pitch w:val="default"/>
    <w:sig w:usb0="00000003" w:usb1="080E0000" w:usb2="00000000"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panose1 w:val="02010609030101010101"/>
    <w:charset w:val="86"/>
    <w:family w:val="auto"/>
    <w:pitch w:val="default"/>
    <w:sig w:usb0="00000001" w:usb1="080E0000" w:usb2="00000000" w:usb3="00000000" w:csb0="00040000" w:csb1="00000000"/>
  </w:font>
  <w:font w:name="方正黑体_GBK">
    <w:panose1 w:val="02000000000000000000"/>
    <w:charset w:val="86"/>
    <w:family w:val="script"/>
    <w:pitch w:val="default"/>
    <w:sig w:usb0="00000001" w:usb1="08000000" w:usb2="00000000" w:usb3="00000000" w:csb0="00040000" w:csb1="00000000"/>
  </w:font>
  <w:font w:name="方正楷体_GBK">
    <w:panose1 w:val="03000509000000000000"/>
    <w:charset w:val="86"/>
    <w:family w:val="script"/>
    <w:pitch w:val="default"/>
    <w:sig w:usb0="00000001" w:usb1="080E0000" w:usb2="00000000" w:usb3="00000000" w:csb0="00040000" w:csb1="00000000"/>
  </w:font>
  <w:font w:name="方正仿宋_GBK">
    <w:panose1 w:val="02000000000000000000"/>
    <w:charset w:val="86"/>
    <w:family w:val="script"/>
    <w:pitch w:val="default"/>
    <w:sig w:usb0="00000001" w:usb1="08000000" w:usb2="00000000" w:usb3="00000000" w:csb0="00040000" w:csb1="00000000"/>
  </w:font>
  <w:font w:name="等线">
    <w:altName w:val="Arial Unicode MS"/>
    <w:panose1 w:val="02010600030101010101"/>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3F01FF" w:csb1="FFFF0000"/>
  </w:font>
  <w:font w:name="Cambria">
    <w:panose1 w:val="02040503050406030204"/>
    <w:charset w:val="00"/>
    <w:family w:val="roman"/>
    <w:pitch w:val="default"/>
    <w:sig w:usb0="E00002FF" w:usb1="400004FF" w:usb2="00000000"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方正小标宋_GBK">
    <w:panose1 w:val="02000000000000000000"/>
    <w:charset w:val="86"/>
    <w:family w:val="script"/>
    <w:pitch w:val="default"/>
    <w:sig w:usb0="00000001" w:usb1="08000000" w:usb2="00000000" w:usb3="00000000" w:csb0="00040000" w:csb1="00000000"/>
  </w:font>
  <w:font w:name="方正楷体_GB2312">
    <w:altName w:val="楷体_GB2312"/>
    <w:panose1 w:val="02000000000000000000"/>
    <w:charset w:val="86"/>
    <w:family w:val="auto"/>
    <w:pitch w:val="default"/>
    <w:sig w:usb0="00000000" w:usb1="00000000" w:usb2="00000012" w:usb3="00000000" w:csb0="00040001" w:csb1="00000000"/>
  </w:font>
  <w:font w:name="楷体_GB2312">
    <w:panose1 w:val="02010609030101010101"/>
    <w:charset w:val="86"/>
    <w:family w:val="auto"/>
    <w:pitch w:val="default"/>
    <w:sig w:usb0="00000001" w:usb1="080E0000" w:usb2="00000000" w:usb3="00000000" w:csb0="00040000" w:csb1="00000000"/>
  </w:font>
  <w:font w:name="方正仿宋_GB2312">
    <w:altName w:val="仿宋"/>
    <w:panose1 w:val="02000000000000000000"/>
    <w:charset w:val="86"/>
    <w:family w:val="auto"/>
    <w:pitch w:val="default"/>
    <w:sig w:usb0="00000000" w:usb1="00000000" w:usb2="00000012" w:usb3="00000000" w:csb0="00040001" w:csb1="00000000"/>
  </w:font>
  <w:font w:name="仿宋">
    <w:panose1 w:val="02010609060101010101"/>
    <w:charset w:val="86"/>
    <w:family w:val="auto"/>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font>
  <w:font w:name="等线 Light">
    <w:altName w:val="汉仪旗黑-55"/>
    <w:panose1 w:val="00000000000000000000"/>
    <w:charset w:val="00"/>
    <w:family w:val="auto"/>
    <w:pitch w:val="default"/>
    <w:sig w:usb0="00000000" w:usb1="00000000" w:usb2="00000000" w:usb3="00000000" w:csb0="00000000" w:csb1="00000000"/>
  </w:font>
  <w:font w:name="汉仪旗黑-55">
    <w:panose1 w:val="00020600040101010101"/>
    <w:charset w:val="86"/>
    <w:family w:val="auto"/>
    <w:pitch w:val="default"/>
    <w:sig w:usb0="A00002BF" w:usb1="18EF7CFA" w:usb2="00000016" w:usb3="00000000" w:csb0="00040000" w:csb1="00000000"/>
  </w:font>
  <w:font w:name="等线">
    <w:altName w:val="Arial Unicode MS"/>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2729AE">
    <w:pPr>
      <w:pStyle w:val="12"/>
      <w:jc w:val="center"/>
      <w:rPr>
        <w:rFonts w:hint="eastAsia" w:ascii="宋体" w:hAnsi="宋体"/>
        <w:sz w:val="24"/>
        <w:szCs w:val="24"/>
      </w:rPr>
    </w:pPr>
    <w:r>
      <w:rPr>
        <w:sz w:val="24"/>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D967B9">
                          <w:pPr>
                            <w:pStyle w:val="12"/>
                            <w:jc w:val="center"/>
                          </w:pPr>
                          <w:r>
                            <w:rPr>
                              <w:rFonts w:hint="eastAsia" w:ascii="宋体" w:hAnsi="宋体"/>
                              <w:sz w:val="24"/>
                              <w:szCs w:val="40"/>
                            </w:rPr>
                            <w:t>—</w:t>
                          </w:r>
                          <w:sdt>
                            <w:sdtPr>
                              <w:id w:val="147463079"/>
                            </w:sdtPr>
                            <w:sdtEndPr>
                              <w:rPr>
                                <w:rFonts w:ascii="宋体" w:hAnsi="宋体"/>
                                <w:sz w:val="24"/>
                                <w:szCs w:val="24"/>
                              </w:rPr>
                            </w:sdtEndPr>
                            <w:sdtContent>
                              <w:r>
                                <w:rPr>
                                  <w:rFonts w:ascii="宋体" w:hAnsi="宋体"/>
                                  <w:sz w:val="24"/>
                                  <w:szCs w:val="24"/>
                                </w:rPr>
                                <w:fldChar w:fldCharType="begin"/>
                              </w:r>
                              <w:r>
                                <w:rPr>
                                  <w:rFonts w:ascii="宋体" w:hAnsi="宋体"/>
                                  <w:sz w:val="24"/>
                                  <w:szCs w:val="24"/>
                                </w:rPr>
                                <w:instrText xml:space="preserve">PAGE   \* MERGEFORMAT</w:instrText>
                              </w:r>
                              <w:r>
                                <w:rPr>
                                  <w:rFonts w:ascii="宋体" w:hAnsi="宋体"/>
                                  <w:sz w:val="24"/>
                                  <w:szCs w:val="24"/>
                                </w:rPr>
                                <w:fldChar w:fldCharType="separate"/>
                              </w:r>
                              <w:r>
                                <w:rPr>
                                  <w:rFonts w:ascii="宋体" w:hAnsi="宋体"/>
                                  <w:sz w:val="24"/>
                                  <w:szCs w:val="24"/>
                                  <w:lang w:val="zh-CN"/>
                                </w:rPr>
                                <w:t>2</w:t>
                              </w:r>
                              <w:r>
                                <w:rPr>
                                  <w:rFonts w:ascii="宋体" w:hAnsi="宋体"/>
                                  <w:sz w:val="24"/>
                                  <w:szCs w:val="24"/>
                                </w:rPr>
                                <w:fldChar w:fldCharType="end"/>
                              </w:r>
                            </w:sdtContent>
                          </w:sdt>
                          <w:r>
                            <w:rPr>
                              <w:rFonts w:hint="eastAsia" w:ascii="宋体" w:hAnsi="宋体"/>
                              <w:sz w:val="24"/>
                              <w:szCs w:val="24"/>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14:paraId="78D967B9">
                    <w:pPr>
                      <w:pStyle w:val="12"/>
                      <w:jc w:val="center"/>
                    </w:pPr>
                    <w:r>
                      <w:rPr>
                        <w:rFonts w:hint="eastAsia" w:ascii="宋体" w:hAnsi="宋体"/>
                        <w:sz w:val="24"/>
                        <w:szCs w:val="40"/>
                      </w:rPr>
                      <w:t>—</w:t>
                    </w:r>
                    <w:sdt>
                      <w:sdtPr>
                        <w:id w:val="147463079"/>
                      </w:sdtPr>
                      <w:sdtEndPr>
                        <w:rPr>
                          <w:rFonts w:ascii="宋体" w:hAnsi="宋体"/>
                          <w:sz w:val="24"/>
                          <w:szCs w:val="24"/>
                        </w:rPr>
                      </w:sdtEndPr>
                      <w:sdtContent>
                        <w:r>
                          <w:rPr>
                            <w:rFonts w:ascii="宋体" w:hAnsi="宋体"/>
                            <w:sz w:val="24"/>
                            <w:szCs w:val="24"/>
                          </w:rPr>
                          <w:fldChar w:fldCharType="begin"/>
                        </w:r>
                        <w:r>
                          <w:rPr>
                            <w:rFonts w:ascii="宋体" w:hAnsi="宋体"/>
                            <w:sz w:val="24"/>
                            <w:szCs w:val="24"/>
                          </w:rPr>
                          <w:instrText xml:space="preserve">PAGE   \* MERGEFORMAT</w:instrText>
                        </w:r>
                        <w:r>
                          <w:rPr>
                            <w:rFonts w:ascii="宋体" w:hAnsi="宋体"/>
                            <w:sz w:val="24"/>
                            <w:szCs w:val="24"/>
                          </w:rPr>
                          <w:fldChar w:fldCharType="separate"/>
                        </w:r>
                        <w:r>
                          <w:rPr>
                            <w:rFonts w:ascii="宋体" w:hAnsi="宋体"/>
                            <w:sz w:val="24"/>
                            <w:szCs w:val="24"/>
                            <w:lang w:val="zh-CN"/>
                          </w:rPr>
                          <w:t>2</w:t>
                        </w:r>
                        <w:r>
                          <w:rPr>
                            <w:rFonts w:ascii="宋体" w:hAnsi="宋体"/>
                            <w:sz w:val="24"/>
                            <w:szCs w:val="24"/>
                          </w:rPr>
                          <w:fldChar w:fldCharType="end"/>
                        </w:r>
                      </w:sdtContent>
                    </w:sdt>
                    <w:r>
                      <w:rPr>
                        <w:rFonts w:hint="eastAsia" w:ascii="宋体" w:hAnsi="宋体"/>
                        <w:sz w:val="24"/>
                        <w:szCs w:val="24"/>
                      </w:rPr>
                      <w:t>—</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5DF1B4">
    <w:pPr>
      <w:pStyle w:val="12"/>
      <w:jc w:val="center"/>
      <w:rPr>
        <w:rFonts w:hint="eastAsia" w:ascii="宋体" w:hAnsi="宋体"/>
        <w:sz w:val="24"/>
        <w:szCs w:val="24"/>
      </w:rPr>
    </w:pPr>
    <w:r>
      <w:rPr>
        <w:sz w:val="24"/>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8385BD">
                          <w:pPr>
                            <w:pStyle w:val="12"/>
                            <w:jc w:val="center"/>
                          </w:pPr>
                          <w:r>
                            <w:rPr>
                              <w:rFonts w:hint="eastAsia"/>
                            </w:rPr>
                            <w:t>—</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1E8385BD">
                    <w:pPr>
                      <w:pStyle w:val="12"/>
                      <w:jc w:val="center"/>
                    </w:pPr>
                    <w:r>
                      <w:rPr>
                        <w:rFonts w:hint="eastAsia"/>
                      </w:rPr>
                      <w:t>—</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3E3F8EA"/>
    <w:multiLevelType w:val="singleLevel"/>
    <w:tmpl w:val="C3E3F8EA"/>
    <w:lvl w:ilvl="0" w:tentative="0">
      <w:start w:val="1"/>
      <w:numFmt w:val="chineseCounting"/>
      <w:pStyle w:val="2"/>
      <w:suff w:val="nothing"/>
      <w:lvlText w:val="%1、"/>
      <w:lvlJc w:val="left"/>
      <w:pPr>
        <w:ind w:left="0" w:firstLine="420"/>
      </w:pPr>
      <w:rPr>
        <w:rFonts w:hint="eastAsia"/>
      </w:rPr>
    </w:lvl>
  </w:abstractNum>
  <w:abstractNum w:abstractNumId="1">
    <w:nsid w:val="F4202CDC"/>
    <w:multiLevelType w:val="singleLevel"/>
    <w:tmpl w:val="F4202CDC"/>
    <w:lvl w:ilvl="0" w:tentative="0">
      <w:start w:val="1"/>
      <w:numFmt w:val="decimal"/>
      <w:lvlText w:val="%1."/>
      <w:lvlJc w:val="left"/>
      <w:pPr>
        <w:ind w:left="425" w:hanging="425"/>
      </w:pPr>
      <w:rPr>
        <w:rFonts w:hint="default"/>
      </w:rPr>
    </w:lvl>
  </w:abstractNum>
  <w:abstractNum w:abstractNumId="2">
    <w:nsid w:val="0053208E"/>
    <w:multiLevelType w:val="multilevel"/>
    <w:tmpl w:val="0053208E"/>
    <w:lvl w:ilvl="0" w:tentative="0">
      <w:start w:val="1"/>
      <w:numFmt w:val="decimal"/>
      <w:pStyle w:val="27"/>
      <w:lvlText w:val="%1、"/>
      <w:lvlJc w:val="left"/>
      <w:pPr>
        <w:ind w:left="1010" w:hanging="170"/>
      </w:pPr>
    </w:lvl>
    <w:lvl w:ilvl="1" w:tentative="0">
      <w:start w:val="1"/>
      <w:numFmt w:val="decimal"/>
      <w:lvlText w:val="%1.%2"/>
      <w:lvlJc w:val="left"/>
      <w:pPr>
        <w:ind w:left="1180" w:hanging="170"/>
      </w:pPr>
    </w:lvl>
    <w:lvl w:ilvl="2" w:tentative="0">
      <w:start w:val="1"/>
      <w:numFmt w:val="decimal"/>
      <w:lvlText w:val="%1.%2.%3"/>
      <w:lvlJc w:val="left"/>
      <w:pPr>
        <w:ind w:left="1350" w:hanging="170"/>
      </w:pPr>
    </w:lvl>
    <w:lvl w:ilvl="3" w:tentative="0">
      <w:start w:val="1"/>
      <w:numFmt w:val="decimal"/>
      <w:lvlText w:val="%1.%2.%3.%4"/>
      <w:lvlJc w:val="left"/>
      <w:pPr>
        <w:ind w:left="1520" w:hanging="170"/>
      </w:pPr>
    </w:lvl>
    <w:lvl w:ilvl="4" w:tentative="0">
      <w:start w:val="1"/>
      <w:numFmt w:val="decimal"/>
      <w:lvlText w:val="%1.%2.%3.%4.%5"/>
      <w:lvlJc w:val="left"/>
      <w:pPr>
        <w:ind w:left="1690" w:hanging="170"/>
      </w:pPr>
    </w:lvl>
    <w:lvl w:ilvl="5" w:tentative="0">
      <w:start w:val="1"/>
      <w:numFmt w:val="decimal"/>
      <w:lvlText w:val="%1.%2.%3.%4.%5.%6"/>
      <w:lvlJc w:val="left"/>
      <w:pPr>
        <w:ind w:left="1860" w:hanging="170"/>
      </w:pPr>
    </w:lvl>
    <w:lvl w:ilvl="6" w:tentative="0">
      <w:start w:val="1"/>
      <w:numFmt w:val="decimal"/>
      <w:lvlText w:val="%1.%2.%3.%4.%5.%6.%7"/>
      <w:lvlJc w:val="left"/>
      <w:pPr>
        <w:ind w:left="2030" w:hanging="170"/>
      </w:pPr>
    </w:lvl>
    <w:lvl w:ilvl="7" w:tentative="0">
      <w:start w:val="1"/>
      <w:numFmt w:val="decimal"/>
      <w:lvlText w:val="%1.%2.%3.%4.%5.%6.%7.%8"/>
      <w:lvlJc w:val="left"/>
      <w:pPr>
        <w:ind w:left="2200" w:hanging="170"/>
      </w:pPr>
    </w:lvl>
    <w:lvl w:ilvl="8" w:tentative="0">
      <w:start w:val="1"/>
      <w:numFmt w:val="decimal"/>
      <w:lvlText w:val="%1.%2.%3.%4.%5.%6.%7.%8.%9"/>
      <w:lvlJc w:val="left"/>
      <w:pPr>
        <w:ind w:left="2370" w:hanging="170"/>
      </w:pPr>
    </w:lvl>
  </w:abstractNum>
  <w:abstractNum w:abstractNumId="3">
    <w:nsid w:val="0F95C393"/>
    <w:multiLevelType w:val="singleLevel"/>
    <w:tmpl w:val="0F95C393"/>
    <w:lvl w:ilvl="0" w:tentative="0">
      <w:start w:val="1"/>
      <w:numFmt w:val="chineseCounting"/>
      <w:pStyle w:val="3"/>
      <w:suff w:val="nothing"/>
      <w:lvlText w:val="（%1）"/>
      <w:lvlJc w:val="left"/>
      <w:pPr>
        <w:ind w:left="0" w:firstLine="420"/>
      </w:pPr>
      <w:rPr>
        <w:rFonts w:hint="eastAsia"/>
      </w:rPr>
    </w:lvl>
  </w:abstractNum>
  <w:abstractNum w:abstractNumId="4">
    <w:nsid w:val="31FFD067"/>
    <w:multiLevelType w:val="multilevel"/>
    <w:tmpl w:val="31FFD067"/>
    <w:lvl w:ilvl="0" w:tentative="0">
      <w:start w:val="1"/>
      <w:numFmt w:val="decimal"/>
      <w:suff w:val="nothing"/>
      <w:lvlText w:val="%1 "/>
      <w:lvlJc w:val="left"/>
      <w:pPr>
        <w:ind w:left="0" w:firstLine="0"/>
      </w:pPr>
      <w:rPr>
        <w:rFonts w:hint="eastAsia"/>
      </w:rPr>
    </w:lvl>
    <w:lvl w:ilvl="1" w:tentative="0">
      <w:start w:val="1"/>
      <w:numFmt w:val="decimal"/>
      <w:pStyle w:val="47"/>
      <w:suff w:val="nothing"/>
      <w:lvlText w:val="%1.%2 "/>
      <w:lvlJc w:val="left"/>
      <w:pPr>
        <w:ind w:left="1985" w:firstLine="0"/>
      </w:pPr>
      <w:rPr>
        <w:rFonts w:hint="eastAsia"/>
      </w:rPr>
    </w:lvl>
    <w:lvl w:ilvl="2" w:tentative="0">
      <w:start w:val="1"/>
      <w:numFmt w:val="decimal"/>
      <w:suff w:val="nothing"/>
      <w:lvlText w:val="%1.%2.%3 "/>
      <w:lvlJc w:val="left"/>
      <w:pPr>
        <w:ind w:left="9355" w:firstLine="0"/>
      </w:pPr>
      <w:rPr>
        <w:rFonts w:hint="eastAsia"/>
      </w:rPr>
    </w:lvl>
    <w:lvl w:ilvl="3" w:tentative="0">
      <w:start w:val="1"/>
      <w:numFmt w:val="decimal"/>
      <w:suff w:val="nothing"/>
      <w:lvlText w:val="%1.%2.%3.%4"/>
      <w:lvlJc w:val="left"/>
      <w:pPr>
        <w:ind w:left="0" w:firstLine="0"/>
      </w:pPr>
      <w:rPr>
        <w:rFonts w:hint="eastAsia"/>
      </w:rPr>
    </w:lvl>
    <w:lvl w:ilvl="4" w:tentative="0">
      <w:start w:val="1"/>
      <w:numFmt w:val="decimal"/>
      <w:suff w:val="nothing"/>
      <w:lvlText w:val="%5）"/>
      <w:lvlJc w:val="left"/>
      <w:pPr>
        <w:ind w:left="0" w:firstLine="0"/>
      </w:pPr>
      <w:rPr>
        <w:rFonts w:hint="eastAsia"/>
      </w:rPr>
    </w:lvl>
    <w:lvl w:ilvl="5" w:tentative="0">
      <w:start w:val="1"/>
      <w:numFmt w:val="decimal"/>
      <w:lvlRestart w:val="1"/>
      <w:pStyle w:val="46"/>
      <w:suff w:val="nothing"/>
      <w:lvlText w:val="图%1.%2-%6 "/>
      <w:lvlJc w:val="center"/>
      <w:pPr>
        <w:ind w:left="0" w:firstLine="0"/>
      </w:pPr>
      <w:rPr>
        <w:rFonts w:hint="eastAsia"/>
      </w:rPr>
    </w:lvl>
    <w:lvl w:ilvl="6" w:tentative="0">
      <w:start w:val="1"/>
      <w:numFmt w:val="decimal"/>
      <w:lvlRestart w:val="2"/>
      <w:suff w:val="nothing"/>
      <w:lvlText w:val="表%1.%2-%7"/>
      <w:lvlJc w:val="center"/>
      <w:pPr>
        <w:ind w:left="0" w:firstLine="0"/>
      </w:pPr>
      <w:rPr>
        <w:rFonts w:hint="eastAsia"/>
      </w:rPr>
    </w:lvl>
    <w:lvl w:ilvl="7" w:tentative="0">
      <w:start w:val="1"/>
      <w:numFmt w:val="lowerLetter"/>
      <w:lvlText w:val="%8)"/>
      <w:lvlJc w:val="left"/>
      <w:pPr>
        <w:ind w:left="0" w:firstLine="0"/>
      </w:pPr>
      <w:rPr>
        <w:rFonts w:hint="eastAsia"/>
      </w:rPr>
    </w:lvl>
    <w:lvl w:ilvl="8" w:tentative="0">
      <w:start w:val="1"/>
      <w:numFmt w:val="lowerRoman"/>
      <w:lvlText w:val="%9."/>
      <w:lvlJc w:val="right"/>
      <w:pPr>
        <w:ind w:left="0" w:firstLine="0"/>
      </w:pPr>
      <w:rPr>
        <w:rFonts w:hint="eastAsia"/>
      </w:rPr>
    </w:lvl>
  </w:abstractNum>
  <w:abstractNum w:abstractNumId="5">
    <w:nsid w:val="552EC353"/>
    <w:multiLevelType w:val="singleLevel"/>
    <w:tmpl w:val="552EC353"/>
    <w:lvl w:ilvl="0" w:tentative="0">
      <w:start w:val="4"/>
      <w:numFmt w:val="chineseCounting"/>
      <w:suff w:val="nothing"/>
      <w:lvlText w:val="（%1）"/>
      <w:lvlJc w:val="left"/>
      <w:pPr>
        <w:ind w:left="-640"/>
      </w:pPr>
      <w:rPr>
        <w:rFonts w:hint="eastAsia"/>
      </w:rPr>
    </w:lvl>
  </w:abstractNum>
  <w:num w:numId="1">
    <w:abstractNumId w:val="0"/>
  </w:num>
  <w:num w:numId="2">
    <w:abstractNumId w:val="3"/>
  </w:num>
  <w:num w:numId="3">
    <w:abstractNumId w:val="2"/>
  </w:num>
  <w:num w:numId="4">
    <w:abstractNumId w:val="4"/>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9"/>
  <w:displayBackgroundShape w:val="1"/>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ZlYTZhMThlMDdjYjdmNzhiZjBlMWMyZGI2ZTcyYzEifQ=="/>
  </w:docVars>
  <w:rsids>
    <w:rsidRoot w:val="00E250C9"/>
    <w:rsid w:val="00003E55"/>
    <w:rsid w:val="000052ED"/>
    <w:rsid w:val="000076DB"/>
    <w:rsid w:val="0001388A"/>
    <w:rsid w:val="000170C9"/>
    <w:rsid w:val="0002197C"/>
    <w:rsid w:val="000233B7"/>
    <w:rsid w:val="0002741A"/>
    <w:rsid w:val="0003003D"/>
    <w:rsid w:val="00036560"/>
    <w:rsid w:val="00044C90"/>
    <w:rsid w:val="00047AE6"/>
    <w:rsid w:val="00054C24"/>
    <w:rsid w:val="00056CDC"/>
    <w:rsid w:val="000623B3"/>
    <w:rsid w:val="00077433"/>
    <w:rsid w:val="00081A92"/>
    <w:rsid w:val="00084BE0"/>
    <w:rsid w:val="00091231"/>
    <w:rsid w:val="00092ED0"/>
    <w:rsid w:val="000A4DD4"/>
    <w:rsid w:val="000A7A23"/>
    <w:rsid w:val="000B0587"/>
    <w:rsid w:val="000B46E1"/>
    <w:rsid w:val="000B5FAC"/>
    <w:rsid w:val="000C06E0"/>
    <w:rsid w:val="000C4CD5"/>
    <w:rsid w:val="000C4F70"/>
    <w:rsid w:val="000D2EF2"/>
    <w:rsid w:val="000D7452"/>
    <w:rsid w:val="000E00C3"/>
    <w:rsid w:val="000E160C"/>
    <w:rsid w:val="000E442C"/>
    <w:rsid w:val="000F3D01"/>
    <w:rsid w:val="00100BED"/>
    <w:rsid w:val="00100F0A"/>
    <w:rsid w:val="0010393B"/>
    <w:rsid w:val="001056FC"/>
    <w:rsid w:val="00105A8E"/>
    <w:rsid w:val="00107258"/>
    <w:rsid w:val="0011158C"/>
    <w:rsid w:val="001215FE"/>
    <w:rsid w:val="00126E32"/>
    <w:rsid w:val="00131D5C"/>
    <w:rsid w:val="0013559C"/>
    <w:rsid w:val="00144589"/>
    <w:rsid w:val="00146D80"/>
    <w:rsid w:val="001473E0"/>
    <w:rsid w:val="001508BC"/>
    <w:rsid w:val="00151B47"/>
    <w:rsid w:val="00152690"/>
    <w:rsid w:val="00152C3D"/>
    <w:rsid w:val="0015649C"/>
    <w:rsid w:val="001643EA"/>
    <w:rsid w:val="00165F3B"/>
    <w:rsid w:val="001700BD"/>
    <w:rsid w:val="00171404"/>
    <w:rsid w:val="0017262A"/>
    <w:rsid w:val="0018231F"/>
    <w:rsid w:val="00183CE7"/>
    <w:rsid w:val="00191342"/>
    <w:rsid w:val="00191DB7"/>
    <w:rsid w:val="00192271"/>
    <w:rsid w:val="00194959"/>
    <w:rsid w:val="001957CA"/>
    <w:rsid w:val="001A6276"/>
    <w:rsid w:val="001B327B"/>
    <w:rsid w:val="001C00B4"/>
    <w:rsid w:val="001C3879"/>
    <w:rsid w:val="001C53A1"/>
    <w:rsid w:val="001C5740"/>
    <w:rsid w:val="001C5EB7"/>
    <w:rsid w:val="001C6D28"/>
    <w:rsid w:val="001C7E76"/>
    <w:rsid w:val="001D49C4"/>
    <w:rsid w:val="001E0F3E"/>
    <w:rsid w:val="001E1AF4"/>
    <w:rsid w:val="001E2CBD"/>
    <w:rsid w:val="001F15B8"/>
    <w:rsid w:val="001F272E"/>
    <w:rsid w:val="001F2BD4"/>
    <w:rsid w:val="001F7C76"/>
    <w:rsid w:val="002059E4"/>
    <w:rsid w:val="0021434D"/>
    <w:rsid w:val="0022181C"/>
    <w:rsid w:val="00236124"/>
    <w:rsid w:val="002365CD"/>
    <w:rsid w:val="00241DFA"/>
    <w:rsid w:val="0024324D"/>
    <w:rsid w:val="00243F42"/>
    <w:rsid w:val="00245554"/>
    <w:rsid w:val="00247343"/>
    <w:rsid w:val="002571A2"/>
    <w:rsid w:val="00263674"/>
    <w:rsid w:val="002776AB"/>
    <w:rsid w:val="002817C6"/>
    <w:rsid w:val="0028187A"/>
    <w:rsid w:val="00282962"/>
    <w:rsid w:val="00285D31"/>
    <w:rsid w:val="00290BAB"/>
    <w:rsid w:val="00291D64"/>
    <w:rsid w:val="00292F56"/>
    <w:rsid w:val="0029596E"/>
    <w:rsid w:val="002A0A02"/>
    <w:rsid w:val="002A1A45"/>
    <w:rsid w:val="002A5C93"/>
    <w:rsid w:val="002A5D6B"/>
    <w:rsid w:val="002A70DB"/>
    <w:rsid w:val="002B1B57"/>
    <w:rsid w:val="002B4EF0"/>
    <w:rsid w:val="002C11A5"/>
    <w:rsid w:val="002C4055"/>
    <w:rsid w:val="002C55E1"/>
    <w:rsid w:val="002C5791"/>
    <w:rsid w:val="002C7019"/>
    <w:rsid w:val="002D102E"/>
    <w:rsid w:val="002D2294"/>
    <w:rsid w:val="002D2407"/>
    <w:rsid w:val="002D3AD5"/>
    <w:rsid w:val="002D67B8"/>
    <w:rsid w:val="002E153C"/>
    <w:rsid w:val="002E1B54"/>
    <w:rsid w:val="002E3292"/>
    <w:rsid w:val="002E3EFA"/>
    <w:rsid w:val="002E42BA"/>
    <w:rsid w:val="002F2114"/>
    <w:rsid w:val="002F6DAF"/>
    <w:rsid w:val="002F7DD0"/>
    <w:rsid w:val="00305868"/>
    <w:rsid w:val="0031159A"/>
    <w:rsid w:val="00313E31"/>
    <w:rsid w:val="0031578D"/>
    <w:rsid w:val="0032344B"/>
    <w:rsid w:val="00330F6B"/>
    <w:rsid w:val="0033369D"/>
    <w:rsid w:val="00334A0C"/>
    <w:rsid w:val="0033568D"/>
    <w:rsid w:val="00337450"/>
    <w:rsid w:val="003415DA"/>
    <w:rsid w:val="003417E9"/>
    <w:rsid w:val="00343153"/>
    <w:rsid w:val="0034594B"/>
    <w:rsid w:val="0034636A"/>
    <w:rsid w:val="003478DE"/>
    <w:rsid w:val="00347DD6"/>
    <w:rsid w:val="00353505"/>
    <w:rsid w:val="00353BF0"/>
    <w:rsid w:val="00356237"/>
    <w:rsid w:val="00356750"/>
    <w:rsid w:val="003576F0"/>
    <w:rsid w:val="003628A3"/>
    <w:rsid w:val="00365E1A"/>
    <w:rsid w:val="003716CA"/>
    <w:rsid w:val="00375CAB"/>
    <w:rsid w:val="003811EA"/>
    <w:rsid w:val="00382B6E"/>
    <w:rsid w:val="00383B41"/>
    <w:rsid w:val="003848BA"/>
    <w:rsid w:val="0039159E"/>
    <w:rsid w:val="00391D3F"/>
    <w:rsid w:val="00391F59"/>
    <w:rsid w:val="003A4B9C"/>
    <w:rsid w:val="003A5C9E"/>
    <w:rsid w:val="003C22A5"/>
    <w:rsid w:val="003C2426"/>
    <w:rsid w:val="003C4C7C"/>
    <w:rsid w:val="003C4C98"/>
    <w:rsid w:val="003D2EE7"/>
    <w:rsid w:val="003D5270"/>
    <w:rsid w:val="003D5B12"/>
    <w:rsid w:val="003E4EAB"/>
    <w:rsid w:val="003E4EC1"/>
    <w:rsid w:val="00407966"/>
    <w:rsid w:val="0041063B"/>
    <w:rsid w:val="00410805"/>
    <w:rsid w:val="0041090D"/>
    <w:rsid w:val="004148EC"/>
    <w:rsid w:val="004169F1"/>
    <w:rsid w:val="00420D66"/>
    <w:rsid w:val="004224C6"/>
    <w:rsid w:val="00422C4E"/>
    <w:rsid w:val="004248B1"/>
    <w:rsid w:val="00431502"/>
    <w:rsid w:val="00432743"/>
    <w:rsid w:val="0043346D"/>
    <w:rsid w:val="00434A35"/>
    <w:rsid w:val="0043601B"/>
    <w:rsid w:val="00436B75"/>
    <w:rsid w:val="004413EA"/>
    <w:rsid w:val="004421F3"/>
    <w:rsid w:val="00446D0A"/>
    <w:rsid w:val="004610CB"/>
    <w:rsid w:val="0047722F"/>
    <w:rsid w:val="00477B9E"/>
    <w:rsid w:val="00481007"/>
    <w:rsid w:val="00486978"/>
    <w:rsid w:val="00493A0D"/>
    <w:rsid w:val="00497381"/>
    <w:rsid w:val="004A45B9"/>
    <w:rsid w:val="004A723F"/>
    <w:rsid w:val="004B1F9B"/>
    <w:rsid w:val="004B293A"/>
    <w:rsid w:val="004B3FF8"/>
    <w:rsid w:val="004B4CEC"/>
    <w:rsid w:val="004B5DDA"/>
    <w:rsid w:val="004B5E25"/>
    <w:rsid w:val="004C180D"/>
    <w:rsid w:val="004C2269"/>
    <w:rsid w:val="004C3F8D"/>
    <w:rsid w:val="004C6A71"/>
    <w:rsid w:val="004C75E1"/>
    <w:rsid w:val="004D0D15"/>
    <w:rsid w:val="004E2BE7"/>
    <w:rsid w:val="004E46A2"/>
    <w:rsid w:val="004F5890"/>
    <w:rsid w:val="004F6195"/>
    <w:rsid w:val="00503655"/>
    <w:rsid w:val="00521D77"/>
    <w:rsid w:val="00527BCA"/>
    <w:rsid w:val="00544743"/>
    <w:rsid w:val="00544BC1"/>
    <w:rsid w:val="00546309"/>
    <w:rsid w:val="005479FC"/>
    <w:rsid w:val="00552125"/>
    <w:rsid w:val="00552698"/>
    <w:rsid w:val="005540D0"/>
    <w:rsid w:val="005557AC"/>
    <w:rsid w:val="00557816"/>
    <w:rsid w:val="00562325"/>
    <w:rsid w:val="00566BF9"/>
    <w:rsid w:val="005677B7"/>
    <w:rsid w:val="005710EC"/>
    <w:rsid w:val="00582AB0"/>
    <w:rsid w:val="005863C3"/>
    <w:rsid w:val="00593346"/>
    <w:rsid w:val="00593ADD"/>
    <w:rsid w:val="005943AD"/>
    <w:rsid w:val="005A0124"/>
    <w:rsid w:val="005A6B50"/>
    <w:rsid w:val="005B07D3"/>
    <w:rsid w:val="005B1A20"/>
    <w:rsid w:val="005B203C"/>
    <w:rsid w:val="005B2248"/>
    <w:rsid w:val="005C086D"/>
    <w:rsid w:val="005C6CCE"/>
    <w:rsid w:val="005C6CFA"/>
    <w:rsid w:val="005C729A"/>
    <w:rsid w:val="005D3A37"/>
    <w:rsid w:val="005D7004"/>
    <w:rsid w:val="005E0B0C"/>
    <w:rsid w:val="005E0E1E"/>
    <w:rsid w:val="005E3252"/>
    <w:rsid w:val="005E4C1D"/>
    <w:rsid w:val="005E60E3"/>
    <w:rsid w:val="005F40FA"/>
    <w:rsid w:val="005F5D30"/>
    <w:rsid w:val="00600629"/>
    <w:rsid w:val="00602172"/>
    <w:rsid w:val="0060589D"/>
    <w:rsid w:val="00605994"/>
    <w:rsid w:val="00606D02"/>
    <w:rsid w:val="0060790A"/>
    <w:rsid w:val="00610686"/>
    <w:rsid w:val="00610A06"/>
    <w:rsid w:val="00611CB5"/>
    <w:rsid w:val="006126D8"/>
    <w:rsid w:val="00614D4F"/>
    <w:rsid w:val="006167CE"/>
    <w:rsid w:val="00617940"/>
    <w:rsid w:val="00623986"/>
    <w:rsid w:val="00624AF2"/>
    <w:rsid w:val="006301CB"/>
    <w:rsid w:val="00631DC1"/>
    <w:rsid w:val="00634531"/>
    <w:rsid w:val="0064582F"/>
    <w:rsid w:val="00645991"/>
    <w:rsid w:val="0064676B"/>
    <w:rsid w:val="006516B2"/>
    <w:rsid w:val="0065756A"/>
    <w:rsid w:val="00660E12"/>
    <w:rsid w:val="00663151"/>
    <w:rsid w:val="0066426A"/>
    <w:rsid w:val="00667595"/>
    <w:rsid w:val="00671B96"/>
    <w:rsid w:val="00672D42"/>
    <w:rsid w:val="006740E0"/>
    <w:rsid w:val="00676B3F"/>
    <w:rsid w:val="006772AA"/>
    <w:rsid w:val="00680D6B"/>
    <w:rsid w:val="00683ED5"/>
    <w:rsid w:val="00683FA4"/>
    <w:rsid w:val="00687505"/>
    <w:rsid w:val="00692460"/>
    <w:rsid w:val="0069588B"/>
    <w:rsid w:val="006A03AB"/>
    <w:rsid w:val="006A146F"/>
    <w:rsid w:val="006A3FC6"/>
    <w:rsid w:val="006A5FA0"/>
    <w:rsid w:val="006A7DB0"/>
    <w:rsid w:val="006B07A0"/>
    <w:rsid w:val="006B37B0"/>
    <w:rsid w:val="006B56F8"/>
    <w:rsid w:val="006C5E42"/>
    <w:rsid w:val="006C7883"/>
    <w:rsid w:val="006D2A10"/>
    <w:rsid w:val="006E24D5"/>
    <w:rsid w:val="006E5456"/>
    <w:rsid w:val="006E6832"/>
    <w:rsid w:val="006F054B"/>
    <w:rsid w:val="0070035C"/>
    <w:rsid w:val="007016D2"/>
    <w:rsid w:val="007027DF"/>
    <w:rsid w:val="00705E53"/>
    <w:rsid w:val="00710646"/>
    <w:rsid w:val="00711760"/>
    <w:rsid w:val="00711CB0"/>
    <w:rsid w:val="00712911"/>
    <w:rsid w:val="00712F53"/>
    <w:rsid w:val="007150C0"/>
    <w:rsid w:val="007200AE"/>
    <w:rsid w:val="00720E52"/>
    <w:rsid w:val="007228F2"/>
    <w:rsid w:val="007230BF"/>
    <w:rsid w:val="00724C32"/>
    <w:rsid w:val="007348C0"/>
    <w:rsid w:val="00735412"/>
    <w:rsid w:val="007359F5"/>
    <w:rsid w:val="00743E94"/>
    <w:rsid w:val="00744F0E"/>
    <w:rsid w:val="00750BB5"/>
    <w:rsid w:val="007579C5"/>
    <w:rsid w:val="00767077"/>
    <w:rsid w:val="007753FA"/>
    <w:rsid w:val="00775B00"/>
    <w:rsid w:val="007778AF"/>
    <w:rsid w:val="00783EC3"/>
    <w:rsid w:val="0078438E"/>
    <w:rsid w:val="00785994"/>
    <w:rsid w:val="007959F2"/>
    <w:rsid w:val="00795A50"/>
    <w:rsid w:val="00796EF7"/>
    <w:rsid w:val="00797301"/>
    <w:rsid w:val="007977C7"/>
    <w:rsid w:val="007A3518"/>
    <w:rsid w:val="007B69CE"/>
    <w:rsid w:val="007C18C6"/>
    <w:rsid w:val="007C3406"/>
    <w:rsid w:val="007C3F21"/>
    <w:rsid w:val="007C59FB"/>
    <w:rsid w:val="007C6CAC"/>
    <w:rsid w:val="007E0119"/>
    <w:rsid w:val="007E2240"/>
    <w:rsid w:val="007E2F26"/>
    <w:rsid w:val="007E39E8"/>
    <w:rsid w:val="007E3F93"/>
    <w:rsid w:val="007F6ACA"/>
    <w:rsid w:val="00801104"/>
    <w:rsid w:val="008019A5"/>
    <w:rsid w:val="0080584C"/>
    <w:rsid w:val="00806019"/>
    <w:rsid w:val="00810810"/>
    <w:rsid w:val="00812402"/>
    <w:rsid w:val="00821563"/>
    <w:rsid w:val="00822C59"/>
    <w:rsid w:val="00830AE0"/>
    <w:rsid w:val="0083133C"/>
    <w:rsid w:val="008344A9"/>
    <w:rsid w:val="0083504A"/>
    <w:rsid w:val="0083537E"/>
    <w:rsid w:val="00836E64"/>
    <w:rsid w:val="00837C31"/>
    <w:rsid w:val="008544AD"/>
    <w:rsid w:val="008547FD"/>
    <w:rsid w:val="00855738"/>
    <w:rsid w:val="008559A5"/>
    <w:rsid w:val="00857579"/>
    <w:rsid w:val="008606C9"/>
    <w:rsid w:val="00865DCF"/>
    <w:rsid w:val="00867148"/>
    <w:rsid w:val="00870B21"/>
    <w:rsid w:val="00871D1D"/>
    <w:rsid w:val="00871E99"/>
    <w:rsid w:val="00876C24"/>
    <w:rsid w:val="0088474D"/>
    <w:rsid w:val="00885187"/>
    <w:rsid w:val="00885ED7"/>
    <w:rsid w:val="008861CC"/>
    <w:rsid w:val="0088630B"/>
    <w:rsid w:val="00886F2E"/>
    <w:rsid w:val="008876C8"/>
    <w:rsid w:val="008878D1"/>
    <w:rsid w:val="0089214D"/>
    <w:rsid w:val="00896143"/>
    <w:rsid w:val="00897A1E"/>
    <w:rsid w:val="00897FE3"/>
    <w:rsid w:val="008A3068"/>
    <w:rsid w:val="008A6747"/>
    <w:rsid w:val="008A7488"/>
    <w:rsid w:val="008A7FB5"/>
    <w:rsid w:val="008B4F4E"/>
    <w:rsid w:val="008B57F3"/>
    <w:rsid w:val="008C1767"/>
    <w:rsid w:val="008D2EF8"/>
    <w:rsid w:val="008D7B3B"/>
    <w:rsid w:val="008D7F36"/>
    <w:rsid w:val="008E2C13"/>
    <w:rsid w:val="008E4960"/>
    <w:rsid w:val="008E504A"/>
    <w:rsid w:val="008F3C16"/>
    <w:rsid w:val="00901625"/>
    <w:rsid w:val="00904968"/>
    <w:rsid w:val="009049D8"/>
    <w:rsid w:val="00906EAF"/>
    <w:rsid w:val="009161E9"/>
    <w:rsid w:val="009170B3"/>
    <w:rsid w:val="00920FD5"/>
    <w:rsid w:val="00921078"/>
    <w:rsid w:val="00923345"/>
    <w:rsid w:val="0093496D"/>
    <w:rsid w:val="00941667"/>
    <w:rsid w:val="009428D3"/>
    <w:rsid w:val="009467EA"/>
    <w:rsid w:val="0095064B"/>
    <w:rsid w:val="00951244"/>
    <w:rsid w:val="009524A3"/>
    <w:rsid w:val="00957C26"/>
    <w:rsid w:val="0096184A"/>
    <w:rsid w:val="009628FB"/>
    <w:rsid w:val="00963491"/>
    <w:rsid w:val="00964A5E"/>
    <w:rsid w:val="00965CB5"/>
    <w:rsid w:val="00966B98"/>
    <w:rsid w:val="00967AFB"/>
    <w:rsid w:val="00970AA6"/>
    <w:rsid w:val="00973A93"/>
    <w:rsid w:val="00984DD1"/>
    <w:rsid w:val="00987086"/>
    <w:rsid w:val="009871A6"/>
    <w:rsid w:val="00987F26"/>
    <w:rsid w:val="00987F27"/>
    <w:rsid w:val="0099073D"/>
    <w:rsid w:val="009909BF"/>
    <w:rsid w:val="009910A8"/>
    <w:rsid w:val="00991FCB"/>
    <w:rsid w:val="0099497D"/>
    <w:rsid w:val="009A302D"/>
    <w:rsid w:val="009A5186"/>
    <w:rsid w:val="009A73E1"/>
    <w:rsid w:val="009B67FC"/>
    <w:rsid w:val="009C3A26"/>
    <w:rsid w:val="009C40C8"/>
    <w:rsid w:val="009C5402"/>
    <w:rsid w:val="009C595B"/>
    <w:rsid w:val="009D315F"/>
    <w:rsid w:val="009E18D8"/>
    <w:rsid w:val="009E32A8"/>
    <w:rsid w:val="009E5250"/>
    <w:rsid w:val="009E6753"/>
    <w:rsid w:val="009F1892"/>
    <w:rsid w:val="009F4CA9"/>
    <w:rsid w:val="009F50BF"/>
    <w:rsid w:val="00A04FAF"/>
    <w:rsid w:val="00A107CA"/>
    <w:rsid w:val="00A15A52"/>
    <w:rsid w:val="00A1637B"/>
    <w:rsid w:val="00A2164B"/>
    <w:rsid w:val="00A22F49"/>
    <w:rsid w:val="00A24EE7"/>
    <w:rsid w:val="00A26A46"/>
    <w:rsid w:val="00A33786"/>
    <w:rsid w:val="00A33FA5"/>
    <w:rsid w:val="00A34D1B"/>
    <w:rsid w:val="00A379B5"/>
    <w:rsid w:val="00A41066"/>
    <w:rsid w:val="00A4210D"/>
    <w:rsid w:val="00A42444"/>
    <w:rsid w:val="00A438A9"/>
    <w:rsid w:val="00A534B3"/>
    <w:rsid w:val="00A57158"/>
    <w:rsid w:val="00A6185E"/>
    <w:rsid w:val="00A637C3"/>
    <w:rsid w:val="00A6448B"/>
    <w:rsid w:val="00A65A4C"/>
    <w:rsid w:val="00A71D7E"/>
    <w:rsid w:val="00A7720A"/>
    <w:rsid w:val="00A80E2E"/>
    <w:rsid w:val="00A84F04"/>
    <w:rsid w:val="00A85D20"/>
    <w:rsid w:val="00A8637C"/>
    <w:rsid w:val="00A87D5C"/>
    <w:rsid w:val="00A946E3"/>
    <w:rsid w:val="00A96633"/>
    <w:rsid w:val="00A966E1"/>
    <w:rsid w:val="00A97C20"/>
    <w:rsid w:val="00AA16A4"/>
    <w:rsid w:val="00AA1F91"/>
    <w:rsid w:val="00AA5B88"/>
    <w:rsid w:val="00AB0499"/>
    <w:rsid w:val="00AB180B"/>
    <w:rsid w:val="00AB3F6E"/>
    <w:rsid w:val="00AB6504"/>
    <w:rsid w:val="00AB76E6"/>
    <w:rsid w:val="00AC0004"/>
    <w:rsid w:val="00AC0B48"/>
    <w:rsid w:val="00AC0B8F"/>
    <w:rsid w:val="00AC4C96"/>
    <w:rsid w:val="00AC5D52"/>
    <w:rsid w:val="00AD1253"/>
    <w:rsid w:val="00AE075A"/>
    <w:rsid w:val="00AE19FA"/>
    <w:rsid w:val="00AE2B14"/>
    <w:rsid w:val="00AE3A76"/>
    <w:rsid w:val="00AE5F6D"/>
    <w:rsid w:val="00AF0B32"/>
    <w:rsid w:val="00AF2612"/>
    <w:rsid w:val="00AF7A04"/>
    <w:rsid w:val="00B00B0D"/>
    <w:rsid w:val="00B0292B"/>
    <w:rsid w:val="00B0640D"/>
    <w:rsid w:val="00B06A9D"/>
    <w:rsid w:val="00B11162"/>
    <w:rsid w:val="00B11593"/>
    <w:rsid w:val="00B12E1B"/>
    <w:rsid w:val="00B156EE"/>
    <w:rsid w:val="00B16BCE"/>
    <w:rsid w:val="00B22BE1"/>
    <w:rsid w:val="00B33B89"/>
    <w:rsid w:val="00B3570B"/>
    <w:rsid w:val="00B35B5D"/>
    <w:rsid w:val="00B36E47"/>
    <w:rsid w:val="00B43457"/>
    <w:rsid w:val="00B45B41"/>
    <w:rsid w:val="00B51853"/>
    <w:rsid w:val="00B51DD8"/>
    <w:rsid w:val="00B5322F"/>
    <w:rsid w:val="00B53D0C"/>
    <w:rsid w:val="00B55BAF"/>
    <w:rsid w:val="00B60D1C"/>
    <w:rsid w:val="00B61870"/>
    <w:rsid w:val="00B621D8"/>
    <w:rsid w:val="00B70D88"/>
    <w:rsid w:val="00B71276"/>
    <w:rsid w:val="00B81FE7"/>
    <w:rsid w:val="00B85D28"/>
    <w:rsid w:val="00B87C2E"/>
    <w:rsid w:val="00B913E1"/>
    <w:rsid w:val="00BA1309"/>
    <w:rsid w:val="00BA1E2B"/>
    <w:rsid w:val="00BA282E"/>
    <w:rsid w:val="00BA44C1"/>
    <w:rsid w:val="00BA506C"/>
    <w:rsid w:val="00BA5B2E"/>
    <w:rsid w:val="00BA6EB5"/>
    <w:rsid w:val="00BB14A8"/>
    <w:rsid w:val="00BB323F"/>
    <w:rsid w:val="00BB552A"/>
    <w:rsid w:val="00BB7E0F"/>
    <w:rsid w:val="00BC045D"/>
    <w:rsid w:val="00BC4042"/>
    <w:rsid w:val="00BC4CF4"/>
    <w:rsid w:val="00BD7DF1"/>
    <w:rsid w:val="00BE0D2E"/>
    <w:rsid w:val="00BE12A2"/>
    <w:rsid w:val="00BE45EA"/>
    <w:rsid w:val="00BE6834"/>
    <w:rsid w:val="00BE687B"/>
    <w:rsid w:val="00BE7AAE"/>
    <w:rsid w:val="00BF3A94"/>
    <w:rsid w:val="00BF7D2E"/>
    <w:rsid w:val="00C148D1"/>
    <w:rsid w:val="00C14BA7"/>
    <w:rsid w:val="00C150DB"/>
    <w:rsid w:val="00C166B6"/>
    <w:rsid w:val="00C1688D"/>
    <w:rsid w:val="00C23B85"/>
    <w:rsid w:val="00C24390"/>
    <w:rsid w:val="00C31022"/>
    <w:rsid w:val="00C314E6"/>
    <w:rsid w:val="00C31691"/>
    <w:rsid w:val="00C326E6"/>
    <w:rsid w:val="00C332B6"/>
    <w:rsid w:val="00C3426A"/>
    <w:rsid w:val="00C37070"/>
    <w:rsid w:val="00C42F4D"/>
    <w:rsid w:val="00C456E0"/>
    <w:rsid w:val="00C5083B"/>
    <w:rsid w:val="00C53EE7"/>
    <w:rsid w:val="00C56D7A"/>
    <w:rsid w:val="00C60B37"/>
    <w:rsid w:val="00C60C8F"/>
    <w:rsid w:val="00C61294"/>
    <w:rsid w:val="00C634D3"/>
    <w:rsid w:val="00C678FA"/>
    <w:rsid w:val="00C67B66"/>
    <w:rsid w:val="00C72A76"/>
    <w:rsid w:val="00C73436"/>
    <w:rsid w:val="00C803BA"/>
    <w:rsid w:val="00C8180C"/>
    <w:rsid w:val="00C86A5C"/>
    <w:rsid w:val="00C87197"/>
    <w:rsid w:val="00C90720"/>
    <w:rsid w:val="00C9406A"/>
    <w:rsid w:val="00C97689"/>
    <w:rsid w:val="00CA0E95"/>
    <w:rsid w:val="00CA75DB"/>
    <w:rsid w:val="00CB0BF1"/>
    <w:rsid w:val="00CB1BB3"/>
    <w:rsid w:val="00CB25A2"/>
    <w:rsid w:val="00CB5014"/>
    <w:rsid w:val="00CC05D4"/>
    <w:rsid w:val="00CC2048"/>
    <w:rsid w:val="00CC23FE"/>
    <w:rsid w:val="00CC2B27"/>
    <w:rsid w:val="00CC61EF"/>
    <w:rsid w:val="00CD7D7B"/>
    <w:rsid w:val="00CE446E"/>
    <w:rsid w:val="00CF09C4"/>
    <w:rsid w:val="00CF3E59"/>
    <w:rsid w:val="00D00EDC"/>
    <w:rsid w:val="00D02D26"/>
    <w:rsid w:val="00D10F26"/>
    <w:rsid w:val="00D12F90"/>
    <w:rsid w:val="00D14E6B"/>
    <w:rsid w:val="00D153BD"/>
    <w:rsid w:val="00D2362F"/>
    <w:rsid w:val="00D36217"/>
    <w:rsid w:val="00D36233"/>
    <w:rsid w:val="00D42660"/>
    <w:rsid w:val="00D44171"/>
    <w:rsid w:val="00D51F53"/>
    <w:rsid w:val="00D6003A"/>
    <w:rsid w:val="00D716D3"/>
    <w:rsid w:val="00D75390"/>
    <w:rsid w:val="00D75E1A"/>
    <w:rsid w:val="00D81A41"/>
    <w:rsid w:val="00D84896"/>
    <w:rsid w:val="00D8575F"/>
    <w:rsid w:val="00D86022"/>
    <w:rsid w:val="00D946E2"/>
    <w:rsid w:val="00D949A0"/>
    <w:rsid w:val="00D94BFD"/>
    <w:rsid w:val="00DA13C3"/>
    <w:rsid w:val="00DA2A1A"/>
    <w:rsid w:val="00DA37C9"/>
    <w:rsid w:val="00DA4DD7"/>
    <w:rsid w:val="00DA4EA5"/>
    <w:rsid w:val="00DA63DD"/>
    <w:rsid w:val="00DA6BB7"/>
    <w:rsid w:val="00DB1367"/>
    <w:rsid w:val="00DC0F71"/>
    <w:rsid w:val="00DC22E7"/>
    <w:rsid w:val="00DD68F4"/>
    <w:rsid w:val="00DE1FF3"/>
    <w:rsid w:val="00DE547D"/>
    <w:rsid w:val="00DF06EA"/>
    <w:rsid w:val="00DF25D7"/>
    <w:rsid w:val="00DF57CD"/>
    <w:rsid w:val="00DF6EAA"/>
    <w:rsid w:val="00DF7852"/>
    <w:rsid w:val="00E02246"/>
    <w:rsid w:val="00E14A2B"/>
    <w:rsid w:val="00E16657"/>
    <w:rsid w:val="00E16C5C"/>
    <w:rsid w:val="00E20DE2"/>
    <w:rsid w:val="00E250C9"/>
    <w:rsid w:val="00E254AB"/>
    <w:rsid w:val="00E260BE"/>
    <w:rsid w:val="00E32ECD"/>
    <w:rsid w:val="00E405C7"/>
    <w:rsid w:val="00E471D6"/>
    <w:rsid w:val="00E47371"/>
    <w:rsid w:val="00E51622"/>
    <w:rsid w:val="00E51768"/>
    <w:rsid w:val="00E60604"/>
    <w:rsid w:val="00E62E03"/>
    <w:rsid w:val="00E6429E"/>
    <w:rsid w:val="00E676A1"/>
    <w:rsid w:val="00E72E87"/>
    <w:rsid w:val="00E74796"/>
    <w:rsid w:val="00E7526D"/>
    <w:rsid w:val="00E75661"/>
    <w:rsid w:val="00E758AA"/>
    <w:rsid w:val="00E80540"/>
    <w:rsid w:val="00E805DF"/>
    <w:rsid w:val="00E80AF1"/>
    <w:rsid w:val="00E818E2"/>
    <w:rsid w:val="00E8233A"/>
    <w:rsid w:val="00E83343"/>
    <w:rsid w:val="00E85229"/>
    <w:rsid w:val="00EA227B"/>
    <w:rsid w:val="00EA2C9A"/>
    <w:rsid w:val="00EB27D4"/>
    <w:rsid w:val="00EB2899"/>
    <w:rsid w:val="00EB5308"/>
    <w:rsid w:val="00EC1BEF"/>
    <w:rsid w:val="00ED3344"/>
    <w:rsid w:val="00ED64E1"/>
    <w:rsid w:val="00EE060C"/>
    <w:rsid w:val="00EE5181"/>
    <w:rsid w:val="00EE5687"/>
    <w:rsid w:val="00EF05A0"/>
    <w:rsid w:val="00EF0ABE"/>
    <w:rsid w:val="00EF35B9"/>
    <w:rsid w:val="00EF3D0A"/>
    <w:rsid w:val="00EF4477"/>
    <w:rsid w:val="00F038B7"/>
    <w:rsid w:val="00F04252"/>
    <w:rsid w:val="00F05054"/>
    <w:rsid w:val="00F07894"/>
    <w:rsid w:val="00F12D0D"/>
    <w:rsid w:val="00F14A41"/>
    <w:rsid w:val="00F15472"/>
    <w:rsid w:val="00F21695"/>
    <w:rsid w:val="00F227E7"/>
    <w:rsid w:val="00F2500C"/>
    <w:rsid w:val="00F27878"/>
    <w:rsid w:val="00F3144C"/>
    <w:rsid w:val="00F32566"/>
    <w:rsid w:val="00F33E35"/>
    <w:rsid w:val="00F35F58"/>
    <w:rsid w:val="00F41257"/>
    <w:rsid w:val="00F44A65"/>
    <w:rsid w:val="00F55DFA"/>
    <w:rsid w:val="00F55E81"/>
    <w:rsid w:val="00F60E37"/>
    <w:rsid w:val="00F61037"/>
    <w:rsid w:val="00F63DBC"/>
    <w:rsid w:val="00F73B57"/>
    <w:rsid w:val="00F73B6C"/>
    <w:rsid w:val="00F763F8"/>
    <w:rsid w:val="00F77866"/>
    <w:rsid w:val="00F806B0"/>
    <w:rsid w:val="00F83260"/>
    <w:rsid w:val="00F86A25"/>
    <w:rsid w:val="00FA1DB1"/>
    <w:rsid w:val="00FA4B79"/>
    <w:rsid w:val="00FA7D1A"/>
    <w:rsid w:val="00FB0EEA"/>
    <w:rsid w:val="00FB11AB"/>
    <w:rsid w:val="00FB2A64"/>
    <w:rsid w:val="00FB3098"/>
    <w:rsid w:val="00FC0FB2"/>
    <w:rsid w:val="00FC5D32"/>
    <w:rsid w:val="00FC7D51"/>
    <w:rsid w:val="00FD1028"/>
    <w:rsid w:val="00FD2A1A"/>
    <w:rsid w:val="00FD360F"/>
    <w:rsid w:val="00FE206C"/>
    <w:rsid w:val="00FE2FE5"/>
    <w:rsid w:val="00FE4EAC"/>
    <w:rsid w:val="00FE69AC"/>
    <w:rsid w:val="00FF1F33"/>
    <w:rsid w:val="00FF6201"/>
    <w:rsid w:val="01062CE5"/>
    <w:rsid w:val="010A29DC"/>
    <w:rsid w:val="01264FE9"/>
    <w:rsid w:val="012A067A"/>
    <w:rsid w:val="01374C66"/>
    <w:rsid w:val="014A2DD9"/>
    <w:rsid w:val="015557A6"/>
    <w:rsid w:val="01726C64"/>
    <w:rsid w:val="01AC61B8"/>
    <w:rsid w:val="01BA5113"/>
    <w:rsid w:val="01CF32DE"/>
    <w:rsid w:val="01F06396"/>
    <w:rsid w:val="01FD379F"/>
    <w:rsid w:val="021013A5"/>
    <w:rsid w:val="02244C8A"/>
    <w:rsid w:val="02317AF5"/>
    <w:rsid w:val="023233D5"/>
    <w:rsid w:val="024B6E08"/>
    <w:rsid w:val="024F6661"/>
    <w:rsid w:val="027A682B"/>
    <w:rsid w:val="02810A7C"/>
    <w:rsid w:val="02AF1CC2"/>
    <w:rsid w:val="02BC08D5"/>
    <w:rsid w:val="02C44E0D"/>
    <w:rsid w:val="031F0B7E"/>
    <w:rsid w:val="03331921"/>
    <w:rsid w:val="03345AEF"/>
    <w:rsid w:val="036902F4"/>
    <w:rsid w:val="036A59B4"/>
    <w:rsid w:val="037B7998"/>
    <w:rsid w:val="038A30BC"/>
    <w:rsid w:val="03BC67B4"/>
    <w:rsid w:val="03DD6D9F"/>
    <w:rsid w:val="03EA5E52"/>
    <w:rsid w:val="03F60FF6"/>
    <w:rsid w:val="04001E75"/>
    <w:rsid w:val="04125351"/>
    <w:rsid w:val="047B14FB"/>
    <w:rsid w:val="04910D1F"/>
    <w:rsid w:val="049443A0"/>
    <w:rsid w:val="049D3B67"/>
    <w:rsid w:val="04A73D17"/>
    <w:rsid w:val="04AD7ABA"/>
    <w:rsid w:val="04B17E20"/>
    <w:rsid w:val="04B226EE"/>
    <w:rsid w:val="04B50EB1"/>
    <w:rsid w:val="04B70785"/>
    <w:rsid w:val="04C9400E"/>
    <w:rsid w:val="04E04675"/>
    <w:rsid w:val="04FE5298"/>
    <w:rsid w:val="04FE763D"/>
    <w:rsid w:val="050463C4"/>
    <w:rsid w:val="052E279B"/>
    <w:rsid w:val="055204AE"/>
    <w:rsid w:val="057D2037"/>
    <w:rsid w:val="05AD3936"/>
    <w:rsid w:val="05B13057"/>
    <w:rsid w:val="05BC1DCB"/>
    <w:rsid w:val="05DB3FDB"/>
    <w:rsid w:val="05DD06BF"/>
    <w:rsid w:val="05EC08CC"/>
    <w:rsid w:val="060B6CA6"/>
    <w:rsid w:val="060F45F1"/>
    <w:rsid w:val="0636355B"/>
    <w:rsid w:val="069B7B13"/>
    <w:rsid w:val="06A64F55"/>
    <w:rsid w:val="06B07B82"/>
    <w:rsid w:val="06B75327"/>
    <w:rsid w:val="06B937CD"/>
    <w:rsid w:val="06D575E9"/>
    <w:rsid w:val="06DE2BF1"/>
    <w:rsid w:val="070A1075"/>
    <w:rsid w:val="071B21A5"/>
    <w:rsid w:val="072365A6"/>
    <w:rsid w:val="072F73ED"/>
    <w:rsid w:val="0737795B"/>
    <w:rsid w:val="073B0D7B"/>
    <w:rsid w:val="076E3897"/>
    <w:rsid w:val="076F17EB"/>
    <w:rsid w:val="07866B42"/>
    <w:rsid w:val="07972AF0"/>
    <w:rsid w:val="07A7333F"/>
    <w:rsid w:val="07BE5C53"/>
    <w:rsid w:val="07FF744E"/>
    <w:rsid w:val="081465CD"/>
    <w:rsid w:val="082C148A"/>
    <w:rsid w:val="083640B7"/>
    <w:rsid w:val="084632FA"/>
    <w:rsid w:val="08AE6F78"/>
    <w:rsid w:val="08BD514D"/>
    <w:rsid w:val="08CB0CA3"/>
    <w:rsid w:val="08CC6FF4"/>
    <w:rsid w:val="08F43B6F"/>
    <w:rsid w:val="08F7124D"/>
    <w:rsid w:val="09070750"/>
    <w:rsid w:val="091E119E"/>
    <w:rsid w:val="092B4317"/>
    <w:rsid w:val="093879BD"/>
    <w:rsid w:val="094312B5"/>
    <w:rsid w:val="095C2F24"/>
    <w:rsid w:val="095C6CFE"/>
    <w:rsid w:val="09710551"/>
    <w:rsid w:val="097E24FD"/>
    <w:rsid w:val="098A290C"/>
    <w:rsid w:val="099710CC"/>
    <w:rsid w:val="09A02DAD"/>
    <w:rsid w:val="09B41187"/>
    <w:rsid w:val="09BB4571"/>
    <w:rsid w:val="09C71466"/>
    <w:rsid w:val="09CC6A73"/>
    <w:rsid w:val="09CF79AA"/>
    <w:rsid w:val="09EF77D2"/>
    <w:rsid w:val="0A2321E0"/>
    <w:rsid w:val="0A3C415E"/>
    <w:rsid w:val="0A4A2ED7"/>
    <w:rsid w:val="0A58179F"/>
    <w:rsid w:val="0A6A77DA"/>
    <w:rsid w:val="0A6C2012"/>
    <w:rsid w:val="0A7669ED"/>
    <w:rsid w:val="0A9926DB"/>
    <w:rsid w:val="0A9C6C0C"/>
    <w:rsid w:val="0AAC02A2"/>
    <w:rsid w:val="0ABB4D47"/>
    <w:rsid w:val="0ABD559D"/>
    <w:rsid w:val="0AD33E3F"/>
    <w:rsid w:val="0AE83634"/>
    <w:rsid w:val="0AF67B2D"/>
    <w:rsid w:val="0B083F71"/>
    <w:rsid w:val="0B0F299D"/>
    <w:rsid w:val="0B183CC0"/>
    <w:rsid w:val="0B1F6A1F"/>
    <w:rsid w:val="0B2C587F"/>
    <w:rsid w:val="0B361A75"/>
    <w:rsid w:val="0B3A650B"/>
    <w:rsid w:val="0B5C2086"/>
    <w:rsid w:val="0B674587"/>
    <w:rsid w:val="0B8D28E7"/>
    <w:rsid w:val="0B994EA8"/>
    <w:rsid w:val="0B9A392B"/>
    <w:rsid w:val="0BD50DE5"/>
    <w:rsid w:val="0BED7182"/>
    <w:rsid w:val="0BF1723E"/>
    <w:rsid w:val="0C217661"/>
    <w:rsid w:val="0C3D2A89"/>
    <w:rsid w:val="0C453C16"/>
    <w:rsid w:val="0C4C7780"/>
    <w:rsid w:val="0C722E6A"/>
    <w:rsid w:val="0C7D0506"/>
    <w:rsid w:val="0C8F79C1"/>
    <w:rsid w:val="0CB90E20"/>
    <w:rsid w:val="0CDD47F9"/>
    <w:rsid w:val="0D221DD0"/>
    <w:rsid w:val="0D251794"/>
    <w:rsid w:val="0D3C2636"/>
    <w:rsid w:val="0D3D37F2"/>
    <w:rsid w:val="0D947494"/>
    <w:rsid w:val="0DB55A7E"/>
    <w:rsid w:val="0DB9785E"/>
    <w:rsid w:val="0DD23006"/>
    <w:rsid w:val="0DD856C5"/>
    <w:rsid w:val="0DE545B5"/>
    <w:rsid w:val="0E0B7D94"/>
    <w:rsid w:val="0E3576D8"/>
    <w:rsid w:val="0E3F0B94"/>
    <w:rsid w:val="0E547045"/>
    <w:rsid w:val="0E5819FF"/>
    <w:rsid w:val="0E6168EA"/>
    <w:rsid w:val="0E690BF1"/>
    <w:rsid w:val="0E6A61DF"/>
    <w:rsid w:val="0E96765D"/>
    <w:rsid w:val="0EC75A69"/>
    <w:rsid w:val="0F0D47F7"/>
    <w:rsid w:val="0F2A4E88"/>
    <w:rsid w:val="0F5E2A0F"/>
    <w:rsid w:val="0F5F0397"/>
    <w:rsid w:val="0F684ECD"/>
    <w:rsid w:val="0F8B6060"/>
    <w:rsid w:val="0F917E25"/>
    <w:rsid w:val="0F9A317D"/>
    <w:rsid w:val="0FC91CB4"/>
    <w:rsid w:val="0FD7005B"/>
    <w:rsid w:val="0FDD12BC"/>
    <w:rsid w:val="0FF07241"/>
    <w:rsid w:val="1016196B"/>
    <w:rsid w:val="102578F3"/>
    <w:rsid w:val="10466FD2"/>
    <w:rsid w:val="105E41AB"/>
    <w:rsid w:val="10685029"/>
    <w:rsid w:val="10725EA8"/>
    <w:rsid w:val="10965BBB"/>
    <w:rsid w:val="10980D41"/>
    <w:rsid w:val="10A37B32"/>
    <w:rsid w:val="10D17073"/>
    <w:rsid w:val="10EC7A09"/>
    <w:rsid w:val="10ED1D02"/>
    <w:rsid w:val="11006A31"/>
    <w:rsid w:val="11072A94"/>
    <w:rsid w:val="112E1DCF"/>
    <w:rsid w:val="112F5B47"/>
    <w:rsid w:val="11324E14"/>
    <w:rsid w:val="113B44EC"/>
    <w:rsid w:val="11501200"/>
    <w:rsid w:val="115B0D00"/>
    <w:rsid w:val="118440E5"/>
    <w:rsid w:val="11A130A6"/>
    <w:rsid w:val="11F9505C"/>
    <w:rsid w:val="11FE3B55"/>
    <w:rsid w:val="1203067D"/>
    <w:rsid w:val="122E4051"/>
    <w:rsid w:val="1237063A"/>
    <w:rsid w:val="12415CB9"/>
    <w:rsid w:val="127952CC"/>
    <w:rsid w:val="128617BB"/>
    <w:rsid w:val="12996D03"/>
    <w:rsid w:val="12AE5FB0"/>
    <w:rsid w:val="12B66520"/>
    <w:rsid w:val="12C30C3D"/>
    <w:rsid w:val="12DF17CF"/>
    <w:rsid w:val="12DF5419"/>
    <w:rsid w:val="12E95D6B"/>
    <w:rsid w:val="13086650"/>
    <w:rsid w:val="130C1057"/>
    <w:rsid w:val="130E3229"/>
    <w:rsid w:val="13354733"/>
    <w:rsid w:val="135B5CE8"/>
    <w:rsid w:val="137D6972"/>
    <w:rsid w:val="138F2686"/>
    <w:rsid w:val="13936861"/>
    <w:rsid w:val="13B751B7"/>
    <w:rsid w:val="13DA623E"/>
    <w:rsid w:val="13ED41C3"/>
    <w:rsid w:val="13ED569B"/>
    <w:rsid w:val="141330FE"/>
    <w:rsid w:val="144639DA"/>
    <w:rsid w:val="145C08B4"/>
    <w:rsid w:val="1471504B"/>
    <w:rsid w:val="14AD5701"/>
    <w:rsid w:val="14BE0602"/>
    <w:rsid w:val="14C342C9"/>
    <w:rsid w:val="14DB65DF"/>
    <w:rsid w:val="14F320B4"/>
    <w:rsid w:val="14FE5F5C"/>
    <w:rsid w:val="15054238"/>
    <w:rsid w:val="15072868"/>
    <w:rsid w:val="150A42DA"/>
    <w:rsid w:val="15446098"/>
    <w:rsid w:val="157F68E3"/>
    <w:rsid w:val="15957D73"/>
    <w:rsid w:val="159B634E"/>
    <w:rsid w:val="15C732DB"/>
    <w:rsid w:val="15C77891"/>
    <w:rsid w:val="15D66ED9"/>
    <w:rsid w:val="15E624FA"/>
    <w:rsid w:val="1615355E"/>
    <w:rsid w:val="16157DA7"/>
    <w:rsid w:val="161F43DC"/>
    <w:rsid w:val="164756E1"/>
    <w:rsid w:val="164C32DD"/>
    <w:rsid w:val="1651327C"/>
    <w:rsid w:val="165943A2"/>
    <w:rsid w:val="165F45BD"/>
    <w:rsid w:val="1675334D"/>
    <w:rsid w:val="167D1103"/>
    <w:rsid w:val="168B7CC4"/>
    <w:rsid w:val="16922E00"/>
    <w:rsid w:val="1698541C"/>
    <w:rsid w:val="16995275"/>
    <w:rsid w:val="16B51BB0"/>
    <w:rsid w:val="16CC62A6"/>
    <w:rsid w:val="16E82A20"/>
    <w:rsid w:val="170E2D34"/>
    <w:rsid w:val="17104C69"/>
    <w:rsid w:val="171D770B"/>
    <w:rsid w:val="17306175"/>
    <w:rsid w:val="173D05C5"/>
    <w:rsid w:val="17422503"/>
    <w:rsid w:val="174A7D7C"/>
    <w:rsid w:val="174C2E38"/>
    <w:rsid w:val="175045F4"/>
    <w:rsid w:val="17505D59"/>
    <w:rsid w:val="1761016A"/>
    <w:rsid w:val="17852965"/>
    <w:rsid w:val="178A3AAA"/>
    <w:rsid w:val="17BE21DD"/>
    <w:rsid w:val="17C1009D"/>
    <w:rsid w:val="18023FB5"/>
    <w:rsid w:val="18137F71"/>
    <w:rsid w:val="181A1703"/>
    <w:rsid w:val="181A38F5"/>
    <w:rsid w:val="184E78D6"/>
    <w:rsid w:val="18640E1C"/>
    <w:rsid w:val="18645E17"/>
    <w:rsid w:val="18736C61"/>
    <w:rsid w:val="187B0B24"/>
    <w:rsid w:val="188B1976"/>
    <w:rsid w:val="18AE1A0A"/>
    <w:rsid w:val="18BE6793"/>
    <w:rsid w:val="18BF4FB5"/>
    <w:rsid w:val="18C15C1F"/>
    <w:rsid w:val="18CB25F9"/>
    <w:rsid w:val="18D05E62"/>
    <w:rsid w:val="18DB36CF"/>
    <w:rsid w:val="18E67433"/>
    <w:rsid w:val="18F338FE"/>
    <w:rsid w:val="19127B40"/>
    <w:rsid w:val="19193365"/>
    <w:rsid w:val="192835A8"/>
    <w:rsid w:val="19393A07"/>
    <w:rsid w:val="195500E4"/>
    <w:rsid w:val="19664C5F"/>
    <w:rsid w:val="196A3BC0"/>
    <w:rsid w:val="196C5B8A"/>
    <w:rsid w:val="198D78AF"/>
    <w:rsid w:val="199739E7"/>
    <w:rsid w:val="19BB441C"/>
    <w:rsid w:val="19E716B5"/>
    <w:rsid w:val="19EC0A79"/>
    <w:rsid w:val="1A396A0F"/>
    <w:rsid w:val="1A4C2FF4"/>
    <w:rsid w:val="1A6C1067"/>
    <w:rsid w:val="1A7867B1"/>
    <w:rsid w:val="1A94238D"/>
    <w:rsid w:val="1A9F789A"/>
    <w:rsid w:val="1AAF7880"/>
    <w:rsid w:val="1ABB5C30"/>
    <w:rsid w:val="1AC734EC"/>
    <w:rsid w:val="1ADE501C"/>
    <w:rsid w:val="1AE677A0"/>
    <w:rsid w:val="1AF24BAE"/>
    <w:rsid w:val="1AF8344E"/>
    <w:rsid w:val="1B300E3A"/>
    <w:rsid w:val="1B3725D8"/>
    <w:rsid w:val="1B3A7C74"/>
    <w:rsid w:val="1B414DF5"/>
    <w:rsid w:val="1B610FF3"/>
    <w:rsid w:val="1B680619"/>
    <w:rsid w:val="1B7C407F"/>
    <w:rsid w:val="1B7D0FDE"/>
    <w:rsid w:val="1B873225"/>
    <w:rsid w:val="1BB27AA1"/>
    <w:rsid w:val="1BBD7433"/>
    <w:rsid w:val="1BCB2B72"/>
    <w:rsid w:val="1BCC153A"/>
    <w:rsid w:val="1BDB0E71"/>
    <w:rsid w:val="1BF95ED5"/>
    <w:rsid w:val="1BFE602A"/>
    <w:rsid w:val="1C054074"/>
    <w:rsid w:val="1C0731CD"/>
    <w:rsid w:val="1C273A64"/>
    <w:rsid w:val="1C285CF2"/>
    <w:rsid w:val="1C36422E"/>
    <w:rsid w:val="1C397E78"/>
    <w:rsid w:val="1C507595"/>
    <w:rsid w:val="1C534DE0"/>
    <w:rsid w:val="1C7E7E0F"/>
    <w:rsid w:val="1C8D750E"/>
    <w:rsid w:val="1C8E0C12"/>
    <w:rsid w:val="1C901FEC"/>
    <w:rsid w:val="1CA72186"/>
    <w:rsid w:val="1CCD1793"/>
    <w:rsid w:val="1CEC4CAC"/>
    <w:rsid w:val="1CF99F29"/>
    <w:rsid w:val="1D042B84"/>
    <w:rsid w:val="1D505B51"/>
    <w:rsid w:val="1D5764C2"/>
    <w:rsid w:val="1D5F245B"/>
    <w:rsid w:val="1D660B43"/>
    <w:rsid w:val="1D6E79F7"/>
    <w:rsid w:val="1D752B7B"/>
    <w:rsid w:val="1D793069"/>
    <w:rsid w:val="1D951428"/>
    <w:rsid w:val="1DA06387"/>
    <w:rsid w:val="1DA76CDF"/>
    <w:rsid w:val="1DA805E0"/>
    <w:rsid w:val="1DA83270"/>
    <w:rsid w:val="1DB86241"/>
    <w:rsid w:val="1DBC3A6F"/>
    <w:rsid w:val="1DE5541C"/>
    <w:rsid w:val="1DF8613F"/>
    <w:rsid w:val="1E3B12D4"/>
    <w:rsid w:val="1E731769"/>
    <w:rsid w:val="1E787674"/>
    <w:rsid w:val="1E9A72AE"/>
    <w:rsid w:val="1E9B4B0A"/>
    <w:rsid w:val="1EB74BD4"/>
    <w:rsid w:val="1EC07B32"/>
    <w:rsid w:val="1EDC2C1A"/>
    <w:rsid w:val="1EEB646F"/>
    <w:rsid w:val="1F122276"/>
    <w:rsid w:val="1F1545CE"/>
    <w:rsid w:val="1F175906"/>
    <w:rsid w:val="1F2111C5"/>
    <w:rsid w:val="1F370A48"/>
    <w:rsid w:val="1F486752"/>
    <w:rsid w:val="1F4877F5"/>
    <w:rsid w:val="1F4B755D"/>
    <w:rsid w:val="1F502D95"/>
    <w:rsid w:val="1F7746E8"/>
    <w:rsid w:val="1F7F4BC0"/>
    <w:rsid w:val="1F9C4CF0"/>
    <w:rsid w:val="1FA16800"/>
    <w:rsid w:val="1FBC5357"/>
    <w:rsid w:val="1FE24920"/>
    <w:rsid w:val="1FED554B"/>
    <w:rsid w:val="1FF10C68"/>
    <w:rsid w:val="20183CD9"/>
    <w:rsid w:val="20193B55"/>
    <w:rsid w:val="201D6553"/>
    <w:rsid w:val="204131A1"/>
    <w:rsid w:val="20902212"/>
    <w:rsid w:val="20AC5372"/>
    <w:rsid w:val="20BE47F2"/>
    <w:rsid w:val="20D40E82"/>
    <w:rsid w:val="21121EE0"/>
    <w:rsid w:val="2125622D"/>
    <w:rsid w:val="21366A7E"/>
    <w:rsid w:val="21377D6F"/>
    <w:rsid w:val="214011FC"/>
    <w:rsid w:val="21540AE8"/>
    <w:rsid w:val="21771D93"/>
    <w:rsid w:val="217B710C"/>
    <w:rsid w:val="21844A8B"/>
    <w:rsid w:val="219A5082"/>
    <w:rsid w:val="21D818E3"/>
    <w:rsid w:val="21FA5CFD"/>
    <w:rsid w:val="22056B7C"/>
    <w:rsid w:val="221300CD"/>
    <w:rsid w:val="22244B28"/>
    <w:rsid w:val="22331F3C"/>
    <w:rsid w:val="224D4645"/>
    <w:rsid w:val="22521F13"/>
    <w:rsid w:val="225C42C2"/>
    <w:rsid w:val="227200AE"/>
    <w:rsid w:val="22736A7A"/>
    <w:rsid w:val="229E0D7F"/>
    <w:rsid w:val="22A55C69"/>
    <w:rsid w:val="22B1460E"/>
    <w:rsid w:val="22B16F62"/>
    <w:rsid w:val="22B934C3"/>
    <w:rsid w:val="22C06A4B"/>
    <w:rsid w:val="22DB78DD"/>
    <w:rsid w:val="22E04EF3"/>
    <w:rsid w:val="22E36792"/>
    <w:rsid w:val="22EF5136"/>
    <w:rsid w:val="231724A7"/>
    <w:rsid w:val="232B0864"/>
    <w:rsid w:val="237D2742"/>
    <w:rsid w:val="238C6FED"/>
    <w:rsid w:val="23C6233B"/>
    <w:rsid w:val="23D34681"/>
    <w:rsid w:val="23F52C20"/>
    <w:rsid w:val="23F8727F"/>
    <w:rsid w:val="241D7362"/>
    <w:rsid w:val="242C16EC"/>
    <w:rsid w:val="24303C58"/>
    <w:rsid w:val="243B7DAE"/>
    <w:rsid w:val="244A2F6C"/>
    <w:rsid w:val="244E0EBA"/>
    <w:rsid w:val="245E2574"/>
    <w:rsid w:val="24620BDC"/>
    <w:rsid w:val="24742B6A"/>
    <w:rsid w:val="249064A5"/>
    <w:rsid w:val="24BB5C18"/>
    <w:rsid w:val="24BE0FBD"/>
    <w:rsid w:val="24C745BD"/>
    <w:rsid w:val="24C74FB8"/>
    <w:rsid w:val="2522030F"/>
    <w:rsid w:val="25257E69"/>
    <w:rsid w:val="252E17E2"/>
    <w:rsid w:val="253315C0"/>
    <w:rsid w:val="2533755C"/>
    <w:rsid w:val="25373283"/>
    <w:rsid w:val="25693679"/>
    <w:rsid w:val="256A4F48"/>
    <w:rsid w:val="256B602F"/>
    <w:rsid w:val="25711C1B"/>
    <w:rsid w:val="257A093C"/>
    <w:rsid w:val="25AC730F"/>
    <w:rsid w:val="25B3664E"/>
    <w:rsid w:val="25DF1492"/>
    <w:rsid w:val="262E583C"/>
    <w:rsid w:val="264E03C6"/>
    <w:rsid w:val="26586DDB"/>
    <w:rsid w:val="2661459D"/>
    <w:rsid w:val="26664CEC"/>
    <w:rsid w:val="266A4B0C"/>
    <w:rsid w:val="26C60F76"/>
    <w:rsid w:val="26C708A4"/>
    <w:rsid w:val="26CB7B8B"/>
    <w:rsid w:val="26E30479"/>
    <w:rsid w:val="26E34EE8"/>
    <w:rsid w:val="26FE65B4"/>
    <w:rsid w:val="272248F2"/>
    <w:rsid w:val="27233601"/>
    <w:rsid w:val="272F01F7"/>
    <w:rsid w:val="274E4B21"/>
    <w:rsid w:val="27541A0C"/>
    <w:rsid w:val="276854B7"/>
    <w:rsid w:val="277C7F54"/>
    <w:rsid w:val="27974397"/>
    <w:rsid w:val="279F3C3A"/>
    <w:rsid w:val="27CC6997"/>
    <w:rsid w:val="27E61404"/>
    <w:rsid w:val="281B0C50"/>
    <w:rsid w:val="283B7BEE"/>
    <w:rsid w:val="283E65FE"/>
    <w:rsid w:val="285717B4"/>
    <w:rsid w:val="28B60BD0"/>
    <w:rsid w:val="28DB23E5"/>
    <w:rsid w:val="28E03E9F"/>
    <w:rsid w:val="28EF40E2"/>
    <w:rsid w:val="29012300"/>
    <w:rsid w:val="291D7154"/>
    <w:rsid w:val="292541CA"/>
    <w:rsid w:val="29377E1A"/>
    <w:rsid w:val="29383B34"/>
    <w:rsid w:val="2944688B"/>
    <w:rsid w:val="294914AA"/>
    <w:rsid w:val="295A3164"/>
    <w:rsid w:val="295E2F75"/>
    <w:rsid w:val="29671ECA"/>
    <w:rsid w:val="29673C78"/>
    <w:rsid w:val="296B52EE"/>
    <w:rsid w:val="296C128F"/>
    <w:rsid w:val="297263FB"/>
    <w:rsid w:val="2974740A"/>
    <w:rsid w:val="29C16DFC"/>
    <w:rsid w:val="29C235A5"/>
    <w:rsid w:val="29D8573D"/>
    <w:rsid w:val="29ED1E91"/>
    <w:rsid w:val="2A0B1F7A"/>
    <w:rsid w:val="2A1123B6"/>
    <w:rsid w:val="2A190D55"/>
    <w:rsid w:val="2A1F18D6"/>
    <w:rsid w:val="2A21651D"/>
    <w:rsid w:val="2A391AB9"/>
    <w:rsid w:val="2A4E3D50"/>
    <w:rsid w:val="2A594824"/>
    <w:rsid w:val="2A5E570F"/>
    <w:rsid w:val="2A636B36"/>
    <w:rsid w:val="2A7C35C4"/>
    <w:rsid w:val="2A824E9B"/>
    <w:rsid w:val="2A91688B"/>
    <w:rsid w:val="2AA5336D"/>
    <w:rsid w:val="2AB745B4"/>
    <w:rsid w:val="2AE10670"/>
    <w:rsid w:val="2B1B2F6C"/>
    <w:rsid w:val="2B2C517A"/>
    <w:rsid w:val="2B345DDC"/>
    <w:rsid w:val="2B394724"/>
    <w:rsid w:val="2B4029D3"/>
    <w:rsid w:val="2B4E297B"/>
    <w:rsid w:val="2B642FE5"/>
    <w:rsid w:val="2BC871BB"/>
    <w:rsid w:val="2BCF4B74"/>
    <w:rsid w:val="2BD10CEF"/>
    <w:rsid w:val="2BF37A45"/>
    <w:rsid w:val="2C117CFC"/>
    <w:rsid w:val="2C1B7877"/>
    <w:rsid w:val="2C2C59C0"/>
    <w:rsid w:val="2C4604BD"/>
    <w:rsid w:val="2C4C53A8"/>
    <w:rsid w:val="2C7341CE"/>
    <w:rsid w:val="2C7A047E"/>
    <w:rsid w:val="2C9C76AF"/>
    <w:rsid w:val="2CB2271F"/>
    <w:rsid w:val="2CBF4252"/>
    <w:rsid w:val="2CC87124"/>
    <w:rsid w:val="2CD1461E"/>
    <w:rsid w:val="2CD33C8F"/>
    <w:rsid w:val="2CEF29A9"/>
    <w:rsid w:val="2CF061F0"/>
    <w:rsid w:val="2CF13C0A"/>
    <w:rsid w:val="2CF90FC7"/>
    <w:rsid w:val="2D1E2D97"/>
    <w:rsid w:val="2D4349FC"/>
    <w:rsid w:val="2D7746A6"/>
    <w:rsid w:val="2D85710D"/>
    <w:rsid w:val="2D957A25"/>
    <w:rsid w:val="2DA532B1"/>
    <w:rsid w:val="2DAC2A14"/>
    <w:rsid w:val="2DB65067"/>
    <w:rsid w:val="2DBBE124"/>
    <w:rsid w:val="2DCC6A9D"/>
    <w:rsid w:val="2DE4019A"/>
    <w:rsid w:val="2DE57528"/>
    <w:rsid w:val="2DFB2984"/>
    <w:rsid w:val="2E132621"/>
    <w:rsid w:val="2E222864"/>
    <w:rsid w:val="2E235BCD"/>
    <w:rsid w:val="2E354A5B"/>
    <w:rsid w:val="2E450300"/>
    <w:rsid w:val="2E4C168F"/>
    <w:rsid w:val="2E4D78FF"/>
    <w:rsid w:val="2E613044"/>
    <w:rsid w:val="2E6405A0"/>
    <w:rsid w:val="2EAC4B33"/>
    <w:rsid w:val="2EB46868"/>
    <w:rsid w:val="2EDF0755"/>
    <w:rsid w:val="2F056ABE"/>
    <w:rsid w:val="2F1128DC"/>
    <w:rsid w:val="2F2E5B9A"/>
    <w:rsid w:val="2F5A7DDB"/>
    <w:rsid w:val="2F6D2868"/>
    <w:rsid w:val="2F7B66D0"/>
    <w:rsid w:val="2F8665BD"/>
    <w:rsid w:val="2F9E23BE"/>
    <w:rsid w:val="2FCD705A"/>
    <w:rsid w:val="2FCF4325"/>
    <w:rsid w:val="2FE928F0"/>
    <w:rsid w:val="30073039"/>
    <w:rsid w:val="300E626A"/>
    <w:rsid w:val="30214032"/>
    <w:rsid w:val="30600597"/>
    <w:rsid w:val="30B9065A"/>
    <w:rsid w:val="30BF0C06"/>
    <w:rsid w:val="30D03EAA"/>
    <w:rsid w:val="30D13670"/>
    <w:rsid w:val="30DD1D84"/>
    <w:rsid w:val="30FC739C"/>
    <w:rsid w:val="3112096E"/>
    <w:rsid w:val="311F03CB"/>
    <w:rsid w:val="31264419"/>
    <w:rsid w:val="314F56BE"/>
    <w:rsid w:val="31553682"/>
    <w:rsid w:val="315F2298"/>
    <w:rsid w:val="316B4522"/>
    <w:rsid w:val="316C6632"/>
    <w:rsid w:val="31716A86"/>
    <w:rsid w:val="31BC4306"/>
    <w:rsid w:val="31BF556D"/>
    <w:rsid w:val="31D23FDC"/>
    <w:rsid w:val="31DE4CF4"/>
    <w:rsid w:val="31E63BA8"/>
    <w:rsid w:val="31E700F2"/>
    <w:rsid w:val="31EF0CAF"/>
    <w:rsid w:val="31F91B2E"/>
    <w:rsid w:val="320209E2"/>
    <w:rsid w:val="320D1338"/>
    <w:rsid w:val="32281031"/>
    <w:rsid w:val="323F247B"/>
    <w:rsid w:val="32441EF4"/>
    <w:rsid w:val="324E5E1D"/>
    <w:rsid w:val="3255062A"/>
    <w:rsid w:val="32705540"/>
    <w:rsid w:val="32713375"/>
    <w:rsid w:val="328A172E"/>
    <w:rsid w:val="32A5100A"/>
    <w:rsid w:val="32AE0B6A"/>
    <w:rsid w:val="32B819E9"/>
    <w:rsid w:val="32BA750F"/>
    <w:rsid w:val="32BF31E3"/>
    <w:rsid w:val="32D22AAA"/>
    <w:rsid w:val="32F44497"/>
    <w:rsid w:val="32F92FE0"/>
    <w:rsid w:val="3304078A"/>
    <w:rsid w:val="331210F9"/>
    <w:rsid w:val="33332E1D"/>
    <w:rsid w:val="333867CE"/>
    <w:rsid w:val="33590AD6"/>
    <w:rsid w:val="33596609"/>
    <w:rsid w:val="33631C47"/>
    <w:rsid w:val="33BC33AE"/>
    <w:rsid w:val="33C47A4A"/>
    <w:rsid w:val="33C65A3F"/>
    <w:rsid w:val="33C77CCB"/>
    <w:rsid w:val="33D13F1C"/>
    <w:rsid w:val="33D33F4D"/>
    <w:rsid w:val="33F474CA"/>
    <w:rsid w:val="33F962C3"/>
    <w:rsid w:val="33F97BC3"/>
    <w:rsid w:val="340354F6"/>
    <w:rsid w:val="34256C0A"/>
    <w:rsid w:val="34296435"/>
    <w:rsid w:val="342E1F62"/>
    <w:rsid w:val="343864D6"/>
    <w:rsid w:val="345B087E"/>
    <w:rsid w:val="34654671"/>
    <w:rsid w:val="347F7D0B"/>
    <w:rsid w:val="348203CC"/>
    <w:rsid w:val="3498562E"/>
    <w:rsid w:val="34AE3911"/>
    <w:rsid w:val="34C812BC"/>
    <w:rsid w:val="34F936EF"/>
    <w:rsid w:val="34FB5496"/>
    <w:rsid w:val="34FE1BFB"/>
    <w:rsid w:val="35026356"/>
    <w:rsid w:val="35160077"/>
    <w:rsid w:val="35185823"/>
    <w:rsid w:val="351C000D"/>
    <w:rsid w:val="35AB75E3"/>
    <w:rsid w:val="35BB5A78"/>
    <w:rsid w:val="35D301AE"/>
    <w:rsid w:val="36154A5C"/>
    <w:rsid w:val="361E4282"/>
    <w:rsid w:val="362348F1"/>
    <w:rsid w:val="362F3BBB"/>
    <w:rsid w:val="36516604"/>
    <w:rsid w:val="366854D4"/>
    <w:rsid w:val="36721C1B"/>
    <w:rsid w:val="368E1BCD"/>
    <w:rsid w:val="369938DF"/>
    <w:rsid w:val="36AC53C0"/>
    <w:rsid w:val="36C344B8"/>
    <w:rsid w:val="37092C1C"/>
    <w:rsid w:val="3720190B"/>
    <w:rsid w:val="37384EA6"/>
    <w:rsid w:val="37396F26"/>
    <w:rsid w:val="373A0CB3"/>
    <w:rsid w:val="373F4487"/>
    <w:rsid w:val="374746A9"/>
    <w:rsid w:val="37531CE0"/>
    <w:rsid w:val="3765534C"/>
    <w:rsid w:val="376A03F4"/>
    <w:rsid w:val="376D275B"/>
    <w:rsid w:val="378D51F2"/>
    <w:rsid w:val="379F1C36"/>
    <w:rsid w:val="37AB4837"/>
    <w:rsid w:val="37B11C6E"/>
    <w:rsid w:val="37B22EAA"/>
    <w:rsid w:val="37B858A5"/>
    <w:rsid w:val="37BD05F0"/>
    <w:rsid w:val="37CB1054"/>
    <w:rsid w:val="3802363B"/>
    <w:rsid w:val="38206066"/>
    <w:rsid w:val="3826386C"/>
    <w:rsid w:val="38335A3E"/>
    <w:rsid w:val="383500C7"/>
    <w:rsid w:val="38604B0B"/>
    <w:rsid w:val="38751EBC"/>
    <w:rsid w:val="3880651D"/>
    <w:rsid w:val="38A62A03"/>
    <w:rsid w:val="38AA644C"/>
    <w:rsid w:val="38B373F6"/>
    <w:rsid w:val="38B7004D"/>
    <w:rsid w:val="38C42E95"/>
    <w:rsid w:val="3905525C"/>
    <w:rsid w:val="39161217"/>
    <w:rsid w:val="393B3F53"/>
    <w:rsid w:val="393D4CFB"/>
    <w:rsid w:val="3944670C"/>
    <w:rsid w:val="3962445C"/>
    <w:rsid w:val="396650FC"/>
    <w:rsid w:val="396E6B29"/>
    <w:rsid w:val="397367B9"/>
    <w:rsid w:val="39737216"/>
    <w:rsid w:val="397B70F5"/>
    <w:rsid w:val="397C4E14"/>
    <w:rsid w:val="39846181"/>
    <w:rsid w:val="399355FF"/>
    <w:rsid w:val="399D0C64"/>
    <w:rsid w:val="39A405D1"/>
    <w:rsid w:val="39ED6D40"/>
    <w:rsid w:val="39F00A2A"/>
    <w:rsid w:val="3A195B58"/>
    <w:rsid w:val="3A41173A"/>
    <w:rsid w:val="3A451DB4"/>
    <w:rsid w:val="3A4D6EBA"/>
    <w:rsid w:val="3A556B7C"/>
    <w:rsid w:val="3A7570A4"/>
    <w:rsid w:val="3A7C0506"/>
    <w:rsid w:val="3A881CA1"/>
    <w:rsid w:val="3ABE095C"/>
    <w:rsid w:val="3AD47C5D"/>
    <w:rsid w:val="3ADB1847"/>
    <w:rsid w:val="3ADE2FB1"/>
    <w:rsid w:val="3B021A53"/>
    <w:rsid w:val="3B0D12AA"/>
    <w:rsid w:val="3B18141E"/>
    <w:rsid w:val="3B18194C"/>
    <w:rsid w:val="3B471B5C"/>
    <w:rsid w:val="3B691AD2"/>
    <w:rsid w:val="3B784551"/>
    <w:rsid w:val="3B7A0F23"/>
    <w:rsid w:val="3B7B1FE2"/>
    <w:rsid w:val="3B7D5E65"/>
    <w:rsid w:val="3BAA5C47"/>
    <w:rsid w:val="3BB84807"/>
    <w:rsid w:val="3BC75B75"/>
    <w:rsid w:val="3BCF0455"/>
    <w:rsid w:val="3BE06D4C"/>
    <w:rsid w:val="3BE81933"/>
    <w:rsid w:val="3C3B1EA7"/>
    <w:rsid w:val="3C4131D2"/>
    <w:rsid w:val="3C487939"/>
    <w:rsid w:val="3CBB73E7"/>
    <w:rsid w:val="3CBE47FD"/>
    <w:rsid w:val="3CBF626F"/>
    <w:rsid w:val="3CC35A52"/>
    <w:rsid w:val="3CC47DA4"/>
    <w:rsid w:val="3CDB69FF"/>
    <w:rsid w:val="3CE06E4F"/>
    <w:rsid w:val="3CE1782A"/>
    <w:rsid w:val="3CE27D8E"/>
    <w:rsid w:val="3CEA6C43"/>
    <w:rsid w:val="3CEF4259"/>
    <w:rsid w:val="3D153D0E"/>
    <w:rsid w:val="3D1C25F8"/>
    <w:rsid w:val="3D2C2B7F"/>
    <w:rsid w:val="3D3E144F"/>
    <w:rsid w:val="3D51281E"/>
    <w:rsid w:val="3D6B7F96"/>
    <w:rsid w:val="3D6E1622"/>
    <w:rsid w:val="3D8F3346"/>
    <w:rsid w:val="3DA53D0D"/>
    <w:rsid w:val="3DBC05DF"/>
    <w:rsid w:val="3DD37B17"/>
    <w:rsid w:val="3DEA4782"/>
    <w:rsid w:val="3DF5589F"/>
    <w:rsid w:val="3E1675C3"/>
    <w:rsid w:val="3E2F039E"/>
    <w:rsid w:val="3E30301A"/>
    <w:rsid w:val="3E424517"/>
    <w:rsid w:val="3E490854"/>
    <w:rsid w:val="3E75253C"/>
    <w:rsid w:val="3ED951C1"/>
    <w:rsid w:val="3EEA3242"/>
    <w:rsid w:val="3EF10DD0"/>
    <w:rsid w:val="3EF1250A"/>
    <w:rsid w:val="3EF86EFC"/>
    <w:rsid w:val="3F051B12"/>
    <w:rsid w:val="3F1F119E"/>
    <w:rsid w:val="3F2B20BF"/>
    <w:rsid w:val="3F2F6B8F"/>
    <w:rsid w:val="3F3F6F12"/>
    <w:rsid w:val="3F4A2167"/>
    <w:rsid w:val="3F556D19"/>
    <w:rsid w:val="3F7B47F6"/>
    <w:rsid w:val="3FA07A8C"/>
    <w:rsid w:val="3FCB1AA5"/>
    <w:rsid w:val="3FE07E89"/>
    <w:rsid w:val="400420D2"/>
    <w:rsid w:val="40126D60"/>
    <w:rsid w:val="402932CE"/>
    <w:rsid w:val="403A5556"/>
    <w:rsid w:val="404733DB"/>
    <w:rsid w:val="40503CAE"/>
    <w:rsid w:val="40537F9E"/>
    <w:rsid w:val="405F1CA4"/>
    <w:rsid w:val="406F4A0B"/>
    <w:rsid w:val="407F2E48"/>
    <w:rsid w:val="408F1FDB"/>
    <w:rsid w:val="40944855"/>
    <w:rsid w:val="40BC4452"/>
    <w:rsid w:val="40BE466E"/>
    <w:rsid w:val="40FC5196"/>
    <w:rsid w:val="41362456"/>
    <w:rsid w:val="4172676A"/>
    <w:rsid w:val="417F270A"/>
    <w:rsid w:val="4185518C"/>
    <w:rsid w:val="41964445"/>
    <w:rsid w:val="419B671A"/>
    <w:rsid w:val="41A468F1"/>
    <w:rsid w:val="41CF646E"/>
    <w:rsid w:val="41D67554"/>
    <w:rsid w:val="41F44A73"/>
    <w:rsid w:val="42105C2E"/>
    <w:rsid w:val="424E1A22"/>
    <w:rsid w:val="42601A81"/>
    <w:rsid w:val="42724A79"/>
    <w:rsid w:val="42961078"/>
    <w:rsid w:val="429D02B3"/>
    <w:rsid w:val="42A054DF"/>
    <w:rsid w:val="42A6444C"/>
    <w:rsid w:val="42AF3FD6"/>
    <w:rsid w:val="42C341BE"/>
    <w:rsid w:val="42C45840"/>
    <w:rsid w:val="42EB74CC"/>
    <w:rsid w:val="43212F5A"/>
    <w:rsid w:val="43282F4C"/>
    <w:rsid w:val="434D7F2B"/>
    <w:rsid w:val="435317B6"/>
    <w:rsid w:val="43571E19"/>
    <w:rsid w:val="435B43F6"/>
    <w:rsid w:val="436D57A0"/>
    <w:rsid w:val="43851473"/>
    <w:rsid w:val="438C2802"/>
    <w:rsid w:val="438F5E4E"/>
    <w:rsid w:val="43B753A5"/>
    <w:rsid w:val="43D1290A"/>
    <w:rsid w:val="43D44335"/>
    <w:rsid w:val="43DB5159"/>
    <w:rsid w:val="43DD305D"/>
    <w:rsid w:val="43E34789"/>
    <w:rsid w:val="43FF0646"/>
    <w:rsid w:val="4400003D"/>
    <w:rsid w:val="4414407E"/>
    <w:rsid w:val="4418355D"/>
    <w:rsid w:val="441A1070"/>
    <w:rsid w:val="4424588A"/>
    <w:rsid w:val="442A2D0A"/>
    <w:rsid w:val="443E7EC2"/>
    <w:rsid w:val="44444E8A"/>
    <w:rsid w:val="44450C02"/>
    <w:rsid w:val="444924A1"/>
    <w:rsid w:val="444B0AF9"/>
    <w:rsid w:val="446B121A"/>
    <w:rsid w:val="447B60E8"/>
    <w:rsid w:val="448654A3"/>
    <w:rsid w:val="44993E70"/>
    <w:rsid w:val="44B83832"/>
    <w:rsid w:val="44C261AA"/>
    <w:rsid w:val="44D301D1"/>
    <w:rsid w:val="44DA759D"/>
    <w:rsid w:val="44E7342E"/>
    <w:rsid w:val="44F1660B"/>
    <w:rsid w:val="44F3240C"/>
    <w:rsid w:val="44F336B3"/>
    <w:rsid w:val="44FB6B58"/>
    <w:rsid w:val="45051CB6"/>
    <w:rsid w:val="450B59A8"/>
    <w:rsid w:val="45272063"/>
    <w:rsid w:val="45594965"/>
    <w:rsid w:val="459F363A"/>
    <w:rsid w:val="45A7646B"/>
    <w:rsid w:val="45AD5615"/>
    <w:rsid w:val="45B5704C"/>
    <w:rsid w:val="45DB181E"/>
    <w:rsid w:val="46184C69"/>
    <w:rsid w:val="463442C3"/>
    <w:rsid w:val="46474561"/>
    <w:rsid w:val="46625A9C"/>
    <w:rsid w:val="466A0DC6"/>
    <w:rsid w:val="46B61944"/>
    <w:rsid w:val="46C26B5C"/>
    <w:rsid w:val="46C968D6"/>
    <w:rsid w:val="46C97B87"/>
    <w:rsid w:val="46CC0F9C"/>
    <w:rsid w:val="46D43205"/>
    <w:rsid w:val="46F661E4"/>
    <w:rsid w:val="46F75DD6"/>
    <w:rsid w:val="46F96400"/>
    <w:rsid w:val="471054F8"/>
    <w:rsid w:val="47150FE3"/>
    <w:rsid w:val="471843AC"/>
    <w:rsid w:val="47420A58"/>
    <w:rsid w:val="474E2263"/>
    <w:rsid w:val="475314B5"/>
    <w:rsid w:val="475E52BA"/>
    <w:rsid w:val="478A495E"/>
    <w:rsid w:val="478B1675"/>
    <w:rsid w:val="47A12F6C"/>
    <w:rsid w:val="47C54BA4"/>
    <w:rsid w:val="47CA1B4A"/>
    <w:rsid w:val="47F46BC7"/>
    <w:rsid w:val="47F6293F"/>
    <w:rsid w:val="47F7324E"/>
    <w:rsid w:val="48147269"/>
    <w:rsid w:val="48425ED1"/>
    <w:rsid w:val="484418FD"/>
    <w:rsid w:val="484C6A03"/>
    <w:rsid w:val="48684EBF"/>
    <w:rsid w:val="486E502A"/>
    <w:rsid w:val="48CA0674"/>
    <w:rsid w:val="48E413A1"/>
    <w:rsid w:val="48F50998"/>
    <w:rsid w:val="4908309F"/>
    <w:rsid w:val="49121BEA"/>
    <w:rsid w:val="491E04C2"/>
    <w:rsid w:val="493871CB"/>
    <w:rsid w:val="4948524F"/>
    <w:rsid w:val="494E5DA2"/>
    <w:rsid w:val="49535B70"/>
    <w:rsid w:val="49731D6E"/>
    <w:rsid w:val="4976358F"/>
    <w:rsid w:val="498967E0"/>
    <w:rsid w:val="498D2E30"/>
    <w:rsid w:val="499D5548"/>
    <w:rsid w:val="49A63EF1"/>
    <w:rsid w:val="49B20AE8"/>
    <w:rsid w:val="49B23356"/>
    <w:rsid w:val="49BB5BEF"/>
    <w:rsid w:val="49BE1EED"/>
    <w:rsid w:val="49DD4852"/>
    <w:rsid w:val="4A01737A"/>
    <w:rsid w:val="4A061A96"/>
    <w:rsid w:val="4A1B48DF"/>
    <w:rsid w:val="4A2D63C1"/>
    <w:rsid w:val="4A716FAE"/>
    <w:rsid w:val="4A8A3813"/>
    <w:rsid w:val="4A9E2E1A"/>
    <w:rsid w:val="4AA87DDE"/>
    <w:rsid w:val="4ACF7478"/>
    <w:rsid w:val="4AD131F0"/>
    <w:rsid w:val="4AF018C8"/>
    <w:rsid w:val="4AFC26D1"/>
    <w:rsid w:val="4AFC64BF"/>
    <w:rsid w:val="4B396ED6"/>
    <w:rsid w:val="4B596751"/>
    <w:rsid w:val="4B757AC7"/>
    <w:rsid w:val="4B771FE9"/>
    <w:rsid w:val="4B93166A"/>
    <w:rsid w:val="4BCB4F96"/>
    <w:rsid w:val="4BD72A88"/>
    <w:rsid w:val="4BEF41F4"/>
    <w:rsid w:val="4BF46AA3"/>
    <w:rsid w:val="4BFA0524"/>
    <w:rsid w:val="4C26756B"/>
    <w:rsid w:val="4C293FCF"/>
    <w:rsid w:val="4C3B597F"/>
    <w:rsid w:val="4C412E57"/>
    <w:rsid w:val="4C4969AC"/>
    <w:rsid w:val="4C4F250A"/>
    <w:rsid w:val="4C537D39"/>
    <w:rsid w:val="4C653BF0"/>
    <w:rsid w:val="4C982217"/>
    <w:rsid w:val="4C9B551D"/>
    <w:rsid w:val="4C9F4C79"/>
    <w:rsid w:val="4CD670E4"/>
    <w:rsid w:val="4CFB27A6"/>
    <w:rsid w:val="4D133C53"/>
    <w:rsid w:val="4D227D33"/>
    <w:rsid w:val="4D2304F3"/>
    <w:rsid w:val="4D243AAB"/>
    <w:rsid w:val="4D2D1CAA"/>
    <w:rsid w:val="4D39639D"/>
    <w:rsid w:val="4D690FA5"/>
    <w:rsid w:val="4D770B5F"/>
    <w:rsid w:val="4D7742F9"/>
    <w:rsid w:val="4D966A5D"/>
    <w:rsid w:val="4D9A3D6D"/>
    <w:rsid w:val="4DBD291E"/>
    <w:rsid w:val="4DC33854"/>
    <w:rsid w:val="4DC50CFB"/>
    <w:rsid w:val="4DC71569"/>
    <w:rsid w:val="4DDE1EAC"/>
    <w:rsid w:val="4E0F6509"/>
    <w:rsid w:val="4E1D5DA9"/>
    <w:rsid w:val="4E2875CB"/>
    <w:rsid w:val="4E4A12EF"/>
    <w:rsid w:val="4E564A6A"/>
    <w:rsid w:val="4E595BD1"/>
    <w:rsid w:val="4E661EA1"/>
    <w:rsid w:val="4E6D3230"/>
    <w:rsid w:val="4E802F63"/>
    <w:rsid w:val="4E810FA4"/>
    <w:rsid w:val="4E8642F1"/>
    <w:rsid w:val="4E8A2033"/>
    <w:rsid w:val="4E8C5DAC"/>
    <w:rsid w:val="4EB40E5E"/>
    <w:rsid w:val="4EC051ED"/>
    <w:rsid w:val="4ECC43FA"/>
    <w:rsid w:val="4ECD01E4"/>
    <w:rsid w:val="4ED524FF"/>
    <w:rsid w:val="4ED961DA"/>
    <w:rsid w:val="4EE51018"/>
    <w:rsid w:val="4EEA067C"/>
    <w:rsid w:val="4EF33250"/>
    <w:rsid w:val="4EF37BD9"/>
    <w:rsid w:val="4EF7B718"/>
    <w:rsid w:val="4EFC3B23"/>
    <w:rsid w:val="4F0B3D35"/>
    <w:rsid w:val="4F111E0D"/>
    <w:rsid w:val="4F180CAA"/>
    <w:rsid w:val="4F38383D"/>
    <w:rsid w:val="4F583EE0"/>
    <w:rsid w:val="4F6B5448"/>
    <w:rsid w:val="4F7A5C04"/>
    <w:rsid w:val="4F8C4173"/>
    <w:rsid w:val="4F924595"/>
    <w:rsid w:val="4F98328C"/>
    <w:rsid w:val="4FA70ACE"/>
    <w:rsid w:val="4FB61AAF"/>
    <w:rsid w:val="4FCE57F3"/>
    <w:rsid w:val="4FD256F1"/>
    <w:rsid w:val="4FE92A1B"/>
    <w:rsid w:val="500656EA"/>
    <w:rsid w:val="50285E71"/>
    <w:rsid w:val="502A1726"/>
    <w:rsid w:val="503F29AA"/>
    <w:rsid w:val="505428F9"/>
    <w:rsid w:val="508700F4"/>
    <w:rsid w:val="50B52925"/>
    <w:rsid w:val="50B857EA"/>
    <w:rsid w:val="50CF01D2"/>
    <w:rsid w:val="50D7260F"/>
    <w:rsid w:val="51036F6D"/>
    <w:rsid w:val="5130337C"/>
    <w:rsid w:val="51316717"/>
    <w:rsid w:val="513E6CFA"/>
    <w:rsid w:val="515C63B5"/>
    <w:rsid w:val="51605522"/>
    <w:rsid w:val="51642A74"/>
    <w:rsid w:val="516F72BF"/>
    <w:rsid w:val="517C2F27"/>
    <w:rsid w:val="517D19DC"/>
    <w:rsid w:val="519A0BCB"/>
    <w:rsid w:val="51F90505"/>
    <w:rsid w:val="52030031"/>
    <w:rsid w:val="52052AEA"/>
    <w:rsid w:val="521B7070"/>
    <w:rsid w:val="523F097D"/>
    <w:rsid w:val="52496DDE"/>
    <w:rsid w:val="5266468B"/>
    <w:rsid w:val="526F0705"/>
    <w:rsid w:val="52754995"/>
    <w:rsid w:val="527765DA"/>
    <w:rsid w:val="528414B2"/>
    <w:rsid w:val="52917F8D"/>
    <w:rsid w:val="52A631B4"/>
    <w:rsid w:val="52E04021"/>
    <w:rsid w:val="52E22243"/>
    <w:rsid w:val="52EF2347"/>
    <w:rsid w:val="53163E96"/>
    <w:rsid w:val="532849CC"/>
    <w:rsid w:val="532F41F8"/>
    <w:rsid w:val="53323493"/>
    <w:rsid w:val="53412FC8"/>
    <w:rsid w:val="534327B1"/>
    <w:rsid w:val="53536E98"/>
    <w:rsid w:val="53695A05"/>
    <w:rsid w:val="536D4E93"/>
    <w:rsid w:val="53B3189E"/>
    <w:rsid w:val="542044AD"/>
    <w:rsid w:val="545C7FCE"/>
    <w:rsid w:val="547831AD"/>
    <w:rsid w:val="54A16996"/>
    <w:rsid w:val="54B576DE"/>
    <w:rsid w:val="54E641B4"/>
    <w:rsid w:val="54FA170D"/>
    <w:rsid w:val="550A3451"/>
    <w:rsid w:val="550C11FA"/>
    <w:rsid w:val="55111ED8"/>
    <w:rsid w:val="551D1C19"/>
    <w:rsid w:val="55287E19"/>
    <w:rsid w:val="552944D5"/>
    <w:rsid w:val="55305058"/>
    <w:rsid w:val="55313209"/>
    <w:rsid w:val="55326F81"/>
    <w:rsid w:val="55596F0A"/>
    <w:rsid w:val="555B0911"/>
    <w:rsid w:val="55633F71"/>
    <w:rsid w:val="55806133"/>
    <w:rsid w:val="55853555"/>
    <w:rsid w:val="55A62643"/>
    <w:rsid w:val="55AB08C4"/>
    <w:rsid w:val="55B834A5"/>
    <w:rsid w:val="55E30F27"/>
    <w:rsid w:val="55EF7920"/>
    <w:rsid w:val="55F6122D"/>
    <w:rsid w:val="5611796D"/>
    <w:rsid w:val="563E0361"/>
    <w:rsid w:val="56563573"/>
    <w:rsid w:val="56B51C18"/>
    <w:rsid w:val="56CC16EC"/>
    <w:rsid w:val="56CD51B3"/>
    <w:rsid w:val="56E95108"/>
    <w:rsid w:val="56EB388B"/>
    <w:rsid w:val="57003AD2"/>
    <w:rsid w:val="57223949"/>
    <w:rsid w:val="57664CC0"/>
    <w:rsid w:val="57930E37"/>
    <w:rsid w:val="579B0E0D"/>
    <w:rsid w:val="57AA22A2"/>
    <w:rsid w:val="57D04F5B"/>
    <w:rsid w:val="57D45834"/>
    <w:rsid w:val="57E814F5"/>
    <w:rsid w:val="58261B57"/>
    <w:rsid w:val="5886561A"/>
    <w:rsid w:val="58882292"/>
    <w:rsid w:val="58A7037A"/>
    <w:rsid w:val="58AE4B70"/>
    <w:rsid w:val="58B8779D"/>
    <w:rsid w:val="58BB1EA0"/>
    <w:rsid w:val="58C46E3D"/>
    <w:rsid w:val="58E95FEA"/>
    <w:rsid w:val="59100855"/>
    <w:rsid w:val="59110B33"/>
    <w:rsid w:val="59172746"/>
    <w:rsid w:val="59197A5B"/>
    <w:rsid w:val="592B61C1"/>
    <w:rsid w:val="593E5EF4"/>
    <w:rsid w:val="594A3BC3"/>
    <w:rsid w:val="59683B19"/>
    <w:rsid w:val="59866602"/>
    <w:rsid w:val="599E66D8"/>
    <w:rsid w:val="59A33E33"/>
    <w:rsid w:val="59CC29E1"/>
    <w:rsid w:val="59DD5217"/>
    <w:rsid w:val="5A060138"/>
    <w:rsid w:val="5A0E6734"/>
    <w:rsid w:val="5A2931FF"/>
    <w:rsid w:val="5A3E375E"/>
    <w:rsid w:val="5A421A14"/>
    <w:rsid w:val="5A645D40"/>
    <w:rsid w:val="5A7E7800"/>
    <w:rsid w:val="5A8B5169"/>
    <w:rsid w:val="5A8D71CF"/>
    <w:rsid w:val="5AB43FAC"/>
    <w:rsid w:val="5ABB339C"/>
    <w:rsid w:val="5B392E17"/>
    <w:rsid w:val="5B3D3F8A"/>
    <w:rsid w:val="5B423678"/>
    <w:rsid w:val="5B593D82"/>
    <w:rsid w:val="5B9462A0"/>
    <w:rsid w:val="5B9A0F5B"/>
    <w:rsid w:val="5BDE39BF"/>
    <w:rsid w:val="5BF57987"/>
    <w:rsid w:val="5C052CF9"/>
    <w:rsid w:val="5C0A436F"/>
    <w:rsid w:val="5C0F5916"/>
    <w:rsid w:val="5C277114"/>
    <w:rsid w:val="5C3D5956"/>
    <w:rsid w:val="5C434595"/>
    <w:rsid w:val="5C76653E"/>
    <w:rsid w:val="5CAA564F"/>
    <w:rsid w:val="5CB56981"/>
    <w:rsid w:val="5CBD2518"/>
    <w:rsid w:val="5CF82EF2"/>
    <w:rsid w:val="5D0336DD"/>
    <w:rsid w:val="5D1363BB"/>
    <w:rsid w:val="5D1551BE"/>
    <w:rsid w:val="5D193ED1"/>
    <w:rsid w:val="5D195F43"/>
    <w:rsid w:val="5D261CF0"/>
    <w:rsid w:val="5D377D99"/>
    <w:rsid w:val="5D4D46FA"/>
    <w:rsid w:val="5D57437D"/>
    <w:rsid w:val="5D60464D"/>
    <w:rsid w:val="5D841A06"/>
    <w:rsid w:val="5DA6050C"/>
    <w:rsid w:val="5DBC388C"/>
    <w:rsid w:val="5DC32E6C"/>
    <w:rsid w:val="5DC664B8"/>
    <w:rsid w:val="5DCA5FA9"/>
    <w:rsid w:val="5DCE7D41"/>
    <w:rsid w:val="5DD376C4"/>
    <w:rsid w:val="5E207BCE"/>
    <w:rsid w:val="5E6E48EE"/>
    <w:rsid w:val="5E7E5D4F"/>
    <w:rsid w:val="5E8E326D"/>
    <w:rsid w:val="5E985950"/>
    <w:rsid w:val="5E9E7301"/>
    <w:rsid w:val="5EA031AD"/>
    <w:rsid w:val="5EB27082"/>
    <w:rsid w:val="5EC72291"/>
    <w:rsid w:val="5ECA1331"/>
    <w:rsid w:val="5ED06A90"/>
    <w:rsid w:val="5EEE213C"/>
    <w:rsid w:val="5EEF5175"/>
    <w:rsid w:val="5EF332DD"/>
    <w:rsid w:val="5F294F51"/>
    <w:rsid w:val="5F2E24F4"/>
    <w:rsid w:val="5F3A53B0"/>
    <w:rsid w:val="5F491F3C"/>
    <w:rsid w:val="5F6A335E"/>
    <w:rsid w:val="5F73441E"/>
    <w:rsid w:val="5F76784E"/>
    <w:rsid w:val="5FB45FB6"/>
    <w:rsid w:val="5FD78919"/>
    <w:rsid w:val="60644DCC"/>
    <w:rsid w:val="60787F3E"/>
    <w:rsid w:val="60830691"/>
    <w:rsid w:val="6086463A"/>
    <w:rsid w:val="6096334F"/>
    <w:rsid w:val="6097735B"/>
    <w:rsid w:val="60A57262"/>
    <w:rsid w:val="60E23609"/>
    <w:rsid w:val="60EC092C"/>
    <w:rsid w:val="61257743"/>
    <w:rsid w:val="613650C0"/>
    <w:rsid w:val="613876CD"/>
    <w:rsid w:val="613978E2"/>
    <w:rsid w:val="613A00F7"/>
    <w:rsid w:val="616C280F"/>
    <w:rsid w:val="616E30EF"/>
    <w:rsid w:val="6172193C"/>
    <w:rsid w:val="61767EBF"/>
    <w:rsid w:val="618F677F"/>
    <w:rsid w:val="61A94127"/>
    <w:rsid w:val="61B072FB"/>
    <w:rsid w:val="61B50E92"/>
    <w:rsid w:val="61BF394A"/>
    <w:rsid w:val="61C32D96"/>
    <w:rsid w:val="61D07906"/>
    <w:rsid w:val="620B00EE"/>
    <w:rsid w:val="62312727"/>
    <w:rsid w:val="623B0DD0"/>
    <w:rsid w:val="623F5982"/>
    <w:rsid w:val="62773E33"/>
    <w:rsid w:val="62943029"/>
    <w:rsid w:val="62972E53"/>
    <w:rsid w:val="62AF7889"/>
    <w:rsid w:val="62BD23DE"/>
    <w:rsid w:val="63167F4A"/>
    <w:rsid w:val="63347851"/>
    <w:rsid w:val="635D3631"/>
    <w:rsid w:val="638C2F89"/>
    <w:rsid w:val="639257BA"/>
    <w:rsid w:val="63A35759"/>
    <w:rsid w:val="63A63014"/>
    <w:rsid w:val="63B42562"/>
    <w:rsid w:val="63C91EC0"/>
    <w:rsid w:val="63EB0AF1"/>
    <w:rsid w:val="63F41F75"/>
    <w:rsid w:val="63FF1893"/>
    <w:rsid w:val="6418674C"/>
    <w:rsid w:val="642F3009"/>
    <w:rsid w:val="64870749"/>
    <w:rsid w:val="64882381"/>
    <w:rsid w:val="648B14B1"/>
    <w:rsid w:val="64A65DC6"/>
    <w:rsid w:val="64C42366"/>
    <w:rsid w:val="64F15C1C"/>
    <w:rsid w:val="64F4370C"/>
    <w:rsid w:val="650638B9"/>
    <w:rsid w:val="65242A63"/>
    <w:rsid w:val="652C1CEF"/>
    <w:rsid w:val="653E41B8"/>
    <w:rsid w:val="65596173"/>
    <w:rsid w:val="658D4991"/>
    <w:rsid w:val="65982E30"/>
    <w:rsid w:val="659D19A5"/>
    <w:rsid w:val="65B34243"/>
    <w:rsid w:val="65E06BBA"/>
    <w:rsid w:val="65E860BF"/>
    <w:rsid w:val="65EA576E"/>
    <w:rsid w:val="65EE28AF"/>
    <w:rsid w:val="66080C3F"/>
    <w:rsid w:val="6616049A"/>
    <w:rsid w:val="66270DF9"/>
    <w:rsid w:val="663E5786"/>
    <w:rsid w:val="66570776"/>
    <w:rsid w:val="666750EA"/>
    <w:rsid w:val="669A0AA9"/>
    <w:rsid w:val="66A64DF9"/>
    <w:rsid w:val="66B141AA"/>
    <w:rsid w:val="66B43DFE"/>
    <w:rsid w:val="66C13CC1"/>
    <w:rsid w:val="66F04A4D"/>
    <w:rsid w:val="67006681"/>
    <w:rsid w:val="67185FD7"/>
    <w:rsid w:val="671C7080"/>
    <w:rsid w:val="672229B1"/>
    <w:rsid w:val="672242B3"/>
    <w:rsid w:val="67252753"/>
    <w:rsid w:val="674F5770"/>
    <w:rsid w:val="67674D9B"/>
    <w:rsid w:val="679B1F3D"/>
    <w:rsid w:val="67A15FA8"/>
    <w:rsid w:val="67A61C84"/>
    <w:rsid w:val="67AF28C7"/>
    <w:rsid w:val="67BF6DBE"/>
    <w:rsid w:val="67C16E82"/>
    <w:rsid w:val="67C93E64"/>
    <w:rsid w:val="67CB3B43"/>
    <w:rsid w:val="67D27DA4"/>
    <w:rsid w:val="67E265E5"/>
    <w:rsid w:val="67E96FE3"/>
    <w:rsid w:val="67F01BE4"/>
    <w:rsid w:val="67F03C5E"/>
    <w:rsid w:val="67F86FE4"/>
    <w:rsid w:val="67FD29F7"/>
    <w:rsid w:val="68411D35"/>
    <w:rsid w:val="68467214"/>
    <w:rsid w:val="684F6215"/>
    <w:rsid w:val="687D30E0"/>
    <w:rsid w:val="68870C1A"/>
    <w:rsid w:val="688776AE"/>
    <w:rsid w:val="689119FB"/>
    <w:rsid w:val="68A75441"/>
    <w:rsid w:val="68B65AA7"/>
    <w:rsid w:val="68CD5ACC"/>
    <w:rsid w:val="68D26659"/>
    <w:rsid w:val="68DC4DE2"/>
    <w:rsid w:val="68E51EE8"/>
    <w:rsid w:val="68E86DBE"/>
    <w:rsid w:val="690D5DE7"/>
    <w:rsid w:val="695350CA"/>
    <w:rsid w:val="696A4AE4"/>
    <w:rsid w:val="696B6A53"/>
    <w:rsid w:val="69AA263B"/>
    <w:rsid w:val="69B47B0D"/>
    <w:rsid w:val="69BF6D36"/>
    <w:rsid w:val="69EA2F3F"/>
    <w:rsid w:val="69EF26C4"/>
    <w:rsid w:val="69FE2A4B"/>
    <w:rsid w:val="6A25542A"/>
    <w:rsid w:val="6A2E78BF"/>
    <w:rsid w:val="6A335699"/>
    <w:rsid w:val="6A57543E"/>
    <w:rsid w:val="6A5A1668"/>
    <w:rsid w:val="6A6D03E7"/>
    <w:rsid w:val="6A9C6F1F"/>
    <w:rsid w:val="6AAB53B4"/>
    <w:rsid w:val="6AD84F1A"/>
    <w:rsid w:val="6AEC1C54"/>
    <w:rsid w:val="6B21130D"/>
    <w:rsid w:val="6B252BE7"/>
    <w:rsid w:val="6B3E3B32"/>
    <w:rsid w:val="6B4A24D7"/>
    <w:rsid w:val="6B521042"/>
    <w:rsid w:val="6B7E5E0A"/>
    <w:rsid w:val="6B8F438D"/>
    <w:rsid w:val="6B9805DE"/>
    <w:rsid w:val="6BE446D9"/>
    <w:rsid w:val="6C25681A"/>
    <w:rsid w:val="6C2641E5"/>
    <w:rsid w:val="6C431FA0"/>
    <w:rsid w:val="6C447050"/>
    <w:rsid w:val="6C474D8F"/>
    <w:rsid w:val="6C505AC2"/>
    <w:rsid w:val="6C5928D8"/>
    <w:rsid w:val="6C703CC7"/>
    <w:rsid w:val="6C7517D5"/>
    <w:rsid w:val="6C7F1339"/>
    <w:rsid w:val="6C8C43DF"/>
    <w:rsid w:val="6C9E6627"/>
    <w:rsid w:val="6CB06946"/>
    <w:rsid w:val="6CC121A0"/>
    <w:rsid w:val="6CC55A9F"/>
    <w:rsid w:val="6CEA22E7"/>
    <w:rsid w:val="6D08516F"/>
    <w:rsid w:val="6D1234C8"/>
    <w:rsid w:val="6D192AA9"/>
    <w:rsid w:val="6D1D5747"/>
    <w:rsid w:val="6D237483"/>
    <w:rsid w:val="6D246EFB"/>
    <w:rsid w:val="6D400035"/>
    <w:rsid w:val="6D4A0EB4"/>
    <w:rsid w:val="6D560489"/>
    <w:rsid w:val="6D60154F"/>
    <w:rsid w:val="6D602485"/>
    <w:rsid w:val="6D6B4183"/>
    <w:rsid w:val="6D913F41"/>
    <w:rsid w:val="6DD32C57"/>
    <w:rsid w:val="6DD43CBA"/>
    <w:rsid w:val="6DEC1F6B"/>
    <w:rsid w:val="6DEC2770"/>
    <w:rsid w:val="6E022A8E"/>
    <w:rsid w:val="6E054DDB"/>
    <w:rsid w:val="6E0A6FD4"/>
    <w:rsid w:val="6E182D60"/>
    <w:rsid w:val="6E237BE1"/>
    <w:rsid w:val="6E2C6B1F"/>
    <w:rsid w:val="6E4476B1"/>
    <w:rsid w:val="6E551444"/>
    <w:rsid w:val="6E555C92"/>
    <w:rsid w:val="6E5C7E8B"/>
    <w:rsid w:val="6E7066F8"/>
    <w:rsid w:val="6E8A519B"/>
    <w:rsid w:val="6EA047B7"/>
    <w:rsid w:val="6EA31EA7"/>
    <w:rsid w:val="6EAF7F15"/>
    <w:rsid w:val="6EE13152"/>
    <w:rsid w:val="6EE944B3"/>
    <w:rsid w:val="6F010E90"/>
    <w:rsid w:val="6F0635DD"/>
    <w:rsid w:val="6F12040D"/>
    <w:rsid w:val="6F12155D"/>
    <w:rsid w:val="6F1C4F33"/>
    <w:rsid w:val="6F2E16C0"/>
    <w:rsid w:val="6F437BA9"/>
    <w:rsid w:val="6F551878"/>
    <w:rsid w:val="6F6B7B0D"/>
    <w:rsid w:val="6F852BA1"/>
    <w:rsid w:val="6FA76FA6"/>
    <w:rsid w:val="6FAC69F6"/>
    <w:rsid w:val="6FBB7E47"/>
    <w:rsid w:val="6FCA008A"/>
    <w:rsid w:val="6FD9793A"/>
    <w:rsid w:val="6FE1178B"/>
    <w:rsid w:val="6FEA4288"/>
    <w:rsid w:val="6FEB1D4F"/>
    <w:rsid w:val="6FF31971"/>
    <w:rsid w:val="6FFE5F86"/>
    <w:rsid w:val="700F3CEF"/>
    <w:rsid w:val="70167CDC"/>
    <w:rsid w:val="70177D5E"/>
    <w:rsid w:val="701D01BA"/>
    <w:rsid w:val="70206712"/>
    <w:rsid w:val="702A0B29"/>
    <w:rsid w:val="70335C2F"/>
    <w:rsid w:val="707175CF"/>
    <w:rsid w:val="70865827"/>
    <w:rsid w:val="7099180F"/>
    <w:rsid w:val="70DA60AB"/>
    <w:rsid w:val="70DF7B65"/>
    <w:rsid w:val="70E20BA8"/>
    <w:rsid w:val="70E6599A"/>
    <w:rsid w:val="70FC50DF"/>
    <w:rsid w:val="71184348"/>
    <w:rsid w:val="71186BD3"/>
    <w:rsid w:val="714A1482"/>
    <w:rsid w:val="71527566"/>
    <w:rsid w:val="71780344"/>
    <w:rsid w:val="71A1306D"/>
    <w:rsid w:val="71A16BC9"/>
    <w:rsid w:val="71A42C88"/>
    <w:rsid w:val="71B94855"/>
    <w:rsid w:val="71D4336B"/>
    <w:rsid w:val="72071122"/>
    <w:rsid w:val="72075CD8"/>
    <w:rsid w:val="72404633"/>
    <w:rsid w:val="725D5504"/>
    <w:rsid w:val="72600832"/>
    <w:rsid w:val="7275546D"/>
    <w:rsid w:val="728A58AF"/>
    <w:rsid w:val="72914E8F"/>
    <w:rsid w:val="72971BBF"/>
    <w:rsid w:val="72B33486"/>
    <w:rsid w:val="72BD6B25"/>
    <w:rsid w:val="72FB6131"/>
    <w:rsid w:val="73050063"/>
    <w:rsid w:val="731C5392"/>
    <w:rsid w:val="731E36F9"/>
    <w:rsid w:val="73367F45"/>
    <w:rsid w:val="73373C88"/>
    <w:rsid w:val="73375A36"/>
    <w:rsid w:val="73405C4A"/>
    <w:rsid w:val="7352461E"/>
    <w:rsid w:val="736A78C0"/>
    <w:rsid w:val="738642C8"/>
    <w:rsid w:val="73886292"/>
    <w:rsid w:val="738B0358"/>
    <w:rsid w:val="73CB4760"/>
    <w:rsid w:val="73D96AEE"/>
    <w:rsid w:val="73E87507"/>
    <w:rsid w:val="74402C0D"/>
    <w:rsid w:val="745C1CA6"/>
    <w:rsid w:val="7464242A"/>
    <w:rsid w:val="746E5488"/>
    <w:rsid w:val="74707497"/>
    <w:rsid w:val="747C097C"/>
    <w:rsid w:val="74812343"/>
    <w:rsid w:val="74CB5A00"/>
    <w:rsid w:val="753B6504"/>
    <w:rsid w:val="75481E2B"/>
    <w:rsid w:val="755F2CCE"/>
    <w:rsid w:val="75705230"/>
    <w:rsid w:val="75F2086A"/>
    <w:rsid w:val="76366479"/>
    <w:rsid w:val="76592168"/>
    <w:rsid w:val="768C42EB"/>
    <w:rsid w:val="76A14624"/>
    <w:rsid w:val="76B23693"/>
    <w:rsid w:val="76BD6253"/>
    <w:rsid w:val="76C03F95"/>
    <w:rsid w:val="770245AD"/>
    <w:rsid w:val="770C6864"/>
    <w:rsid w:val="770F38F1"/>
    <w:rsid w:val="77204A34"/>
    <w:rsid w:val="772054B7"/>
    <w:rsid w:val="778F161E"/>
    <w:rsid w:val="779A6594"/>
    <w:rsid w:val="779C055E"/>
    <w:rsid w:val="779F3EF3"/>
    <w:rsid w:val="77AB57FB"/>
    <w:rsid w:val="77C25BA3"/>
    <w:rsid w:val="77CE1EE2"/>
    <w:rsid w:val="77D16811"/>
    <w:rsid w:val="77E50B58"/>
    <w:rsid w:val="77EC58E0"/>
    <w:rsid w:val="77F705AA"/>
    <w:rsid w:val="783C3A58"/>
    <w:rsid w:val="78597432"/>
    <w:rsid w:val="7881231E"/>
    <w:rsid w:val="789A10D2"/>
    <w:rsid w:val="78A93618"/>
    <w:rsid w:val="78B33DB1"/>
    <w:rsid w:val="78B4669B"/>
    <w:rsid w:val="790125DC"/>
    <w:rsid w:val="79166D18"/>
    <w:rsid w:val="79167E9C"/>
    <w:rsid w:val="791F1447"/>
    <w:rsid w:val="793B2530"/>
    <w:rsid w:val="793B270B"/>
    <w:rsid w:val="79410417"/>
    <w:rsid w:val="795D5DD7"/>
    <w:rsid w:val="796D4C29"/>
    <w:rsid w:val="79A004F3"/>
    <w:rsid w:val="79AA388F"/>
    <w:rsid w:val="79AF2291"/>
    <w:rsid w:val="79C4530B"/>
    <w:rsid w:val="79CB512B"/>
    <w:rsid w:val="79D72945"/>
    <w:rsid w:val="79FF7259"/>
    <w:rsid w:val="7A4B0019"/>
    <w:rsid w:val="7A583B2A"/>
    <w:rsid w:val="7A7B4F88"/>
    <w:rsid w:val="7A7D679E"/>
    <w:rsid w:val="7A8B6668"/>
    <w:rsid w:val="7B025677"/>
    <w:rsid w:val="7B1E74DC"/>
    <w:rsid w:val="7B2C1BF9"/>
    <w:rsid w:val="7B3829E7"/>
    <w:rsid w:val="7B4B6523"/>
    <w:rsid w:val="7B5F0E31"/>
    <w:rsid w:val="7BA563C1"/>
    <w:rsid w:val="7BBB2440"/>
    <w:rsid w:val="7BC938EC"/>
    <w:rsid w:val="7BD55DED"/>
    <w:rsid w:val="7C0F0409"/>
    <w:rsid w:val="7C1966A3"/>
    <w:rsid w:val="7C2F4F6B"/>
    <w:rsid w:val="7C4D168A"/>
    <w:rsid w:val="7C4E7783"/>
    <w:rsid w:val="7C574A54"/>
    <w:rsid w:val="7C5A4FC7"/>
    <w:rsid w:val="7C631F7B"/>
    <w:rsid w:val="7C6C7217"/>
    <w:rsid w:val="7C8141C6"/>
    <w:rsid w:val="7C847C99"/>
    <w:rsid w:val="7C8959EA"/>
    <w:rsid w:val="7C902574"/>
    <w:rsid w:val="7C9B6182"/>
    <w:rsid w:val="7CA3413D"/>
    <w:rsid w:val="7CB836FA"/>
    <w:rsid w:val="7CB934E3"/>
    <w:rsid w:val="7CC876B0"/>
    <w:rsid w:val="7CDD0D1D"/>
    <w:rsid w:val="7CEB31AB"/>
    <w:rsid w:val="7CF60710"/>
    <w:rsid w:val="7D107D86"/>
    <w:rsid w:val="7D2A53A6"/>
    <w:rsid w:val="7D2E4677"/>
    <w:rsid w:val="7D481DAA"/>
    <w:rsid w:val="7D8A28FB"/>
    <w:rsid w:val="7DA204B4"/>
    <w:rsid w:val="7DB86548"/>
    <w:rsid w:val="7DBA173E"/>
    <w:rsid w:val="7DBD2FDC"/>
    <w:rsid w:val="7DBF3B0B"/>
    <w:rsid w:val="7DBF631E"/>
    <w:rsid w:val="7DD74865"/>
    <w:rsid w:val="7DDBC5DA"/>
    <w:rsid w:val="7DEC1573"/>
    <w:rsid w:val="7E0B1F99"/>
    <w:rsid w:val="7E663674"/>
    <w:rsid w:val="7E721378"/>
    <w:rsid w:val="7EE34CC4"/>
    <w:rsid w:val="7EF50554"/>
    <w:rsid w:val="7EFB0260"/>
    <w:rsid w:val="7F435763"/>
    <w:rsid w:val="7F4F5EB6"/>
    <w:rsid w:val="7F5B5EBF"/>
    <w:rsid w:val="7F973965"/>
    <w:rsid w:val="7F9B7751"/>
    <w:rsid w:val="7FAE7080"/>
    <w:rsid w:val="7FC22B2C"/>
    <w:rsid w:val="7FC543CA"/>
    <w:rsid w:val="7FC729AA"/>
    <w:rsid w:val="7FF336DB"/>
    <w:rsid w:val="7FF99457"/>
    <w:rsid w:val="7FFFF31E"/>
    <w:rsid w:val="9EE3B172"/>
    <w:rsid w:val="BEA93FE1"/>
    <w:rsid w:val="EEF7BAC2"/>
    <w:rsid w:val="F2FFEBFC"/>
    <w:rsid w:val="F97E1E3F"/>
    <w:rsid w:val="FDDC7399"/>
    <w:rsid w:val="FFFF769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99"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nhideWhenUsed="0" w:uiPriority="99" w:semiHidden="0"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imes New Roman" w:hAnsi="Times New Roman" w:eastAsia="宋体" w:cs="Times New Roman"/>
      <w:kern w:val="2"/>
      <w:sz w:val="24"/>
      <w:lang w:val="en-US" w:eastAsia="zh-CN" w:bidi="ar-SA"/>
    </w:rPr>
  </w:style>
  <w:style w:type="paragraph" w:styleId="2">
    <w:name w:val="heading 1"/>
    <w:basedOn w:val="1"/>
    <w:next w:val="1"/>
    <w:link w:val="31"/>
    <w:qFormat/>
    <w:uiPriority w:val="9"/>
    <w:pPr>
      <w:keepNext/>
      <w:keepLines/>
      <w:numPr>
        <w:ilvl w:val="0"/>
        <w:numId w:val="1"/>
      </w:numPr>
      <w:spacing w:line="600" w:lineRule="exact"/>
      <w:ind w:firstLine="880" w:firstLineChars="200"/>
      <w:outlineLvl w:val="0"/>
    </w:pPr>
    <w:rPr>
      <w:rFonts w:ascii="Times New Roman" w:hAnsi="Times New Roman" w:eastAsia="方正黑体_GBK"/>
      <w:bCs/>
      <w:kern w:val="44"/>
      <w:sz w:val="32"/>
      <w:szCs w:val="44"/>
    </w:rPr>
  </w:style>
  <w:style w:type="paragraph" w:styleId="3">
    <w:name w:val="heading 2"/>
    <w:basedOn w:val="1"/>
    <w:next w:val="1"/>
    <w:link w:val="43"/>
    <w:unhideWhenUsed/>
    <w:qFormat/>
    <w:uiPriority w:val="9"/>
    <w:pPr>
      <w:keepNext/>
      <w:keepLines/>
      <w:numPr>
        <w:ilvl w:val="0"/>
        <w:numId w:val="2"/>
      </w:numPr>
      <w:spacing w:line="600" w:lineRule="exact"/>
      <w:ind w:firstLine="880" w:firstLineChars="200"/>
      <w:outlineLvl w:val="1"/>
    </w:pPr>
    <w:rPr>
      <w:rFonts w:ascii="宋体" w:hAnsi="宋体" w:eastAsia="方正楷体_GBK" w:cstheme="majorBidi"/>
      <w:bCs/>
      <w:sz w:val="32"/>
      <w:szCs w:val="32"/>
    </w:rPr>
  </w:style>
  <w:style w:type="paragraph" w:styleId="4">
    <w:name w:val="heading 3"/>
    <w:basedOn w:val="1"/>
    <w:next w:val="5"/>
    <w:link w:val="42"/>
    <w:unhideWhenUsed/>
    <w:qFormat/>
    <w:uiPriority w:val="9"/>
    <w:pPr>
      <w:numPr>
        <w:ilvl w:val="0"/>
        <w:numId w:val="0"/>
      </w:numPr>
      <w:spacing w:line="600" w:lineRule="exact"/>
      <w:ind w:firstLine="643" w:firstLineChars="200"/>
      <w:outlineLvl w:val="2"/>
    </w:pPr>
    <w:rPr>
      <w:rFonts w:ascii="宋体" w:hAnsi="宋体" w:eastAsia="方正仿宋_GBK"/>
      <w:b/>
      <w:bCs/>
      <w:sz w:val="32"/>
      <w:szCs w:val="32"/>
    </w:rPr>
  </w:style>
  <w:style w:type="paragraph" w:styleId="6">
    <w:name w:val="heading 4"/>
    <w:basedOn w:val="1"/>
    <w:next w:val="1"/>
    <w:unhideWhenUsed/>
    <w:qFormat/>
    <w:uiPriority w:val="9"/>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5">
    <w:name w:val="Body Text"/>
    <w:basedOn w:val="1"/>
    <w:link w:val="33"/>
    <w:qFormat/>
    <w:uiPriority w:val="1"/>
    <w:pPr>
      <w:spacing w:line="590" w:lineRule="exact"/>
      <w:ind w:firstLine="400" w:firstLineChars="200"/>
    </w:pPr>
    <w:rPr>
      <w:rFonts w:ascii="Times New Roman" w:hAnsi="Times New Roman" w:eastAsia="方正仿宋_GBK"/>
      <w:sz w:val="32"/>
      <w:szCs w:val="32"/>
    </w:rPr>
  </w:style>
  <w:style w:type="paragraph" w:styleId="7">
    <w:name w:val="Normal Indent"/>
    <w:basedOn w:val="1"/>
    <w:qFormat/>
    <w:uiPriority w:val="0"/>
    <w:pPr>
      <w:widowControl/>
      <w:spacing w:line="500" w:lineRule="exact"/>
      <w:ind w:firstLine="200" w:firstLineChars="200"/>
      <w:jc w:val="left"/>
    </w:pPr>
    <w:rPr>
      <w:rFonts w:ascii="Calibri" w:hAnsi="Calibri" w:eastAsia="宋体" w:cs="宋体"/>
      <w:kern w:val="0"/>
      <w:sz w:val="28"/>
      <w:lang w:eastAsia="en-US"/>
    </w:rPr>
  </w:style>
  <w:style w:type="paragraph" w:styleId="8">
    <w:name w:val="annotation text"/>
    <w:basedOn w:val="1"/>
    <w:link w:val="40"/>
    <w:unhideWhenUsed/>
    <w:qFormat/>
    <w:uiPriority w:val="99"/>
    <w:pPr>
      <w:jc w:val="left"/>
    </w:pPr>
  </w:style>
  <w:style w:type="paragraph" w:styleId="9">
    <w:name w:val="toc 3"/>
    <w:basedOn w:val="1"/>
    <w:next w:val="1"/>
    <w:unhideWhenUsed/>
    <w:qFormat/>
    <w:uiPriority w:val="39"/>
    <w:pPr>
      <w:ind w:left="840" w:leftChars="400"/>
    </w:pPr>
  </w:style>
  <w:style w:type="paragraph" w:styleId="10">
    <w:name w:val="Date"/>
    <w:basedOn w:val="1"/>
    <w:next w:val="1"/>
    <w:qFormat/>
    <w:uiPriority w:val="0"/>
    <w:pPr>
      <w:ind w:left="100" w:leftChars="2500"/>
    </w:pPr>
    <w:rPr>
      <w:rFonts w:ascii="Calibri" w:hAnsi="Calibri" w:eastAsia="宋体" w:cs="宋体"/>
    </w:rPr>
  </w:style>
  <w:style w:type="paragraph" w:styleId="11">
    <w:name w:val="Body Text Indent 2"/>
    <w:basedOn w:val="1"/>
    <w:next w:val="1"/>
    <w:qFormat/>
    <w:uiPriority w:val="0"/>
    <w:pPr>
      <w:suppressAutoHyphens/>
      <w:spacing w:after="120" w:line="480" w:lineRule="auto"/>
      <w:ind w:left="420" w:leftChars="200"/>
    </w:pPr>
    <w:rPr>
      <w:sz w:val="21"/>
      <w:szCs w:val="21"/>
    </w:rPr>
  </w:style>
  <w:style w:type="paragraph" w:styleId="12">
    <w:name w:val="footer"/>
    <w:basedOn w:val="1"/>
    <w:link w:val="30"/>
    <w:unhideWhenUsed/>
    <w:qFormat/>
    <w:uiPriority w:val="99"/>
    <w:pPr>
      <w:tabs>
        <w:tab w:val="center" w:pos="4153"/>
        <w:tab w:val="right" w:pos="8306"/>
      </w:tabs>
      <w:snapToGrid w:val="0"/>
      <w:spacing w:line="240" w:lineRule="auto"/>
      <w:jc w:val="left"/>
    </w:pPr>
    <w:rPr>
      <w:sz w:val="18"/>
      <w:szCs w:val="18"/>
    </w:rPr>
  </w:style>
  <w:style w:type="paragraph" w:styleId="13">
    <w:name w:val="header"/>
    <w:basedOn w:val="1"/>
    <w:link w:val="29"/>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paragraph" w:styleId="14">
    <w:name w:val="toc 1"/>
    <w:basedOn w:val="1"/>
    <w:next w:val="1"/>
    <w:unhideWhenUsed/>
    <w:qFormat/>
    <w:uiPriority w:val="39"/>
    <w:rPr>
      <w:sz w:val="32"/>
    </w:rPr>
  </w:style>
  <w:style w:type="paragraph" w:styleId="15">
    <w:name w:val="toc 2"/>
    <w:basedOn w:val="1"/>
    <w:next w:val="1"/>
    <w:unhideWhenUsed/>
    <w:qFormat/>
    <w:uiPriority w:val="39"/>
    <w:pPr>
      <w:ind w:left="420" w:leftChars="200"/>
    </w:pPr>
    <w:rPr>
      <w:sz w:val="32"/>
    </w:rPr>
  </w:style>
  <w:style w:type="paragraph" w:styleId="16">
    <w:name w:val="Normal (Web)"/>
    <w:basedOn w:val="1"/>
    <w:qFormat/>
    <w:uiPriority w:val="99"/>
    <w:pPr>
      <w:spacing w:beforeAutospacing="1" w:afterAutospacing="1" w:line="240" w:lineRule="auto"/>
      <w:jc w:val="left"/>
    </w:pPr>
    <w:rPr>
      <w:rFonts w:asciiTheme="minorHAnsi" w:hAnsiTheme="minorHAnsi" w:eastAsiaTheme="minorEastAsia"/>
      <w:kern w:val="0"/>
      <w:szCs w:val="24"/>
    </w:rPr>
  </w:style>
  <w:style w:type="paragraph" w:styleId="17">
    <w:name w:val="Title"/>
    <w:basedOn w:val="1"/>
    <w:next w:val="1"/>
    <w:qFormat/>
    <w:uiPriority w:val="99"/>
    <w:pPr>
      <w:spacing w:before="240" w:after="60"/>
      <w:jc w:val="center"/>
      <w:outlineLvl w:val="0"/>
    </w:pPr>
    <w:rPr>
      <w:rFonts w:ascii="Cambria" w:hAnsi="Cambria"/>
      <w:b/>
      <w:bCs/>
    </w:rPr>
  </w:style>
  <w:style w:type="paragraph" w:styleId="18">
    <w:name w:val="annotation subject"/>
    <w:basedOn w:val="8"/>
    <w:next w:val="8"/>
    <w:link w:val="41"/>
    <w:semiHidden/>
    <w:unhideWhenUsed/>
    <w:qFormat/>
    <w:uiPriority w:val="99"/>
    <w:rPr>
      <w:b/>
      <w:bCs/>
    </w:rPr>
  </w:style>
  <w:style w:type="paragraph" w:styleId="19">
    <w:name w:val="Body Text First Indent"/>
    <w:basedOn w:val="5"/>
    <w:next w:val="1"/>
    <w:qFormat/>
    <w:uiPriority w:val="0"/>
    <w:pPr>
      <w:spacing w:after="0"/>
      <w:ind w:firstLine="420" w:firstLineChars="100"/>
    </w:pPr>
    <w:rPr>
      <w:rFonts w:ascii="Calibri" w:hAnsi="Calibri" w:eastAsia="宋体" w:cs="宋体"/>
    </w:rPr>
  </w:style>
  <w:style w:type="table" w:styleId="21">
    <w:name w:val="Table Grid"/>
    <w:basedOn w:val="20"/>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Hyperlink"/>
    <w:basedOn w:val="22"/>
    <w:unhideWhenUsed/>
    <w:qFormat/>
    <w:uiPriority w:val="99"/>
    <w:rPr>
      <w:color w:val="0563C1" w:themeColor="hyperlink"/>
      <w:u w:val="single"/>
      <w14:textFill>
        <w14:solidFill>
          <w14:schemeClr w14:val="hlink"/>
        </w14:solidFill>
      </w14:textFill>
    </w:rPr>
  </w:style>
  <w:style w:type="character" w:styleId="24">
    <w:name w:val="annotation reference"/>
    <w:basedOn w:val="22"/>
    <w:semiHidden/>
    <w:unhideWhenUsed/>
    <w:qFormat/>
    <w:uiPriority w:val="99"/>
    <w:rPr>
      <w:sz w:val="21"/>
      <w:szCs w:val="21"/>
    </w:rPr>
  </w:style>
  <w:style w:type="paragraph" w:customStyle="1" w:styleId="25">
    <w:name w:val="图片"/>
    <w:basedOn w:val="1"/>
    <w:qFormat/>
    <w:uiPriority w:val="0"/>
    <w:pPr>
      <w:spacing w:line="240" w:lineRule="auto"/>
      <w:jc w:val="center"/>
    </w:pPr>
    <w:rPr>
      <w:rFonts w:ascii="Times New Roman" w:hAnsi="Times New Roman"/>
    </w:rPr>
  </w:style>
  <w:style w:type="paragraph" w:customStyle="1" w:styleId="26">
    <w:name w:val="无间隔1"/>
    <w:basedOn w:val="19"/>
    <w:next w:val="1"/>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27">
    <w:name w:val="Heading1"/>
    <w:next w:val="1"/>
    <w:qFormat/>
    <w:uiPriority w:val="0"/>
    <w:pPr>
      <w:keepNext/>
      <w:keepLines/>
      <w:widowControl w:val="0"/>
      <w:numPr>
        <w:ilvl w:val="0"/>
        <w:numId w:val="3"/>
      </w:numPr>
      <w:spacing w:before="240" w:after="240"/>
      <w:jc w:val="both"/>
    </w:pPr>
    <w:rPr>
      <w:rFonts w:ascii="Calibri" w:hAnsi="Calibri" w:eastAsia="宋体" w:cs="宋体"/>
      <w:b/>
      <w:bCs/>
      <w:kern w:val="44"/>
      <w:sz w:val="21"/>
      <w:szCs w:val="44"/>
      <w:lang w:val="en-US" w:eastAsia="zh-CN" w:bidi="ar-SA"/>
    </w:rPr>
  </w:style>
  <w:style w:type="paragraph" w:styleId="28">
    <w:name w:val="List Paragraph"/>
    <w:basedOn w:val="1"/>
    <w:qFormat/>
    <w:uiPriority w:val="34"/>
    <w:pPr>
      <w:spacing w:line="240" w:lineRule="auto"/>
      <w:ind w:firstLine="420" w:firstLineChars="200"/>
    </w:pPr>
    <w:rPr>
      <w:rFonts w:asciiTheme="minorHAnsi" w:hAnsiTheme="minorHAnsi" w:eastAsiaTheme="minorEastAsia" w:cstheme="minorBidi"/>
      <w:sz w:val="21"/>
      <w:szCs w:val="22"/>
    </w:rPr>
  </w:style>
  <w:style w:type="character" w:customStyle="1" w:styleId="29">
    <w:name w:val="页眉 字符"/>
    <w:basedOn w:val="22"/>
    <w:link w:val="13"/>
    <w:qFormat/>
    <w:uiPriority w:val="99"/>
    <w:rPr>
      <w:rFonts w:ascii="Times New Roman" w:hAnsi="Times New Roman" w:eastAsia="宋体" w:cs="Times New Roman"/>
      <w:sz w:val="18"/>
      <w:szCs w:val="18"/>
    </w:rPr>
  </w:style>
  <w:style w:type="character" w:customStyle="1" w:styleId="30">
    <w:name w:val="页脚 字符"/>
    <w:basedOn w:val="22"/>
    <w:link w:val="12"/>
    <w:qFormat/>
    <w:uiPriority w:val="99"/>
    <w:rPr>
      <w:rFonts w:ascii="Times New Roman" w:hAnsi="Times New Roman" w:eastAsia="宋体" w:cs="Times New Roman"/>
      <w:sz w:val="18"/>
      <w:szCs w:val="18"/>
    </w:rPr>
  </w:style>
  <w:style w:type="character" w:customStyle="1" w:styleId="31">
    <w:name w:val="标题 1 字符"/>
    <w:basedOn w:val="22"/>
    <w:link w:val="2"/>
    <w:qFormat/>
    <w:uiPriority w:val="9"/>
    <w:rPr>
      <w:rFonts w:ascii="Times New Roman" w:hAnsi="Times New Roman" w:eastAsia="方正黑体_GBK" w:cs="Times New Roman"/>
      <w:bCs/>
      <w:kern w:val="44"/>
      <w:sz w:val="32"/>
      <w:szCs w:val="44"/>
    </w:rPr>
  </w:style>
  <w:style w:type="paragraph" w:customStyle="1" w:styleId="32">
    <w:name w:val="TOC 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Cs w:val="0"/>
      <w:color w:val="2F5597" w:themeColor="accent1" w:themeShade="BF"/>
      <w:kern w:val="0"/>
      <w:sz w:val="32"/>
      <w:szCs w:val="32"/>
    </w:rPr>
  </w:style>
  <w:style w:type="character" w:customStyle="1" w:styleId="33">
    <w:name w:val="正文文本 字符"/>
    <w:link w:val="5"/>
    <w:qFormat/>
    <w:uiPriority w:val="1"/>
    <w:rPr>
      <w:rFonts w:ascii="Times New Roman" w:hAnsi="Times New Roman" w:eastAsia="方正仿宋_GBK"/>
      <w:sz w:val="32"/>
      <w:szCs w:val="32"/>
    </w:rPr>
  </w:style>
  <w:style w:type="paragraph" w:customStyle="1" w:styleId="34">
    <w:name w:val="修订1"/>
    <w:hidden/>
    <w:unhideWhenUsed/>
    <w:qFormat/>
    <w:uiPriority w:val="99"/>
    <w:rPr>
      <w:rFonts w:ascii="Times New Roman" w:hAnsi="Times New Roman" w:eastAsia="宋体" w:cs="Times New Roman"/>
      <w:kern w:val="2"/>
      <w:sz w:val="24"/>
      <w:lang w:val="en-US" w:eastAsia="zh-CN" w:bidi="ar-SA"/>
    </w:rPr>
  </w:style>
  <w:style w:type="paragraph" w:customStyle="1" w:styleId="35">
    <w:name w:val="修订2"/>
    <w:hidden/>
    <w:unhideWhenUsed/>
    <w:qFormat/>
    <w:uiPriority w:val="99"/>
    <w:rPr>
      <w:rFonts w:ascii="Times New Roman" w:hAnsi="Times New Roman" w:eastAsia="宋体" w:cs="Times New Roman"/>
      <w:kern w:val="2"/>
      <w:sz w:val="24"/>
      <w:lang w:val="en-US" w:eastAsia="zh-CN" w:bidi="ar-SA"/>
    </w:rPr>
  </w:style>
  <w:style w:type="paragraph" w:customStyle="1" w:styleId="36">
    <w:name w:val="修订3"/>
    <w:hidden/>
    <w:unhideWhenUsed/>
    <w:qFormat/>
    <w:uiPriority w:val="99"/>
    <w:rPr>
      <w:rFonts w:ascii="Times New Roman" w:hAnsi="Times New Roman" w:eastAsia="宋体" w:cs="Times New Roman"/>
      <w:kern w:val="2"/>
      <w:sz w:val="24"/>
      <w:lang w:val="en-US" w:eastAsia="zh-CN" w:bidi="ar-SA"/>
    </w:rPr>
  </w:style>
  <w:style w:type="paragraph" w:customStyle="1" w:styleId="37">
    <w:name w:val="修订4"/>
    <w:hidden/>
    <w:unhideWhenUsed/>
    <w:qFormat/>
    <w:uiPriority w:val="99"/>
    <w:rPr>
      <w:rFonts w:ascii="Times New Roman" w:hAnsi="Times New Roman" w:eastAsia="宋体" w:cs="Times New Roman"/>
      <w:kern w:val="2"/>
      <w:sz w:val="24"/>
      <w:lang w:val="en-US" w:eastAsia="zh-CN" w:bidi="ar-SA"/>
    </w:rPr>
  </w:style>
  <w:style w:type="paragraph" w:customStyle="1" w:styleId="38">
    <w:name w:val="修订5"/>
    <w:hidden/>
    <w:unhideWhenUsed/>
    <w:qFormat/>
    <w:uiPriority w:val="99"/>
    <w:rPr>
      <w:rFonts w:ascii="Times New Roman" w:hAnsi="Times New Roman" w:eastAsia="宋体" w:cs="Times New Roman"/>
      <w:kern w:val="2"/>
      <w:sz w:val="24"/>
      <w:lang w:val="en-US" w:eastAsia="zh-CN" w:bidi="ar-SA"/>
    </w:rPr>
  </w:style>
  <w:style w:type="paragraph" w:customStyle="1" w:styleId="39">
    <w:name w:val="Revision"/>
    <w:hidden/>
    <w:unhideWhenUsed/>
    <w:qFormat/>
    <w:uiPriority w:val="99"/>
    <w:rPr>
      <w:rFonts w:ascii="Times New Roman" w:hAnsi="Times New Roman" w:eastAsia="宋体" w:cs="Times New Roman"/>
      <w:kern w:val="2"/>
      <w:sz w:val="24"/>
      <w:lang w:val="en-US" w:eastAsia="zh-CN" w:bidi="ar-SA"/>
    </w:rPr>
  </w:style>
  <w:style w:type="character" w:customStyle="1" w:styleId="40">
    <w:name w:val="批注文字 字符"/>
    <w:basedOn w:val="22"/>
    <w:link w:val="8"/>
    <w:semiHidden/>
    <w:qFormat/>
    <w:uiPriority w:val="99"/>
    <w:rPr>
      <w:kern w:val="2"/>
      <w:sz w:val="24"/>
    </w:rPr>
  </w:style>
  <w:style w:type="character" w:customStyle="1" w:styleId="41">
    <w:name w:val="批注主题 字符"/>
    <w:basedOn w:val="40"/>
    <w:link w:val="18"/>
    <w:semiHidden/>
    <w:qFormat/>
    <w:uiPriority w:val="99"/>
    <w:rPr>
      <w:b/>
      <w:bCs/>
      <w:kern w:val="2"/>
      <w:sz w:val="24"/>
    </w:rPr>
  </w:style>
  <w:style w:type="character" w:customStyle="1" w:styleId="42">
    <w:name w:val="标题 3 Char"/>
    <w:link w:val="4"/>
    <w:qFormat/>
    <w:uiPriority w:val="9"/>
    <w:rPr>
      <w:rFonts w:ascii="宋体" w:hAnsi="宋体" w:eastAsia="方正仿宋_GBK"/>
      <w:b/>
      <w:bCs/>
      <w:sz w:val="32"/>
      <w:szCs w:val="32"/>
    </w:rPr>
  </w:style>
  <w:style w:type="character" w:customStyle="1" w:styleId="43">
    <w:name w:val="标题 2 Char"/>
    <w:link w:val="3"/>
    <w:qFormat/>
    <w:uiPriority w:val="9"/>
    <w:rPr>
      <w:rFonts w:ascii="宋体" w:hAnsi="宋体" w:eastAsia="方正楷体_GBK" w:cstheme="majorBidi"/>
      <w:bCs/>
      <w:sz w:val="32"/>
      <w:szCs w:val="32"/>
    </w:rPr>
  </w:style>
  <w:style w:type="table" w:customStyle="1" w:styleId="44">
    <w:name w:val="Table Normal"/>
    <w:semiHidden/>
    <w:unhideWhenUsed/>
    <w:qFormat/>
    <w:uiPriority w:val="0"/>
    <w:tblPr>
      <w:tblCellMar>
        <w:top w:w="0" w:type="dxa"/>
        <w:left w:w="0" w:type="dxa"/>
        <w:bottom w:w="0" w:type="dxa"/>
        <w:right w:w="0" w:type="dxa"/>
      </w:tblCellMar>
    </w:tblPr>
  </w:style>
  <w:style w:type="paragraph" w:customStyle="1" w:styleId="45">
    <w:name w:val="9图片"/>
    <w:basedOn w:val="1"/>
    <w:qFormat/>
    <w:uiPriority w:val="0"/>
    <w:pPr>
      <w:widowControl w:val="0"/>
      <w:jc w:val="center"/>
    </w:pPr>
    <w:rPr>
      <w:rFonts w:ascii="Times New Roman" w:hAnsi="Times New Roman"/>
      <w:sz w:val="21"/>
      <w:szCs w:val="22"/>
      <w:lang w:eastAsia="zh-CN" w:bidi="ar-SA"/>
    </w:rPr>
  </w:style>
  <w:style w:type="paragraph" w:customStyle="1" w:styleId="46">
    <w:name w:val="91图名"/>
    <w:basedOn w:val="1"/>
    <w:qFormat/>
    <w:uiPriority w:val="0"/>
    <w:pPr>
      <w:widowControl w:val="0"/>
      <w:numPr>
        <w:ilvl w:val="5"/>
        <w:numId w:val="4"/>
      </w:numPr>
      <w:spacing w:before="50" w:beforeLines="50" w:after="50" w:afterLines="50" w:line="300" w:lineRule="exact"/>
      <w:jc w:val="center"/>
    </w:pPr>
    <w:rPr>
      <w:rFonts w:ascii="Times New Roman" w:hAnsi="Times New Roman" w:eastAsia="宋体"/>
      <w:b/>
      <w:sz w:val="28"/>
      <w:szCs w:val="22"/>
      <w:lang w:val="zh-CN"/>
    </w:rPr>
  </w:style>
  <w:style w:type="paragraph" w:customStyle="1" w:styleId="47">
    <w:name w:val="2级标题"/>
    <w:basedOn w:val="1"/>
    <w:qFormat/>
    <w:uiPriority w:val="0"/>
    <w:pPr>
      <w:widowControl w:val="0"/>
      <w:numPr>
        <w:ilvl w:val="1"/>
        <w:numId w:val="4"/>
      </w:numPr>
      <w:spacing w:before="120" w:beforeLines="50" w:line="500" w:lineRule="exact"/>
      <w:ind w:left="1985"/>
      <w:jc w:val="both"/>
      <w:outlineLvl w:val="1"/>
    </w:pPr>
    <w:rPr>
      <w:rFonts w:ascii="宋体" w:hAnsi="宋体"/>
      <w:b/>
      <w:bCs/>
      <w:sz w:val="28"/>
      <w:szCs w:val="28"/>
      <w:lang w:eastAsia="zh-CN" w:bidi="ar-SA"/>
    </w:rPr>
  </w:style>
  <w:style w:type="character" w:customStyle="1" w:styleId="48">
    <w:name w:val="0ZD Char"/>
    <w:link w:val="49"/>
    <w:qFormat/>
    <w:uiPriority w:val="0"/>
    <w:rPr>
      <w:b/>
      <w:color w:val="000000"/>
    </w:rPr>
  </w:style>
  <w:style w:type="paragraph" w:customStyle="1" w:styleId="49">
    <w:name w:val="0ZD"/>
    <w:basedOn w:val="50"/>
    <w:link w:val="48"/>
    <w:qFormat/>
    <w:uiPriority w:val="0"/>
    <w:pPr>
      <w:ind w:firstLine="480"/>
    </w:pPr>
    <w:rPr>
      <w:b/>
      <w:color w:val="000000"/>
    </w:rPr>
  </w:style>
  <w:style w:type="paragraph" w:customStyle="1" w:styleId="50">
    <w:name w:val="0ZW"/>
    <w:basedOn w:val="1"/>
    <w:qFormat/>
    <w:uiPriority w:val="0"/>
    <w:pPr>
      <w:spacing w:before="40"/>
      <w:ind w:firstLine="200" w:firstLineChars="200"/>
    </w:pPr>
    <w:rPr>
      <w:color w:val="auto"/>
    </w:rPr>
  </w:style>
  <w:style w:type="paragraph" w:customStyle="1" w:styleId="51">
    <w:name w:val="样式7"/>
    <w:basedOn w:val="1"/>
    <w:qFormat/>
    <w:uiPriority w:val="0"/>
    <w:pPr>
      <w:spacing w:before="60" w:after="60"/>
      <w:ind w:firstLine="0" w:firstLineChars="0"/>
      <w:jc w:val="center"/>
    </w:pPr>
    <w:rPr>
      <w:sz w:val="21"/>
    </w:rPr>
  </w:style>
  <w:style w:type="paragraph" w:customStyle="1" w:styleId="52">
    <w:name w:val="表格"/>
    <w:qFormat/>
    <w:uiPriority w:val="0"/>
    <w:pPr>
      <w:widowControl w:val="0"/>
      <w:adjustRightInd w:val="0"/>
      <w:snapToGrid w:val="0"/>
      <w:jc w:val="center"/>
    </w:pPr>
    <w:rPr>
      <w:rFonts w:ascii="宋体" w:hAnsi="Times New Roman" w:eastAsia="宋体" w:cs="Times New Roman"/>
      <w:sz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customXml" Target="../customXml/item3.xml"/><Relationship Id="rId18" Type="http://schemas.openxmlformats.org/officeDocument/2006/relationships/customXml" Target="../customXml/item2.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8.jpe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Version="6" StyleName="APA" SelectedStyle="\APASixthEditionOfficeOnline.xsl"/>
</file>

<file path=customXml/item3.xml><?xml version="1.0" encoding="utf-8"?>
<contractReview xmlns="http://schemas.wps.cn/vas-ai-hub/contract-review">
  <reviewItems xmlns="http://schemas.wps.cn/vas-ai-hub/contract-review">
    <reviewItem xmlns="http://schemas.wps.cn/vas-ai-hub/contract-review">
      <errorID xmlns="http://schemas.wps.cn/vas-ai-hub/contract-review">3fe7e2b7-8fad-4215-ab3f-283cc6e23c24</errorID>
      <errorWord xmlns="http://schemas.wps.cn/vas-ai-hub/contract-review">推动高质量发展</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推进高质量发展</item>
      </candidateList>
      <explain xmlns="http://schemas.wps.cn/vas-ai-hub/contract-review">此处内容疑似含有固定表述相关错误，建议核查。</explain>
      <paraID xmlns="http://schemas.wps.cn/vas-ai-hub/contract-review"> DCC0546</paraID>
      <start xmlns="http://schemas.wps.cn/vas-ai-hub/contract-review">52</start>
      <end xmlns="http://schemas.wps.cn/vas-ai-hub/contract-review">59</end>
      <status xmlns="http://schemas.wps.cn/vas-ai-hub/contract-review">modified</status>
      <modifiedWord xmlns="http://schemas.wps.cn/vas-ai-hub/contract-review">推进高质量发展</modifiedWord>
      <trackRevisions xmlns="http://schemas.wps.cn/vas-ai-hub/contract-review">false</trackRevisions>
    </reviewItem>
    <reviewItem xmlns="http://schemas.wps.cn/vas-ai-hub/contract-review">
      <errorID xmlns="http://schemas.wps.cn/vas-ai-hub/contract-review">e291533e-c532-4e94-96a8-d92874520b10</errorID>
      <errorWord xmlns="http://schemas.wps.cn/vas-ai-hub/contract-review">石林县</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石林</item>
      </candidateList>
      <explain xmlns="http://schemas.wps.cn/vas-ai-hub/contract-review"/>
      <paraID xmlns="http://schemas.wps.cn/vas-ai-hub/contract-review"> DCC0546</paraID>
      <start xmlns="http://schemas.wps.cn/vas-ai-hub/contract-review">301</start>
      <end xmlns="http://schemas.wps.cn/vas-ai-hub/contract-review">303</end>
      <status xmlns="http://schemas.wps.cn/vas-ai-hub/contract-review">modified</status>
      <modifiedWord xmlns="http://schemas.wps.cn/vas-ai-hub/contract-review">石林</modifiedWord>
      <trackRevisions xmlns="http://schemas.wps.cn/vas-ai-hub/contract-review">false</trackRevisions>
    </reviewItem>
    <reviewItem xmlns="http://schemas.wps.cn/vas-ai-hub/contract-review">
      <errorID xmlns="http://schemas.wps.cn/vas-ai-hub/contract-review">cc3451b4-d8ac-4d60-bf03-d2ec5f602f6f</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3462BE98</paraID>
      <start xmlns="http://schemas.wps.cn/vas-ai-hub/contract-review">40</start>
      <end xmlns="http://schemas.wps.cn/vas-ai-hub/contract-review">41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f3eb1ce0-97e7-41d9-8129-8604c7485927</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以“</item>
      </candidateList>
      <explain xmlns="http://schemas.wps.cn/vas-ai-hub/contract-review"/>
      <paraID xmlns="http://schemas.wps.cn/vas-ai-hub/contract-review">3462BE98</paraID>
      <start xmlns="http://schemas.wps.cn/vas-ai-hub/contract-review">46</start>
      <end xmlns="http://schemas.wps.cn/vas-ai-hub/contract-review">47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761c8e98-469a-43ea-b4ed-b393759f00ab</errorID>
      <errorWord xmlns="http://schemas.wps.cn/vas-ai-hub/contract-review">总长</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长度</item>
      </candidateList>
      <explain xmlns="http://schemas.wps.cn/vas-ai-hub/contract-review"/>
      <paraID xmlns="http://schemas.wps.cn/vas-ai-hub/contract-review">47757984</paraID>
      <start xmlns="http://schemas.wps.cn/vas-ai-hub/contract-review">25</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770807f2-5f42-41ba-bcf6-f84682b3c92e</errorID>
      <errorWord xmlns="http://schemas.wps.cn/vas-ai-hub/contract-review">县境内</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县</item>
      </candidateList>
      <explain xmlns="http://schemas.wps.cn/vas-ai-hub/contract-review"/>
      <paraID xmlns="http://schemas.wps.cn/vas-ai-hub/contract-review">23CA7666</paraID>
      <start xmlns="http://schemas.wps.cn/vas-ai-hub/contract-review">23</start>
      <end xmlns="http://schemas.wps.cn/vas-ai-hub/contract-review">26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dfcc8c45-3e4a-4ee6-9f53-4c8e4914cffd</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23CA7666</paraID>
      <start xmlns="http://schemas.wps.cn/vas-ai-hub/contract-review">82</start>
      <end xmlns="http://schemas.wps.cn/vas-ai-hub/contract-review">83</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bc92b036-04c9-453b-b027-71b09d6bc630</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2061FAE7</paraID>
      <start xmlns="http://schemas.wps.cn/vas-ai-hub/contract-review">73</start>
      <end xmlns="http://schemas.wps.cn/vas-ai-hub/contract-review">74</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8c6a1f0a-f1e8-431a-850a-6bb85b849254</errorID>
      <errorWord xmlns="http://schemas.wps.cn/vas-ai-hub/contract-review">100</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达100</item>
      </candidateList>
      <explain xmlns="http://schemas.wps.cn/vas-ai-hub/contract-review"/>
      <paraID xmlns="http://schemas.wps.cn/vas-ai-hub/contract-review">26DD6315</paraID>
      <start xmlns="http://schemas.wps.cn/vas-ai-hub/contract-review">270</start>
      <end xmlns="http://schemas.wps.cn/vas-ai-hub/contract-review">273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2f512461-f7ac-4ec1-9b7a-6f2a27dfc2f3</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6ACFC081</paraID>
      <start xmlns="http://schemas.wps.cn/vas-ai-hub/contract-review">149</start>
      <end xmlns="http://schemas.wps.cn/vas-ai-hub/contract-review">150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b4ca7ede-c599-4688-ba00-2731d370b10e</errorID>
      <errorWord xmlns="http://schemas.wps.cn/vas-ai-hub/contract-review">一直以来</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一直</item>
      </candidateList>
      <explain xmlns="http://schemas.wps.cn/vas-ai-hub/contract-review"/>
      <paraID xmlns="http://schemas.wps.cn/vas-ai-hub/contract-review">59E01822</paraID>
      <start xmlns="http://schemas.wps.cn/vas-ai-hub/contract-review">316</start>
      <end xmlns="http://schemas.wps.cn/vas-ai-hub/contract-review">318</end>
      <status xmlns="http://schemas.wps.cn/vas-ai-hub/contract-review">modified</status>
      <modifiedWord xmlns="http://schemas.wps.cn/vas-ai-hub/contract-review">一直</modifiedWord>
      <trackRevisions xmlns="http://schemas.wps.cn/vas-ai-hub/contract-review">false</trackRevisions>
    </reviewItem>
    <reviewItem xmlns="http://schemas.wps.cn/vas-ai-hub/contract-review">
      <errorID xmlns="http://schemas.wps.cn/vas-ai-hub/contract-review">d012caec-64f1-41a8-9471-1dc2b486a7fa</errorID>
      <errorWord xmlns="http://schemas.wps.cn/vas-ai-hub/contract-review">“3815”八年大发展阶段目标</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“3815”战略发展目标</item>
      </candidateList>
      <explain xmlns="http://schemas.wps.cn/vas-ai-hub/contract-review">此处内容疑似含有固定表述相关错误，建议核查。</explain>
      <paraID xmlns="http://schemas.wps.cn/vas-ai-hub/contract-review">7204773E</paraID>
      <start xmlns="http://schemas.wps.cn/vas-ai-hub/contract-review">36</start>
      <end xmlns="http://schemas.wps.cn/vas-ai-hub/contract-review">48</end>
      <status xmlns="http://schemas.wps.cn/vas-ai-hub/contract-review">modified</status>
      <modifiedWord xmlns="http://schemas.wps.cn/vas-ai-hub/contract-review">“3815”战略发展目标</modifiedWord>
      <trackRevisions xmlns="http://schemas.wps.cn/vas-ai-hub/contract-review">false</trackRevisions>
    </reviewItem>
    <reviewItem xmlns="http://schemas.wps.cn/vas-ai-hub/contract-review">
      <errorID xmlns="http://schemas.wps.cn/vas-ai-hub/contract-review">8a177280-1c1d-45ff-8a6e-ba5fad2b49e6</errorID>
      <errorWord xmlns="http://schemas.wps.cn/vas-ai-hub/contract-review">拾遗补缺</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拾遗补阙</item>
      </candidateList>
      <explain xmlns="http://schemas.wps.cn/vas-ai-hub/contract-review">词汇[拾遗补缺]为不规范表述或旧称，其规范书面表述为[拾遗补阙]。</explain>
      <paraID xmlns="http://schemas.wps.cn/vas-ai-hub/contract-review">7204773E</paraID>
      <start xmlns="http://schemas.wps.cn/vas-ai-hub/contract-review">65</start>
      <end xmlns="http://schemas.wps.cn/vas-ai-hub/contract-review">69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3a9a0628-6826-44ef-a0ee-89bcae4cf88c</errorID>
      <errorWord xmlns="http://schemas.wps.cn/vas-ai-hub/contract-review">推进</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落实推进</item>
      </candidateList>
      <explain xmlns="http://schemas.wps.cn/vas-ai-hub/contract-review"/>
      <paraID xmlns="http://schemas.wps.cn/vas-ai-hub/contract-review">189CE16F</paraID>
      <start xmlns="http://schemas.wps.cn/vas-ai-hub/contract-review">61</start>
      <end xmlns="http://schemas.wps.cn/vas-ai-hub/contract-review">65</end>
      <status xmlns="http://schemas.wps.cn/vas-ai-hub/contract-review">modified</status>
      <modifiedWord xmlns="http://schemas.wps.cn/vas-ai-hub/contract-review">落实推进</modifiedWord>
      <trackRevisions xmlns="http://schemas.wps.cn/vas-ai-hub/contract-review">false</trackRevisions>
    </reviewItem>
    <reviewItem xmlns="http://schemas.wps.cn/vas-ai-hub/contract-review">
      <errorID xmlns="http://schemas.wps.cn/vas-ai-hub/contract-review">48d0dede-1670-4dce-a725-f04d70de09b8</errorID>
      <errorWord xmlns="http://schemas.wps.cn/vas-ai-hub/contract-review">提升</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，提升</item>
      </candidateList>
      <explain xmlns="http://schemas.wps.cn/vas-ai-hub/contract-review"/>
      <paraID xmlns="http://schemas.wps.cn/vas-ai-hub/contract-review">3F4BC1B8</paraID>
      <start xmlns="http://schemas.wps.cn/vas-ai-hub/contract-review">20</start>
      <end xmlns="http://schemas.wps.cn/vas-ai-hub/contract-review">23</end>
      <status xmlns="http://schemas.wps.cn/vas-ai-hub/contract-review">modified</status>
      <modifiedWord xmlns="http://schemas.wps.cn/vas-ai-hub/contract-review">，提升</modifiedWord>
      <trackRevisions xmlns="http://schemas.wps.cn/vas-ai-hub/contract-review">false</trackRevisions>
    </reviewItem>
    <reviewItem xmlns="http://schemas.wps.cn/vas-ai-hub/contract-review">
      <errorID xmlns="http://schemas.wps.cn/vas-ai-hub/contract-review">ea9caf04-a73c-4663-8421-fdb8c47598d0</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3F4BC1B8</paraID>
      <start xmlns="http://schemas.wps.cn/vas-ai-hub/contract-review">33</start>
      <end xmlns="http://schemas.wps.cn/vas-ai-hub/contract-review">34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ec122582-ead7-4639-bf6d-4ecf2e4270e4</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7A95CBE6</paraID>
      <start xmlns="http://schemas.wps.cn/vas-ai-hub/contract-review">34</start>
      <end xmlns="http://schemas.wps.cn/vas-ai-hub/contract-review">35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f6dab8e3-4ad0-48f2-9fb6-68f0f7990a1c</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229077B0</paraID>
      <start xmlns="http://schemas.wps.cn/vas-ai-hub/contract-review">25</start>
      <end xmlns="http://schemas.wps.cn/vas-ai-hub/contract-review">26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a461d9cb-ff09-4907-a72a-6a4ef7642cf2</errorID>
      <errorWord xmlns="http://schemas.wps.cn/vas-ai-hub/contract-review">是</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，是</item>
      </candidateList>
      <explain xmlns="http://schemas.wps.cn/vas-ai-hub/contract-review"/>
      <paraID xmlns="http://schemas.wps.cn/vas-ai-hub/contract-review">591A342A</paraID>
      <start xmlns="http://schemas.wps.cn/vas-ai-hub/contract-review">40</start>
      <end xmlns="http://schemas.wps.cn/vas-ai-hub/contract-review">42</end>
      <status xmlns="http://schemas.wps.cn/vas-ai-hub/contract-review">modified</status>
      <modifiedWord xmlns="http://schemas.wps.cn/vas-ai-hub/contract-review">，是</modifiedWord>
      <trackRevisions xmlns="http://schemas.wps.cn/vas-ai-hub/contract-review">false</trackRevisions>
    </reviewItem>
    <reviewItem xmlns="http://schemas.wps.cn/vas-ai-hub/contract-review">
      <errorID xmlns="http://schemas.wps.cn/vas-ai-hub/contract-review">b6c09361-88d3-492e-a336-acd5ddf4b1c4</errorID>
      <errorWord xmlns="http://schemas.wps.cn/vas-ai-hub/contract-review">情况所</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情况</item>
      </candidateList>
      <explain xmlns="http://schemas.wps.cn/vas-ai-hub/contract-review"/>
      <paraID xmlns="http://schemas.wps.cn/vas-ai-hub/contract-review">591A342A</paraID>
      <start xmlns="http://schemas.wps.cn/vas-ai-hub/contract-review">70</start>
      <end xmlns="http://schemas.wps.cn/vas-ai-hub/contract-review">72</end>
      <status xmlns="http://schemas.wps.cn/vas-ai-hub/contract-review">modified</status>
      <modifiedWord xmlns="http://schemas.wps.cn/vas-ai-hub/contract-review">情况</modifiedWord>
      <trackRevisions xmlns="http://schemas.wps.cn/vas-ai-hub/contract-review">false</trackRevisions>
    </reviewItem>
    <reviewItem xmlns="http://schemas.wps.cn/vas-ai-hub/contract-review">
      <errorID xmlns="http://schemas.wps.cn/vas-ai-hub/contract-review">eec27c7f-eb85-495c-8d99-dc5fd0273772</errorID>
      <errorWord xmlns="http://schemas.wps.cn/vas-ai-hub/contract-review">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固守</item>
      </candidateList>
      <explain xmlns="http://schemas.wps.cn/vas-ai-hub/contract-review"/>
      <paraID xmlns="http://schemas.wps.cn/vas-ai-hub/contract-review">591A342A</paraID>
      <start xmlns="http://schemas.wps.cn/vas-ai-hub/contract-review">113</start>
      <end xmlns="http://schemas.wps.cn/vas-ai-hub/contract-review">114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10284e31-ad62-42f0-9d8e-43ce9c7d11b7</errorID>
      <errorWord xmlns="http://schemas.wps.cn/vas-ai-hub/contract-review">安全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好安全</item>
      </candidateList>
      <explain xmlns="http://schemas.wps.cn/vas-ai-hub/contract-review"/>
      <paraID xmlns="http://schemas.wps.cn/vas-ai-hub/contract-review">591A342A</paraID>
      <start xmlns="http://schemas.wps.cn/vas-ai-hub/contract-review">124</start>
      <end xmlns="http://schemas.wps.cn/vas-ai-hub/contract-review">126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bdeffa79-3b88-40a2-9723-df3ccf9ebfe4</errorID>
      <errorWord xmlns="http://schemas.wps.cn/vas-ai-hub/contract-review">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强化</item>
      </candidateList>
      <explain xmlns="http://schemas.wps.cn/vas-ai-hub/contract-review"/>
      <paraID xmlns="http://schemas.wps.cn/vas-ai-hub/contract-review">591A342A</paraID>
      <start xmlns="http://schemas.wps.cn/vas-ai-hub/contract-review">131</start>
      <end xmlns="http://schemas.wps.cn/vas-ai-hub/contract-review">132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56b5a417-d3ce-4a02-ad23-520d72bfbe18</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6532B7EC</paraID>
      <start xmlns="http://schemas.wps.cn/vas-ai-hub/contract-review">118</start>
      <end xmlns="http://schemas.wps.cn/vas-ai-hub/contract-review">119</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502a5f32-9671-4a98-b82f-af81f88092b0</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67F0A09E</paraID>
      <start xmlns="http://schemas.wps.cn/vas-ai-hub/contract-review">4</start>
      <end xmlns="http://schemas.wps.cn/vas-ai-hub/contract-review">5</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283f9e45-4883-4c0e-9bad-d25f21270c43</errorID>
      <errorWord xmlns="http://schemas.wps.cn/vas-ai-hub/contract-review">交通</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的交通</item>
      </candidateList>
      <explain xmlns="http://schemas.wps.cn/vas-ai-hub/contract-review"/>
      <paraID xmlns="http://schemas.wps.cn/vas-ai-hub/contract-review">2A1AD451</paraID>
      <start xmlns="http://schemas.wps.cn/vas-ai-hub/contract-review">60</start>
      <end xmlns="http://schemas.wps.cn/vas-ai-hub/contract-review">63</end>
      <status xmlns="http://schemas.wps.cn/vas-ai-hub/contract-review">modified</status>
      <modifiedWord xmlns="http://schemas.wps.cn/vas-ai-hub/contract-review">的交通</modifiedWord>
      <trackRevisions xmlns="http://schemas.wps.cn/vas-ai-hub/contract-review">false</trackRevisions>
    </reviewItem>
    <reviewItem xmlns="http://schemas.wps.cn/vas-ai-hub/contract-review">
      <errorID xmlns="http://schemas.wps.cn/vas-ai-hub/contract-review">ca1557c5-a489-4eae-8f27-aa4f66a303e6</errorID>
      <errorWord xmlns="http://schemas.wps.cn/vas-ai-hub/contract-review">与</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和</item>
      </candidateList>
      <explain xmlns="http://schemas.wps.cn/vas-ai-hub/contract-review"/>
      <paraID xmlns="http://schemas.wps.cn/vas-ai-hub/contract-review">2126C62A</paraID>
      <start xmlns="http://schemas.wps.cn/vas-ai-hub/contract-review">36</start>
      <end xmlns="http://schemas.wps.cn/vas-ai-hub/contract-review">37</end>
      <status xmlns="http://schemas.wps.cn/vas-ai-hub/contract-review">modified</status>
      <modifiedWord xmlns="http://schemas.wps.cn/vas-ai-hub/contract-review">和</modifiedWord>
      <trackRevisions xmlns="http://schemas.wps.cn/vas-ai-hub/contract-review">false</trackRevisions>
    </reviewItem>
    <reviewItem xmlns="http://schemas.wps.cn/vas-ai-hub/contract-review">
      <errorID xmlns="http://schemas.wps.cn/vas-ai-hub/contract-review">cb47ab13-9c4a-48b4-87f8-7ccb45c172b5</errorID>
      <errorWord xmlns="http://schemas.wps.cn/vas-ai-hub/contract-review">整体</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的整体</item>
      </candidateList>
      <explain xmlns="http://schemas.wps.cn/vas-ai-hub/contract-review"/>
      <paraID xmlns="http://schemas.wps.cn/vas-ai-hub/contract-review">2126C62A</paraID>
      <start xmlns="http://schemas.wps.cn/vas-ai-hub/contract-review">52</start>
      <end xmlns="http://schemas.wps.cn/vas-ai-hub/contract-review">54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2276f85c-c236-4e60-822b-a7e6528648fd</errorID>
      <errorWord xmlns="http://schemas.wps.cn/vas-ai-hub/contract-review">统筹发展与安全</errorWord>
      <group xmlns="http://schemas.wps.cn/vas-ai-hub/contract-review">L1_Political</group>
      <groupName xmlns="http://schemas.wps.cn/vas-ai-hub/contract-review">政治性问题</groupName>
      <ability xmlns="http://schemas.wps.cn/vas-ai-hub/contract-review">L2_Unpolitical</ability>
      <abilityName xmlns="http://schemas.wps.cn/vas-ai-hub/contract-review">政治敏感错误</abilityName>
      <candidateList xmlns="http://schemas.wps.cn/vas-ai-hub/contract-review">
        <item xmlns="http://schemas.wps.cn/vas-ai-hub/contract-review">统筹发展和安全</item>
      </candidateList>
      <explain xmlns="http://schemas.wps.cn/vas-ai-hub/contract-review"/>
      <paraID xmlns="http://schemas.wps.cn/vas-ai-hub/contract-review">4D62D0AD</paraID>
      <start xmlns="http://schemas.wps.cn/vas-ai-hub/contract-review">10</start>
      <end xmlns="http://schemas.wps.cn/vas-ai-hub/contract-review">17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d5df2297-1243-4ac1-b0bb-3f1fc664fe8b</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74773029</paraID>
      <start xmlns="http://schemas.wps.cn/vas-ai-hub/contract-review">6</start>
      <end xmlns="http://schemas.wps.cn/vas-ai-hub/contract-review">7</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4efba2ad-0b46-492d-98ba-4e5a8eaf60b0</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74773029</paraID>
      <start xmlns="http://schemas.wps.cn/vas-ai-hub/contract-review">47</start>
      <end xmlns="http://schemas.wps.cn/vas-ai-hub/contract-review">48</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481312cb-7546-4a07-a8f8-c0fd227170b3</errorID>
      <errorWord xmlns="http://schemas.wps.cn/vas-ai-hub/contract-review">%以上</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item>
      </candidateList>
      <explain xmlns="http://schemas.wps.cn/vas-ai-hub/contract-review"/>
      <paraID xmlns="http://schemas.wps.cn/vas-ai-hub/contract-review">2EA19B83</paraID>
      <start xmlns="http://schemas.wps.cn/vas-ai-hub/contract-review">96</start>
      <end xmlns="http://schemas.wps.cn/vas-ai-hub/contract-review">99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e5814266-545c-4adf-9c93-70240b4816e8</errorID>
      <errorWord xmlns="http://schemas.wps.cn/vas-ai-hub/contract-review">旅深度</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旅</item>
      </candidateList>
      <explain xmlns="http://schemas.wps.cn/vas-ai-hub/contract-review"/>
      <paraID xmlns="http://schemas.wps.cn/vas-ai-hub/contract-review">6E216A5B</paraID>
      <start xmlns="http://schemas.wps.cn/vas-ai-hub/contract-review">34</start>
      <end xmlns="http://schemas.wps.cn/vas-ai-hub/contract-review">37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3b0c5c10-ef00-4cfe-b7b0-8accbdb9fd6c</errorID>
      <errorWord xmlns="http://schemas.wps.cn/vas-ai-hub/contract-review">普通</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以普通</item>
      </candidateList>
      <explain xmlns="http://schemas.wps.cn/vas-ai-hub/contract-review"/>
      <paraID xmlns="http://schemas.wps.cn/vas-ai-hub/contract-review">6E216A5B</paraID>
      <start xmlns="http://schemas.wps.cn/vas-ai-hub/contract-review">81</start>
      <end xmlns="http://schemas.wps.cn/vas-ai-hub/contract-review">83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a748024d-5a49-46f9-9e82-9f02ac36f87e</errorID>
      <errorWord xmlns="http://schemas.wps.cn/vas-ai-hub/contract-review">一般</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以一般</item>
      </candidateList>
      <explain xmlns="http://schemas.wps.cn/vas-ai-hub/contract-review"/>
      <paraID xmlns="http://schemas.wps.cn/vas-ai-hub/contract-review">6E216A5B</paraID>
      <start xmlns="http://schemas.wps.cn/vas-ai-hub/contract-review">106</start>
      <end xmlns="http://schemas.wps.cn/vas-ai-hub/contract-review">108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fff71ca0-3c5b-4dc7-a2e2-745413c7d589</errorID>
      <errorWord xmlns="http://schemas.wps.cn/vas-ai-hub/contract-review">绿</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以绿</item>
      </candidateList>
      <explain xmlns="http://schemas.wps.cn/vas-ai-hub/contract-review"/>
      <paraID xmlns="http://schemas.wps.cn/vas-ai-hub/contract-review">6E216A5B</paraID>
      <start xmlns="http://schemas.wps.cn/vas-ai-hub/contract-review">128</start>
      <end xmlns="http://schemas.wps.cn/vas-ai-hub/contract-review">129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9bcd1b14-2455-403f-a5f0-841d64258ff1</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6E216A5B</paraID>
      <start xmlns="http://schemas.wps.cn/vas-ai-hub/contract-review">255</start>
      <end xmlns="http://schemas.wps.cn/vas-ai-hub/contract-review">256</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f8482350-6546-4c41-bcfc-e693acca8535</errorID>
      <errorWord xmlns="http://schemas.wps.cn/vas-ai-hub/contract-review">20162030</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2016—2030</item>
      </candidateList>
      <explain xmlns="http://schemas.wps.cn/vas-ai-hub/contract-review"/>
      <paraID xmlns="http://schemas.wps.cn/vas-ai-hub/contract-review">7B824CE9</paraID>
      <start xmlns="http://schemas.wps.cn/vas-ai-hub/contract-review">14</start>
      <end xmlns="http://schemas.wps.cn/vas-ai-hub/contract-review">23</end>
      <status xmlns="http://schemas.wps.cn/vas-ai-hub/contract-review">modified</status>
      <modifiedWord xmlns="http://schemas.wps.cn/vas-ai-hub/contract-review">2016—2030</modifiedWord>
      <trackRevisions xmlns="http://schemas.wps.cn/vas-ai-hub/contract-review">false</trackRevisions>
    </reviewItem>
    <reviewItem xmlns="http://schemas.wps.cn/vas-ai-hub/contract-review">
      <errorID xmlns="http://schemas.wps.cn/vas-ai-hub/contract-review">bc97c1d3-c8cb-4c67-a782-ae5f52e113f0</errorID>
      <errorWord xmlns="http://schemas.wps.cn/vas-ai-hub/contract-review">广覆盖</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，实现广覆盖</item>
      </candidateList>
      <explain xmlns="http://schemas.wps.cn/vas-ai-hub/contract-review"/>
      <paraID xmlns="http://schemas.wps.cn/vas-ai-hub/contract-review">3C4B68BB</paraID>
      <start xmlns="http://schemas.wps.cn/vas-ai-hub/contract-review">11</start>
      <end xmlns="http://schemas.wps.cn/vas-ai-hub/contract-review">14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411f8203-40cb-4dd7-8369-cf4a778827fa</errorID>
      <errorWord xmlns="http://schemas.wps.cn/vas-ai-hub/contract-review">S209嵩明至石林段</errorWord>
      <group xmlns="http://schemas.wps.cn/vas-ai-hub/contract-review">L1_Other</group>
      <groupName xmlns="http://schemas.wps.cn/vas-ai-hub/contract-review">其他问题</groupName>
      <ability xmlns="http://schemas.wps.cn/vas-ai-hub/contract-review">L2_Consistency</ability>
      <abilityName xmlns="http://schemas.wps.cn/vas-ai-hub/contract-review">一致性检查</abilityName>
      <candidateList xmlns="http://schemas.wps.cn/vas-ai-hub/contract-review">
        <item xmlns="http://schemas.wps.cn/vas-ai-hub/contract-review">省道S209</item>
      </candidateList>
      <explain xmlns="http://schemas.wps.cn/vas-ai-hub/contract-review">术语一致性问题，文档中规范表述为省道S209，S209嵩明至石林段表述不规范且与规范表述不一致</explain>
      <paraID xmlns="http://schemas.wps.cn/vas-ai-hub/contract-review">20C1BA81</paraID>
      <start xmlns="http://schemas.wps.cn/vas-ai-hub/contract-review">7</start>
      <end xmlns="http://schemas.wps.cn/vas-ai-hub/contract-review">17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6c14684a-8c06-4bc4-b74a-cc2dc54dccbd</errorID>
      <errorWord xmlns="http://schemas.wps.cn/vas-ai-hub/contract-review">，</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工作，</item>
      </candidateList>
      <explain xmlns="http://schemas.wps.cn/vas-ai-hub/contract-review"/>
      <paraID xmlns="http://schemas.wps.cn/vas-ai-hub/contract-review">45E2BC09</paraID>
      <start xmlns="http://schemas.wps.cn/vas-ai-hub/contract-review">30</start>
      <end xmlns="http://schemas.wps.cn/vas-ai-hub/contract-review">33</end>
      <status xmlns="http://schemas.wps.cn/vas-ai-hub/contract-review">modified</status>
      <modifiedWord xmlns="http://schemas.wps.cn/vas-ai-hub/contract-review">工作，</modifiedWord>
      <trackRevisions xmlns="http://schemas.wps.cn/vas-ai-hub/contract-review">false</trackRevisions>
    </reviewItem>
    <reviewItem xmlns="http://schemas.wps.cn/vas-ai-hub/contract-review">
      <errorID xmlns="http://schemas.wps.cn/vas-ai-hub/contract-review">99e99ba0-0e6c-436d-8ca4-ef72d6770e1c</errorID>
      <errorWord xmlns="http://schemas.wps.cn/vas-ai-hub/contract-review">运用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应用</item>
      </candidateList>
      <explain xmlns="http://schemas.wps.cn/vas-ai-hub/contract-review"/>
      <paraID xmlns="http://schemas.wps.cn/vas-ai-hub/contract-review">503B56F5</paraID>
      <start xmlns="http://schemas.wps.cn/vas-ai-hub/contract-review">8</start>
      <end xmlns="http://schemas.wps.cn/vas-ai-hub/contract-review">10</end>
      <status xmlns="http://schemas.wps.cn/vas-ai-hub/contract-review">modified</status>
      <modifiedWord xmlns="http://schemas.wps.cn/vas-ai-hub/contract-review">应用</modifiedWord>
      <trackRevisions xmlns="http://schemas.wps.cn/vas-ai-hub/contract-review">false</trackRevisions>
    </reviewItem>
    <reviewItem xmlns="http://schemas.wps.cn/vas-ai-hub/contract-review">
      <errorID xmlns="http://schemas.wps.cn/vas-ai-hub/contract-review">afc294d4-6d6c-416a-afde-06ad968f873f</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665B856F</paraID>
      <start xmlns="http://schemas.wps.cn/vas-ai-hub/contract-review">84</start>
      <end xmlns="http://schemas.wps.cn/vas-ai-hub/contract-review">85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7182d597-48f1-4d90-b272-7fd1f5511b61</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665B856F</paraID>
      <start xmlns="http://schemas.wps.cn/vas-ai-hub/contract-review">87</start>
      <end xmlns="http://schemas.wps.cn/vas-ai-hub/contract-review">88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d14111cc-761f-448e-ac22-4d1f70ccd5d6</errorID>
      <errorWord xmlns="http://schemas.wps.cn/vas-ai-hub/contract-review">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建成</item>
      </candidateList>
      <explain xmlns="http://schemas.wps.cn/vas-ai-hub/contract-review"/>
      <paraID xmlns="http://schemas.wps.cn/vas-ai-hub/contract-review">1A33F4B6</paraID>
      <start xmlns="http://schemas.wps.cn/vas-ai-hub/contract-review">40</start>
      <end xmlns="http://schemas.wps.cn/vas-ai-hub/contract-review">41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0809a767-b530-4227-9b61-6504135308ab</errorID>
      <errorWord xmlns="http://schemas.wps.cn/vas-ai-hub/contract-review">兼顾</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，兼顾</item>
      </candidateList>
      <explain xmlns="http://schemas.wps.cn/vas-ai-hub/contract-review"/>
      <paraID xmlns="http://schemas.wps.cn/vas-ai-hub/contract-review">1247347B</paraID>
      <start xmlns="http://schemas.wps.cn/vas-ai-hub/contract-review">95</start>
      <end xmlns="http://schemas.wps.cn/vas-ai-hub/contract-review">97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ccbc204d-0ff0-41e7-8899-39b817dd4a5b</errorID>
      <errorWord xmlns="http://schemas.wps.cn/vas-ai-hub/contract-review">142</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、总里程142</item>
      </candidateList>
      <explain xmlns="http://schemas.wps.cn/vas-ai-hub/contract-review"/>
      <paraID xmlns="http://schemas.wps.cn/vas-ai-hub/contract-review">3F166C92</paraID>
      <start xmlns="http://schemas.wps.cn/vas-ai-hub/contract-review">84</start>
      <end xmlns="http://schemas.wps.cn/vas-ai-hub/contract-review">87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5d43e5b8-e39b-4a24-b63b-cfb2f3231421</errorID>
      <errorWord xmlns="http://schemas.wps.cn/vas-ai-hub/contract-review">旅游</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的旅游</item>
      </candidateList>
      <explain xmlns="http://schemas.wps.cn/vas-ai-hub/contract-review"/>
      <paraID xmlns="http://schemas.wps.cn/vas-ai-hub/contract-review">3F166C92</paraID>
      <start xmlns="http://schemas.wps.cn/vas-ai-hub/contract-review">89</start>
      <end xmlns="http://schemas.wps.cn/vas-ai-hub/contract-review">91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e122c943-1ca9-4184-9943-d898bb7b92a3</errorID>
      <errorWord xmlns="http://schemas.wps.cn/vas-ai-hub/contract-review">资源</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、资源</item>
      </candidateList>
      <explain xmlns="http://schemas.wps.cn/vas-ai-hub/contract-review"/>
      <paraID xmlns="http://schemas.wps.cn/vas-ai-hub/contract-review">3F166C92</paraID>
      <start xmlns="http://schemas.wps.cn/vas-ai-hub/contract-review">92</start>
      <end xmlns="http://schemas.wps.cn/vas-ai-hub/contract-review">94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61369bac-6fe3-478a-ba79-9a703207dac4</errorID>
      <errorWord xmlns="http://schemas.wps.cn/vas-ai-hub/contract-review">产业</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、产业</item>
      </candidateList>
      <explain xmlns="http://schemas.wps.cn/vas-ai-hub/contract-review"/>
      <paraID xmlns="http://schemas.wps.cn/vas-ai-hub/contract-review">3F166C92</paraID>
      <start xmlns="http://schemas.wps.cn/vas-ai-hub/contract-review">95</start>
      <end xmlns="http://schemas.wps.cn/vas-ai-hub/contract-review">97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11883629-7253-4e00-b696-7939e56bb4a0</errorID>
      <errorWord xmlns="http://schemas.wps.cn/vas-ai-hub/contract-review">以上</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及以上</item>
      </candidateList>
      <explain xmlns="http://schemas.wps.cn/vas-ai-hub/contract-review"/>
      <paraID xmlns="http://schemas.wps.cn/vas-ai-hub/contract-review">3CDB3155</paraID>
      <start xmlns="http://schemas.wps.cn/vas-ai-hub/contract-review">23</start>
      <end xmlns="http://schemas.wps.cn/vas-ai-hub/contract-review">26</end>
      <status xmlns="http://schemas.wps.cn/vas-ai-hub/contract-review">modified</status>
      <modifiedWord xmlns="http://schemas.wps.cn/vas-ai-hub/contract-review">及以上</modifiedWord>
      <trackRevisions xmlns="http://schemas.wps.cn/vas-ai-hub/contract-review">false</trackRevisions>
    </reviewItem>
    <reviewItem xmlns="http://schemas.wps.cn/vas-ai-hub/contract-review">
      <errorID xmlns="http://schemas.wps.cn/vas-ai-hub/contract-review">7e0282d9-94c9-4bdb-b5ad-d13da517f8e1</errorID>
      <errorWord xmlns="http://schemas.wps.cn/vas-ai-hub/contract-review">232</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，建设里程232</item>
      </candidateList>
      <explain xmlns="http://schemas.wps.cn/vas-ai-hub/contract-review"/>
      <paraID xmlns="http://schemas.wps.cn/vas-ai-hub/contract-review">3CDB3155</paraID>
      <start xmlns="http://schemas.wps.cn/vas-ai-hub/contract-review">51</start>
      <end xmlns="http://schemas.wps.cn/vas-ai-hub/contract-review">54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89c28fbd-9297-4996-b73a-c73412142160</errorID>
      <errorWord xmlns="http://schemas.wps.cn/vas-ai-hub/contract-review">308公里（</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，涉及</item>
      </candidateList>
      <explain xmlns="http://schemas.wps.cn/vas-ai-hub/contract-review"/>
      <paraID xmlns="http://schemas.wps.cn/vas-ai-hub/contract-review">6F822E60</paraID>
      <start xmlns="http://schemas.wps.cn/vas-ai-hub/contract-review">99</start>
      <end xmlns="http://schemas.wps.cn/vas-ai-hub/contract-review">105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cc686af4-4468-42ce-9f03-828853ecab1f</errorID>
      <errorWord xmlns="http://schemas.wps.cn/vas-ai-hub/contract-review">示范</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示范带</item>
      </candidateList>
      <explain xmlns="http://schemas.wps.cn/vas-ai-hub/contract-review"/>
      <paraID xmlns="http://schemas.wps.cn/vas-ai-hub/contract-review">49FE37D9</paraID>
      <start xmlns="http://schemas.wps.cn/vas-ai-hub/contract-review">65</start>
      <end xmlns="http://schemas.wps.cn/vas-ai-hub/contract-review">67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b58108fc-f40e-46c7-a475-cf3bbf28e546</errorID>
      <errorWord xmlns="http://schemas.wps.cn/vas-ai-hub/contract-review">带</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区</item>
      </candidateList>
      <explain xmlns="http://schemas.wps.cn/vas-ai-hub/contract-review"/>
      <paraID xmlns="http://schemas.wps.cn/vas-ai-hub/contract-review">49FE37D9</paraID>
      <start xmlns="http://schemas.wps.cn/vas-ai-hub/contract-review">69</start>
      <end xmlns="http://schemas.wps.cn/vas-ai-hub/contract-review">70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e76ea5fb-b3b7-4f87-baca-d5ef46435241</errorID>
      <errorWord xmlns="http://schemas.wps.cn/vas-ai-hub/contract-review">幸福</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、幸福</item>
      </candidateList>
      <explain xmlns="http://schemas.wps.cn/vas-ai-hub/contract-review"/>
      <paraID xmlns="http://schemas.wps.cn/vas-ai-hub/contract-review"> 6BBE4C2</paraID>
      <start xmlns="http://schemas.wps.cn/vas-ai-hub/contract-review">103</start>
      <end xmlns="http://schemas.wps.cn/vas-ai-hub/contract-review">106</end>
      <status xmlns="http://schemas.wps.cn/vas-ai-hub/contract-review">modified</status>
      <modifiedWord xmlns="http://schemas.wps.cn/vas-ai-hub/contract-review">、幸福</modifiedWord>
      <trackRevisions xmlns="http://schemas.wps.cn/vas-ai-hub/contract-review">false</trackRevisions>
    </reviewItem>
    <reviewItem xmlns="http://schemas.wps.cn/vas-ai-hub/contract-review">
      <errorID xmlns="http://schemas.wps.cn/vas-ai-hub/contract-review">b510c337-58c7-4d30-b07d-0a7ade270622</errorID>
      <errorWord xmlns="http://schemas.wps.cn/vas-ai-hub/contract-review">和</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与</item>
      </candidateList>
      <explain xmlns="http://schemas.wps.cn/vas-ai-hub/contract-review"/>
      <paraID xmlns="http://schemas.wps.cn/vas-ai-hub/contract-review">6602C993</paraID>
      <start xmlns="http://schemas.wps.cn/vas-ai-hub/contract-review">47</start>
      <end xmlns="http://schemas.wps.cn/vas-ai-hub/contract-review">48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f6254451-6183-4ba2-9ea7-bc3136b3175d</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，实</item>
      </candidateList>
      <explain xmlns="http://schemas.wps.cn/vas-ai-hub/contract-review"/>
      <paraID xmlns="http://schemas.wps.cn/vas-ai-hub/contract-review">5533322F</paraID>
      <start xmlns="http://schemas.wps.cn/vas-ai-hub/contract-review">81</start>
      <end xmlns="http://schemas.wps.cn/vas-ai-hub/contract-review">83</end>
      <status xmlns="http://schemas.wps.cn/vas-ai-hub/contract-review">modified</status>
      <modifiedWord xmlns="http://schemas.wps.cn/vas-ai-hub/contract-review">，实</modifiedWord>
      <trackRevisions xmlns="http://schemas.wps.cn/vas-ai-hub/contract-review">false</trackRevisions>
    </reviewItem>
    <reviewItem xmlns="http://schemas.wps.cn/vas-ai-hub/contract-review">
      <errorID xmlns="http://schemas.wps.cn/vas-ai-hub/contract-review">afff6790-9657-4a6d-87b8-eb12896b7a66</errorID>
      <errorWord xmlns="http://schemas.wps.cn/vas-ai-hub/contract-review">现</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实现</item>
      </candidateList>
      <explain xmlns="http://schemas.wps.cn/vas-ai-hub/contract-review"/>
      <paraID xmlns="http://schemas.wps.cn/vas-ai-hub/contract-review">5533322F</paraID>
      <start xmlns="http://schemas.wps.cn/vas-ai-hub/contract-review">83</start>
      <end xmlns="http://schemas.wps.cn/vas-ai-hub/contract-review">85</end>
      <status xmlns="http://schemas.wps.cn/vas-ai-hub/contract-review">modified</status>
      <modifiedWord xmlns="http://schemas.wps.cn/vas-ai-hub/contract-review">实现</modifiedWord>
      <trackRevisions xmlns="http://schemas.wps.cn/vas-ai-hub/contract-review">false</trackRevisions>
    </reviewItem>
    <reviewItem xmlns="http://schemas.wps.cn/vas-ai-hub/contract-review">
      <errorID xmlns="http://schemas.wps.cn/vas-ai-hub/contract-review">6c123755-7b6b-4f60-872a-d077e502b77a</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，在</item>
      </candidateList>
      <explain xmlns="http://schemas.wps.cn/vas-ai-hub/contract-review"/>
      <paraID xmlns="http://schemas.wps.cn/vas-ai-hub/contract-review">61F3AF0F</paraID>
      <start xmlns="http://schemas.wps.cn/vas-ai-hub/contract-review">157</start>
      <end xmlns="http://schemas.wps.cn/vas-ai-hub/contract-review">159</end>
      <status xmlns="http://schemas.wps.cn/vas-ai-hub/contract-review">modified</status>
      <modifiedWord xmlns="http://schemas.wps.cn/vas-ai-hub/contract-review">，在</modifiedWord>
      <trackRevisions xmlns="http://schemas.wps.cn/vas-ai-hub/contract-review">false</trackRevisions>
    </reviewItem>
    <reviewItem xmlns="http://schemas.wps.cn/vas-ai-hub/contract-review">
      <errorID xmlns="http://schemas.wps.cn/vas-ai-hub/contract-review">03cb5233-8809-4123-9a24-2ee463f2f88e</errorID>
      <errorWord xmlns="http://schemas.wps.cn/vas-ai-hub/contract-review">耐</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奈</item>
      </candidateList>
      <explain xmlns="http://schemas.wps.cn/vas-ai-hub/contract-review"/>
      <paraID xmlns="http://schemas.wps.cn/vas-ai-hub/contract-review">2EEA31E6</paraID>
      <start xmlns="http://schemas.wps.cn/vas-ai-hub/contract-review">18</start>
      <end xmlns="http://schemas.wps.cn/vas-ai-hub/contract-review">19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83d48ac2-5c93-402a-aceb-dc0fe44a0f7e</errorID>
      <errorWord xmlns="http://schemas.wps.cn/vas-ai-hub/contract-review">多</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等多</item>
      </candidateList>
      <explain xmlns="http://schemas.wps.cn/vas-ai-hub/contract-review"/>
      <paraID xmlns="http://schemas.wps.cn/vas-ai-hub/contract-review">  D751D3</paraID>
      <start xmlns="http://schemas.wps.cn/vas-ai-hub/contract-review">61</start>
      <end xmlns="http://schemas.wps.cn/vas-ai-hub/contract-review">62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99bf41fb-2efc-4c10-9680-5244d9ad0644</errorID>
      <errorWord xmlns="http://schemas.wps.cn/vas-ai-hub/contract-review">邮寄递</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邮</item>
      </candidateList>
      <explain xmlns="http://schemas.wps.cn/vas-ai-hub/contract-review"/>
      <paraID xmlns="http://schemas.wps.cn/vas-ai-hub/contract-review">62A5A799</paraID>
      <start xmlns="http://schemas.wps.cn/vas-ai-hub/contract-review">7</start>
      <end xmlns="http://schemas.wps.cn/vas-ai-hub/contract-review">10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bcad1af7-cefc-4612-9dda-1f72c38f322f</errorID>
      <errorWord xmlns="http://schemas.wps.cn/vas-ai-hub/contract-review">综合</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完善综合</item>
      </candidateList>
      <explain xmlns="http://schemas.wps.cn/vas-ai-hub/contract-review"/>
      <paraID xmlns="http://schemas.wps.cn/vas-ai-hub/contract-review">421AC7E5</paraID>
      <start xmlns="http://schemas.wps.cn/vas-ai-hub/contract-review">33</start>
      <end xmlns="http://schemas.wps.cn/vas-ai-hub/contract-review">35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74dccf53-9ae4-4aed-986c-5e071029d13d</errorID>
      <errorWord xmlns="http://schemas.wps.cn/vas-ai-hub/contract-review">始终保持</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为</item>
      </candidateList>
      <explain xmlns="http://schemas.wps.cn/vas-ai-hub/contract-review"/>
      <paraID xmlns="http://schemas.wps.cn/vas-ai-hub/contract-review">6E49871E</paraID>
      <start xmlns="http://schemas.wps.cn/vas-ai-hub/contract-review">87</start>
      <end xmlns="http://schemas.wps.cn/vas-ai-hub/contract-review">91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ce9507df-ed63-437d-894e-6e299ca73cd3</errorID>
      <errorWord xmlns="http://schemas.wps.cn/vas-ai-hub/contract-review">邮寄递物流</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邮</item>
      </candidateList>
      <explain xmlns="http://schemas.wps.cn/vas-ai-hub/contract-review"/>
      <paraID xmlns="http://schemas.wps.cn/vas-ai-hub/contract-review"> 8C65FF9</paraID>
      <start xmlns="http://schemas.wps.cn/vas-ai-hub/contract-review">19</start>
      <end xmlns="http://schemas.wps.cn/vas-ai-hub/contract-review">24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1b2f5142-5102-4582-b85f-5b6d92591146</errorID>
      <errorWord xmlns="http://schemas.wps.cn/vas-ai-hub/contract-review">建设项目、</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项目，</item>
      </candidateList>
      <explain xmlns="http://schemas.wps.cn/vas-ai-hub/contract-review"/>
      <paraID xmlns="http://schemas.wps.cn/vas-ai-hub/contract-review"> 8C65FF9</paraID>
      <start xmlns="http://schemas.wps.cn/vas-ai-hub/contract-review">42</start>
      <end xmlns="http://schemas.wps.cn/vas-ai-hub/contract-review">47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b1805707-9ad6-4616-98dd-da36d07b9787</errorID>
      <errorWord xmlns="http://schemas.wps.cn/vas-ai-hub/contract-review">邮寄递物流</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邮</item>
      </candidateList>
      <explain xmlns="http://schemas.wps.cn/vas-ai-hub/contract-review"/>
      <paraID xmlns="http://schemas.wps.cn/vas-ai-hub/contract-review"> 8C65FF9</paraID>
      <start xmlns="http://schemas.wps.cn/vas-ai-hub/contract-review">55</start>
      <end xmlns="http://schemas.wps.cn/vas-ai-hub/contract-review">60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62e6d45a-feaa-412c-b1c5-ce8bc67dcba0</errorID>
      <errorWord xmlns="http://schemas.wps.cn/vas-ai-hub/contract-review">建设契机</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建设</item>
      </candidateList>
      <explain xmlns="http://schemas.wps.cn/vas-ai-hub/contract-review"/>
      <paraID xmlns="http://schemas.wps.cn/vas-ai-hub/contract-review">5DFFA644</paraID>
      <start xmlns="http://schemas.wps.cn/vas-ai-hub/contract-review">13</start>
      <end xmlns="http://schemas.wps.cn/vas-ai-hub/contract-review">17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089b35f4-423a-411c-8df6-b91ace81e665</errorID>
      <errorWord xmlns="http://schemas.wps.cn/vas-ai-hub/contract-review">配套电子站牌的12个</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12个配套电子站牌的</item>
      </candidateList>
      <explain xmlns="http://schemas.wps.cn/vas-ai-hub/contract-review"/>
      <paraID xmlns="http://schemas.wps.cn/vas-ai-hub/contract-review">1D3A237B</paraID>
      <start xmlns="http://schemas.wps.cn/vas-ai-hub/contract-review">125</start>
      <end xmlns="http://schemas.wps.cn/vas-ai-hub/contract-review">135</end>
      <status xmlns="http://schemas.wps.cn/vas-ai-hub/contract-review">modified</status>
      <modifiedWord xmlns="http://schemas.wps.cn/vas-ai-hub/contract-review">12个配套电子站牌的</modifiedWord>
      <trackRevisions xmlns="http://schemas.wps.cn/vas-ai-hub/contract-review">false</trackRevisions>
    </reviewItem>
    <reviewItem xmlns="http://schemas.wps.cn/vas-ai-hub/contract-review">
      <errorID xmlns="http://schemas.wps.cn/vas-ai-hub/contract-review">6ea5badc-9c36-447a-aea7-daeb4b165380</errorID>
      <errorWord xmlns="http://schemas.wps.cn/vas-ai-hub/contract-review">完善</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，完善</item>
      </candidateList>
      <explain xmlns="http://schemas.wps.cn/vas-ai-hub/contract-review"/>
      <paraID xmlns="http://schemas.wps.cn/vas-ai-hub/contract-review">1D3A237B</paraID>
      <start xmlns="http://schemas.wps.cn/vas-ai-hub/contract-review">209</start>
      <end xmlns="http://schemas.wps.cn/vas-ai-hub/contract-review">212</end>
      <status xmlns="http://schemas.wps.cn/vas-ai-hub/contract-review">modified</status>
      <modifiedWord xmlns="http://schemas.wps.cn/vas-ai-hub/contract-review">，完善</modifiedWord>
      <trackRevisions xmlns="http://schemas.wps.cn/vas-ai-hub/contract-review">false</trackRevisions>
    </reviewItem>
    <reviewItem xmlns="http://schemas.wps.cn/vas-ai-hub/contract-review">
      <errorID xmlns="http://schemas.wps.cn/vas-ai-hub/contract-review">b1d6ac94-1f6a-4c75-8762-941b07f55675</errorID>
      <errorWord xmlns="http://schemas.wps.cn/vas-ai-hub/contract-review">城乡结合部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城乡接合部</item>
      </candidateList>
      <explain xmlns="http://schemas.wps.cn/vas-ai-hub/contract-review"/>
      <paraID xmlns="http://schemas.wps.cn/vas-ai-hub/contract-review">539B22F1</paraID>
      <start xmlns="http://schemas.wps.cn/vas-ai-hub/contract-review">123</start>
      <end xmlns="http://schemas.wps.cn/vas-ai-hub/contract-review">128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7fad7555-3c26-462e-96a0-e90209b96b8f</errorID>
      <errorWord xmlns="http://schemas.wps.cn/vas-ai-hub/contract-review">平急两用</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“平急两用”</item>
      </candidateList>
      <explain xmlns="http://schemas.wps.cn/vas-ai-hub/contract-review">注意检查当前固定表述标点是否使用规范。</explain>
      <paraID xmlns="http://schemas.wps.cn/vas-ai-hub/contract-review">5B13E83C</paraID>
      <start xmlns="http://schemas.wps.cn/vas-ai-hub/contract-review">24</start>
      <end xmlns="http://schemas.wps.cn/vas-ai-hub/contract-review">30</end>
      <status xmlns="http://schemas.wps.cn/vas-ai-hub/contract-review">modified</status>
      <modifiedWord xmlns="http://schemas.wps.cn/vas-ai-hub/contract-review">“平急两用”</modifiedWord>
      <trackRevisions xmlns="http://schemas.wps.cn/vas-ai-hub/contract-review">false</trackRevisions>
    </reviewItem>
    <reviewItem xmlns="http://schemas.wps.cn/vas-ai-hub/contract-review">
      <errorID xmlns="http://schemas.wps.cn/vas-ai-hub/contract-review">ea425261-96cd-43e5-8f1d-5c91756a05e1</errorID>
      <errorWord xmlns="http://schemas.wps.cn/vas-ai-hub/contract-review">强建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建</item>
      </candidateList>
      <explain xmlns="http://schemas.wps.cn/vas-ai-hub/contract-review"/>
      <paraID xmlns="http://schemas.wps.cn/vas-ai-hub/contract-review">53E572E0</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60614b15-5326-4b21-a6f5-d03c7891fd13</errorID>
      <errorWord xmlns="http://schemas.wps.cn/vas-ai-hub/contract-review">以习近平新时代中国特色社会主义思想凝心铸魂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用习近平新时代中国特色社会主义思想凝心铸魂</item>
      </candidateList>
      <explain xmlns="http://schemas.wps.cn/vas-ai-hub/contract-review"/>
      <paraID xmlns="http://schemas.wps.cn/vas-ai-hub/contract-review">67988121</paraID>
      <start xmlns="http://schemas.wps.cn/vas-ai-hub/contract-review">16</start>
      <end xmlns="http://schemas.wps.cn/vas-ai-hub/contract-review">37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f3c74bfe-d1a8-4662-bd76-c580cc041276</errorID>
      <errorWord xmlns="http://schemas.wps.cn/vas-ai-hub/contract-review">国家发改委</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国家发展改革委</item>
      </candidateList>
      <explain xmlns="http://schemas.wps.cn/vas-ai-hub/contract-review"/>
      <paraID xmlns="http://schemas.wps.cn/vas-ai-hub/contract-review">2DF1DC6F</paraID>
      <start xmlns="http://schemas.wps.cn/vas-ai-hub/contract-review">99</start>
      <end xmlns="http://schemas.wps.cn/vas-ai-hub/contract-review">106</end>
      <status xmlns="http://schemas.wps.cn/vas-ai-hub/contract-review">modified</status>
      <modifiedWord xmlns="http://schemas.wps.cn/vas-ai-hub/contract-review">国家发展改革委</modifiedWord>
      <trackRevisions xmlns="http://schemas.wps.cn/vas-ai-hub/contract-review">false</trackRevisions>
    </reviewItem>
  </reviewItems>
  <config xmlns="http://schemas.wps.cn/vas-ai-hub/contract-review"/>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6178431-737B-47B9-BE4B-277476E5D841}">
  <ds:schemaRefs/>
</ds:datastoreItem>
</file>

<file path=customXml/itemProps3.xml><?xml version="1.0" encoding="utf-8"?>
<ds:datastoreItem xmlns:ds="http://schemas.openxmlformats.org/officeDocument/2006/customXml" ds:itemID="{5a76c88c-000f-4e52-82f8-f064d65ef9fd}">
  <ds:schemaRefs/>
</ds:datastoreItem>
</file>

<file path=docProps/app.xml><?xml version="1.0" encoding="utf-8"?>
<Properties xmlns="http://schemas.openxmlformats.org/officeDocument/2006/extended-properties" xmlns:vt="http://schemas.openxmlformats.org/officeDocument/2006/docPropsVTypes">
  <Template>Normal</Template>
  <Pages>75</Pages>
  <Words>20820</Words>
  <Characters>21419</Characters>
  <Lines>312</Lines>
  <Paragraphs>87</Paragraphs>
  <TotalTime>4</TotalTime>
  <ScaleCrop>false</ScaleCrop>
  <LinksUpToDate>false</LinksUpToDate>
  <CharactersWithSpaces>21504</CharactersWithSpaces>
  <Application>WPS Office_12.1.2.24730_F1E327BC-269C-435d-A152-05C5408002CA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2025-08-13T15:33:00Z</dcterms:created>
  <dc:creator>NTKO</dc:creator>
  <cp:lastModifiedBy>殷鹏</cp:lastModifiedBy>
  <cp:lastPrinted>2025-06-14T11:43:00Z</cp:lastPrinted>
  <dcterms:modified xsi:type="dcterms:W3CDTF">2026-04-29T15:50:30Z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2052-12.1.2.24730</vt:lpwstr>
  </property>
  <property fmtid="{D5CDD505-2E9C-101B-9397-08002B2CF9AE}" pid="3" name="ICV">
    <vt:lpwstr>EE380828BB55BAB746B8F169A4C78E67_43</vt:lpwstr>
  </property>
  <property fmtid="{D5CDD505-2E9C-101B-9397-08002B2CF9AE}" pid="4" name="KSOTemplateDocerSaveRecord">
    <vt:lpwstr>eyJoZGlkIjoiNWNmYWQ0MDE1N2M4YmI4OWRmYTJiNGQ3ZTE5Nzg3YzYiLCJ1c2VySWQiOiIxNTkxNjA4NjUwIn0=</vt:lpwstr>
  </property>
</Properties>
</file>