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04A96">
      <w:pPr>
        <w:adjustRightInd w:val="0"/>
        <w:snapToGrid w:val="0"/>
        <w:spacing w:line="288" w:lineRule="auto"/>
        <w:jc w:val="center"/>
        <w:rPr>
          <w:rFonts w:ascii="黑体" w:hAnsi="黑体" w:eastAsia="黑体"/>
          <w:snapToGrid w:val="0"/>
          <w:color w:val="000000"/>
          <w:kern w:val="21"/>
          <w:sz w:val="30"/>
          <w:szCs w:val="30"/>
        </w:rPr>
      </w:pPr>
      <w:r>
        <w:rPr>
          <w:rFonts w:ascii="黑体" w:hAnsi="黑体" w:eastAsia="黑体"/>
          <w:snapToGrid w:val="0"/>
          <w:color w:val="000000"/>
          <w:kern w:val="21"/>
          <w:sz w:val="30"/>
          <w:szCs w:val="30"/>
        </w:rPr>
        <w:t>目</w:t>
      </w:r>
      <w:r>
        <w:rPr>
          <w:rFonts w:hint="eastAsia" w:ascii="黑体" w:hAnsi="黑体" w:eastAsia="黑体"/>
          <w:snapToGrid w:val="0"/>
          <w:color w:val="000000"/>
          <w:kern w:val="21"/>
          <w:sz w:val="30"/>
          <w:szCs w:val="30"/>
        </w:rPr>
        <w:t xml:space="preserve"> </w:t>
      </w:r>
      <w:r>
        <w:rPr>
          <w:rFonts w:ascii="黑体" w:hAnsi="黑体" w:eastAsia="黑体"/>
          <w:snapToGrid w:val="0"/>
          <w:color w:val="000000"/>
          <w:kern w:val="21"/>
          <w:sz w:val="30"/>
          <w:szCs w:val="30"/>
        </w:rPr>
        <w:t>录</w:t>
      </w:r>
    </w:p>
    <w:p w14:paraId="165445A3">
      <w:pPr>
        <w:pStyle w:val="14"/>
        <w:tabs>
          <w:tab w:val="right" w:leader="dot" w:pos="8306"/>
        </w:tabs>
        <w:spacing w:line="360" w:lineRule="auto"/>
        <w:rPr>
          <w:rFonts w:eastAsia="黑体"/>
          <w:color w:val="000000"/>
          <w:sz w:val="24"/>
          <w:lang/>
        </w:rPr>
      </w:pPr>
      <w:r>
        <w:rPr>
          <w:rFonts w:eastAsia="黑体"/>
          <w:b/>
          <w:bCs/>
          <w:color w:val="000000"/>
          <w:sz w:val="24"/>
          <w:highlight w:val="yellow"/>
        </w:rPr>
        <w:fldChar w:fldCharType="begin"/>
      </w:r>
      <w:r>
        <w:rPr>
          <w:rFonts w:eastAsia="黑体"/>
          <w:b/>
          <w:bCs/>
          <w:color w:val="000000"/>
          <w:sz w:val="24"/>
          <w:highlight w:val="yellow"/>
        </w:rPr>
        <w:instrText xml:space="preserve">TOC \o "1-1" \h \u </w:instrText>
      </w:r>
      <w:r>
        <w:rPr>
          <w:rFonts w:eastAsia="黑体"/>
          <w:b/>
          <w:bCs/>
          <w:color w:val="000000"/>
          <w:sz w:val="24"/>
          <w:highlight w:val="yellow"/>
        </w:rPr>
        <w:fldChar w:fldCharType="separate"/>
      </w:r>
      <w:r>
        <w:rPr>
          <w:rFonts w:eastAsia="黑体"/>
          <w:bCs/>
          <w:color w:val="000000"/>
          <w:sz w:val="24"/>
          <w:highlight w:val="yellow"/>
          <w:lang/>
        </w:rPr>
        <w:fldChar w:fldCharType="begin"/>
      </w:r>
      <w:r>
        <w:rPr>
          <w:rFonts w:eastAsia="黑体"/>
          <w:bCs/>
          <w:color w:val="000000"/>
          <w:sz w:val="24"/>
          <w:highlight w:val="yellow"/>
          <w:lang/>
        </w:rPr>
        <w:instrText xml:space="preserve"> HYPERLINK \l _Toc350 </w:instrText>
      </w:r>
      <w:r>
        <w:rPr>
          <w:rFonts w:eastAsia="黑体"/>
          <w:bCs/>
          <w:color w:val="000000"/>
          <w:sz w:val="24"/>
          <w:highlight w:val="yellow"/>
          <w:lang/>
        </w:rPr>
        <w:fldChar w:fldCharType="separate"/>
      </w:r>
      <w:r>
        <w:rPr>
          <w:rFonts w:eastAsia="黑体"/>
          <w:snapToGrid w:val="0"/>
          <w:color w:val="000000"/>
          <w:kern w:val="21"/>
          <w:sz w:val="24"/>
          <w:lang/>
        </w:rPr>
        <w:t>一、建设项目基本情况</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_Toc350 \h </w:instrText>
      </w:r>
      <w:r>
        <w:rPr>
          <w:rFonts w:eastAsia="黑体"/>
          <w:color w:val="000000"/>
          <w:sz w:val="24"/>
          <w:lang/>
        </w:rPr>
        <w:fldChar w:fldCharType="separate"/>
      </w:r>
      <w:r>
        <w:rPr>
          <w:rFonts w:eastAsia="黑体"/>
          <w:color w:val="000000"/>
          <w:sz w:val="24"/>
          <w:lang/>
        </w:rPr>
        <w:t>1</w:t>
      </w:r>
      <w:r>
        <w:rPr>
          <w:rFonts w:eastAsia="黑体"/>
          <w:color w:val="000000"/>
          <w:sz w:val="24"/>
          <w:lang/>
        </w:rPr>
        <w:fldChar w:fldCharType="end"/>
      </w:r>
      <w:r>
        <w:rPr>
          <w:rFonts w:eastAsia="黑体"/>
          <w:bCs/>
          <w:color w:val="000000"/>
          <w:sz w:val="24"/>
          <w:highlight w:val="yellow"/>
          <w:lang/>
        </w:rPr>
        <w:fldChar w:fldCharType="end"/>
      </w:r>
    </w:p>
    <w:p w14:paraId="5ED57A2F">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_Toc25716 </w:instrText>
      </w:r>
      <w:r>
        <w:rPr>
          <w:rFonts w:eastAsia="黑体"/>
          <w:bCs/>
          <w:color w:val="000000"/>
          <w:sz w:val="24"/>
          <w:highlight w:val="yellow"/>
          <w:lang/>
        </w:rPr>
        <w:fldChar w:fldCharType="separate"/>
      </w:r>
      <w:r>
        <w:rPr>
          <w:rFonts w:eastAsia="黑体"/>
          <w:snapToGrid w:val="0"/>
          <w:color w:val="000000"/>
          <w:kern w:val="21"/>
          <w:sz w:val="24"/>
          <w:lang/>
        </w:rPr>
        <w:t>二、建设项目工程分析</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_Toc25716 \h </w:instrText>
      </w:r>
      <w:r>
        <w:rPr>
          <w:rFonts w:eastAsia="黑体"/>
          <w:color w:val="000000"/>
          <w:sz w:val="24"/>
          <w:lang/>
        </w:rPr>
        <w:fldChar w:fldCharType="separate"/>
      </w:r>
      <w:r>
        <w:rPr>
          <w:rFonts w:eastAsia="黑体"/>
          <w:color w:val="000000"/>
          <w:sz w:val="24"/>
          <w:lang/>
        </w:rPr>
        <w:t>11</w:t>
      </w:r>
      <w:r>
        <w:rPr>
          <w:rFonts w:eastAsia="黑体"/>
          <w:color w:val="000000"/>
          <w:sz w:val="24"/>
          <w:lang/>
        </w:rPr>
        <w:fldChar w:fldCharType="end"/>
      </w:r>
      <w:r>
        <w:rPr>
          <w:rFonts w:eastAsia="黑体"/>
          <w:bCs/>
          <w:color w:val="000000"/>
          <w:sz w:val="24"/>
          <w:highlight w:val="yellow"/>
          <w:lang/>
        </w:rPr>
        <w:fldChar w:fldCharType="end"/>
      </w:r>
    </w:p>
    <w:p w14:paraId="27B76DD7">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_Toc5826 </w:instrText>
      </w:r>
      <w:r>
        <w:rPr>
          <w:rFonts w:eastAsia="黑体"/>
          <w:bCs/>
          <w:color w:val="000000"/>
          <w:sz w:val="24"/>
          <w:highlight w:val="yellow"/>
          <w:lang/>
        </w:rPr>
        <w:fldChar w:fldCharType="separate"/>
      </w:r>
      <w:r>
        <w:rPr>
          <w:rFonts w:eastAsia="黑体"/>
          <w:snapToGrid w:val="0"/>
          <w:color w:val="000000"/>
          <w:kern w:val="21"/>
          <w:sz w:val="24"/>
          <w:lang/>
        </w:rPr>
        <w:t>三、区域环境质量现状、环境保护目标及评价标准</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_Toc5826 \h </w:instrText>
      </w:r>
      <w:r>
        <w:rPr>
          <w:rFonts w:eastAsia="黑体"/>
          <w:color w:val="000000"/>
          <w:sz w:val="24"/>
          <w:lang/>
        </w:rPr>
        <w:fldChar w:fldCharType="separate"/>
      </w:r>
      <w:r>
        <w:rPr>
          <w:rFonts w:eastAsia="黑体"/>
          <w:color w:val="000000"/>
          <w:sz w:val="24"/>
          <w:lang/>
        </w:rPr>
        <w:t>22</w:t>
      </w:r>
      <w:r>
        <w:rPr>
          <w:rFonts w:eastAsia="黑体"/>
          <w:color w:val="000000"/>
          <w:sz w:val="24"/>
          <w:lang/>
        </w:rPr>
        <w:fldChar w:fldCharType="end"/>
      </w:r>
      <w:r>
        <w:rPr>
          <w:rFonts w:eastAsia="黑体"/>
          <w:bCs/>
          <w:color w:val="000000"/>
          <w:sz w:val="24"/>
          <w:highlight w:val="yellow"/>
          <w:lang/>
        </w:rPr>
        <w:fldChar w:fldCharType="end"/>
      </w:r>
    </w:p>
    <w:p w14:paraId="28F746C8">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_Toc23635 </w:instrText>
      </w:r>
      <w:r>
        <w:rPr>
          <w:rFonts w:eastAsia="黑体"/>
          <w:bCs/>
          <w:color w:val="000000"/>
          <w:sz w:val="24"/>
          <w:highlight w:val="yellow"/>
          <w:lang/>
        </w:rPr>
        <w:fldChar w:fldCharType="separate"/>
      </w:r>
      <w:r>
        <w:rPr>
          <w:rFonts w:eastAsia="黑体"/>
          <w:snapToGrid w:val="0"/>
          <w:color w:val="000000"/>
          <w:kern w:val="21"/>
          <w:sz w:val="24"/>
          <w:lang/>
        </w:rPr>
        <w:t>四、主要环境影响和保护措施</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_Toc23635 \h </w:instrText>
      </w:r>
      <w:r>
        <w:rPr>
          <w:rFonts w:eastAsia="黑体"/>
          <w:color w:val="000000"/>
          <w:sz w:val="24"/>
          <w:lang/>
        </w:rPr>
        <w:fldChar w:fldCharType="separate"/>
      </w:r>
      <w:r>
        <w:rPr>
          <w:rFonts w:eastAsia="黑体"/>
          <w:color w:val="000000"/>
          <w:sz w:val="24"/>
          <w:lang/>
        </w:rPr>
        <w:t>29</w:t>
      </w:r>
      <w:r>
        <w:rPr>
          <w:rFonts w:eastAsia="黑体"/>
          <w:color w:val="000000"/>
          <w:sz w:val="24"/>
          <w:lang/>
        </w:rPr>
        <w:fldChar w:fldCharType="end"/>
      </w:r>
      <w:r>
        <w:rPr>
          <w:rFonts w:eastAsia="黑体"/>
          <w:bCs/>
          <w:color w:val="000000"/>
          <w:sz w:val="24"/>
          <w:highlight w:val="yellow"/>
          <w:lang/>
        </w:rPr>
        <w:fldChar w:fldCharType="end"/>
      </w:r>
    </w:p>
    <w:p w14:paraId="44F555C7">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_Toc26787 </w:instrText>
      </w:r>
      <w:r>
        <w:rPr>
          <w:rFonts w:eastAsia="黑体"/>
          <w:bCs/>
          <w:color w:val="000000"/>
          <w:sz w:val="24"/>
          <w:highlight w:val="yellow"/>
          <w:lang/>
        </w:rPr>
        <w:fldChar w:fldCharType="separate"/>
      </w:r>
      <w:r>
        <w:rPr>
          <w:rFonts w:eastAsia="黑体"/>
          <w:snapToGrid w:val="0"/>
          <w:color w:val="000000"/>
          <w:kern w:val="21"/>
          <w:sz w:val="24"/>
          <w:lang/>
        </w:rPr>
        <w:t>五、环境保护措施监督检查清单</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_Toc26787 \h </w:instrText>
      </w:r>
      <w:r>
        <w:rPr>
          <w:rFonts w:eastAsia="黑体"/>
          <w:color w:val="000000"/>
          <w:sz w:val="24"/>
          <w:lang/>
        </w:rPr>
        <w:fldChar w:fldCharType="separate"/>
      </w:r>
      <w:r>
        <w:rPr>
          <w:rFonts w:eastAsia="黑体"/>
          <w:color w:val="000000"/>
          <w:sz w:val="24"/>
          <w:lang/>
        </w:rPr>
        <w:t>47</w:t>
      </w:r>
      <w:r>
        <w:rPr>
          <w:rFonts w:eastAsia="黑体"/>
          <w:color w:val="000000"/>
          <w:sz w:val="24"/>
          <w:lang/>
        </w:rPr>
        <w:fldChar w:fldCharType="end"/>
      </w:r>
      <w:r>
        <w:rPr>
          <w:rFonts w:eastAsia="黑体"/>
          <w:bCs/>
          <w:color w:val="000000"/>
          <w:sz w:val="24"/>
          <w:highlight w:val="yellow"/>
          <w:lang/>
        </w:rPr>
        <w:fldChar w:fldCharType="end"/>
      </w:r>
    </w:p>
    <w:p w14:paraId="2713A692">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_Toc5467 </w:instrText>
      </w:r>
      <w:r>
        <w:rPr>
          <w:rFonts w:eastAsia="黑体"/>
          <w:bCs/>
          <w:color w:val="000000"/>
          <w:sz w:val="24"/>
          <w:highlight w:val="yellow"/>
          <w:lang/>
        </w:rPr>
        <w:fldChar w:fldCharType="separate"/>
      </w:r>
      <w:r>
        <w:rPr>
          <w:rFonts w:eastAsia="黑体"/>
          <w:snapToGrid w:val="0"/>
          <w:color w:val="000000"/>
          <w:kern w:val="21"/>
          <w:sz w:val="24"/>
          <w:lang/>
        </w:rPr>
        <w:t>六、结论</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_Toc5467 \h </w:instrText>
      </w:r>
      <w:r>
        <w:rPr>
          <w:rFonts w:eastAsia="黑体"/>
          <w:color w:val="000000"/>
          <w:sz w:val="24"/>
          <w:lang/>
        </w:rPr>
        <w:fldChar w:fldCharType="separate"/>
      </w:r>
      <w:r>
        <w:rPr>
          <w:rFonts w:eastAsia="黑体"/>
          <w:color w:val="000000"/>
          <w:sz w:val="24"/>
          <w:lang/>
        </w:rPr>
        <w:t>50</w:t>
      </w:r>
      <w:r>
        <w:rPr>
          <w:rFonts w:eastAsia="黑体"/>
          <w:color w:val="000000"/>
          <w:sz w:val="24"/>
          <w:lang/>
        </w:rPr>
        <w:fldChar w:fldCharType="end"/>
      </w:r>
      <w:r>
        <w:rPr>
          <w:rFonts w:eastAsia="黑体"/>
          <w:bCs/>
          <w:color w:val="000000"/>
          <w:sz w:val="24"/>
          <w:highlight w:val="yellow"/>
          <w:lang/>
        </w:rPr>
        <w:fldChar w:fldCharType="end"/>
      </w:r>
    </w:p>
    <w:p w14:paraId="4BD16B96">
      <w:pPr>
        <w:pStyle w:val="14"/>
        <w:tabs>
          <w:tab w:val="right" w:leader="dot" w:pos="8306"/>
        </w:tabs>
        <w:spacing w:line="360" w:lineRule="auto"/>
        <w:rPr>
          <w:rFonts w:eastAsia="黑体"/>
          <w:color w:val="000000"/>
          <w:sz w:val="24"/>
          <w:lang/>
        </w:rPr>
      </w:pPr>
      <w:r>
        <w:rPr>
          <w:rFonts w:eastAsia="黑体"/>
          <w:bCs/>
          <w:color w:val="000000"/>
          <w:sz w:val="24"/>
          <w:highlight w:val="yellow"/>
          <w:lang/>
        </w:rPr>
        <w:fldChar w:fldCharType="begin"/>
      </w:r>
      <w:r>
        <w:rPr>
          <w:rFonts w:eastAsia="黑体"/>
          <w:bCs/>
          <w:color w:val="000000"/>
          <w:sz w:val="24"/>
          <w:highlight w:val="yellow"/>
          <w:lang/>
        </w:rPr>
        <w:instrText xml:space="preserve"> HYPERLINK \l _Toc8234 </w:instrText>
      </w:r>
      <w:r>
        <w:rPr>
          <w:rFonts w:eastAsia="黑体"/>
          <w:bCs/>
          <w:color w:val="000000"/>
          <w:sz w:val="24"/>
          <w:highlight w:val="yellow"/>
          <w:lang/>
        </w:rPr>
        <w:fldChar w:fldCharType="separate"/>
      </w:r>
      <w:r>
        <w:rPr>
          <w:rFonts w:eastAsia="黑体"/>
          <w:bCs/>
          <w:snapToGrid w:val="0"/>
          <w:color w:val="000000"/>
          <w:sz w:val="24"/>
          <w:lang/>
        </w:rPr>
        <w:t>附表</w:t>
      </w:r>
      <w:r>
        <w:rPr>
          <w:rFonts w:eastAsia="黑体"/>
          <w:color w:val="000000"/>
          <w:sz w:val="24"/>
          <w:lang/>
        </w:rPr>
        <w:tab/>
      </w:r>
      <w:r>
        <w:rPr>
          <w:rFonts w:eastAsia="黑体"/>
          <w:color w:val="000000"/>
          <w:sz w:val="24"/>
          <w:lang/>
        </w:rPr>
        <w:fldChar w:fldCharType="begin"/>
      </w:r>
      <w:r>
        <w:rPr>
          <w:rFonts w:eastAsia="黑体"/>
          <w:color w:val="000000"/>
          <w:sz w:val="24"/>
          <w:lang/>
        </w:rPr>
        <w:instrText xml:space="preserve"> PAGEREF _Toc8234 \h </w:instrText>
      </w:r>
      <w:r>
        <w:rPr>
          <w:rFonts w:eastAsia="黑体"/>
          <w:color w:val="000000"/>
          <w:sz w:val="24"/>
          <w:lang/>
        </w:rPr>
        <w:fldChar w:fldCharType="separate"/>
      </w:r>
      <w:r>
        <w:rPr>
          <w:rFonts w:eastAsia="黑体"/>
          <w:color w:val="000000"/>
          <w:sz w:val="24"/>
          <w:lang/>
        </w:rPr>
        <w:t>51</w:t>
      </w:r>
      <w:r>
        <w:rPr>
          <w:rFonts w:eastAsia="黑体"/>
          <w:color w:val="000000"/>
          <w:sz w:val="24"/>
          <w:lang/>
        </w:rPr>
        <w:fldChar w:fldCharType="end"/>
      </w:r>
      <w:r>
        <w:rPr>
          <w:rFonts w:eastAsia="黑体"/>
          <w:bCs/>
          <w:color w:val="000000"/>
          <w:sz w:val="24"/>
          <w:highlight w:val="yellow"/>
          <w:lang/>
        </w:rPr>
        <w:fldChar w:fldCharType="end"/>
      </w:r>
    </w:p>
    <w:p w14:paraId="423FA79D">
      <w:pPr>
        <w:spacing w:line="360" w:lineRule="auto"/>
        <w:rPr>
          <w:bCs/>
          <w:color w:val="000000"/>
          <w:szCs w:val="28"/>
          <w:highlight w:val="yellow"/>
        </w:rPr>
      </w:pPr>
      <w:r>
        <w:rPr>
          <w:rFonts w:eastAsia="黑体"/>
          <w:bCs/>
          <w:color w:val="000000"/>
          <w:sz w:val="24"/>
          <w:highlight w:val="yellow"/>
        </w:rPr>
        <w:fldChar w:fldCharType="end"/>
      </w:r>
    </w:p>
    <w:p w14:paraId="28EB181F">
      <w:pPr>
        <w:rPr>
          <w:rFonts w:eastAsia="黑体"/>
          <w:bCs/>
          <w:color w:val="000000"/>
          <w:szCs w:val="21"/>
        </w:rPr>
      </w:pPr>
      <w:r>
        <w:rPr>
          <w:bCs/>
          <w:color w:val="000000"/>
          <w:szCs w:val="28"/>
          <w:highlight w:val="yellow"/>
        </w:rPr>
        <w:br w:type="page"/>
      </w:r>
      <w:r>
        <w:rPr>
          <w:rFonts w:eastAsia="黑体"/>
          <w:bCs/>
          <w:color w:val="000000"/>
          <w:szCs w:val="21"/>
        </w:rPr>
        <w:t>==附图==</w:t>
      </w:r>
    </w:p>
    <w:p w14:paraId="0F2585E7">
      <w:pPr>
        <w:widowControl/>
        <w:spacing w:line="360" w:lineRule="auto"/>
        <w:ind w:firstLine="420" w:firstLineChars="200"/>
        <w:rPr>
          <w:rFonts w:eastAsia="黑体"/>
          <w:bCs/>
          <w:color w:val="000000"/>
          <w:szCs w:val="21"/>
        </w:rPr>
      </w:pPr>
      <w:r>
        <w:rPr>
          <w:rFonts w:eastAsia="黑体"/>
          <w:bCs/>
          <w:color w:val="000000"/>
          <w:szCs w:val="21"/>
        </w:rPr>
        <w:t>附图1  项目地理位置图</w:t>
      </w:r>
    </w:p>
    <w:p w14:paraId="480CDAED">
      <w:pPr>
        <w:widowControl/>
        <w:spacing w:line="360" w:lineRule="auto"/>
        <w:ind w:firstLine="420" w:firstLineChars="200"/>
        <w:rPr>
          <w:rFonts w:eastAsia="黑体"/>
          <w:bCs/>
          <w:color w:val="000000"/>
          <w:szCs w:val="21"/>
        </w:rPr>
      </w:pPr>
      <w:r>
        <w:rPr>
          <w:rFonts w:eastAsia="黑体"/>
          <w:bCs/>
          <w:color w:val="000000"/>
          <w:szCs w:val="21"/>
        </w:rPr>
        <w:t>附图2  项目水系图</w:t>
      </w:r>
    </w:p>
    <w:p w14:paraId="70A69894">
      <w:pPr>
        <w:widowControl/>
        <w:spacing w:line="360" w:lineRule="auto"/>
        <w:ind w:firstLine="420" w:firstLineChars="200"/>
        <w:rPr>
          <w:rFonts w:eastAsia="黑体"/>
          <w:bCs/>
          <w:color w:val="000000"/>
          <w:szCs w:val="21"/>
        </w:rPr>
      </w:pPr>
      <w:r>
        <w:rPr>
          <w:rFonts w:eastAsia="黑体"/>
          <w:bCs/>
          <w:color w:val="000000"/>
          <w:szCs w:val="21"/>
        </w:rPr>
        <w:t>附图3  项目平面布置图</w:t>
      </w:r>
    </w:p>
    <w:p w14:paraId="2B5FAB49">
      <w:pPr>
        <w:widowControl/>
        <w:spacing w:line="360" w:lineRule="auto"/>
        <w:ind w:firstLine="420" w:firstLineChars="200"/>
        <w:rPr>
          <w:rFonts w:eastAsia="黑体"/>
          <w:bCs/>
          <w:color w:val="000000"/>
          <w:szCs w:val="21"/>
        </w:rPr>
      </w:pPr>
      <w:r>
        <w:rPr>
          <w:rFonts w:eastAsia="黑体"/>
          <w:bCs/>
          <w:color w:val="000000"/>
          <w:szCs w:val="21"/>
        </w:rPr>
        <w:t>附图</w:t>
      </w:r>
      <w:r>
        <w:rPr>
          <w:rFonts w:hint="eastAsia" w:eastAsia="黑体"/>
          <w:bCs/>
          <w:color w:val="000000"/>
          <w:szCs w:val="21"/>
        </w:rPr>
        <w:t>4</w:t>
      </w:r>
      <w:r>
        <w:rPr>
          <w:rFonts w:eastAsia="黑体"/>
          <w:bCs/>
          <w:color w:val="000000"/>
          <w:szCs w:val="21"/>
        </w:rPr>
        <w:t xml:space="preserve">  项目周边关系图</w:t>
      </w:r>
    </w:p>
    <w:p w14:paraId="45C5D6F9">
      <w:pPr>
        <w:widowControl/>
        <w:spacing w:line="360" w:lineRule="auto"/>
        <w:ind w:firstLine="420" w:firstLineChars="200"/>
        <w:rPr>
          <w:rFonts w:hint="eastAsia" w:eastAsia="黑体"/>
          <w:bCs/>
          <w:color w:val="000000"/>
          <w:szCs w:val="21"/>
        </w:rPr>
      </w:pPr>
      <w:r>
        <w:rPr>
          <w:rFonts w:hint="eastAsia" w:eastAsia="黑体"/>
          <w:bCs/>
          <w:color w:val="000000"/>
          <w:szCs w:val="21"/>
        </w:rPr>
        <w:t>附图</w:t>
      </w:r>
      <w:r>
        <w:rPr>
          <w:rFonts w:eastAsia="黑体"/>
          <w:bCs/>
          <w:color w:val="000000"/>
          <w:szCs w:val="21"/>
        </w:rPr>
        <w:t>5</w:t>
      </w:r>
      <w:r>
        <w:rPr>
          <w:rFonts w:hint="eastAsia" w:eastAsia="黑体"/>
          <w:bCs/>
          <w:color w:val="000000"/>
          <w:szCs w:val="21"/>
        </w:rPr>
        <w:t xml:space="preserve">  项目与昆明市环境管控单元分类图的位置关系图</w:t>
      </w:r>
    </w:p>
    <w:p w14:paraId="0CD41429">
      <w:pPr>
        <w:widowControl/>
        <w:spacing w:line="360" w:lineRule="auto"/>
        <w:ind w:firstLine="420" w:firstLineChars="200"/>
        <w:rPr>
          <w:rFonts w:hint="eastAsia" w:eastAsia="黑体"/>
          <w:bCs/>
          <w:color w:val="000000"/>
          <w:szCs w:val="21"/>
        </w:rPr>
      </w:pPr>
      <w:r>
        <w:rPr>
          <w:rFonts w:hint="eastAsia" w:eastAsia="黑体"/>
          <w:bCs/>
          <w:color w:val="000000"/>
          <w:szCs w:val="21"/>
        </w:rPr>
        <w:t>附图</w:t>
      </w:r>
      <w:r>
        <w:rPr>
          <w:rFonts w:eastAsia="黑体"/>
          <w:bCs/>
          <w:color w:val="000000"/>
          <w:szCs w:val="21"/>
        </w:rPr>
        <w:t>6</w:t>
      </w:r>
      <w:r>
        <w:rPr>
          <w:rFonts w:hint="eastAsia" w:eastAsia="黑体"/>
          <w:bCs/>
          <w:color w:val="000000"/>
          <w:szCs w:val="21"/>
        </w:rPr>
        <w:t xml:space="preserve">  监测点位图</w:t>
      </w:r>
    </w:p>
    <w:p w14:paraId="02D56397">
      <w:pPr>
        <w:widowControl/>
        <w:spacing w:line="360" w:lineRule="auto"/>
        <w:ind w:firstLine="420" w:firstLineChars="200"/>
        <w:rPr>
          <w:rFonts w:eastAsia="黑体"/>
          <w:bCs/>
          <w:color w:val="000000"/>
          <w:szCs w:val="21"/>
        </w:rPr>
      </w:pPr>
    </w:p>
    <w:p w14:paraId="16746996">
      <w:pPr>
        <w:spacing w:line="360" w:lineRule="auto"/>
        <w:rPr>
          <w:rFonts w:eastAsia="黑体"/>
          <w:bCs/>
          <w:color w:val="000000"/>
          <w:szCs w:val="21"/>
        </w:rPr>
      </w:pPr>
    </w:p>
    <w:p w14:paraId="3260EFC2">
      <w:pPr>
        <w:spacing w:line="360" w:lineRule="auto"/>
        <w:rPr>
          <w:rFonts w:eastAsia="黑体"/>
          <w:bCs/>
          <w:color w:val="000000"/>
          <w:szCs w:val="21"/>
        </w:rPr>
      </w:pPr>
      <w:r>
        <w:rPr>
          <w:rFonts w:eastAsia="黑体"/>
          <w:bCs/>
          <w:color w:val="000000"/>
          <w:szCs w:val="21"/>
        </w:rPr>
        <w:t>==附件==</w:t>
      </w:r>
    </w:p>
    <w:p w14:paraId="12285137">
      <w:pPr>
        <w:spacing w:line="360" w:lineRule="auto"/>
        <w:ind w:firstLine="420" w:firstLineChars="200"/>
        <w:jc w:val="left"/>
        <w:rPr>
          <w:rFonts w:eastAsia="黑体"/>
          <w:bCs/>
          <w:color w:val="000000"/>
          <w:szCs w:val="21"/>
        </w:rPr>
      </w:pPr>
      <w:r>
        <w:rPr>
          <w:rFonts w:eastAsia="黑体"/>
          <w:bCs/>
          <w:color w:val="000000"/>
          <w:szCs w:val="21"/>
        </w:rPr>
        <w:t>附件1  委托书</w:t>
      </w:r>
    </w:p>
    <w:p w14:paraId="4218DE61">
      <w:pPr>
        <w:spacing w:line="360" w:lineRule="auto"/>
        <w:ind w:firstLine="420" w:firstLineChars="200"/>
        <w:jc w:val="left"/>
        <w:rPr>
          <w:rFonts w:eastAsia="黑体"/>
          <w:bCs/>
          <w:color w:val="000000"/>
          <w:szCs w:val="21"/>
        </w:rPr>
      </w:pPr>
      <w:r>
        <w:rPr>
          <w:rFonts w:eastAsia="黑体"/>
          <w:bCs/>
          <w:color w:val="000000"/>
          <w:szCs w:val="21"/>
        </w:rPr>
        <w:t>附件2  营业执照</w:t>
      </w:r>
    </w:p>
    <w:p w14:paraId="75458886">
      <w:pPr>
        <w:spacing w:line="360" w:lineRule="auto"/>
        <w:ind w:firstLine="420" w:firstLineChars="200"/>
        <w:jc w:val="left"/>
        <w:rPr>
          <w:rFonts w:eastAsia="黑体"/>
          <w:bCs/>
          <w:color w:val="000000"/>
          <w:szCs w:val="21"/>
        </w:rPr>
      </w:pPr>
      <w:r>
        <w:rPr>
          <w:rFonts w:eastAsia="黑体"/>
          <w:bCs/>
          <w:color w:val="000000"/>
          <w:szCs w:val="21"/>
        </w:rPr>
        <w:t>附件3  投资项目备案证</w:t>
      </w:r>
    </w:p>
    <w:p w14:paraId="28F878FC">
      <w:pPr>
        <w:spacing w:line="360" w:lineRule="auto"/>
        <w:ind w:firstLine="420" w:firstLineChars="200"/>
        <w:jc w:val="left"/>
        <w:rPr>
          <w:rFonts w:eastAsia="黑体"/>
          <w:bCs/>
          <w:color w:val="000000"/>
          <w:szCs w:val="21"/>
        </w:rPr>
      </w:pPr>
      <w:r>
        <w:rPr>
          <w:rFonts w:eastAsia="黑体"/>
          <w:bCs/>
          <w:color w:val="000000"/>
          <w:szCs w:val="21"/>
        </w:rPr>
        <w:t>附件4  租地合同</w:t>
      </w:r>
    </w:p>
    <w:p w14:paraId="65F6AF0D">
      <w:pPr>
        <w:spacing w:line="360" w:lineRule="auto"/>
        <w:ind w:firstLine="420" w:firstLineChars="200"/>
        <w:jc w:val="left"/>
        <w:rPr>
          <w:rFonts w:eastAsia="黑体"/>
          <w:bCs/>
          <w:color w:val="000000"/>
          <w:szCs w:val="21"/>
        </w:rPr>
      </w:pPr>
      <w:r>
        <w:rPr>
          <w:rFonts w:eastAsia="黑体"/>
          <w:bCs/>
          <w:color w:val="000000"/>
          <w:szCs w:val="21"/>
        </w:rPr>
        <w:t xml:space="preserve">附件5  </w:t>
      </w:r>
      <w:r>
        <w:rPr>
          <w:rFonts w:hint="eastAsia" w:eastAsia="黑体"/>
          <w:bCs/>
          <w:color w:val="000000"/>
          <w:szCs w:val="21"/>
        </w:rPr>
        <w:t>生态红线查询结果的复函</w:t>
      </w:r>
    </w:p>
    <w:p w14:paraId="114D503A">
      <w:pPr>
        <w:spacing w:line="360" w:lineRule="auto"/>
        <w:ind w:firstLine="420" w:firstLineChars="200"/>
        <w:jc w:val="left"/>
        <w:rPr>
          <w:rFonts w:eastAsia="黑体"/>
          <w:bCs/>
          <w:color w:val="000000"/>
          <w:szCs w:val="21"/>
        </w:rPr>
      </w:pPr>
      <w:r>
        <w:rPr>
          <w:rFonts w:eastAsia="黑体"/>
          <w:bCs/>
          <w:color w:val="000000"/>
          <w:szCs w:val="21"/>
        </w:rPr>
        <w:t>附件</w:t>
      </w:r>
      <w:r>
        <w:rPr>
          <w:rFonts w:hint="eastAsia" w:eastAsia="黑体"/>
          <w:bCs/>
          <w:color w:val="000000"/>
          <w:szCs w:val="21"/>
        </w:rPr>
        <w:t>6</w:t>
      </w:r>
      <w:r>
        <w:rPr>
          <w:rFonts w:eastAsia="黑体"/>
          <w:bCs/>
          <w:color w:val="000000"/>
          <w:szCs w:val="21"/>
        </w:rPr>
        <w:t xml:space="preserve">  检测报告</w:t>
      </w:r>
    </w:p>
    <w:p w14:paraId="211A41D4">
      <w:pPr>
        <w:spacing w:line="360" w:lineRule="auto"/>
        <w:ind w:firstLine="420" w:firstLineChars="200"/>
        <w:jc w:val="left"/>
        <w:rPr>
          <w:rFonts w:hint="eastAsia" w:eastAsia="黑体"/>
          <w:bCs/>
          <w:color w:val="000000"/>
          <w:szCs w:val="21"/>
        </w:rPr>
      </w:pPr>
      <w:r>
        <w:rPr>
          <w:rFonts w:hint="eastAsia" w:eastAsia="黑体"/>
          <w:bCs/>
          <w:color w:val="000000"/>
          <w:szCs w:val="21"/>
        </w:rPr>
        <w:t>附件7  检测报告（引用）</w:t>
      </w:r>
    </w:p>
    <w:p w14:paraId="0D987603">
      <w:pPr>
        <w:spacing w:line="360" w:lineRule="auto"/>
        <w:ind w:firstLine="420" w:firstLineChars="200"/>
        <w:jc w:val="left"/>
        <w:rPr>
          <w:rFonts w:hint="eastAsia" w:eastAsia="黑体"/>
          <w:bCs/>
          <w:color w:val="000000"/>
          <w:szCs w:val="21"/>
        </w:rPr>
      </w:pPr>
      <w:r>
        <w:rPr>
          <w:rFonts w:hint="eastAsia" w:eastAsia="黑体"/>
          <w:bCs/>
          <w:color w:val="000000"/>
          <w:szCs w:val="21"/>
        </w:rPr>
        <w:t>附件8  行政处罚告知书</w:t>
      </w:r>
    </w:p>
    <w:p w14:paraId="0DB1EF6F">
      <w:pPr>
        <w:spacing w:line="360" w:lineRule="auto"/>
        <w:ind w:firstLine="420" w:firstLineChars="200"/>
        <w:jc w:val="left"/>
        <w:rPr>
          <w:rFonts w:eastAsia="黑体"/>
          <w:bCs/>
          <w:color w:val="000000"/>
          <w:szCs w:val="21"/>
        </w:rPr>
      </w:pPr>
      <w:r>
        <w:rPr>
          <w:rFonts w:hint="eastAsia" w:eastAsia="黑体"/>
          <w:bCs/>
          <w:color w:val="000000"/>
          <w:szCs w:val="21"/>
        </w:rPr>
        <w:t>附件</w:t>
      </w:r>
      <w:r>
        <w:rPr>
          <w:rFonts w:eastAsia="黑体"/>
          <w:bCs/>
          <w:color w:val="000000"/>
          <w:szCs w:val="21"/>
        </w:rPr>
        <w:t>9</w:t>
      </w:r>
      <w:r>
        <w:rPr>
          <w:rFonts w:hint="eastAsia" w:eastAsia="黑体"/>
          <w:bCs/>
          <w:color w:val="000000"/>
          <w:szCs w:val="21"/>
        </w:rPr>
        <w:t xml:space="preserve">  环评合同</w:t>
      </w:r>
    </w:p>
    <w:p w14:paraId="4C120871">
      <w:pPr>
        <w:spacing w:line="360" w:lineRule="auto"/>
        <w:ind w:firstLine="420" w:firstLineChars="200"/>
        <w:jc w:val="left"/>
        <w:rPr>
          <w:rFonts w:hint="eastAsia" w:eastAsia="黑体"/>
          <w:bCs/>
          <w:color w:val="000000"/>
          <w:szCs w:val="21"/>
        </w:rPr>
      </w:pPr>
      <w:r>
        <w:rPr>
          <w:rFonts w:hint="eastAsia" w:eastAsia="黑体"/>
          <w:bCs/>
          <w:color w:val="000000"/>
          <w:szCs w:val="21"/>
        </w:rPr>
        <w:t>附件10  全本信息公开截图</w:t>
      </w:r>
    </w:p>
    <w:p w14:paraId="70757E3F">
      <w:pPr>
        <w:rPr>
          <w:rFonts w:eastAsia="仿宋_GB2312"/>
          <w:color w:val="000000"/>
          <w:sz w:val="36"/>
          <w:szCs w:val="36"/>
        </w:rPr>
      </w:pPr>
    </w:p>
    <w:p w14:paraId="30713F60">
      <w:pPr>
        <w:spacing w:line="360" w:lineRule="auto"/>
        <w:ind w:firstLine="480" w:firstLineChars="200"/>
        <w:jc w:val="left"/>
        <w:rPr>
          <w:bCs/>
          <w:color w:val="000000"/>
          <w:sz w:val="24"/>
        </w:rPr>
      </w:pPr>
    </w:p>
    <w:p w14:paraId="4EAC9FC1">
      <w:pPr>
        <w:spacing w:line="360" w:lineRule="auto"/>
        <w:jc w:val="left"/>
        <w:rPr>
          <w:color w:val="000000"/>
          <w:sz w:val="24"/>
        </w:rPr>
        <w:sectPr>
          <w:footerReference r:id="rId3" w:type="default"/>
          <w:pgSz w:w="11906" w:h="16838"/>
          <w:pgMar w:top="1440" w:right="1800" w:bottom="1440" w:left="1800" w:header="851" w:footer="992" w:gutter="0"/>
          <w:pgNumType w:fmt="upperRoman" w:start="1"/>
          <w:cols w:space="720" w:num="1"/>
          <w:docGrid w:type="lines" w:linePitch="312" w:charSpace="0"/>
        </w:sectPr>
      </w:pPr>
    </w:p>
    <w:p w14:paraId="06EC333E">
      <w:pPr>
        <w:pStyle w:val="16"/>
        <w:jc w:val="center"/>
        <w:outlineLvl w:val="0"/>
        <w:rPr>
          <w:rFonts w:ascii="黑体" w:hAnsi="黑体" w:eastAsia="黑体"/>
          <w:snapToGrid w:val="0"/>
          <w:color w:val="000000"/>
          <w:kern w:val="21"/>
          <w:sz w:val="30"/>
          <w:szCs w:val="30"/>
        </w:rPr>
      </w:pPr>
      <w:bookmarkStart w:id="0" w:name="_Toc350"/>
      <w:r>
        <w:rPr>
          <w:rFonts w:ascii="黑体" w:hAnsi="黑体" w:eastAsia="黑体"/>
          <w:snapToGrid w:val="0"/>
          <w:color w:val="000000"/>
          <w:kern w:val="21"/>
          <w:sz w:val="30"/>
          <w:szCs w:val="30"/>
        </w:rPr>
        <w:t>一、建设项目基本情况</w:t>
      </w:r>
      <w:bookmarkEnd w:id="0"/>
    </w:p>
    <w:tbl>
      <w:tblPr>
        <w:tblStyle w:val="20"/>
        <w:tblW w:w="887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1939"/>
        <w:gridCol w:w="2080"/>
        <w:gridCol w:w="2212"/>
        <w:gridCol w:w="2639"/>
      </w:tblGrid>
      <w:tr w14:paraId="6AED5A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21" w:hRule="atLeast"/>
          <w:jc w:val="center"/>
        </w:trPr>
        <w:tc>
          <w:tcPr>
            <w:tcW w:w="1939" w:type="dxa"/>
            <w:tcBorders>
              <w:bottom w:val="single" w:color="auto" w:sz="8" w:space="0"/>
              <w:right w:val="single" w:color="auto" w:sz="8" w:space="0"/>
            </w:tcBorders>
            <w:noWrap w:val="0"/>
            <w:tcMar>
              <w:top w:w="16" w:type="dxa"/>
              <w:left w:w="16" w:type="dxa"/>
              <w:right w:w="16" w:type="dxa"/>
            </w:tcMar>
            <w:vAlign w:val="center"/>
          </w:tcPr>
          <w:p w14:paraId="64492C34">
            <w:pPr>
              <w:adjustRightInd w:val="0"/>
              <w:spacing w:line="360" w:lineRule="auto"/>
              <w:jc w:val="center"/>
              <w:rPr>
                <w:color w:val="000000"/>
                <w:sz w:val="24"/>
              </w:rPr>
            </w:pPr>
            <w:r>
              <w:rPr>
                <w:color w:val="000000"/>
                <w:sz w:val="24"/>
              </w:rPr>
              <w:t>建设项目名称</w:t>
            </w:r>
          </w:p>
        </w:tc>
        <w:tc>
          <w:tcPr>
            <w:tcW w:w="6931" w:type="dxa"/>
            <w:gridSpan w:val="3"/>
            <w:tcBorders>
              <w:left w:val="single" w:color="auto" w:sz="8" w:space="0"/>
              <w:bottom w:val="single" w:color="auto" w:sz="8" w:space="0"/>
            </w:tcBorders>
            <w:noWrap w:val="0"/>
            <w:vAlign w:val="center"/>
          </w:tcPr>
          <w:p w14:paraId="315A8D9A">
            <w:pPr>
              <w:adjustRightInd w:val="0"/>
              <w:spacing w:line="360" w:lineRule="auto"/>
              <w:jc w:val="center"/>
              <w:rPr>
                <w:color w:val="000000"/>
                <w:sz w:val="24"/>
              </w:rPr>
            </w:pPr>
            <w:r>
              <w:rPr>
                <w:rFonts w:hint="eastAsia"/>
                <w:color w:val="000000"/>
                <w:sz w:val="24"/>
              </w:rPr>
              <w:t>南之锦花卉分拣储运加工中心</w:t>
            </w:r>
          </w:p>
        </w:tc>
      </w:tr>
      <w:tr w14:paraId="1788E4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8"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57AB9352">
            <w:pPr>
              <w:adjustRightInd w:val="0"/>
              <w:spacing w:line="360" w:lineRule="auto"/>
              <w:jc w:val="center"/>
              <w:rPr>
                <w:color w:val="000000"/>
                <w:sz w:val="24"/>
              </w:rPr>
            </w:pPr>
            <w:r>
              <w:rPr>
                <w:color w:val="000000"/>
                <w:sz w:val="24"/>
              </w:rPr>
              <w:t>项目代码</w:t>
            </w:r>
          </w:p>
        </w:tc>
        <w:tc>
          <w:tcPr>
            <w:tcW w:w="6931" w:type="dxa"/>
            <w:gridSpan w:val="3"/>
            <w:tcBorders>
              <w:top w:val="single" w:color="auto" w:sz="8" w:space="0"/>
              <w:left w:val="single" w:color="auto" w:sz="8" w:space="0"/>
              <w:bottom w:val="single" w:color="auto" w:sz="8" w:space="0"/>
            </w:tcBorders>
            <w:noWrap w:val="0"/>
            <w:vAlign w:val="center"/>
          </w:tcPr>
          <w:p w14:paraId="1F6EEA32">
            <w:pPr>
              <w:widowControl/>
              <w:jc w:val="center"/>
              <w:rPr>
                <w:color w:val="000000"/>
                <w:sz w:val="24"/>
              </w:rPr>
            </w:pPr>
            <w:r>
              <w:rPr>
                <w:rFonts w:hint="eastAsia"/>
                <w:color w:val="000000"/>
                <w:sz w:val="24"/>
              </w:rPr>
              <w:t>2105-530126-89-01-552700</w:t>
            </w:r>
          </w:p>
        </w:tc>
      </w:tr>
      <w:tr w14:paraId="08CD50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40C3DE0A">
            <w:pPr>
              <w:adjustRightInd w:val="0"/>
              <w:spacing w:line="360" w:lineRule="auto"/>
              <w:jc w:val="center"/>
              <w:rPr>
                <w:color w:val="000000"/>
                <w:sz w:val="24"/>
              </w:rPr>
            </w:pPr>
            <w:r>
              <w:rPr>
                <w:color w:val="000000"/>
                <w:sz w:val="24"/>
              </w:rPr>
              <w:t>建设单位联系人</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31D04BA9">
            <w:pPr>
              <w:adjustRightInd w:val="0"/>
              <w:spacing w:line="360" w:lineRule="auto"/>
              <w:jc w:val="center"/>
              <w:rPr>
                <w:color w:val="000000"/>
                <w:sz w:val="24"/>
              </w:rPr>
            </w:pPr>
            <w:r>
              <w:rPr>
                <w:rFonts w:hint="eastAsia"/>
                <w:color w:val="000000"/>
                <w:sz w:val="24"/>
              </w:rPr>
              <w:t>居亦呈</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3FC79A56">
            <w:pPr>
              <w:adjustRightInd w:val="0"/>
              <w:spacing w:line="360" w:lineRule="auto"/>
              <w:jc w:val="center"/>
              <w:rPr>
                <w:color w:val="000000"/>
                <w:sz w:val="24"/>
              </w:rPr>
            </w:pPr>
            <w:r>
              <w:rPr>
                <w:color w:val="000000"/>
                <w:sz w:val="24"/>
              </w:rPr>
              <w:t>联系方式</w:t>
            </w:r>
          </w:p>
        </w:tc>
        <w:tc>
          <w:tcPr>
            <w:tcW w:w="2639" w:type="dxa"/>
            <w:tcBorders>
              <w:top w:val="single" w:color="auto" w:sz="8" w:space="0"/>
              <w:left w:val="single" w:color="auto" w:sz="8" w:space="0"/>
              <w:bottom w:val="single" w:color="auto" w:sz="8" w:space="0"/>
            </w:tcBorders>
            <w:noWrap w:val="0"/>
            <w:vAlign w:val="center"/>
          </w:tcPr>
          <w:p w14:paraId="5D981DA6">
            <w:pPr>
              <w:adjustRightInd w:val="0"/>
              <w:spacing w:line="360" w:lineRule="auto"/>
              <w:jc w:val="center"/>
              <w:rPr>
                <w:color w:val="000000"/>
                <w:sz w:val="24"/>
              </w:rPr>
            </w:pPr>
          </w:p>
        </w:tc>
      </w:tr>
      <w:tr w14:paraId="681D03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97"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1B837134">
            <w:pPr>
              <w:adjustRightInd w:val="0"/>
              <w:spacing w:line="360" w:lineRule="auto"/>
              <w:jc w:val="center"/>
              <w:rPr>
                <w:color w:val="000000"/>
                <w:sz w:val="24"/>
              </w:rPr>
            </w:pPr>
            <w:r>
              <w:rPr>
                <w:color w:val="000000"/>
                <w:sz w:val="24"/>
              </w:rPr>
              <w:t>建设地点</w:t>
            </w:r>
          </w:p>
        </w:tc>
        <w:tc>
          <w:tcPr>
            <w:tcW w:w="6931" w:type="dxa"/>
            <w:gridSpan w:val="3"/>
            <w:tcBorders>
              <w:top w:val="single" w:color="auto" w:sz="8" w:space="0"/>
              <w:left w:val="single" w:color="auto" w:sz="8" w:space="0"/>
              <w:bottom w:val="single" w:color="auto" w:sz="8" w:space="0"/>
            </w:tcBorders>
            <w:noWrap w:val="0"/>
            <w:vAlign w:val="center"/>
          </w:tcPr>
          <w:p w14:paraId="2E9F12F7">
            <w:pPr>
              <w:widowControl/>
              <w:jc w:val="center"/>
              <w:rPr>
                <w:color w:val="000000"/>
                <w:sz w:val="24"/>
              </w:rPr>
            </w:pPr>
            <w:r>
              <w:rPr>
                <w:rFonts w:hint="eastAsia"/>
                <w:color w:val="000000"/>
                <w:sz w:val="24"/>
              </w:rPr>
              <w:t>石林县板桥街道板桥社区碧落甸村</w:t>
            </w:r>
          </w:p>
        </w:tc>
      </w:tr>
      <w:tr w14:paraId="590F08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97"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0C045802">
            <w:pPr>
              <w:adjustRightInd w:val="0"/>
              <w:spacing w:line="360" w:lineRule="auto"/>
              <w:jc w:val="center"/>
              <w:rPr>
                <w:color w:val="000000"/>
                <w:sz w:val="24"/>
              </w:rPr>
            </w:pPr>
            <w:r>
              <w:rPr>
                <w:color w:val="000000"/>
                <w:sz w:val="24"/>
              </w:rPr>
              <w:t>地理坐标</w:t>
            </w:r>
          </w:p>
        </w:tc>
        <w:tc>
          <w:tcPr>
            <w:tcW w:w="6931" w:type="dxa"/>
            <w:gridSpan w:val="3"/>
            <w:tcBorders>
              <w:top w:val="single" w:color="auto" w:sz="8" w:space="0"/>
              <w:left w:val="single" w:color="auto" w:sz="8" w:space="0"/>
              <w:bottom w:val="single" w:color="auto" w:sz="8" w:space="0"/>
            </w:tcBorders>
            <w:noWrap w:val="0"/>
            <w:vAlign w:val="center"/>
          </w:tcPr>
          <w:p w14:paraId="4F99CFF3">
            <w:pPr>
              <w:spacing w:line="360" w:lineRule="auto"/>
              <w:jc w:val="center"/>
              <w:rPr>
                <w:color w:val="000000"/>
                <w:sz w:val="24"/>
              </w:rPr>
            </w:pPr>
            <w:r>
              <w:rPr>
                <w:color w:val="000000"/>
                <w:sz w:val="24"/>
              </w:rPr>
              <w:t>（东经</w:t>
            </w:r>
            <w:r>
              <w:rPr>
                <w:color w:val="000000"/>
                <w:sz w:val="24"/>
                <w:u w:val="single"/>
              </w:rPr>
              <w:t xml:space="preserve"> 103°15′30.22</w:t>
            </w:r>
            <w:r>
              <w:rPr>
                <w:rFonts w:hint="eastAsia"/>
                <w:color w:val="000000"/>
                <w:sz w:val="24"/>
                <w:u w:val="single"/>
              </w:rPr>
              <w:t>3</w:t>
            </w:r>
            <w:r>
              <w:rPr>
                <w:color w:val="000000"/>
                <w:sz w:val="24"/>
                <w:u w:val="single"/>
              </w:rPr>
              <w:t>″</w:t>
            </w:r>
            <w:r>
              <w:rPr>
                <w:color w:val="000000"/>
                <w:sz w:val="24"/>
              </w:rPr>
              <w:t>，北纬</w:t>
            </w:r>
            <w:r>
              <w:rPr>
                <w:color w:val="000000"/>
                <w:sz w:val="24"/>
                <w:u w:val="single"/>
              </w:rPr>
              <w:t xml:space="preserve"> 24°41′27.206″</w:t>
            </w:r>
            <w:r>
              <w:rPr>
                <w:color w:val="000000"/>
                <w:sz w:val="24"/>
              </w:rPr>
              <w:t>）</w:t>
            </w:r>
          </w:p>
        </w:tc>
      </w:tr>
      <w:tr w14:paraId="7AF33E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34A7D00A">
            <w:pPr>
              <w:adjustRightInd w:val="0"/>
              <w:spacing w:line="360" w:lineRule="auto"/>
              <w:jc w:val="center"/>
              <w:rPr>
                <w:color w:val="000000"/>
                <w:sz w:val="24"/>
              </w:rPr>
            </w:pPr>
            <w:r>
              <w:rPr>
                <w:color w:val="000000"/>
                <w:sz w:val="24"/>
              </w:rPr>
              <w:t>国民经济</w:t>
            </w:r>
          </w:p>
          <w:p w14:paraId="7D6E65F6">
            <w:pPr>
              <w:adjustRightInd w:val="0"/>
              <w:spacing w:line="360" w:lineRule="auto"/>
              <w:jc w:val="center"/>
              <w:rPr>
                <w:color w:val="000000"/>
                <w:sz w:val="24"/>
              </w:rPr>
            </w:pPr>
            <w:r>
              <w:rPr>
                <w:color w:val="000000"/>
                <w:sz w:val="24"/>
              </w:rPr>
              <w:t>行业类别</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31A73230">
            <w:pPr>
              <w:adjustRightInd w:val="0"/>
              <w:spacing w:line="360" w:lineRule="auto"/>
              <w:jc w:val="center"/>
              <w:rPr>
                <w:color w:val="000000"/>
                <w:sz w:val="24"/>
              </w:rPr>
            </w:pPr>
            <w:r>
              <w:rPr>
                <w:color w:val="000000"/>
                <w:sz w:val="24"/>
              </w:rPr>
              <w:t>C2439</w:t>
            </w:r>
            <w:r>
              <w:rPr>
                <w:rFonts w:hint="eastAsia"/>
                <w:color w:val="000000"/>
                <w:sz w:val="24"/>
              </w:rPr>
              <w:t>其他工艺美术及礼仪用品制造</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200494A1">
            <w:pPr>
              <w:adjustRightInd w:val="0"/>
              <w:spacing w:line="360" w:lineRule="auto"/>
              <w:jc w:val="center"/>
              <w:rPr>
                <w:color w:val="000000"/>
                <w:sz w:val="24"/>
              </w:rPr>
            </w:pPr>
            <w:bookmarkStart w:id="1" w:name="_Hlk49843745"/>
            <w:r>
              <w:rPr>
                <w:color w:val="000000"/>
                <w:sz w:val="24"/>
              </w:rPr>
              <w:t>建设项目</w:t>
            </w:r>
          </w:p>
          <w:p w14:paraId="131FC098">
            <w:pPr>
              <w:adjustRightInd w:val="0"/>
              <w:spacing w:line="360" w:lineRule="auto"/>
              <w:jc w:val="center"/>
              <w:rPr>
                <w:color w:val="000000"/>
                <w:sz w:val="24"/>
              </w:rPr>
            </w:pPr>
            <w:r>
              <w:rPr>
                <w:color w:val="000000"/>
                <w:sz w:val="24"/>
              </w:rPr>
              <w:t>行业类别</w:t>
            </w:r>
            <w:bookmarkEnd w:id="1"/>
          </w:p>
        </w:tc>
        <w:tc>
          <w:tcPr>
            <w:tcW w:w="2639" w:type="dxa"/>
            <w:tcBorders>
              <w:top w:val="single" w:color="auto" w:sz="8" w:space="0"/>
              <w:left w:val="single" w:color="auto" w:sz="8" w:space="0"/>
              <w:bottom w:val="single" w:color="auto" w:sz="8" w:space="0"/>
            </w:tcBorders>
            <w:noWrap w:val="0"/>
            <w:vAlign w:val="center"/>
          </w:tcPr>
          <w:p w14:paraId="367E3DDD">
            <w:pPr>
              <w:adjustRightInd w:val="0"/>
              <w:spacing w:line="360" w:lineRule="auto"/>
              <w:jc w:val="center"/>
              <w:rPr>
                <w:color w:val="000000"/>
                <w:sz w:val="24"/>
              </w:rPr>
            </w:pPr>
            <w:r>
              <w:rPr>
                <w:rFonts w:hint="eastAsia"/>
                <w:color w:val="000000"/>
                <w:sz w:val="24"/>
              </w:rPr>
              <w:t>二十一</w:t>
            </w:r>
            <w:r>
              <w:rPr>
                <w:color w:val="000000"/>
                <w:sz w:val="24"/>
              </w:rPr>
              <w:t>、文教、工美、体育和娱乐用品制品业24-工艺美术及礼仪用品制造243-年用溶剂型</w:t>
            </w:r>
          </w:p>
          <w:p w14:paraId="34099991">
            <w:pPr>
              <w:adjustRightInd w:val="0"/>
              <w:spacing w:line="360" w:lineRule="auto"/>
              <w:jc w:val="center"/>
              <w:rPr>
                <w:color w:val="000000"/>
                <w:sz w:val="24"/>
              </w:rPr>
            </w:pPr>
            <w:r>
              <w:rPr>
                <w:color w:val="000000"/>
                <w:sz w:val="24"/>
              </w:rPr>
              <w:t>涂料（含稀释剂）10吨以下的</w:t>
            </w:r>
          </w:p>
        </w:tc>
      </w:tr>
      <w:tr w14:paraId="100755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110"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48FF873B">
            <w:pPr>
              <w:adjustRightInd w:val="0"/>
              <w:spacing w:line="360" w:lineRule="auto"/>
              <w:jc w:val="center"/>
              <w:rPr>
                <w:color w:val="000000"/>
                <w:sz w:val="24"/>
              </w:rPr>
            </w:pPr>
            <w:r>
              <w:rPr>
                <w:color w:val="000000"/>
                <w:sz w:val="24"/>
              </w:rPr>
              <w:t>建设性质</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7AD1168F">
            <w:pPr>
              <w:spacing w:line="360" w:lineRule="auto"/>
              <w:jc w:val="left"/>
              <w:rPr>
                <w:color w:val="000000"/>
                <w:sz w:val="24"/>
              </w:rPr>
            </w:pPr>
            <w:r>
              <w:rPr>
                <w:color w:val="000000"/>
                <w:sz w:val="24"/>
              </w:rPr>
              <w:sym w:font="Wingdings 2" w:char="0052"/>
            </w:r>
            <w:r>
              <w:rPr>
                <w:color w:val="000000"/>
                <w:sz w:val="24"/>
              </w:rPr>
              <w:t>新建（迁建）</w:t>
            </w:r>
          </w:p>
          <w:p w14:paraId="06ECD04B">
            <w:pPr>
              <w:spacing w:line="360" w:lineRule="auto"/>
              <w:jc w:val="left"/>
              <w:rPr>
                <w:color w:val="000000"/>
                <w:sz w:val="24"/>
              </w:rPr>
            </w:pPr>
            <w:r>
              <w:rPr>
                <w:color w:val="000000"/>
                <w:sz w:val="24"/>
              </w:rPr>
              <w:sym w:font="Wingdings 2" w:char="00A3"/>
            </w:r>
            <w:r>
              <w:rPr>
                <w:color w:val="000000"/>
                <w:sz w:val="24"/>
              </w:rPr>
              <w:t>改建</w:t>
            </w:r>
          </w:p>
          <w:p w14:paraId="7E3DF10C">
            <w:pPr>
              <w:spacing w:line="360" w:lineRule="auto"/>
              <w:jc w:val="left"/>
              <w:rPr>
                <w:color w:val="000000"/>
                <w:sz w:val="24"/>
              </w:rPr>
            </w:pPr>
            <w:r>
              <w:rPr>
                <w:color w:val="000000"/>
                <w:sz w:val="24"/>
              </w:rPr>
              <w:sym w:font="Wingdings 2" w:char="00A3"/>
            </w:r>
            <w:r>
              <w:rPr>
                <w:color w:val="000000"/>
                <w:sz w:val="24"/>
              </w:rPr>
              <w:t>扩建</w:t>
            </w:r>
          </w:p>
          <w:p w14:paraId="7B54821D">
            <w:pPr>
              <w:spacing w:line="360" w:lineRule="auto"/>
              <w:jc w:val="left"/>
              <w:rPr>
                <w:color w:val="000000"/>
                <w:sz w:val="24"/>
              </w:rPr>
            </w:pPr>
            <w:r>
              <w:rPr>
                <w:color w:val="000000"/>
                <w:sz w:val="24"/>
              </w:rPr>
              <w:sym w:font="Wingdings 2" w:char="00A3"/>
            </w:r>
            <w:r>
              <w:rPr>
                <w:color w:val="000000"/>
                <w:sz w:val="24"/>
              </w:rPr>
              <w:t>技术改造</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13AA00A0">
            <w:pPr>
              <w:adjustRightInd w:val="0"/>
              <w:spacing w:line="360" w:lineRule="auto"/>
              <w:jc w:val="center"/>
              <w:rPr>
                <w:color w:val="000000"/>
                <w:sz w:val="24"/>
              </w:rPr>
            </w:pPr>
            <w:r>
              <w:rPr>
                <w:color w:val="000000"/>
                <w:sz w:val="24"/>
              </w:rPr>
              <w:t>建设项目</w:t>
            </w:r>
          </w:p>
          <w:p w14:paraId="4CB7C9A1">
            <w:pPr>
              <w:adjustRightInd w:val="0"/>
              <w:spacing w:line="360" w:lineRule="auto"/>
              <w:jc w:val="center"/>
              <w:rPr>
                <w:color w:val="000000"/>
                <w:sz w:val="24"/>
              </w:rPr>
            </w:pPr>
            <w:r>
              <w:rPr>
                <w:color w:val="000000"/>
                <w:sz w:val="24"/>
              </w:rPr>
              <w:t>申报情形</w:t>
            </w:r>
          </w:p>
        </w:tc>
        <w:tc>
          <w:tcPr>
            <w:tcW w:w="2639" w:type="dxa"/>
            <w:tcBorders>
              <w:top w:val="single" w:color="auto" w:sz="8" w:space="0"/>
              <w:left w:val="single" w:color="auto" w:sz="8" w:space="0"/>
              <w:bottom w:val="single" w:color="auto" w:sz="8" w:space="0"/>
            </w:tcBorders>
            <w:noWrap w:val="0"/>
            <w:vAlign w:val="center"/>
          </w:tcPr>
          <w:p w14:paraId="1FCF8C56">
            <w:pPr>
              <w:spacing w:line="360" w:lineRule="auto"/>
              <w:jc w:val="left"/>
              <w:rPr>
                <w:color w:val="000000"/>
                <w:sz w:val="24"/>
              </w:rPr>
            </w:pPr>
            <w:r>
              <w:rPr>
                <w:color w:val="000000"/>
                <w:sz w:val="24"/>
              </w:rPr>
              <w:sym w:font="Wingdings 2" w:char="0052"/>
            </w:r>
            <w:r>
              <w:rPr>
                <w:color w:val="000000"/>
                <w:sz w:val="24"/>
              </w:rPr>
              <w:t xml:space="preserve">首次申报项目             </w:t>
            </w:r>
          </w:p>
          <w:p w14:paraId="40290C0F">
            <w:pPr>
              <w:spacing w:line="360" w:lineRule="auto"/>
              <w:jc w:val="left"/>
              <w:rPr>
                <w:color w:val="000000"/>
                <w:sz w:val="24"/>
              </w:rPr>
            </w:pPr>
            <w:r>
              <w:rPr>
                <w:color w:val="000000"/>
                <w:sz w:val="24"/>
              </w:rPr>
              <w:sym w:font="Wingdings 2" w:char="00A3"/>
            </w:r>
            <w:r>
              <w:rPr>
                <w:color w:val="000000"/>
                <w:sz w:val="24"/>
              </w:rPr>
              <w:t>不予批准后再次申报项目</w:t>
            </w:r>
          </w:p>
          <w:p w14:paraId="06B488E3">
            <w:pPr>
              <w:spacing w:line="360" w:lineRule="auto"/>
              <w:jc w:val="left"/>
              <w:rPr>
                <w:color w:val="000000"/>
                <w:sz w:val="24"/>
              </w:rPr>
            </w:pPr>
            <w:r>
              <w:rPr>
                <w:color w:val="000000"/>
                <w:sz w:val="24"/>
              </w:rPr>
              <w:sym w:font="Wingdings 2" w:char="00A3"/>
            </w:r>
            <w:r>
              <w:rPr>
                <w:color w:val="000000"/>
                <w:sz w:val="24"/>
              </w:rPr>
              <w:t xml:space="preserve">超五年重新审核项目     </w:t>
            </w:r>
          </w:p>
          <w:p w14:paraId="50863724">
            <w:pPr>
              <w:spacing w:line="360" w:lineRule="auto"/>
              <w:jc w:val="left"/>
              <w:rPr>
                <w:color w:val="000000"/>
                <w:sz w:val="24"/>
              </w:rPr>
            </w:pPr>
            <w:r>
              <w:rPr>
                <w:color w:val="000000"/>
                <w:sz w:val="24"/>
              </w:rPr>
              <w:sym w:font="Wingdings 2" w:char="00A3"/>
            </w:r>
            <w:r>
              <w:rPr>
                <w:color w:val="000000"/>
                <w:sz w:val="24"/>
              </w:rPr>
              <w:t>重大变动重新报批项目</w:t>
            </w:r>
          </w:p>
        </w:tc>
      </w:tr>
      <w:tr w14:paraId="4A8140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6929495F">
            <w:pPr>
              <w:adjustRightInd w:val="0"/>
              <w:spacing w:line="360" w:lineRule="auto"/>
              <w:jc w:val="center"/>
              <w:rPr>
                <w:color w:val="000000"/>
                <w:sz w:val="24"/>
              </w:rPr>
            </w:pPr>
            <w:r>
              <w:rPr>
                <w:color w:val="000000"/>
                <w:sz w:val="24"/>
              </w:rPr>
              <w:t>项目审批（核准/</w:t>
            </w:r>
          </w:p>
          <w:p w14:paraId="625D4CAC">
            <w:pPr>
              <w:adjustRightInd w:val="0"/>
              <w:spacing w:line="360" w:lineRule="auto"/>
              <w:jc w:val="center"/>
              <w:rPr>
                <w:color w:val="000000"/>
                <w:sz w:val="24"/>
              </w:rPr>
            </w:pPr>
            <w:r>
              <w:rPr>
                <w:color w:val="000000"/>
                <w:sz w:val="24"/>
              </w:rPr>
              <w:t>备案）部门（选填）</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7DEA4DF0">
            <w:pPr>
              <w:adjustRightInd w:val="0"/>
              <w:spacing w:line="360" w:lineRule="auto"/>
              <w:jc w:val="center"/>
              <w:rPr>
                <w:color w:val="000000"/>
                <w:sz w:val="24"/>
              </w:rPr>
            </w:pPr>
            <w:r>
              <w:rPr>
                <w:color w:val="000000"/>
                <w:sz w:val="24"/>
              </w:rPr>
              <w:t>石林彝族自治县发展和改革局</w:t>
            </w:r>
          </w:p>
        </w:tc>
        <w:tc>
          <w:tcPr>
            <w:tcW w:w="2212" w:type="dxa"/>
            <w:tcBorders>
              <w:top w:val="single" w:color="auto" w:sz="8" w:space="0"/>
              <w:left w:val="single" w:color="auto" w:sz="8" w:space="0"/>
              <w:bottom w:val="single" w:color="auto" w:sz="8" w:space="0"/>
              <w:right w:val="single" w:color="auto" w:sz="8" w:space="0"/>
            </w:tcBorders>
            <w:noWrap w:val="0"/>
            <w:vAlign w:val="center"/>
          </w:tcPr>
          <w:p w14:paraId="48B24370">
            <w:pPr>
              <w:adjustRightInd w:val="0"/>
              <w:spacing w:line="360" w:lineRule="auto"/>
              <w:jc w:val="center"/>
              <w:rPr>
                <w:color w:val="000000"/>
                <w:sz w:val="24"/>
              </w:rPr>
            </w:pPr>
            <w:r>
              <w:rPr>
                <w:color w:val="000000"/>
                <w:sz w:val="24"/>
              </w:rPr>
              <w:t>项目审批（核准/</w:t>
            </w:r>
          </w:p>
          <w:p w14:paraId="50DAF023">
            <w:pPr>
              <w:adjustRightInd w:val="0"/>
              <w:spacing w:line="360" w:lineRule="auto"/>
              <w:jc w:val="center"/>
              <w:rPr>
                <w:color w:val="000000"/>
                <w:sz w:val="24"/>
              </w:rPr>
            </w:pPr>
            <w:r>
              <w:rPr>
                <w:color w:val="000000"/>
                <w:sz w:val="24"/>
              </w:rPr>
              <w:t>备案）文号（选填）</w:t>
            </w:r>
          </w:p>
        </w:tc>
        <w:tc>
          <w:tcPr>
            <w:tcW w:w="2639" w:type="dxa"/>
            <w:tcBorders>
              <w:top w:val="single" w:color="auto" w:sz="8" w:space="0"/>
              <w:left w:val="single" w:color="auto" w:sz="8" w:space="0"/>
              <w:bottom w:val="single" w:color="auto" w:sz="8" w:space="0"/>
            </w:tcBorders>
            <w:noWrap w:val="0"/>
            <w:vAlign w:val="center"/>
          </w:tcPr>
          <w:p w14:paraId="2B77AB3D">
            <w:pPr>
              <w:adjustRightInd w:val="0"/>
              <w:spacing w:line="360" w:lineRule="auto"/>
              <w:jc w:val="center"/>
              <w:rPr>
                <w:color w:val="000000"/>
                <w:sz w:val="24"/>
              </w:rPr>
            </w:pPr>
            <w:r>
              <w:rPr>
                <w:color w:val="000000"/>
                <w:sz w:val="24"/>
              </w:rPr>
              <w:t>/</w:t>
            </w:r>
          </w:p>
        </w:tc>
      </w:tr>
      <w:tr w14:paraId="3E0B6B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3C53AB1A">
            <w:pPr>
              <w:adjustRightInd w:val="0"/>
              <w:spacing w:line="360" w:lineRule="auto"/>
              <w:jc w:val="center"/>
              <w:rPr>
                <w:color w:val="000000"/>
                <w:sz w:val="24"/>
              </w:rPr>
            </w:pPr>
            <w:r>
              <w:rPr>
                <w:color w:val="000000"/>
                <w:sz w:val="24"/>
              </w:rPr>
              <w:t>总投资（万元）</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28E733EA">
            <w:pPr>
              <w:adjustRightInd w:val="0"/>
              <w:spacing w:line="360" w:lineRule="auto"/>
              <w:jc w:val="center"/>
              <w:rPr>
                <w:color w:val="000000"/>
                <w:sz w:val="24"/>
              </w:rPr>
            </w:pPr>
            <w:r>
              <w:rPr>
                <w:rFonts w:hint="eastAsia"/>
                <w:color w:val="000000"/>
                <w:sz w:val="24"/>
              </w:rPr>
              <w:t>1320</w:t>
            </w:r>
          </w:p>
        </w:tc>
        <w:tc>
          <w:tcPr>
            <w:tcW w:w="2212" w:type="dxa"/>
            <w:tcBorders>
              <w:top w:val="single" w:color="auto" w:sz="8" w:space="0"/>
              <w:left w:val="single" w:color="auto" w:sz="8" w:space="0"/>
              <w:bottom w:val="single" w:color="auto" w:sz="8" w:space="0"/>
              <w:right w:val="single" w:color="auto" w:sz="8" w:space="0"/>
            </w:tcBorders>
            <w:noWrap w:val="0"/>
            <w:tcMar>
              <w:top w:w="16" w:type="dxa"/>
              <w:left w:w="16" w:type="dxa"/>
              <w:right w:w="16" w:type="dxa"/>
            </w:tcMar>
            <w:vAlign w:val="center"/>
          </w:tcPr>
          <w:p w14:paraId="41DC385E">
            <w:pPr>
              <w:adjustRightInd w:val="0"/>
              <w:spacing w:line="360" w:lineRule="auto"/>
              <w:jc w:val="center"/>
              <w:rPr>
                <w:color w:val="000000"/>
                <w:sz w:val="24"/>
              </w:rPr>
            </w:pPr>
            <w:r>
              <w:rPr>
                <w:color w:val="000000"/>
                <w:sz w:val="24"/>
              </w:rPr>
              <w:t>环保投资（万元）</w:t>
            </w:r>
          </w:p>
        </w:tc>
        <w:tc>
          <w:tcPr>
            <w:tcW w:w="2639" w:type="dxa"/>
            <w:tcBorders>
              <w:top w:val="single" w:color="auto" w:sz="8" w:space="0"/>
              <w:left w:val="single" w:color="auto" w:sz="8" w:space="0"/>
              <w:bottom w:val="single" w:color="auto" w:sz="8" w:space="0"/>
            </w:tcBorders>
            <w:noWrap w:val="0"/>
            <w:vAlign w:val="center"/>
          </w:tcPr>
          <w:p w14:paraId="21BF273E">
            <w:pPr>
              <w:adjustRightInd w:val="0"/>
              <w:spacing w:line="360" w:lineRule="auto"/>
              <w:jc w:val="center"/>
              <w:rPr>
                <w:color w:val="000000"/>
                <w:sz w:val="24"/>
              </w:rPr>
            </w:pPr>
            <w:r>
              <w:rPr>
                <w:color w:val="000000"/>
                <w:sz w:val="24"/>
              </w:rPr>
              <w:t>68.5</w:t>
            </w:r>
          </w:p>
        </w:tc>
      </w:tr>
      <w:tr w14:paraId="2D1797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76" w:hRule="atLeast"/>
          <w:jc w:val="center"/>
        </w:trPr>
        <w:tc>
          <w:tcPr>
            <w:tcW w:w="1939" w:type="dxa"/>
            <w:tcBorders>
              <w:top w:val="single" w:color="auto" w:sz="8" w:space="0"/>
              <w:bottom w:val="single" w:color="auto" w:sz="8" w:space="0"/>
              <w:right w:val="single" w:color="auto" w:sz="8" w:space="0"/>
            </w:tcBorders>
            <w:noWrap w:val="0"/>
            <w:tcMar>
              <w:top w:w="16" w:type="dxa"/>
              <w:left w:w="16" w:type="dxa"/>
              <w:right w:w="16" w:type="dxa"/>
            </w:tcMar>
            <w:vAlign w:val="center"/>
          </w:tcPr>
          <w:p w14:paraId="14D04414">
            <w:pPr>
              <w:adjustRightInd w:val="0"/>
              <w:spacing w:line="360" w:lineRule="auto"/>
              <w:jc w:val="center"/>
              <w:rPr>
                <w:color w:val="000000"/>
                <w:sz w:val="24"/>
              </w:rPr>
            </w:pPr>
            <w:r>
              <w:rPr>
                <w:color w:val="000000"/>
                <w:sz w:val="24"/>
              </w:rPr>
              <w:t>环保投资占比（%）</w:t>
            </w:r>
          </w:p>
        </w:tc>
        <w:tc>
          <w:tcPr>
            <w:tcW w:w="2080" w:type="dxa"/>
            <w:tcBorders>
              <w:top w:val="single" w:color="auto" w:sz="8" w:space="0"/>
              <w:left w:val="single" w:color="auto" w:sz="8" w:space="0"/>
              <w:bottom w:val="single" w:color="auto" w:sz="8" w:space="0"/>
              <w:right w:val="single" w:color="auto" w:sz="8" w:space="0"/>
            </w:tcBorders>
            <w:noWrap w:val="0"/>
            <w:vAlign w:val="center"/>
          </w:tcPr>
          <w:p w14:paraId="751FE7F7">
            <w:pPr>
              <w:adjustRightInd w:val="0"/>
              <w:spacing w:line="360" w:lineRule="auto"/>
              <w:jc w:val="center"/>
              <w:rPr>
                <w:color w:val="000000"/>
                <w:sz w:val="24"/>
              </w:rPr>
            </w:pPr>
            <w:r>
              <w:rPr>
                <w:color w:val="000000"/>
                <w:sz w:val="24"/>
              </w:rPr>
              <w:t>5.19</w:t>
            </w:r>
          </w:p>
        </w:tc>
        <w:tc>
          <w:tcPr>
            <w:tcW w:w="2212" w:type="dxa"/>
            <w:tcBorders>
              <w:top w:val="single" w:color="auto" w:sz="8" w:space="0"/>
              <w:left w:val="single" w:color="auto" w:sz="8" w:space="0"/>
              <w:bottom w:val="single" w:color="auto" w:sz="8" w:space="0"/>
              <w:right w:val="single" w:color="auto" w:sz="8" w:space="0"/>
            </w:tcBorders>
            <w:noWrap w:val="0"/>
            <w:tcMar>
              <w:top w:w="16" w:type="dxa"/>
              <w:left w:w="16" w:type="dxa"/>
              <w:right w:w="16" w:type="dxa"/>
            </w:tcMar>
            <w:vAlign w:val="center"/>
          </w:tcPr>
          <w:p w14:paraId="143B1550">
            <w:pPr>
              <w:adjustRightInd w:val="0"/>
              <w:spacing w:line="360" w:lineRule="auto"/>
              <w:jc w:val="center"/>
              <w:rPr>
                <w:color w:val="000000"/>
                <w:sz w:val="24"/>
              </w:rPr>
            </w:pPr>
            <w:r>
              <w:rPr>
                <w:color w:val="000000"/>
                <w:sz w:val="24"/>
              </w:rPr>
              <w:t>施工工期</w:t>
            </w:r>
          </w:p>
        </w:tc>
        <w:tc>
          <w:tcPr>
            <w:tcW w:w="2639" w:type="dxa"/>
            <w:tcBorders>
              <w:top w:val="single" w:color="auto" w:sz="8" w:space="0"/>
              <w:left w:val="single" w:color="auto" w:sz="8" w:space="0"/>
              <w:bottom w:val="single" w:color="auto" w:sz="8" w:space="0"/>
            </w:tcBorders>
            <w:noWrap w:val="0"/>
            <w:vAlign w:val="center"/>
          </w:tcPr>
          <w:p w14:paraId="18F1A7EA">
            <w:pPr>
              <w:adjustRightInd w:val="0"/>
              <w:spacing w:line="360" w:lineRule="auto"/>
              <w:jc w:val="center"/>
              <w:rPr>
                <w:color w:val="000000"/>
                <w:sz w:val="24"/>
              </w:rPr>
            </w:pPr>
            <w:r>
              <w:rPr>
                <w:rFonts w:hint="eastAsia"/>
                <w:color w:val="000000"/>
                <w:sz w:val="24"/>
              </w:rPr>
              <w:t>1</w:t>
            </w:r>
            <w:r>
              <w:rPr>
                <w:color w:val="000000"/>
                <w:sz w:val="24"/>
              </w:rPr>
              <w:t>个月</w:t>
            </w:r>
          </w:p>
        </w:tc>
      </w:tr>
      <w:tr w14:paraId="2C91C7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6" w:hRule="atLeast"/>
          <w:jc w:val="center"/>
        </w:trPr>
        <w:tc>
          <w:tcPr>
            <w:tcW w:w="1939" w:type="dxa"/>
            <w:tcBorders>
              <w:top w:val="single" w:color="auto" w:sz="8" w:space="0"/>
              <w:bottom w:val="single" w:color="auto" w:sz="12" w:space="0"/>
              <w:right w:val="single" w:color="auto" w:sz="8" w:space="0"/>
            </w:tcBorders>
            <w:noWrap w:val="0"/>
            <w:tcMar>
              <w:top w:w="16" w:type="dxa"/>
              <w:left w:w="16" w:type="dxa"/>
              <w:right w:w="16" w:type="dxa"/>
            </w:tcMar>
            <w:vAlign w:val="center"/>
          </w:tcPr>
          <w:p w14:paraId="0C526039">
            <w:pPr>
              <w:adjustRightInd w:val="0"/>
              <w:spacing w:line="360" w:lineRule="auto"/>
              <w:jc w:val="center"/>
              <w:rPr>
                <w:color w:val="000000"/>
                <w:sz w:val="24"/>
              </w:rPr>
            </w:pPr>
            <w:r>
              <w:rPr>
                <w:color w:val="000000"/>
                <w:sz w:val="24"/>
              </w:rPr>
              <w:t>是否开工建设</w:t>
            </w:r>
          </w:p>
        </w:tc>
        <w:tc>
          <w:tcPr>
            <w:tcW w:w="6931" w:type="dxa"/>
            <w:gridSpan w:val="3"/>
            <w:tcBorders>
              <w:top w:val="single" w:color="auto" w:sz="8" w:space="0"/>
              <w:left w:val="single" w:color="auto" w:sz="8" w:space="0"/>
              <w:bottom w:val="single" w:color="auto" w:sz="12" w:space="0"/>
            </w:tcBorders>
            <w:noWrap w:val="0"/>
            <w:vAlign w:val="center"/>
          </w:tcPr>
          <w:p w14:paraId="3F695BA3">
            <w:pPr>
              <w:adjustRightInd w:val="0"/>
              <w:spacing w:line="360" w:lineRule="auto"/>
              <w:jc w:val="left"/>
              <w:rPr>
                <w:color w:val="000000"/>
                <w:sz w:val="24"/>
              </w:rPr>
            </w:pPr>
            <w:r>
              <w:rPr>
                <w:color w:val="000000"/>
                <w:sz w:val="24"/>
              </w:rPr>
              <w:sym w:font="Wingdings 2" w:char="00A3"/>
            </w:r>
            <w:r>
              <w:rPr>
                <w:color w:val="000000"/>
                <w:sz w:val="24"/>
              </w:rPr>
              <w:t>否</w:t>
            </w:r>
          </w:p>
          <w:p w14:paraId="25BCA808">
            <w:pPr>
              <w:spacing w:line="360" w:lineRule="auto"/>
              <w:jc w:val="left"/>
              <w:rPr>
                <w:color w:val="000000"/>
                <w:sz w:val="24"/>
              </w:rPr>
            </w:pPr>
            <w:r>
              <w:rPr>
                <w:color w:val="000000"/>
                <w:sz w:val="24"/>
              </w:rPr>
              <w:sym w:font="Wingdings 2" w:char="0052"/>
            </w:r>
            <w:r>
              <w:rPr>
                <w:color w:val="000000"/>
                <w:sz w:val="24"/>
              </w:rPr>
              <w:t>是：</w:t>
            </w:r>
            <w:r>
              <w:rPr>
                <w:color w:val="000000"/>
                <w:sz w:val="24"/>
                <w:u w:val="single"/>
              </w:rPr>
              <w:t>项目已于2021年</w:t>
            </w:r>
            <w:r>
              <w:rPr>
                <w:rFonts w:hint="eastAsia"/>
                <w:color w:val="000000"/>
                <w:sz w:val="24"/>
                <w:u w:val="single"/>
              </w:rPr>
              <w:t>5</w:t>
            </w:r>
            <w:r>
              <w:rPr>
                <w:color w:val="000000"/>
                <w:sz w:val="24"/>
                <w:u w:val="single"/>
              </w:rPr>
              <w:t>月动工建设，至2022年</w:t>
            </w:r>
            <w:r>
              <w:rPr>
                <w:rFonts w:hint="eastAsia"/>
                <w:color w:val="000000"/>
                <w:sz w:val="24"/>
                <w:u w:val="single"/>
              </w:rPr>
              <w:t>10</w:t>
            </w:r>
            <w:r>
              <w:rPr>
                <w:color w:val="000000"/>
                <w:sz w:val="24"/>
                <w:u w:val="single"/>
              </w:rPr>
              <w:t>月</w:t>
            </w:r>
            <w:r>
              <w:rPr>
                <w:rFonts w:hint="eastAsia"/>
                <w:color w:val="000000"/>
                <w:sz w:val="24"/>
                <w:u w:val="single"/>
              </w:rPr>
              <w:t>28</w:t>
            </w:r>
            <w:r>
              <w:rPr>
                <w:color w:val="000000"/>
                <w:sz w:val="24"/>
                <w:u w:val="single"/>
              </w:rPr>
              <w:t>日踏勘现场时，项目已完成</w:t>
            </w:r>
            <w:r>
              <w:rPr>
                <w:rFonts w:hint="eastAsia"/>
                <w:color w:val="000000"/>
                <w:sz w:val="24"/>
                <w:u w:val="single"/>
              </w:rPr>
              <w:t>部分工程</w:t>
            </w:r>
            <w:r>
              <w:rPr>
                <w:color w:val="000000"/>
                <w:sz w:val="24"/>
                <w:u w:val="single"/>
              </w:rPr>
              <w:t>建设，未运行。</w:t>
            </w:r>
            <w:r>
              <w:rPr>
                <w:rFonts w:hint="eastAsia"/>
                <w:color w:val="000000"/>
                <w:sz w:val="24"/>
                <w:u w:val="single"/>
              </w:rPr>
              <w:t>2022年12月5日取得了</w:t>
            </w:r>
            <w:r>
              <w:rPr>
                <w:color w:val="000000"/>
                <w:sz w:val="24"/>
                <w:u w:val="single"/>
              </w:rPr>
              <w:t>《昆明市生态环境局石林分局</w:t>
            </w:r>
            <w:r>
              <w:rPr>
                <w:rFonts w:hint="eastAsia"/>
                <w:color w:val="000000"/>
                <w:sz w:val="24"/>
                <w:u w:val="single"/>
              </w:rPr>
              <w:t>行政处罚告知书</w:t>
            </w:r>
            <w:r>
              <w:rPr>
                <w:color w:val="000000"/>
                <w:sz w:val="24"/>
                <w:u w:val="single"/>
              </w:rPr>
              <w:t>》（石</w:t>
            </w:r>
            <w:r>
              <w:rPr>
                <w:rFonts w:hint="eastAsia"/>
                <w:color w:val="000000"/>
                <w:sz w:val="24"/>
                <w:u w:val="single"/>
              </w:rPr>
              <w:t>生环罚告</w:t>
            </w:r>
            <w:r>
              <w:rPr>
                <w:color w:val="000000"/>
                <w:sz w:val="24"/>
                <w:u w:val="single"/>
              </w:rPr>
              <w:t>〔2022〕</w:t>
            </w:r>
            <w:r>
              <w:rPr>
                <w:rFonts w:hint="eastAsia"/>
                <w:color w:val="000000"/>
                <w:sz w:val="24"/>
                <w:u w:val="single"/>
              </w:rPr>
              <w:t>30</w:t>
            </w:r>
            <w:r>
              <w:rPr>
                <w:color w:val="000000"/>
                <w:sz w:val="24"/>
                <w:u w:val="single"/>
              </w:rPr>
              <w:t>号）</w:t>
            </w:r>
            <w:r>
              <w:rPr>
                <w:rFonts w:hint="eastAsia"/>
                <w:color w:val="000000"/>
                <w:sz w:val="24"/>
                <w:u w:val="single"/>
              </w:rPr>
              <w:t>（详见附件8）</w:t>
            </w:r>
          </w:p>
        </w:tc>
      </w:tr>
      <w:tr w14:paraId="07368C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6" w:hRule="atLeast"/>
          <w:jc w:val="center"/>
        </w:trPr>
        <w:tc>
          <w:tcPr>
            <w:tcW w:w="1939" w:type="dxa"/>
            <w:tcBorders>
              <w:top w:val="single" w:color="auto" w:sz="8" w:space="0"/>
              <w:bottom w:val="single" w:color="auto" w:sz="12" w:space="0"/>
              <w:right w:val="single" w:color="auto" w:sz="8" w:space="0"/>
            </w:tcBorders>
            <w:noWrap w:val="0"/>
            <w:tcMar>
              <w:top w:w="16" w:type="dxa"/>
              <w:left w:w="16" w:type="dxa"/>
              <w:right w:w="16" w:type="dxa"/>
            </w:tcMar>
            <w:vAlign w:val="center"/>
          </w:tcPr>
          <w:p w14:paraId="58AA7540">
            <w:pPr>
              <w:adjustRightInd w:val="0"/>
              <w:spacing w:line="360" w:lineRule="auto"/>
              <w:jc w:val="center"/>
              <w:rPr>
                <w:color w:val="000000"/>
                <w:sz w:val="24"/>
              </w:rPr>
            </w:pPr>
            <w:r>
              <w:rPr>
                <w:color w:val="000000"/>
                <w:sz w:val="24"/>
              </w:rPr>
              <w:t>用地（用海）面积</w:t>
            </w:r>
          </w:p>
        </w:tc>
        <w:tc>
          <w:tcPr>
            <w:tcW w:w="6931" w:type="dxa"/>
            <w:gridSpan w:val="3"/>
            <w:tcBorders>
              <w:top w:val="single" w:color="auto" w:sz="8" w:space="0"/>
              <w:left w:val="single" w:color="auto" w:sz="8" w:space="0"/>
              <w:bottom w:val="single" w:color="auto" w:sz="12" w:space="0"/>
            </w:tcBorders>
            <w:noWrap w:val="0"/>
            <w:vAlign w:val="center"/>
          </w:tcPr>
          <w:p w14:paraId="60536450">
            <w:pPr>
              <w:adjustRightInd w:val="0"/>
              <w:spacing w:line="360" w:lineRule="auto"/>
              <w:jc w:val="center"/>
              <w:rPr>
                <w:color w:val="000000"/>
                <w:sz w:val="24"/>
              </w:rPr>
            </w:pPr>
            <w:r>
              <w:rPr>
                <w:rFonts w:hint="eastAsia"/>
                <w:color w:val="000000"/>
                <w:sz w:val="24"/>
              </w:rPr>
              <w:t>9333.38 m</w:t>
            </w:r>
            <w:r>
              <w:rPr>
                <w:rFonts w:hint="eastAsia"/>
                <w:color w:val="000000"/>
                <w:sz w:val="24"/>
                <w:vertAlign w:val="superscript"/>
              </w:rPr>
              <w:t>2</w:t>
            </w:r>
          </w:p>
        </w:tc>
      </w:tr>
      <w:tr w14:paraId="5018F2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39" w:type="dxa"/>
            <w:tcBorders>
              <w:top w:val="single" w:color="auto" w:sz="12" w:space="0"/>
              <w:bottom w:val="single" w:color="auto" w:sz="12" w:space="0"/>
              <w:right w:val="single" w:color="auto" w:sz="12" w:space="0"/>
            </w:tcBorders>
            <w:noWrap w:val="0"/>
            <w:vAlign w:val="center"/>
          </w:tcPr>
          <w:p w14:paraId="5C1AF745">
            <w:pPr>
              <w:autoSpaceDE w:val="0"/>
              <w:autoSpaceDN w:val="0"/>
              <w:adjustRightInd w:val="0"/>
              <w:jc w:val="center"/>
              <w:rPr>
                <w:color w:val="000000"/>
                <w:kern w:val="0"/>
                <w:sz w:val="24"/>
              </w:rPr>
            </w:pPr>
            <w:r>
              <w:rPr>
                <w:color w:val="000000"/>
                <w:kern w:val="0"/>
                <w:sz w:val="24"/>
              </w:rPr>
              <w:t>专项评价设置情况</w:t>
            </w:r>
          </w:p>
        </w:tc>
        <w:tc>
          <w:tcPr>
            <w:tcW w:w="6931" w:type="dxa"/>
            <w:gridSpan w:val="3"/>
            <w:tcBorders>
              <w:top w:val="single" w:color="auto" w:sz="12" w:space="0"/>
              <w:left w:val="single" w:color="auto" w:sz="12" w:space="0"/>
              <w:bottom w:val="single" w:color="auto" w:sz="12" w:space="0"/>
            </w:tcBorders>
            <w:noWrap w:val="0"/>
            <w:vAlign w:val="center"/>
          </w:tcPr>
          <w:p w14:paraId="3D92A329">
            <w:pPr>
              <w:pStyle w:val="32"/>
              <w:ind w:firstLine="456"/>
              <w:rPr>
                <w:color w:val="000000"/>
                <w:spacing w:val="-6"/>
                <w:szCs w:val="24"/>
              </w:rPr>
            </w:pPr>
            <w:r>
              <w:rPr>
                <w:color w:val="000000"/>
                <w:spacing w:val="-6"/>
                <w:szCs w:val="24"/>
              </w:rPr>
              <w:t>根据《建设项目环境影响报告表编制技术指南（污染影响类）》（试行）中表1确定是否设置项目专项评价。</w:t>
            </w:r>
          </w:p>
          <w:p w14:paraId="3220CA86">
            <w:pPr>
              <w:spacing w:line="360" w:lineRule="auto"/>
              <w:jc w:val="center"/>
              <w:rPr>
                <w:b/>
                <w:bCs/>
                <w:color w:val="000000"/>
              </w:rPr>
            </w:pPr>
            <w:r>
              <w:rPr>
                <w:b/>
                <w:bCs/>
                <w:color w:val="000000"/>
              </w:rPr>
              <w:t>表1-1  项目专项评价判定表</w:t>
            </w:r>
          </w:p>
          <w:tbl>
            <w:tblPr>
              <w:tblStyle w:val="20"/>
              <w:tblW w:w="6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78"/>
              <w:gridCol w:w="3230"/>
              <w:gridCol w:w="734"/>
            </w:tblGrid>
            <w:tr w14:paraId="4F1E3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5" w:hRule="atLeast"/>
                <w:tblHeader/>
                <w:jc w:val="center"/>
              </w:trPr>
              <w:tc>
                <w:tcPr>
                  <w:tcW w:w="836" w:type="dxa"/>
                  <w:noWrap w:val="0"/>
                  <w:vAlign w:val="center"/>
                </w:tcPr>
                <w:p w14:paraId="71740AEB">
                  <w:pPr>
                    <w:topLinePunct/>
                    <w:adjustRightInd w:val="0"/>
                    <w:snapToGrid w:val="0"/>
                    <w:jc w:val="center"/>
                    <w:rPr>
                      <w:color w:val="000000"/>
                      <w:szCs w:val="21"/>
                    </w:rPr>
                  </w:pPr>
                  <w:r>
                    <w:rPr>
                      <w:color w:val="000000"/>
                      <w:szCs w:val="21"/>
                    </w:rPr>
                    <w:t>专项评价的类别</w:t>
                  </w:r>
                </w:p>
              </w:tc>
              <w:tc>
                <w:tcPr>
                  <w:tcW w:w="1978" w:type="dxa"/>
                  <w:noWrap w:val="0"/>
                  <w:vAlign w:val="center"/>
                </w:tcPr>
                <w:p w14:paraId="7C7DE94F">
                  <w:pPr>
                    <w:topLinePunct/>
                    <w:adjustRightInd w:val="0"/>
                    <w:snapToGrid w:val="0"/>
                    <w:jc w:val="center"/>
                    <w:rPr>
                      <w:color w:val="000000"/>
                      <w:szCs w:val="21"/>
                    </w:rPr>
                  </w:pPr>
                  <w:r>
                    <w:rPr>
                      <w:color w:val="000000"/>
                      <w:szCs w:val="21"/>
                    </w:rPr>
                    <w:t>设置原则</w:t>
                  </w:r>
                </w:p>
              </w:tc>
              <w:tc>
                <w:tcPr>
                  <w:tcW w:w="3230" w:type="dxa"/>
                  <w:noWrap w:val="0"/>
                  <w:vAlign w:val="center"/>
                </w:tcPr>
                <w:p w14:paraId="59386361">
                  <w:pPr>
                    <w:topLinePunct/>
                    <w:adjustRightInd w:val="0"/>
                    <w:snapToGrid w:val="0"/>
                    <w:jc w:val="center"/>
                    <w:rPr>
                      <w:color w:val="000000"/>
                      <w:szCs w:val="21"/>
                    </w:rPr>
                  </w:pPr>
                  <w:r>
                    <w:rPr>
                      <w:color w:val="000000"/>
                      <w:szCs w:val="21"/>
                    </w:rPr>
                    <w:t>本项目情况</w:t>
                  </w:r>
                </w:p>
              </w:tc>
              <w:tc>
                <w:tcPr>
                  <w:tcW w:w="734" w:type="dxa"/>
                  <w:noWrap w:val="0"/>
                  <w:vAlign w:val="center"/>
                </w:tcPr>
                <w:p w14:paraId="1F2ADECE">
                  <w:pPr>
                    <w:topLinePunct/>
                    <w:adjustRightInd w:val="0"/>
                    <w:snapToGrid w:val="0"/>
                    <w:jc w:val="center"/>
                    <w:rPr>
                      <w:color w:val="000000"/>
                      <w:szCs w:val="21"/>
                    </w:rPr>
                  </w:pPr>
                  <w:r>
                    <w:rPr>
                      <w:color w:val="000000"/>
                      <w:szCs w:val="21"/>
                    </w:rPr>
                    <w:t>设置情况</w:t>
                  </w:r>
                </w:p>
              </w:tc>
            </w:tr>
            <w:tr w14:paraId="644BE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36" w:type="dxa"/>
                  <w:noWrap w:val="0"/>
                  <w:vAlign w:val="center"/>
                </w:tcPr>
                <w:p w14:paraId="3FBA51DC">
                  <w:pPr>
                    <w:topLinePunct/>
                    <w:adjustRightInd w:val="0"/>
                    <w:snapToGrid w:val="0"/>
                    <w:jc w:val="center"/>
                    <w:rPr>
                      <w:color w:val="000000"/>
                      <w:szCs w:val="21"/>
                    </w:rPr>
                  </w:pPr>
                  <w:r>
                    <w:rPr>
                      <w:color w:val="000000"/>
                      <w:szCs w:val="21"/>
                    </w:rPr>
                    <w:t>大气</w:t>
                  </w:r>
                </w:p>
              </w:tc>
              <w:tc>
                <w:tcPr>
                  <w:tcW w:w="1978" w:type="dxa"/>
                  <w:noWrap w:val="0"/>
                  <w:vAlign w:val="center"/>
                </w:tcPr>
                <w:p w14:paraId="275F13CC">
                  <w:pPr>
                    <w:topLinePunct/>
                    <w:adjustRightInd w:val="0"/>
                    <w:snapToGrid w:val="0"/>
                    <w:jc w:val="center"/>
                    <w:rPr>
                      <w:color w:val="000000"/>
                      <w:szCs w:val="21"/>
                    </w:rPr>
                  </w:pPr>
                  <w:r>
                    <w:rPr>
                      <w:color w:val="000000"/>
                      <w:szCs w:val="21"/>
                    </w:rPr>
                    <w:t>排放废气含有毒有害污染物</w:t>
                  </w:r>
                  <w:r>
                    <w:rPr>
                      <w:color w:val="000000"/>
                      <w:szCs w:val="21"/>
                      <w:vertAlign w:val="superscript"/>
                    </w:rPr>
                    <w:t>1</w:t>
                  </w:r>
                  <w:r>
                    <w:rPr>
                      <w:color w:val="000000"/>
                      <w:szCs w:val="21"/>
                    </w:rPr>
                    <w:t>、二噁英、苯并[</w:t>
                  </w:r>
                  <w:r>
                    <w:rPr>
                      <w:i/>
                      <w:color w:val="000000"/>
                      <w:szCs w:val="21"/>
                    </w:rPr>
                    <w:t>a</w:t>
                  </w:r>
                  <w:r>
                    <w:rPr>
                      <w:color w:val="000000"/>
                      <w:szCs w:val="21"/>
                    </w:rPr>
                    <w:t>]芘、氰化物、氯气且厂界外500米范围内有环境空气保护目标</w:t>
                  </w:r>
                  <w:r>
                    <w:rPr>
                      <w:color w:val="000000"/>
                      <w:szCs w:val="21"/>
                      <w:vertAlign w:val="superscript"/>
                    </w:rPr>
                    <w:t>2</w:t>
                  </w:r>
                  <w:r>
                    <w:rPr>
                      <w:color w:val="000000"/>
                      <w:szCs w:val="21"/>
                    </w:rPr>
                    <w:t>的建设项目</w:t>
                  </w:r>
                </w:p>
              </w:tc>
              <w:tc>
                <w:tcPr>
                  <w:tcW w:w="3230" w:type="dxa"/>
                  <w:noWrap w:val="0"/>
                  <w:vAlign w:val="center"/>
                </w:tcPr>
                <w:p w14:paraId="3257E5A2">
                  <w:pPr>
                    <w:topLinePunct/>
                    <w:adjustRightInd w:val="0"/>
                    <w:snapToGrid w:val="0"/>
                    <w:jc w:val="center"/>
                    <w:rPr>
                      <w:color w:val="000000"/>
                      <w:szCs w:val="21"/>
                    </w:rPr>
                  </w:pPr>
                  <w:r>
                    <w:rPr>
                      <w:color w:val="000000"/>
                      <w:szCs w:val="21"/>
                    </w:rPr>
                    <w:t>拟建项目废气为挥发性有机物（以甲醇计），不涉及有毒有害污染物</w:t>
                  </w:r>
                  <w:r>
                    <w:rPr>
                      <w:color w:val="000000"/>
                      <w:szCs w:val="21"/>
                      <w:vertAlign w:val="superscript"/>
                    </w:rPr>
                    <w:t>1</w:t>
                  </w:r>
                  <w:r>
                    <w:rPr>
                      <w:color w:val="000000"/>
                      <w:szCs w:val="21"/>
                    </w:rPr>
                    <w:t>、二噁英、苯并[</w:t>
                  </w:r>
                  <w:r>
                    <w:rPr>
                      <w:i/>
                      <w:color w:val="000000"/>
                      <w:szCs w:val="21"/>
                    </w:rPr>
                    <w:t>a</w:t>
                  </w:r>
                  <w:r>
                    <w:rPr>
                      <w:color w:val="000000"/>
                      <w:szCs w:val="21"/>
                    </w:rPr>
                    <w:t xml:space="preserve">]芘、氰化物、氯气 </w:t>
                  </w:r>
                </w:p>
              </w:tc>
              <w:tc>
                <w:tcPr>
                  <w:tcW w:w="734" w:type="dxa"/>
                  <w:noWrap w:val="0"/>
                  <w:vAlign w:val="center"/>
                </w:tcPr>
                <w:p w14:paraId="5A7042B3">
                  <w:pPr>
                    <w:topLinePunct/>
                    <w:adjustRightInd w:val="0"/>
                    <w:snapToGrid w:val="0"/>
                    <w:jc w:val="center"/>
                    <w:rPr>
                      <w:color w:val="000000"/>
                      <w:szCs w:val="21"/>
                    </w:rPr>
                  </w:pPr>
                  <w:r>
                    <w:rPr>
                      <w:color w:val="000000"/>
                      <w:szCs w:val="21"/>
                    </w:rPr>
                    <w:t>不设置</w:t>
                  </w:r>
                </w:p>
              </w:tc>
            </w:tr>
            <w:tr w14:paraId="4F26D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36" w:type="dxa"/>
                  <w:noWrap w:val="0"/>
                  <w:vAlign w:val="center"/>
                </w:tcPr>
                <w:p w14:paraId="7E57DD31">
                  <w:pPr>
                    <w:topLinePunct/>
                    <w:adjustRightInd w:val="0"/>
                    <w:snapToGrid w:val="0"/>
                    <w:jc w:val="center"/>
                    <w:rPr>
                      <w:color w:val="000000"/>
                      <w:szCs w:val="21"/>
                    </w:rPr>
                  </w:pPr>
                  <w:r>
                    <w:rPr>
                      <w:color w:val="000000"/>
                      <w:szCs w:val="21"/>
                    </w:rPr>
                    <w:t>地表水</w:t>
                  </w:r>
                </w:p>
              </w:tc>
              <w:tc>
                <w:tcPr>
                  <w:tcW w:w="1978" w:type="dxa"/>
                  <w:noWrap w:val="0"/>
                  <w:vAlign w:val="center"/>
                </w:tcPr>
                <w:p w14:paraId="21DB927F">
                  <w:pPr>
                    <w:topLinePunct/>
                    <w:adjustRightInd w:val="0"/>
                    <w:snapToGrid w:val="0"/>
                    <w:jc w:val="center"/>
                    <w:rPr>
                      <w:color w:val="000000"/>
                      <w:szCs w:val="21"/>
                    </w:rPr>
                  </w:pPr>
                  <w:r>
                    <w:rPr>
                      <w:color w:val="000000"/>
                      <w:szCs w:val="21"/>
                    </w:rPr>
                    <w:t>新增工业废水直排建设项目（槽罐车外送污水处理厂的除外）；新增废水直排的污水集中处理厂</w:t>
                  </w:r>
                </w:p>
              </w:tc>
              <w:tc>
                <w:tcPr>
                  <w:tcW w:w="3230" w:type="dxa"/>
                  <w:noWrap w:val="0"/>
                  <w:vAlign w:val="center"/>
                </w:tcPr>
                <w:p w14:paraId="35847CF3">
                  <w:pPr>
                    <w:topLinePunct/>
                    <w:adjustRightInd w:val="0"/>
                    <w:snapToGrid w:val="0"/>
                    <w:jc w:val="center"/>
                    <w:rPr>
                      <w:color w:val="000000"/>
                      <w:szCs w:val="21"/>
                    </w:rPr>
                  </w:pPr>
                  <w:r>
                    <w:rPr>
                      <w:color w:val="000000"/>
                      <w:szCs w:val="21"/>
                    </w:rPr>
                    <w:t>本项目</w:t>
                  </w:r>
                  <w:r>
                    <w:rPr>
                      <w:rFonts w:hint="eastAsia"/>
                      <w:color w:val="000000"/>
                      <w:szCs w:val="21"/>
                    </w:rPr>
                    <w:t>不产生生产废水，办公生活区食堂废水经隔油池预处理后连同其余办公生活污水一起排入化粪池处理，处理后的废水用于周边旱地施肥。</w:t>
                  </w:r>
                </w:p>
              </w:tc>
              <w:tc>
                <w:tcPr>
                  <w:tcW w:w="734" w:type="dxa"/>
                  <w:noWrap w:val="0"/>
                  <w:vAlign w:val="center"/>
                </w:tcPr>
                <w:p w14:paraId="5F3116A3">
                  <w:pPr>
                    <w:topLinePunct/>
                    <w:adjustRightInd w:val="0"/>
                    <w:snapToGrid w:val="0"/>
                    <w:jc w:val="center"/>
                    <w:rPr>
                      <w:color w:val="000000"/>
                      <w:szCs w:val="21"/>
                    </w:rPr>
                  </w:pPr>
                  <w:r>
                    <w:rPr>
                      <w:color w:val="000000"/>
                      <w:szCs w:val="21"/>
                    </w:rPr>
                    <w:t>不设置</w:t>
                  </w:r>
                </w:p>
              </w:tc>
            </w:tr>
            <w:tr w14:paraId="3FD85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36" w:type="dxa"/>
                  <w:noWrap w:val="0"/>
                  <w:vAlign w:val="center"/>
                </w:tcPr>
                <w:p w14:paraId="10277DE9">
                  <w:pPr>
                    <w:topLinePunct/>
                    <w:adjustRightInd w:val="0"/>
                    <w:snapToGrid w:val="0"/>
                    <w:jc w:val="center"/>
                    <w:rPr>
                      <w:color w:val="000000"/>
                      <w:szCs w:val="21"/>
                    </w:rPr>
                  </w:pPr>
                  <w:r>
                    <w:rPr>
                      <w:color w:val="000000"/>
                      <w:szCs w:val="21"/>
                    </w:rPr>
                    <w:t>环境风险</w:t>
                  </w:r>
                </w:p>
              </w:tc>
              <w:tc>
                <w:tcPr>
                  <w:tcW w:w="1978" w:type="dxa"/>
                  <w:noWrap w:val="0"/>
                  <w:vAlign w:val="center"/>
                </w:tcPr>
                <w:p w14:paraId="29BA949C">
                  <w:pPr>
                    <w:topLinePunct/>
                    <w:adjustRightInd w:val="0"/>
                    <w:snapToGrid w:val="0"/>
                    <w:jc w:val="center"/>
                    <w:rPr>
                      <w:color w:val="000000"/>
                      <w:szCs w:val="21"/>
                    </w:rPr>
                  </w:pPr>
                  <w:r>
                    <w:rPr>
                      <w:color w:val="000000"/>
                      <w:szCs w:val="21"/>
                    </w:rPr>
                    <w:t>有毒有害和易燃易爆危险物质存储量超过临界量</w:t>
                  </w:r>
                  <w:r>
                    <w:rPr>
                      <w:color w:val="000000"/>
                      <w:szCs w:val="21"/>
                      <w:vertAlign w:val="superscript"/>
                    </w:rPr>
                    <w:t>3</w:t>
                  </w:r>
                  <w:r>
                    <w:rPr>
                      <w:color w:val="000000"/>
                      <w:szCs w:val="21"/>
                    </w:rPr>
                    <w:t>的建设项目</w:t>
                  </w:r>
                </w:p>
              </w:tc>
              <w:tc>
                <w:tcPr>
                  <w:tcW w:w="3230" w:type="dxa"/>
                  <w:noWrap w:val="0"/>
                  <w:vAlign w:val="center"/>
                </w:tcPr>
                <w:p w14:paraId="18A751AF">
                  <w:pPr>
                    <w:topLinePunct/>
                    <w:adjustRightInd w:val="0"/>
                    <w:snapToGrid w:val="0"/>
                    <w:jc w:val="center"/>
                    <w:rPr>
                      <w:color w:val="000000"/>
                      <w:szCs w:val="21"/>
                    </w:rPr>
                  </w:pPr>
                  <w:r>
                    <w:rPr>
                      <w:color w:val="000000"/>
                      <w:szCs w:val="21"/>
                    </w:rPr>
                    <w:t>本项目建成后</w:t>
                  </w:r>
                  <w:r>
                    <w:rPr>
                      <w:rFonts w:hint="eastAsia"/>
                      <w:color w:val="000000"/>
                      <w:szCs w:val="21"/>
                    </w:rPr>
                    <w:t>储存的危险物质未超过临界量</w:t>
                  </w:r>
                </w:p>
              </w:tc>
              <w:tc>
                <w:tcPr>
                  <w:tcW w:w="734" w:type="dxa"/>
                  <w:noWrap w:val="0"/>
                  <w:vAlign w:val="center"/>
                </w:tcPr>
                <w:p w14:paraId="4F278896">
                  <w:pPr>
                    <w:topLinePunct/>
                    <w:adjustRightInd w:val="0"/>
                    <w:snapToGrid w:val="0"/>
                    <w:jc w:val="center"/>
                    <w:rPr>
                      <w:color w:val="000000"/>
                      <w:szCs w:val="21"/>
                    </w:rPr>
                  </w:pPr>
                  <w:r>
                    <w:rPr>
                      <w:color w:val="000000"/>
                      <w:szCs w:val="21"/>
                    </w:rPr>
                    <w:t>不设置</w:t>
                  </w:r>
                </w:p>
              </w:tc>
            </w:tr>
            <w:tr w14:paraId="59552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36" w:type="dxa"/>
                  <w:noWrap w:val="0"/>
                  <w:vAlign w:val="center"/>
                </w:tcPr>
                <w:p w14:paraId="1EA30FE8">
                  <w:pPr>
                    <w:topLinePunct/>
                    <w:adjustRightInd w:val="0"/>
                    <w:snapToGrid w:val="0"/>
                    <w:jc w:val="center"/>
                    <w:rPr>
                      <w:color w:val="000000"/>
                      <w:szCs w:val="21"/>
                    </w:rPr>
                  </w:pPr>
                  <w:r>
                    <w:rPr>
                      <w:color w:val="000000"/>
                      <w:szCs w:val="21"/>
                    </w:rPr>
                    <w:t>生态</w:t>
                  </w:r>
                </w:p>
              </w:tc>
              <w:tc>
                <w:tcPr>
                  <w:tcW w:w="1978" w:type="dxa"/>
                  <w:noWrap w:val="0"/>
                  <w:vAlign w:val="center"/>
                </w:tcPr>
                <w:p w14:paraId="2CFD952D">
                  <w:pPr>
                    <w:topLinePunct/>
                    <w:adjustRightInd w:val="0"/>
                    <w:snapToGrid w:val="0"/>
                    <w:jc w:val="center"/>
                    <w:rPr>
                      <w:color w:val="000000"/>
                      <w:szCs w:val="21"/>
                    </w:rPr>
                  </w:pPr>
                  <w:r>
                    <w:rPr>
                      <w:color w:val="000000"/>
                      <w:szCs w:val="21"/>
                    </w:rPr>
                    <w:t>取水口下游500米范围内有重要水生生物的自然产卵场、索饵场、越冬场和洄游通道的新增河道取水的污染类建设项目</w:t>
                  </w:r>
                </w:p>
              </w:tc>
              <w:tc>
                <w:tcPr>
                  <w:tcW w:w="3230" w:type="dxa"/>
                  <w:noWrap w:val="0"/>
                  <w:vAlign w:val="center"/>
                </w:tcPr>
                <w:p w14:paraId="2B4824D9">
                  <w:pPr>
                    <w:topLinePunct/>
                    <w:adjustRightInd w:val="0"/>
                    <w:snapToGrid w:val="0"/>
                    <w:jc w:val="center"/>
                    <w:rPr>
                      <w:color w:val="000000"/>
                      <w:szCs w:val="21"/>
                    </w:rPr>
                  </w:pPr>
                  <w:r>
                    <w:rPr>
                      <w:color w:val="000000"/>
                      <w:szCs w:val="21"/>
                    </w:rPr>
                    <w:t>本项目不设置取水口</w:t>
                  </w:r>
                </w:p>
              </w:tc>
              <w:tc>
                <w:tcPr>
                  <w:tcW w:w="734" w:type="dxa"/>
                  <w:noWrap w:val="0"/>
                  <w:vAlign w:val="center"/>
                </w:tcPr>
                <w:p w14:paraId="09B90600">
                  <w:pPr>
                    <w:topLinePunct/>
                    <w:adjustRightInd w:val="0"/>
                    <w:snapToGrid w:val="0"/>
                    <w:jc w:val="center"/>
                    <w:rPr>
                      <w:color w:val="000000"/>
                      <w:szCs w:val="21"/>
                    </w:rPr>
                  </w:pPr>
                  <w:r>
                    <w:rPr>
                      <w:color w:val="000000"/>
                      <w:szCs w:val="21"/>
                    </w:rPr>
                    <w:t>不设置</w:t>
                  </w:r>
                </w:p>
              </w:tc>
            </w:tr>
            <w:tr w14:paraId="67601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6" w:type="dxa"/>
                  <w:noWrap w:val="0"/>
                  <w:vAlign w:val="center"/>
                </w:tcPr>
                <w:p w14:paraId="280507B9">
                  <w:pPr>
                    <w:topLinePunct/>
                    <w:adjustRightInd w:val="0"/>
                    <w:snapToGrid w:val="0"/>
                    <w:jc w:val="center"/>
                    <w:rPr>
                      <w:color w:val="000000"/>
                      <w:szCs w:val="21"/>
                    </w:rPr>
                  </w:pPr>
                  <w:r>
                    <w:rPr>
                      <w:color w:val="000000"/>
                      <w:szCs w:val="21"/>
                    </w:rPr>
                    <w:t>海洋</w:t>
                  </w:r>
                </w:p>
              </w:tc>
              <w:tc>
                <w:tcPr>
                  <w:tcW w:w="1978" w:type="dxa"/>
                  <w:noWrap w:val="0"/>
                  <w:vAlign w:val="center"/>
                </w:tcPr>
                <w:p w14:paraId="5EB4E3F3">
                  <w:pPr>
                    <w:topLinePunct/>
                    <w:adjustRightInd w:val="0"/>
                    <w:snapToGrid w:val="0"/>
                    <w:jc w:val="center"/>
                    <w:rPr>
                      <w:color w:val="000000"/>
                      <w:szCs w:val="21"/>
                    </w:rPr>
                  </w:pPr>
                  <w:r>
                    <w:rPr>
                      <w:color w:val="000000"/>
                      <w:szCs w:val="21"/>
                    </w:rPr>
                    <w:t>直接向海排放污染物的海洋工程建设项目</w:t>
                  </w:r>
                </w:p>
              </w:tc>
              <w:tc>
                <w:tcPr>
                  <w:tcW w:w="3230" w:type="dxa"/>
                  <w:noWrap w:val="0"/>
                  <w:vAlign w:val="center"/>
                </w:tcPr>
                <w:p w14:paraId="69A0D26A">
                  <w:pPr>
                    <w:topLinePunct/>
                    <w:adjustRightInd w:val="0"/>
                    <w:snapToGrid w:val="0"/>
                    <w:jc w:val="center"/>
                    <w:rPr>
                      <w:rFonts w:hint="eastAsia"/>
                      <w:color w:val="000000"/>
                      <w:szCs w:val="21"/>
                    </w:rPr>
                  </w:pPr>
                  <w:r>
                    <w:rPr>
                      <w:color w:val="000000"/>
                      <w:szCs w:val="21"/>
                    </w:rPr>
                    <w:t>项目不属于海洋工程建设项目，不向海洋排放污染物</w:t>
                  </w:r>
                </w:p>
              </w:tc>
              <w:tc>
                <w:tcPr>
                  <w:tcW w:w="734" w:type="dxa"/>
                  <w:noWrap w:val="0"/>
                  <w:vAlign w:val="center"/>
                </w:tcPr>
                <w:p w14:paraId="0AA9C16A">
                  <w:pPr>
                    <w:topLinePunct/>
                    <w:adjustRightInd w:val="0"/>
                    <w:snapToGrid w:val="0"/>
                    <w:jc w:val="center"/>
                    <w:rPr>
                      <w:color w:val="000000"/>
                      <w:szCs w:val="21"/>
                    </w:rPr>
                  </w:pPr>
                  <w:r>
                    <w:rPr>
                      <w:color w:val="000000"/>
                      <w:szCs w:val="21"/>
                    </w:rPr>
                    <w:t>不设置</w:t>
                  </w:r>
                </w:p>
              </w:tc>
            </w:tr>
            <w:tr w14:paraId="239F6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6778" w:type="dxa"/>
                  <w:gridSpan w:val="4"/>
                  <w:noWrap w:val="0"/>
                  <w:vAlign w:val="top"/>
                </w:tcPr>
                <w:p w14:paraId="6BBE1D04">
                  <w:pPr>
                    <w:topLinePunct/>
                    <w:adjustRightInd w:val="0"/>
                    <w:snapToGrid w:val="0"/>
                    <w:rPr>
                      <w:color w:val="000000"/>
                      <w:szCs w:val="21"/>
                    </w:rPr>
                  </w:pPr>
                  <w:bookmarkStart w:id="2" w:name="_Hlk57731875"/>
                  <w:r>
                    <w:rPr>
                      <w:color w:val="000000"/>
                      <w:szCs w:val="21"/>
                    </w:rPr>
                    <w:t>注：1.废气中有毒有害污染物指纳入《有毒有害大气污染物名录》的污染物（不包括无排放标准的污染物）</w:t>
                  </w:r>
                  <w:bookmarkEnd w:id="2"/>
                  <w:r>
                    <w:rPr>
                      <w:color w:val="000000"/>
                      <w:szCs w:val="21"/>
                    </w:rPr>
                    <w:t>。</w:t>
                  </w:r>
                </w:p>
                <w:p w14:paraId="6AFE654E">
                  <w:pPr>
                    <w:topLinePunct/>
                    <w:adjustRightInd w:val="0"/>
                    <w:snapToGrid w:val="0"/>
                    <w:rPr>
                      <w:color w:val="000000"/>
                      <w:szCs w:val="21"/>
                    </w:rPr>
                  </w:pPr>
                  <w:r>
                    <w:rPr>
                      <w:color w:val="000000"/>
                      <w:szCs w:val="21"/>
                    </w:rPr>
                    <w:t>2.环境空气保护目标指自然保护区、风景名胜区、居住区、文化区和农村地区中人群较集中的区域。</w:t>
                  </w:r>
                </w:p>
                <w:p w14:paraId="5CF4FB67">
                  <w:pPr>
                    <w:topLinePunct/>
                    <w:adjustRightInd w:val="0"/>
                    <w:snapToGrid w:val="0"/>
                    <w:rPr>
                      <w:color w:val="000000"/>
                      <w:szCs w:val="21"/>
                    </w:rPr>
                  </w:pPr>
                  <w:r>
                    <w:rPr>
                      <w:color w:val="000000"/>
                      <w:szCs w:val="21"/>
                    </w:rPr>
                    <w:t>3.临界量及其计算方法可参考《建设项目环境风险评价技术导则》（HJ 169）附录B、附录C。</w:t>
                  </w:r>
                </w:p>
              </w:tc>
            </w:tr>
          </w:tbl>
          <w:p w14:paraId="5B83E468">
            <w:pPr>
              <w:pStyle w:val="7"/>
              <w:rPr>
                <w:color w:val="000000"/>
              </w:rPr>
            </w:pPr>
          </w:p>
        </w:tc>
      </w:tr>
      <w:tr w14:paraId="7C5277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6" w:hRule="atLeast"/>
          <w:jc w:val="center"/>
        </w:trPr>
        <w:tc>
          <w:tcPr>
            <w:tcW w:w="1939" w:type="dxa"/>
            <w:tcBorders>
              <w:top w:val="single" w:color="auto" w:sz="12" w:space="0"/>
              <w:right w:val="single" w:color="auto" w:sz="12" w:space="0"/>
            </w:tcBorders>
            <w:noWrap w:val="0"/>
            <w:vAlign w:val="center"/>
          </w:tcPr>
          <w:p w14:paraId="5D90549E">
            <w:pPr>
              <w:adjustRightInd w:val="0"/>
              <w:spacing w:line="360" w:lineRule="auto"/>
              <w:jc w:val="center"/>
              <w:rPr>
                <w:color w:val="000000"/>
                <w:sz w:val="24"/>
              </w:rPr>
            </w:pPr>
            <w:r>
              <w:rPr>
                <w:color w:val="000000"/>
                <w:sz w:val="24"/>
              </w:rPr>
              <w:t>规划情况</w:t>
            </w:r>
          </w:p>
        </w:tc>
        <w:tc>
          <w:tcPr>
            <w:tcW w:w="6931" w:type="dxa"/>
            <w:gridSpan w:val="3"/>
            <w:tcBorders>
              <w:top w:val="single" w:color="auto" w:sz="12" w:space="0"/>
              <w:left w:val="single" w:color="auto" w:sz="12" w:space="0"/>
            </w:tcBorders>
            <w:noWrap w:val="0"/>
            <w:vAlign w:val="center"/>
          </w:tcPr>
          <w:p w14:paraId="4FAC9100">
            <w:pPr>
              <w:adjustRightInd w:val="0"/>
              <w:spacing w:line="360" w:lineRule="auto"/>
              <w:ind w:firstLine="480" w:firstLineChars="200"/>
              <w:jc w:val="left"/>
              <w:rPr>
                <w:color w:val="000000"/>
                <w:sz w:val="24"/>
              </w:rPr>
            </w:pPr>
            <w:r>
              <w:rPr>
                <w:color w:val="000000"/>
                <w:sz w:val="24"/>
              </w:rPr>
              <w:t>无</w:t>
            </w:r>
          </w:p>
        </w:tc>
      </w:tr>
      <w:tr w14:paraId="721295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39" w:type="dxa"/>
            <w:noWrap w:val="0"/>
            <w:vAlign w:val="center"/>
          </w:tcPr>
          <w:p w14:paraId="18E3767A">
            <w:pPr>
              <w:adjustRightInd w:val="0"/>
              <w:spacing w:line="360" w:lineRule="auto"/>
              <w:jc w:val="center"/>
              <w:rPr>
                <w:color w:val="000000"/>
                <w:sz w:val="24"/>
              </w:rPr>
            </w:pPr>
            <w:r>
              <w:rPr>
                <w:color w:val="000000"/>
                <w:sz w:val="24"/>
              </w:rPr>
              <w:t>规划环境影响</w:t>
            </w:r>
          </w:p>
          <w:p w14:paraId="2E32718D">
            <w:pPr>
              <w:adjustRightInd w:val="0"/>
              <w:spacing w:line="360" w:lineRule="auto"/>
              <w:jc w:val="center"/>
              <w:rPr>
                <w:color w:val="000000"/>
                <w:kern w:val="0"/>
                <w:sz w:val="24"/>
              </w:rPr>
            </w:pPr>
            <w:r>
              <w:rPr>
                <w:color w:val="000000"/>
                <w:sz w:val="24"/>
              </w:rPr>
              <w:t>评价情况</w:t>
            </w:r>
          </w:p>
        </w:tc>
        <w:tc>
          <w:tcPr>
            <w:tcW w:w="6931" w:type="dxa"/>
            <w:gridSpan w:val="3"/>
            <w:noWrap w:val="0"/>
            <w:vAlign w:val="center"/>
          </w:tcPr>
          <w:p w14:paraId="575F2E42">
            <w:pPr>
              <w:adjustRightInd w:val="0"/>
              <w:spacing w:line="360" w:lineRule="auto"/>
              <w:ind w:firstLine="480" w:firstLineChars="200"/>
              <w:jc w:val="left"/>
              <w:rPr>
                <w:color w:val="000000"/>
                <w:sz w:val="24"/>
              </w:rPr>
            </w:pPr>
            <w:r>
              <w:rPr>
                <w:color w:val="000000"/>
                <w:sz w:val="24"/>
              </w:rPr>
              <w:t>无</w:t>
            </w:r>
          </w:p>
        </w:tc>
      </w:tr>
      <w:tr w14:paraId="54B003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39" w:type="dxa"/>
            <w:noWrap w:val="0"/>
            <w:vAlign w:val="center"/>
          </w:tcPr>
          <w:p w14:paraId="43FC7AA1">
            <w:pPr>
              <w:autoSpaceDE w:val="0"/>
              <w:autoSpaceDN w:val="0"/>
              <w:adjustRightInd w:val="0"/>
              <w:spacing w:line="360" w:lineRule="auto"/>
              <w:jc w:val="center"/>
              <w:rPr>
                <w:color w:val="000000"/>
                <w:kern w:val="0"/>
                <w:sz w:val="24"/>
              </w:rPr>
            </w:pPr>
            <w:r>
              <w:rPr>
                <w:color w:val="000000"/>
                <w:kern w:val="0"/>
                <w:sz w:val="24"/>
              </w:rPr>
              <w:t>规划及规划环境</w:t>
            </w:r>
          </w:p>
          <w:p w14:paraId="5EE59AF0">
            <w:pPr>
              <w:autoSpaceDE w:val="0"/>
              <w:autoSpaceDN w:val="0"/>
              <w:adjustRightInd w:val="0"/>
              <w:spacing w:line="360" w:lineRule="auto"/>
              <w:jc w:val="center"/>
              <w:rPr>
                <w:color w:val="000000"/>
                <w:kern w:val="0"/>
                <w:sz w:val="24"/>
              </w:rPr>
            </w:pPr>
            <w:r>
              <w:rPr>
                <w:color w:val="000000"/>
                <w:kern w:val="0"/>
                <w:sz w:val="24"/>
              </w:rPr>
              <w:t>影响评价符合性分析</w:t>
            </w:r>
          </w:p>
        </w:tc>
        <w:tc>
          <w:tcPr>
            <w:tcW w:w="6931" w:type="dxa"/>
            <w:gridSpan w:val="3"/>
            <w:noWrap w:val="0"/>
            <w:vAlign w:val="center"/>
          </w:tcPr>
          <w:p w14:paraId="545E03EF">
            <w:pPr>
              <w:adjustRightInd w:val="0"/>
              <w:spacing w:line="360" w:lineRule="auto"/>
              <w:ind w:firstLine="480" w:firstLineChars="200"/>
              <w:jc w:val="left"/>
              <w:rPr>
                <w:color w:val="000000"/>
                <w:sz w:val="24"/>
              </w:rPr>
            </w:pPr>
            <w:r>
              <w:rPr>
                <w:color w:val="000000"/>
                <w:sz w:val="24"/>
              </w:rPr>
              <w:t>无</w:t>
            </w:r>
          </w:p>
        </w:tc>
      </w:tr>
      <w:tr w14:paraId="0E5626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39" w:type="dxa"/>
            <w:noWrap w:val="0"/>
            <w:vAlign w:val="center"/>
          </w:tcPr>
          <w:p w14:paraId="43336126">
            <w:pPr>
              <w:autoSpaceDE w:val="0"/>
              <w:autoSpaceDN w:val="0"/>
              <w:adjustRightInd w:val="0"/>
              <w:spacing w:line="360" w:lineRule="auto"/>
              <w:jc w:val="center"/>
              <w:rPr>
                <w:color w:val="000000"/>
                <w:kern w:val="0"/>
                <w:sz w:val="24"/>
              </w:rPr>
            </w:pPr>
            <w:r>
              <w:rPr>
                <w:color w:val="000000"/>
                <w:kern w:val="0"/>
                <w:sz w:val="24"/>
              </w:rPr>
              <w:t>其他符合性分析</w:t>
            </w:r>
          </w:p>
        </w:tc>
        <w:tc>
          <w:tcPr>
            <w:tcW w:w="6931" w:type="dxa"/>
            <w:gridSpan w:val="3"/>
            <w:noWrap w:val="0"/>
            <w:vAlign w:val="center"/>
          </w:tcPr>
          <w:p w14:paraId="4A4E94A0">
            <w:pPr>
              <w:autoSpaceDE w:val="0"/>
              <w:autoSpaceDN w:val="0"/>
              <w:adjustRightInd w:val="0"/>
              <w:spacing w:line="360" w:lineRule="auto"/>
              <w:ind w:firstLine="482" w:firstLineChars="200"/>
              <w:jc w:val="left"/>
              <w:rPr>
                <w:b/>
                <w:bCs/>
                <w:color w:val="000000"/>
                <w:kern w:val="0"/>
                <w:sz w:val="24"/>
              </w:rPr>
            </w:pPr>
            <w:r>
              <w:rPr>
                <w:b/>
                <w:bCs/>
                <w:color w:val="000000"/>
                <w:kern w:val="0"/>
                <w:sz w:val="24"/>
              </w:rPr>
              <w:t>一、产业政策符合性分析</w:t>
            </w:r>
          </w:p>
          <w:p w14:paraId="533DF3AD">
            <w:pPr>
              <w:adjustRightInd w:val="0"/>
              <w:spacing w:line="360" w:lineRule="auto"/>
              <w:ind w:firstLine="480" w:firstLineChars="200"/>
              <w:rPr>
                <w:color w:val="000000"/>
                <w:sz w:val="24"/>
              </w:rPr>
            </w:pPr>
            <w:r>
              <w:rPr>
                <w:color w:val="000000"/>
                <w:sz w:val="24"/>
              </w:rPr>
              <w:t>本项目属于</w:t>
            </w:r>
            <w:r>
              <w:rPr>
                <w:rFonts w:hint="eastAsia"/>
                <w:color w:val="000000"/>
                <w:sz w:val="24"/>
              </w:rPr>
              <w:t>工艺美术及礼仪用品制造</w:t>
            </w:r>
            <w:r>
              <w:rPr>
                <w:color w:val="000000"/>
                <w:sz w:val="24"/>
              </w:rPr>
              <w:t>项目，经查阅中华人民共和国国家发展和改革委员会令第29号《</w:t>
            </w:r>
            <w:r>
              <w:rPr>
                <w:color w:val="000000"/>
                <w:kern w:val="0"/>
                <w:sz w:val="24"/>
              </w:rPr>
              <w:t>产业结构调整指导目录（2019年本）</w:t>
            </w:r>
            <w:r>
              <w:rPr>
                <w:color w:val="000000"/>
                <w:sz w:val="24"/>
              </w:rPr>
              <w:t>》，项目不在其“鼓励类、限制类”，为允许建设类别，</w:t>
            </w:r>
            <w:r>
              <w:rPr>
                <w:color w:val="000000"/>
                <w:sz w:val="24"/>
                <w:szCs w:val="21"/>
              </w:rPr>
              <w:t>因此，项目建设符合国家相关产业政策要求</w:t>
            </w:r>
            <w:r>
              <w:rPr>
                <w:color w:val="000000"/>
                <w:sz w:val="24"/>
              </w:rPr>
              <w:t>。</w:t>
            </w:r>
          </w:p>
          <w:p w14:paraId="4AC5D06D">
            <w:pPr>
              <w:autoSpaceDE w:val="0"/>
              <w:autoSpaceDN w:val="0"/>
              <w:adjustRightInd w:val="0"/>
              <w:spacing w:line="360" w:lineRule="auto"/>
              <w:ind w:firstLine="482" w:firstLineChars="200"/>
              <w:jc w:val="left"/>
              <w:rPr>
                <w:b/>
                <w:bCs/>
                <w:color w:val="000000"/>
                <w:kern w:val="0"/>
                <w:sz w:val="24"/>
              </w:rPr>
            </w:pPr>
            <w:r>
              <w:rPr>
                <w:b/>
                <w:bCs/>
                <w:color w:val="000000"/>
                <w:kern w:val="0"/>
                <w:sz w:val="24"/>
              </w:rPr>
              <w:t>二、与《云南省生态功能区划》的符合性分析</w:t>
            </w:r>
          </w:p>
          <w:p w14:paraId="771247FC">
            <w:pPr>
              <w:adjustRightInd w:val="0"/>
              <w:spacing w:line="360" w:lineRule="auto"/>
              <w:ind w:firstLine="480" w:firstLineChars="200"/>
              <w:rPr>
                <w:color w:val="000000"/>
                <w:sz w:val="24"/>
              </w:rPr>
            </w:pPr>
            <w:r>
              <w:rPr>
                <w:color w:val="000000"/>
                <w:sz w:val="24"/>
              </w:rPr>
              <w:t>根据《云南省生态功能区划》云南省生态功能区共分一级区（生态区）5个，二级区（生态亚区）19个，三级区（生态功能区）65个。石林县属于“Ⅲ高原亚热带北部常绿阔叶林生态区”。</w:t>
            </w:r>
          </w:p>
          <w:p w14:paraId="554E11CA">
            <w:pPr>
              <w:adjustRightInd w:val="0"/>
              <w:spacing w:line="360" w:lineRule="auto"/>
              <w:ind w:firstLine="480" w:firstLineChars="200"/>
              <w:rPr>
                <w:color w:val="000000"/>
                <w:sz w:val="24"/>
              </w:rPr>
            </w:pPr>
            <w:r>
              <w:rPr>
                <w:color w:val="000000"/>
                <w:sz w:val="24"/>
              </w:rPr>
              <w:t>根据《云南省生态功能区划》，项目所在区域范围属于III1-11曲靖、陆良山原盆地城镇与农业生态功能区，主要生态特征为以石灰岩盆地地貌为主，地带性植被为半湿润常绿阔叶，现存植被主要为云南松林，土壤以红壤为主，主要生态系统服务是以岩溶地貌为主的生态旅游和以粮食生产为主的生态农业，保护措施与发展方向为开展生态旅游，合理利用土地，推行清洁生产，改善森林的数量，保护岩溶地貌环境和农田生态环境，防止石漠化。</w:t>
            </w:r>
          </w:p>
          <w:p w14:paraId="28264D67">
            <w:pPr>
              <w:adjustRightInd w:val="0"/>
              <w:spacing w:line="360" w:lineRule="auto"/>
              <w:ind w:firstLine="480" w:firstLineChars="200"/>
              <w:rPr>
                <w:color w:val="000000"/>
                <w:sz w:val="24"/>
              </w:rPr>
            </w:pPr>
            <w:r>
              <w:rPr>
                <w:color w:val="000000"/>
                <w:sz w:val="24"/>
              </w:rPr>
              <w:t>项目占用面积</w:t>
            </w:r>
            <w:r>
              <w:rPr>
                <w:rFonts w:hint="eastAsia"/>
                <w:color w:val="000000"/>
                <w:sz w:val="24"/>
              </w:rPr>
              <w:t>9333.8</w:t>
            </w:r>
            <w:r>
              <w:rPr>
                <w:color w:val="000000"/>
                <w:sz w:val="24"/>
              </w:rPr>
              <w:t>m</w:t>
            </w:r>
            <w:r>
              <w:rPr>
                <w:color w:val="000000"/>
                <w:sz w:val="24"/>
                <w:vertAlign w:val="superscript"/>
              </w:rPr>
              <w:t>2</w:t>
            </w:r>
            <w:r>
              <w:rPr>
                <w:color w:val="000000"/>
                <w:sz w:val="24"/>
              </w:rPr>
              <w:t>，</w:t>
            </w:r>
            <w:r>
              <w:rPr>
                <w:rFonts w:hint="eastAsia"/>
                <w:color w:val="000000"/>
                <w:sz w:val="24"/>
              </w:rPr>
              <w:t>项目属于工艺美术及礼仪用品制造</w:t>
            </w:r>
            <w:r>
              <w:rPr>
                <w:color w:val="000000"/>
                <w:sz w:val="24"/>
              </w:rPr>
              <w:t>业，与该生态功能区保护及发展方向不冲突，符合《云南省生态功能区划》的要求。</w:t>
            </w:r>
          </w:p>
          <w:p w14:paraId="442E675D">
            <w:pPr>
              <w:autoSpaceDE w:val="0"/>
              <w:autoSpaceDN w:val="0"/>
              <w:adjustRightInd w:val="0"/>
              <w:spacing w:line="360" w:lineRule="auto"/>
              <w:ind w:firstLine="482" w:firstLineChars="200"/>
              <w:jc w:val="left"/>
              <w:rPr>
                <w:b/>
                <w:bCs/>
                <w:color w:val="000000"/>
                <w:kern w:val="0"/>
                <w:sz w:val="24"/>
              </w:rPr>
            </w:pPr>
            <w:r>
              <w:rPr>
                <w:b/>
                <w:bCs/>
                <w:color w:val="000000"/>
                <w:kern w:val="0"/>
                <w:sz w:val="24"/>
              </w:rPr>
              <w:t>三、与《云南省主体功能区规划》符合性分析</w:t>
            </w:r>
          </w:p>
          <w:p w14:paraId="3C4E3694">
            <w:pPr>
              <w:adjustRightInd w:val="0"/>
              <w:spacing w:line="360" w:lineRule="auto"/>
              <w:ind w:firstLine="480" w:firstLineChars="200"/>
              <w:rPr>
                <w:color w:val="000000"/>
                <w:sz w:val="24"/>
              </w:rPr>
            </w:pPr>
            <w:r>
              <w:rPr>
                <w:color w:val="000000"/>
                <w:sz w:val="24"/>
              </w:rPr>
              <w:t>根据云南省人民政府文件《云南省人民政府关于印发云南省</w:t>
            </w:r>
          </w:p>
          <w:p w14:paraId="734442FD">
            <w:pPr>
              <w:adjustRightInd w:val="0"/>
              <w:spacing w:line="360" w:lineRule="auto"/>
              <w:rPr>
                <w:color w:val="000000"/>
                <w:sz w:val="24"/>
              </w:rPr>
            </w:pPr>
            <w:r>
              <w:rPr>
                <w:color w:val="000000"/>
                <w:sz w:val="24"/>
              </w:rPr>
              <w:t>主体功能区规划的通知》（云政发（2014）1号），项目所在地石林县国家农产品主产区。该区域的功能定位为：农产品主产区是保障粮食产品和主要农产品供给安全的基地，全省农业产业化的重要地区，现代农业的示范基地，农村居民安居乐业的美好家园，社会主义新农村建设的示范区。</w:t>
            </w:r>
          </w:p>
          <w:p w14:paraId="13742EF0">
            <w:pPr>
              <w:adjustRightInd w:val="0"/>
              <w:spacing w:line="360" w:lineRule="auto"/>
              <w:ind w:firstLine="480" w:firstLineChars="200"/>
              <w:rPr>
                <w:color w:val="000000"/>
                <w:sz w:val="24"/>
              </w:rPr>
            </w:pPr>
            <w:r>
              <w:rPr>
                <w:color w:val="000000"/>
                <w:sz w:val="24"/>
              </w:rPr>
              <w:t>本项目位于</w:t>
            </w:r>
            <w:r>
              <w:rPr>
                <w:rFonts w:hint="eastAsia"/>
                <w:color w:val="000000"/>
                <w:sz w:val="24"/>
              </w:rPr>
              <w:t>石林县板桥街道板桥社区碧落甸村</w:t>
            </w:r>
            <w:r>
              <w:rPr>
                <w:color w:val="000000"/>
                <w:sz w:val="24"/>
              </w:rPr>
              <w:t>，项目通过收购石林县鲜花种植基地的</w:t>
            </w:r>
            <w:r>
              <w:rPr>
                <w:rFonts w:hint="eastAsia"/>
                <w:color w:val="000000"/>
                <w:sz w:val="24"/>
              </w:rPr>
              <w:t>玫瑰、绣球、百万星、富贵叶等各类</w:t>
            </w:r>
            <w:r>
              <w:rPr>
                <w:color w:val="000000"/>
                <w:sz w:val="24"/>
              </w:rPr>
              <w:t>鲜花，经过脱色-染色</w:t>
            </w:r>
            <w:r>
              <w:rPr>
                <w:rFonts w:hint="eastAsia"/>
                <w:color w:val="000000"/>
                <w:sz w:val="24"/>
              </w:rPr>
              <w:t>工序</w:t>
            </w:r>
            <w:r>
              <w:rPr>
                <w:color w:val="000000"/>
                <w:sz w:val="24"/>
              </w:rPr>
              <w:t>生产永生花，</w:t>
            </w:r>
            <w:r>
              <w:rPr>
                <w:rFonts w:hint="eastAsia"/>
                <w:color w:val="000000"/>
                <w:sz w:val="24"/>
              </w:rPr>
              <w:t>项目</w:t>
            </w:r>
            <w:r>
              <w:rPr>
                <w:color w:val="000000"/>
                <w:sz w:val="24"/>
              </w:rPr>
              <w:t>属于</w:t>
            </w:r>
            <w:r>
              <w:rPr>
                <w:rFonts w:hint="eastAsia"/>
                <w:color w:val="000000"/>
                <w:sz w:val="24"/>
              </w:rPr>
              <w:t>工艺美术及礼仪用品制造</w:t>
            </w:r>
            <w:r>
              <w:rPr>
                <w:color w:val="000000"/>
                <w:sz w:val="24"/>
              </w:rPr>
              <w:t>业，项目运营期经配套相关环保设施后，废气、噪声均能达标排放，</w:t>
            </w:r>
            <w:r>
              <w:rPr>
                <w:rFonts w:hint="eastAsia"/>
                <w:color w:val="000000"/>
                <w:sz w:val="24"/>
              </w:rPr>
              <w:t>项目运营不产生生产废水，办公生活区食堂废水经隔油池预处理后连同其余办公生活污水一起排入化粪池处理，处理后的废水用于周边旱地施肥。</w:t>
            </w:r>
            <w:r>
              <w:rPr>
                <w:color w:val="000000"/>
                <w:sz w:val="24"/>
              </w:rPr>
              <w:t>固废处置率100%，对周边环境影响较小。</w:t>
            </w:r>
          </w:p>
          <w:p w14:paraId="40C692F8">
            <w:pPr>
              <w:adjustRightInd w:val="0"/>
              <w:spacing w:line="360" w:lineRule="auto"/>
              <w:ind w:firstLine="480" w:firstLineChars="200"/>
              <w:rPr>
                <w:color w:val="000000"/>
                <w:sz w:val="24"/>
              </w:rPr>
            </w:pPr>
            <w:r>
              <w:rPr>
                <w:color w:val="000000"/>
                <w:sz w:val="24"/>
              </w:rPr>
              <w:t>综上分析，项目的建设符合《云南省主体功能区规划》。</w:t>
            </w:r>
          </w:p>
          <w:p w14:paraId="7E02D885">
            <w:pPr>
              <w:pStyle w:val="28"/>
              <w:adjustRightInd w:val="0"/>
              <w:snapToGrid w:val="0"/>
              <w:spacing w:before="0" w:after="0" w:line="360" w:lineRule="auto"/>
              <w:ind w:firstLine="482" w:firstLineChars="200"/>
              <w:rPr>
                <w:rFonts w:cs="Times New Roman"/>
                <w:b/>
                <w:bCs/>
                <w:color w:val="000000"/>
                <w:kern w:val="0"/>
                <w:sz w:val="24"/>
              </w:rPr>
            </w:pPr>
            <w:r>
              <w:rPr>
                <w:rFonts w:cs="Times New Roman"/>
                <w:b/>
                <w:bCs/>
                <w:color w:val="000000"/>
                <w:kern w:val="0"/>
                <w:sz w:val="24"/>
              </w:rPr>
              <w:t>四、项目与《昆明市人民政府关于实施“三线一单”生态环境分区管控的意见》的符合性分析</w:t>
            </w:r>
          </w:p>
          <w:p w14:paraId="2FCFFEF8">
            <w:pPr>
              <w:pStyle w:val="7"/>
              <w:widowControl w:val="0"/>
              <w:snapToGrid/>
              <w:spacing w:before="0" w:after="0" w:line="360" w:lineRule="auto"/>
              <w:ind w:right="0" w:firstLine="480" w:firstLineChars="200"/>
              <w:rPr>
                <w:color w:val="000000"/>
                <w:sz w:val="24"/>
                <w:szCs w:val="24"/>
              </w:rPr>
            </w:pPr>
            <w:r>
              <w:rPr>
                <w:color w:val="000000"/>
                <w:sz w:val="24"/>
                <w:szCs w:val="24"/>
              </w:rPr>
              <w:t>（1）生态保护红线符合性分析</w:t>
            </w:r>
          </w:p>
          <w:p w14:paraId="7111CCDE">
            <w:pPr>
              <w:pStyle w:val="7"/>
              <w:widowControl w:val="0"/>
              <w:snapToGrid/>
              <w:spacing w:before="0" w:after="0" w:line="360" w:lineRule="auto"/>
              <w:ind w:right="0" w:firstLine="480" w:firstLineChars="200"/>
              <w:rPr>
                <w:color w:val="000000"/>
                <w:sz w:val="24"/>
                <w:szCs w:val="24"/>
              </w:rPr>
            </w:pPr>
            <w:r>
              <w:rPr>
                <w:color w:val="000000"/>
                <w:sz w:val="24"/>
                <w:szCs w:val="24"/>
              </w:rPr>
              <w:t>根据《云南省人民政府关于发布云南省生态保护红线的通知》（云政发[2018]32号）（以下简称《通知》），从《通知》知道《云南省生态保护红线》已经国务院同意，现已发布，对全省各市区的生态保护红线进行了划定。</w:t>
            </w:r>
          </w:p>
          <w:p w14:paraId="4BC60CDC">
            <w:pPr>
              <w:pStyle w:val="7"/>
              <w:widowControl w:val="0"/>
              <w:snapToGrid/>
              <w:spacing w:before="0" w:after="0" w:line="360" w:lineRule="auto"/>
              <w:ind w:right="0" w:firstLine="480" w:firstLineChars="200"/>
              <w:rPr>
                <w:color w:val="000000"/>
                <w:sz w:val="24"/>
                <w:szCs w:val="24"/>
              </w:rPr>
            </w:pPr>
            <w:r>
              <w:rPr>
                <w:color w:val="000000"/>
                <w:sz w:val="24"/>
                <w:szCs w:val="24"/>
              </w:rPr>
              <w:t>根据《云南省生态红线》的划定对象，将自然保护区、国家公园、森林公园的生态保育区和核心景观区、风景名胜区的一级保护区(核心景区)、地质公园的地质遗迹保护区、世界自然遗产地的核心区和缓冲区、湿地公园的湿地保育区和恢复重建区、重点城市集中式饮用水水源保护区的一二级保护区、水产种质资源保护区的核心区、九大高原湖泊的一级保护区、牛栏江流域水源保护核心区和相关区域、重要湿地、极小种群物种分布栖息地、原始林、国家一级公益林、部分国家二级公益林及省级公益林、部分天然林、相对集中连片的草地、河湖自然岸线和海拔3800m树线以上区域，以及科学评估结果为生态功能极重要区和生态环境敏感极重要区划入生态保护红线。本项目</w:t>
            </w:r>
            <w:r>
              <w:rPr>
                <w:color w:val="000000"/>
                <w:sz w:val="24"/>
              </w:rPr>
              <w:t>位于</w:t>
            </w:r>
            <w:r>
              <w:rPr>
                <w:rFonts w:hint="eastAsia"/>
                <w:color w:val="000000"/>
                <w:sz w:val="24"/>
              </w:rPr>
              <w:t>石林县板桥街道板桥社区碧落甸村</w:t>
            </w:r>
            <w:r>
              <w:rPr>
                <w:color w:val="000000"/>
                <w:sz w:val="24"/>
              </w:rPr>
              <w:t>，根据石林彝族自治县自然资源局出具的“石林芳草阁花卉有限公司”生态保护红线查询结果的复函</w:t>
            </w:r>
            <w:r>
              <w:rPr>
                <w:rFonts w:hint="eastAsia"/>
                <w:color w:val="000000"/>
                <w:sz w:val="24"/>
              </w:rPr>
              <w:t>（详见附件5）</w:t>
            </w:r>
            <w:r>
              <w:rPr>
                <w:color w:val="000000"/>
                <w:sz w:val="24"/>
              </w:rPr>
              <w:t>，石林芳草阁花卉有限公司未与生态保护红线数据存在冲突，</w:t>
            </w:r>
            <w:r>
              <w:rPr>
                <w:color w:val="000000"/>
                <w:sz w:val="24"/>
                <w:szCs w:val="24"/>
              </w:rPr>
              <w:t>因此</w:t>
            </w:r>
            <w:r>
              <w:rPr>
                <w:rFonts w:hint="eastAsia"/>
                <w:color w:val="000000"/>
                <w:sz w:val="24"/>
                <w:szCs w:val="24"/>
              </w:rPr>
              <w:t>，</w:t>
            </w:r>
            <w:r>
              <w:rPr>
                <w:color w:val="000000"/>
                <w:sz w:val="24"/>
                <w:szCs w:val="24"/>
              </w:rPr>
              <w:t>项目建设符合生态红线要求。</w:t>
            </w:r>
          </w:p>
          <w:p w14:paraId="47C53FE3">
            <w:pPr>
              <w:widowControl/>
              <w:spacing w:line="360" w:lineRule="auto"/>
              <w:ind w:firstLine="480" w:firstLineChars="200"/>
              <w:rPr>
                <w:bCs/>
                <w:color w:val="000000"/>
                <w:sz w:val="24"/>
              </w:rPr>
            </w:pPr>
            <w:r>
              <w:rPr>
                <w:bCs/>
                <w:color w:val="000000"/>
                <w:sz w:val="24"/>
              </w:rPr>
              <w:t>（2）环境质量底线</w:t>
            </w:r>
          </w:p>
          <w:p w14:paraId="6E487503">
            <w:pPr>
              <w:widowControl/>
              <w:spacing w:line="360" w:lineRule="auto"/>
              <w:ind w:firstLine="480" w:firstLineChars="200"/>
              <w:rPr>
                <w:bCs/>
                <w:color w:val="000000"/>
                <w:sz w:val="24"/>
              </w:rPr>
            </w:pPr>
            <w:r>
              <w:rPr>
                <w:color w:val="000000"/>
                <w:sz w:val="24"/>
              </w:rPr>
              <w:t>本次评价收集了昆明市生态环境局2022年6月6日在昆明市生态环境局官网发布的《2021年度昆明市生态环境状况公报》相关数据资料，项目所在区域为大气环境环境质量达标区；项目区附近的主要地表水体为</w:t>
            </w:r>
            <w:r>
              <w:rPr>
                <w:rFonts w:hint="eastAsia"/>
                <w:color w:val="000000"/>
                <w:sz w:val="24"/>
              </w:rPr>
              <w:t>西侧412m的凡湾河和</w:t>
            </w:r>
            <w:r>
              <w:rPr>
                <w:color w:val="000000"/>
                <w:sz w:val="24"/>
              </w:rPr>
              <w:t>东侧</w:t>
            </w:r>
            <w:r>
              <w:rPr>
                <w:rFonts w:hint="eastAsia"/>
                <w:color w:val="000000"/>
                <w:sz w:val="24"/>
              </w:rPr>
              <w:t>1000</w:t>
            </w:r>
            <w:r>
              <w:rPr>
                <w:color w:val="000000"/>
                <w:sz w:val="24"/>
              </w:rPr>
              <w:t>m的</w:t>
            </w:r>
            <w:r>
              <w:rPr>
                <w:rFonts w:hint="eastAsia"/>
                <w:color w:val="000000"/>
                <w:sz w:val="24"/>
              </w:rPr>
              <w:t>巴江</w:t>
            </w:r>
            <w:r>
              <w:rPr>
                <w:color w:val="000000"/>
                <w:sz w:val="24"/>
              </w:rPr>
              <w:t>，满足《地表水环境质量标准》（GB3838-2002）Ⅲ类水质标准要求。项目属于</w:t>
            </w:r>
            <w:r>
              <w:rPr>
                <w:rFonts w:hint="eastAsia"/>
                <w:color w:val="000000"/>
                <w:sz w:val="24"/>
              </w:rPr>
              <w:t>工艺美术及礼仪用品制造</w:t>
            </w:r>
            <w:r>
              <w:rPr>
                <w:color w:val="000000"/>
                <w:sz w:val="24"/>
              </w:rPr>
              <w:t>业，本项目建成后，</w:t>
            </w:r>
            <w:r>
              <w:rPr>
                <w:rFonts w:hint="eastAsia"/>
                <w:color w:val="000000"/>
                <w:sz w:val="24"/>
              </w:rPr>
              <w:t>不产生生产废水，办公生活区食堂废水经隔油池预处理后连同其余办公生活污水一起排入化粪池处理，处理后的废水用于周边旱地施肥。项目运行</w:t>
            </w:r>
            <w:r>
              <w:rPr>
                <w:color w:val="000000"/>
                <w:sz w:val="24"/>
              </w:rPr>
              <w:t>对地表水的影响轻微，废气达标排放，对大气环境影响小，</w:t>
            </w:r>
            <w:r>
              <w:rPr>
                <w:bCs/>
                <w:color w:val="000000"/>
                <w:sz w:val="24"/>
              </w:rPr>
              <w:t>对周围土壤环境影响小，项目建设不会改变区域环境功能，符合环境质量底线要求。</w:t>
            </w:r>
          </w:p>
          <w:p w14:paraId="4D0CD7E9">
            <w:pPr>
              <w:widowControl/>
              <w:spacing w:line="360" w:lineRule="auto"/>
              <w:ind w:firstLine="480" w:firstLineChars="200"/>
              <w:rPr>
                <w:color w:val="000000"/>
                <w:sz w:val="24"/>
              </w:rPr>
            </w:pPr>
            <w:r>
              <w:rPr>
                <w:color w:val="000000"/>
                <w:sz w:val="24"/>
              </w:rPr>
              <w:t>（3）资源利用上线</w:t>
            </w:r>
          </w:p>
          <w:p w14:paraId="33A0E727">
            <w:pPr>
              <w:widowControl/>
              <w:spacing w:line="360" w:lineRule="auto"/>
              <w:ind w:firstLine="480" w:firstLineChars="200"/>
              <w:rPr>
                <w:color w:val="000000"/>
                <w:sz w:val="24"/>
              </w:rPr>
            </w:pPr>
            <w:r>
              <w:rPr>
                <w:color w:val="000000"/>
                <w:sz w:val="24"/>
              </w:rPr>
              <w:t>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w:t>
            </w:r>
          </w:p>
          <w:p w14:paraId="6F43C41D">
            <w:pPr>
              <w:widowControl/>
              <w:spacing w:line="360" w:lineRule="auto"/>
              <w:ind w:firstLine="480" w:firstLineChars="200"/>
              <w:rPr>
                <w:bCs/>
                <w:color w:val="000000"/>
                <w:sz w:val="24"/>
              </w:rPr>
            </w:pPr>
            <w:r>
              <w:rPr>
                <w:color w:val="000000"/>
                <w:sz w:val="24"/>
              </w:rPr>
              <w:t>本项目用地总面积为</w:t>
            </w:r>
            <w:r>
              <w:rPr>
                <w:rFonts w:hint="eastAsia"/>
                <w:color w:val="000000"/>
                <w:sz w:val="24"/>
              </w:rPr>
              <w:t>9333.8</w:t>
            </w:r>
            <w:r>
              <w:rPr>
                <w:color w:val="000000"/>
                <w:sz w:val="24"/>
              </w:rPr>
              <w:t>m</w:t>
            </w:r>
            <w:r>
              <w:rPr>
                <w:color w:val="000000"/>
                <w:sz w:val="24"/>
                <w:vertAlign w:val="superscript"/>
              </w:rPr>
              <w:t>2</w:t>
            </w:r>
            <w:r>
              <w:rPr>
                <w:bCs/>
                <w:color w:val="000000"/>
                <w:sz w:val="24"/>
              </w:rPr>
              <w:t>，不会突破当地土地资源利用上线。项目消耗的水、电等均由供水公司、供电公司供应，不会突破当地资源利用上线。</w:t>
            </w:r>
          </w:p>
          <w:p w14:paraId="1CE838DC">
            <w:pPr>
              <w:widowControl/>
              <w:spacing w:line="360" w:lineRule="auto"/>
              <w:ind w:firstLine="480" w:firstLineChars="200"/>
              <w:jc w:val="left"/>
              <w:rPr>
                <w:bCs/>
                <w:color w:val="000000"/>
                <w:sz w:val="24"/>
              </w:rPr>
            </w:pPr>
            <w:r>
              <w:rPr>
                <w:bCs/>
                <w:color w:val="000000"/>
                <w:sz w:val="24"/>
              </w:rPr>
              <w:t>（4）环境准入负面清单符合性分析</w:t>
            </w:r>
          </w:p>
          <w:p w14:paraId="59B56DDB">
            <w:pPr>
              <w:autoSpaceDE w:val="0"/>
              <w:autoSpaceDN w:val="0"/>
              <w:spacing w:line="360" w:lineRule="auto"/>
              <w:ind w:firstLine="480" w:firstLineChars="200"/>
              <w:rPr>
                <w:color w:val="000000"/>
                <w:sz w:val="24"/>
              </w:rPr>
            </w:pPr>
            <w:r>
              <w:rPr>
                <w:color w:val="000000"/>
                <w:sz w:val="24"/>
              </w:rPr>
              <w:t>本项目位于</w:t>
            </w:r>
            <w:r>
              <w:rPr>
                <w:rFonts w:hint="eastAsia"/>
                <w:color w:val="000000"/>
                <w:sz w:val="24"/>
              </w:rPr>
              <w:t>石林县板桥街道板桥社区碧落甸村</w:t>
            </w:r>
            <w:r>
              <w:rPr>
                <w:color w:val="000000"/>
                <w:sz w:val="24"/>
              </w:rPr>
              <w:t>，根据昆明市人民政府关于印发《昆明市“三线一单”生态环境分区管控的实施意见》（昆政发〔2021〕21号），对照昆明市环境管控单元生态环境准入清单，本项目位于一般管控单元，项目与昆明市环境管控单元分类图的位置关系</w:t>
            </w:r>
            <w:r>
              <w:rPr>
                <w:rFonts w:hint="eastAsia"/>
                <w:color w:val="000000"/>
                <w:sz w:val="24"/>
              </w:rPr>
              <w:t>详见附</w:t>
            </w:r>
            <w:r>
              <w:rPr>
                <w:color w:val="000000"/>
                <w:sz w:val="24"/>
              </w:rPr>
              <w:t>图</w:t>
            </w:r>
            <w:r>
              <w:rPr>
                <w:rFonts w:hint="eastAsia"/>
                <w:color w:val="000000"/>
                <w:sz w:val="24"/>
              </w:rPr>
              <w:t>7，</w:t>
            </w:r>
            <w:r>
              <w:rPr>
                <w:color w:val="000000"/>
                <w:sz w:val="24"/>
              </w:rPr>
              <w:t>一般管控单元管控要求如下：</w:t>
            </w:r>
          </w:p>
          <w:p w14:paraId="2C648D84">
            <w:pPr>
              <w:spacing w:line="360" w:lineRule="auto"/>
              <w:jc w:val="center"/>
              <w:rPr>
                <w:b/>
                <w:bCs/>
                <w:color w:val="000000"/>
              </w:rPr>
            </w:pPr>
            <w:r>
              <w:rPr>
                <w:b/>
                <w:bCs/>
                <w:color w:val="000000"/>
              </w:rPr>
              <w:t>表1-2  与昆明市环境管控单元生态环境准入清单对照情况表</w:t>
            </w:r>
          </w:p>
          <w:tbl>
            <w:tblPr>
              <w:tblStyle w:val="20"/>
              <w:tblW w:w="6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390"/>
              <w:gridCol w:w="3043"/>
              <w:gridCol w:w="625"/>
            </w:tblGrid>
            <w:tr w14:paraId="7C6C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gridSpan w:val="2"/>
                  <w:shd w:val="clear" w:color="auto" w:fill="auto"/>
                  <w:noWrap w:val="0"/>
                  <w:vAlign w:val="center"/>
                </w:tcPr>
                <w:p w14:paraId="10272713">
                  <w:pPr>
                    <w:adjustRightInd w:val="0"/>
                    <w:snapToGrid w:val="0"/>
                    <w:jc w:val="center"/>
                    <w:rPr>
                      <w:b/>
                      <w:color w:val="000000"/>
                      <w:szCs w:val="21"/>
                    </w:rPr>
                  </w:pPr>
                  <w:r>
                    <w:rPr>
                      <w:b/>
                      <w:color w:val="000000"/>
                      <w:szCs w:val="21"/>
                    </w:rPr>
                    <w:t>文件要求</w:t>
                  </w:r>
                </w:p>
              </w:tc>
              <w:tc>
                <w:tcPr>
                  <w:tcW w:w="3043" w:type="dxa"/>
                  <w:shd w:val="clear" w:color="auto" w:fill="auto"/>
                  <w:noWrap w:val="0"/>
                  <w:vAlign w:val="center"/>
                </w:tcPr>
                <w:p w14:paraId="03A25F85">
                  <w:pPr>
                    <w:adjustRightInd w:val="0"/>
                    <w:snapToGrid w:val="0"/>
                    <w:jc w:val="center"/>
                    <w:rPr>
                      <w:b/>
                      <w:color w:val="000000"/>
                      <w:szCs w:val="21"/>
                    </w:rPr>
                  </w:pPr>
                  <w:r>
                    <w:rPr>
                      <w:b/>
                      <w:color w:val="000000"/>
                      <w:szCs w:val="21"/>
                    </w:rPr>
                    <w:t>本项目情况</w:t>
                  </w:r>
                </w:p>
              </w:tc>
              <w:tc>
                <w:tcPr>
                  <w:tcW w:w="625" w:type="dxa"/>
                  <w:shd w:val="clear" w:color="auto" w:fill="auto"/>
                  <w:noWrap w:val="0"/>
                  <w:vAlign w:val="center"/>
                </w:tcPr>
                <w:p w14:paraId="0171E420">
                  <w:pPr>
                    <w:adjustRightInd w:val="0"/>
                    <w:snapToGrid w:val="0"/>
                    <w:jc w:val="center"/>
                    <w:rPr>
                      <w:b/>
                      <w:color w:val="000000"/>
                      <w:szCs w:val="21"/>
                    </w:rPr>
                  </w:pPr>
                  <w:r>
                    <w:rPr>
                      <w:b/>
                      <w:color w:val="000000"/>
                      <w:szCs w:val="21"/>
                    </w:rPr>
                    <w:t>符合性</w:t>
                  </w:r>
                </w:p>
              </w:tc>
            </w:tr>
            <w:tr w14:paraId="233E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7" w:type="dxa"/>
                  <w:shd w:val="clear" w:color="auto" w:fill="auto"/>
                  <w:noWrap w:val="0"/>
                  <w:vAlign w:val="center"/>
                </w:tcPr>
                <w:p w14:paraId="333D0626">
                  <w:pPr>
                    <w:adjustRightInd w:val="0"/>
                    <w:snapToGrid w:val="0"/>
                    <w:jc w:val="center"/>
                    <w:rPr>
                      <w:color w:val="000000"/>
                      <w:szCs w:val="21"/>
                    </w:rPr>
                  </w:pPr>
                  <w:r>
                    <w:rPr>
                      <w:color w:val="000000"/>
                      <w:szCs w:val="21"/>
                    </w:rPr>
                    <w:t>空间布局</w:t>
                  </w:r>
                </w:p>
                <w:p w14:paraId="47AF7FC9">
                  <w:pPr>
                    <w:adjustRightInd w:val="0"/>
                    <w:snapToGrid w:val="0"/>
                    <w:jc w:val="center"/>
                    <w:rPr>
                      <w:color w:val="000000"/>
                      <w:szCs w:val="21"/>
                    </w:rPr>
                  </w:pPr>
                  <w:r>
                    <w:rPr>
                      <w:color w:val="000000"/>
                      <w:szCs w:val="21"/>
                    </w:rPr>
                    <w:t>约束</w:t>
                  </w:r>
                </w:p>
                <w:p w14:paraId="6D597EFF">
                  <w:pPr>
                    <w:adjustRightInd w:val="0"/>
                    <w:snapToGrid w:val="0"/>
                    <w:jc w:val="center"/>
                    <w:rPr>
                      <w:color w:val="000000"/>
                      <w:szCs w:val="21"/>
                    </w:rPr>
                  </w:pPr>
                  <w:r>
                    <w:rPr>
                      <w:color w:val="000000"/>
                      <w:szCs w:val="21"/>
                    </w:rPr>
                    <w:t>污染物</w:t>
                  </w:r>
                </w:p>
                <w:p w14:paraId="0C30D9DE">
                  <w:pPr>
                    <w:adjustRightInd w:val="0"/>
                    <w:snapToGrid w:val="0"/>
                    <w:jc w:val="center"/>
                    <w:rPr>
                      <w:color w:val="000000"/>
                      <w:szCs w:val="21"/>
                    </w:rPr>
                  </w:pPr>
                  <w:r>
                    <w:rPr>
                      <w:color w:val="000000"/>
                      <w:szCs w:val="21"/>
                    </w:rPr>
                    <w:t>排放管控</w:t>
                  </w:r>
                </w:p>
              </w:tc>
              <w:tc>
                <w:tcPr>
                  <w:tcW w:w="2390" w:type="dxa"/>
                  <w:shd w:val="clear" w:color="auto" w:fill="auto"/>
                  <w:noWrap w:val="0"/>
                  <w:vAlign w:val="center"/>
                </w:tcPr>
                <w:p w14:paraId="6108AA9C">
                  <w:pPr>
                    <w:adjustRightInd w:val="0"/>
                    <w:snapToGrid w:val="0"/>
                    <w:rPr>
                      <w:color w:val="000000"/>
                      <w:szCs w:val="21"/>
                    </w:rPr>
                  </w:pPr>
                  <w:r>
                    <w:rPr>
                      <w:color w:val="000000"/>
                      <w:szCs w:val="21"/>
                    </w:rPr>
                    <w:t>（1）禁止一切破坏水环境生态平衡的活动及破坏水源林、护岸林、与水源保护相关植被的活动。</w:t>
                  </w:r>
                </w:p>
                <w:p w14:paraId="1EB4DE69">
                  <w:pPr>
                    <w:adjustRightInd w:val="0"/>
                    <w:snapToGrid w:val="0"/>
                    <w:rPr>
                      <w:color w:val="000000"/>
                      <w:szCs w:val="21"/>
                    </w:rPr>
                  </w:pPr>
                </w:p>
                <w:p w14:paraId="259CD184">
                  <w:pPr>
                    <w:adjustRightInd w:val="0"/>
                    <w:snapToGrid w:val="0"/>
                    <w:rPr>
                      <w:color w:val="000000"/>
                      <w:szCs w:val="21"/>
                    </w:rPr>
                  </w:pPr>
                </w:p>
                <w:p w14:paraId="63C5E9B7">
                  <w:pPr>
                    <w:adjustRightInd w:val="0"/>
                    <w:snapToGrid w:val="0"/>
                    <w:rPr>
                      <w:color w:val="000000"/>
                      <w:szCs w:val="21"/>
                    </w:rPr>
                  </w:pPr>
                </w:p>
                <w:p w14:paraId="46354926">
                  <w:pPr>
                    <w:adjustRightInd w:val="0"/>
                    <w:snapToGrid w:val="0"/>
                    <w:rPr>
                      <w:color w:val="000000"/>
                      <w:szCs w:val="21"/>
                    </w:rPr>
                  </w:pPr>
                  <w:r>
                    <w:rPr>
                      <w:color w:val="000000"/>
                      <w:szCs w:val="21"/>
                    </w:rPr>
                    <w:t>（2）禁止向水域倾倒工业废渣、城市垃圾、粪便及其他废弃物。</w:t>
                  </w:r>
                </w:p>
                <w:p w14:paraId="2E070879">
                  <w:pPr>
                    <w:adjustRightInd w:val="0"/>
                    <w:snapToGrid w:val="0"/>
                    <w:rPr>
                      <w:color w:val="000000"/>
                      <w:szCs w:val="21"/>
                    </w:rPr>
                  </w:pPr>
                </w:p>
                <w:p w14:paraId="53AC30B3">
                  <w:pPr>
                    <w:adjustRightInd w:val="0"/>
                    <w:snapToGrid w:val="0"/>
                    <w:rPr>
                      <w:color w:val="000000"/>
                      <w:szCs w:val="21"/>
                    </w:rPr>
                  </w:pPr>
                  <w:r>
                    <w:rPr>
                      <w:color w:val="000000"/>
                      <w:szCs w:val="21"/>
                    </w:rPr>
                    <w:t>（3）禁止使用剧毒和高残留农药，不得滥用化肥，不得使用炸药、毒品捕杀鱼类。</w:t>
                  </w:r>
                </w:p>
                <w:p w14:paraId="52E2733A">
                  <w:pPr>
                    <w:adjustRightInd w:val="0"/>
                    <w:snapToGrid w:val="0"/>
                    <w:rPr>
                      <w:color w:val="000000"/>
                      <w:szCs w:val="21"/>
                    </w:rPr>
                  </w:pPr>
                </w:p>
                <w:p w14:paraId="6E12393E">
                  <w:pPr>
                    <w:adjustRightInd w:val="0"/>
                    <w:snapToGrid w:val="0"/>
                    <w:rPr>
                      <w:color w:val="000000"/>
                      <w:szCs w:val="21"/>
                    </w:rPr>
                  </w:pPr>
                </w:p>
                <w:p w14:paraId="6BB439BD">
                  <w:pPr>
                    <w:adjustRightInd w:val="0"/>
                    <w:snapToGrid w:val="0"/>
                    <w:rPr>
                      <w:color w:val="000000"/>
                      <w:szCs w:val="21"/>
                    </w:rPr>
                  </w:pPr>
                  <w:r>
                    <w:rPr>
                      <w:color w:val="000000"/>
                      <w:szCs w:val="21"/>
                    </w:rPr>
                    <w:t>（4）禁止设立装卸垃圾、粪便、油类和有毒物品的码头。</w:t>
                  </w:r>
                </w:p>
                <w:p w14:paraId="57BFA4FF">
                  <w:pPr>
                    <w:adjustRightInd w:val="0"/>
                    <w:snapToGrid w:val="0"/>
                    <w:rPr>
                      <w:color w:val="000000"/>
                      <w:szCs w:val="21"/>
                    </w:rPr>
                  </w:pPr>
                  <w:r>
                    <w:rPr>
                      <w:color w:val="000000"/>
                      <w:szCs w:val="21"/>
                    </w:rPr>
                    <w:t>（5）禁止新建、扩建对水体污染严重的建设项目；改建建设项目，不得增加排污量。</w:t>
                  </w:r>
                </w:p>
              </w:tc>
              <w:tc>
                <w:tcPr>
                  <w:tcW w:w="3043" w:type="dxa"/>
                  <w:shd w:val="clear" w:color="auto" w:fill="auto"/>
                  <w:noWrap w:val="0"/>
                  <w:vAlign w:val="center"/>
                </w:tcPr>
                <w:p w14:paraId="17D22C87">
                  <w:pPr>
                    <w:adjustRightInd w:val="0"/>
                    <w:snapToGrid w:val="0"/>
                    <w:rPr>
                      <w:color w:val="000000"/>
                    </w:rPr>
                  </w:pPr>
                  <w:r>
                    <w:rPr>
                      <w:color w:val="000000"/>
                    </w:rPr>
                    <w:t>（1）本项目位于</w:t>
                  </w:r>
                  <w:r>
                    <w:rPr>
                      <w:rFonts w:hint="eastAsia"/>
                      <w:color w:val="000000"/>
                    </w:rPr>
                    <w:t>石林县板桥街道板桥社区碧落甸村</w:t>
                  </w:r>
                  <w:r>
                    <w:rPr>
                      <w:color w:val="000000"/>
                    </w:rPr>
                    <w:t>，项目占地范围内不涉及水源地保护区等敏感区域，不涉及破坏水环境生态平衡的活动及破坏水源林、护岸林、与水源保护相关植被的活动。</w:t>
                  </w:r>
                </w:p>
                <w:p w14:paraId="64622AC7">
                  <w:pPr>
                    <w:rPr>
                      <w:color w:val="000000"/>
                    </w:rPr>
                  </w:pPr>
                  <w:r>
                    <w:rPr>
                      <w:color w:val="000000"/>
                    </w:rPr>
                    <w:t>（2）项目运营后，</w:t>
                  </w:r>
                  <w:r>
                    <w:rPr>
                      <w:rFonts w:hint="eastAsia"/>
                      <w:color w:val="000000"/>
                      <w:szCs w:val="21"/>
                    </w:rPr>
                    <w:t>不产生生产废水，办公生活区食堂废水经隔油池预处理后连同其余办公生活污水一起排入化粪池处理，处理后的废水用于周边旱地施肥</w:t>
                  </w:r>
                  <w:r>
                    <w:rPr>
                      <w:color w:val="000000"/>
                    </w:rPr>
                    <w:t>，项目不向水域倾倒工业废渣、城市垃圾、粪便及其他废弃物。</w:t>
                  </w:r>
                </w:p>
                <w:p w14:paraId="518D53F6">
                  <w:pPr>
                    <w:adjustRightInd w:val="0"/>
                    <w:snapToGrid w:val="0"/>
                    <w:rPr>
                      <w:color w:val="000000"/>
                    </w:rPr>
                  </w:pPr>
                  <w:r>
                    <w:rPr>
                      <w:color w:val="000000"/>
                    </w:rPr>
                    <w:t>（3）项目通过收购石林县鲜花种植基地的鲜花，经过脱色-染色，生产出永生花，项目不使用农药、炸药，不捕杀鱼类。</w:t>
                  </w:r>
                </w:p>
                <w:p w14:paraId="38B38711">
                  <w:pPr>
                    <w:adjustRightInd w:val="0"/>
                    <w:snapToGrid w:val="0"/>
                    <w:rPr>
                      <w:color w:val="000000"/>
                      <w:szCs w:val="21"/>
                    </w:rPr>
                  </w:pPr>
                  <w:r>
                    <w:rPr>
                      <w:color w:val="000000"/>
                      <w:szCs w:val="21"/>
                    </w:rPr>
                    <w:t>（4）项目</w:t>
                  </w:r>
                  <w:r>
                    <w:rPr>
                      <w:color w:val="000000"/>
                    </w:rPr>
                    <w:t>位于</w:t>
                  </w:r>
                  <w:r>
                    <w:rPr>
                      <w:rFonts w:hint="eastAsia"/>
                      <w:color w:val="000000"/>
                    </w:rPr>
                    <w:t>石林县板桥街道板桥社区碧落甸村，</w:t>
                  </w:r>
                  <w:r>
                    <w:rPr>
                      <w:color w:val="000000"/>
                      <w:szCs w:val="21"/>
                    </w:rPr>
                    <w:t>属于</w:t>
                  </w:r>
                  <w:r>
                    <w:rPr>
                      <w:rFonts w:hint="eastAsia"/>
                      <w:color w:val="000000"/>
                    </w:rPr>
                    <w:t>工艺美术及礼仪用品制造</w:t>
                  </w:r>
                  <w:r>
                    <w:rPr>
                      <w:color w:val="000000"/>
                      <w:szCs w:val="21"/>
                    </w:rPr>
                    <w:t>业，不涉及码头。</w:t>
                  </w:r>
                </w:p>
                <w:p w14:paraId="149C3228">
                  <w:pPr>
                    <w:rPr>
                      <w:color w:val="000000"/>
                    </w:rPr>
                  </w:pPr>
                  <w:r>
                    <w:rPr>
                      <w:color w:val="000000"/>
                      <w:szCs w:val="21"/>
                    </w:rPr>
                    <w:t>（5）项目为新建项目，项目运营后废水不外排。</w:t>
                  </w:r>
                </w:p>
              </w:tc>
              <w:tc>
                <w:tcPr>
                  <w:tcW w:w="625" w:type="dxa"/>
                  <w:shd w:val="clear" w:color="auto" w:fill="auto"/>
                  <w:noWrap w:val="0"/>
                  <w:vAlign w:val="center"/>
                </w:tcPr>
                <w:p w14:paraId="0D0A0BAD">
                  <w:pPr>
                    <w:adjustRightInd w:val="0"/>
                    <w:snapToGrid w:val="0"/>
                    <w:jc w:val="center"/>
                    <w:rPr>
                      <w:color w:val="000000"/>
                      <w:szCs w:val="21"/>
                    </w:rPr>
                  </w:pPr>
                  <w:r>
                    <w:rPr>
                      <w:color w:val="000000"/>
                      <w:szCs w:val="21"/>
                    </w:rPr>
                    <w:t>符合</w:t>
                  </w:r>
                </w:p>
              </w:tc>
            </w:tr>
            <w:tr w14:paraId="4D02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57" w:type="dxa"/>
                  <w:shd w:val="clear" w:color="auto" w:fill="auto"/>
                  <w:noWrap w:val="0"/>
                  <w:vAlign w:val="center"/>
                </w:tcPr>
                <w:p w14:paraId="172B4E44">
                  <w:pPr>
                    <w:adjustRightInd w:val="0"/>
                    <w:snapToGrid w:val="0"/>
                    <w:jc w:val="center"/>
                    <w:rPr>
                      <w:color w:val="000000"/>
                      <w:szCs w:val="21"/>
                    </w:rPr>
                  </w:pPr>
                  <w:r>
                    <w:rPr>
                      <w:color w:val="000000"/>
                      <w:szCs w:val="21"/>
                    </w:rPr>
                    <w:t>环境风险</w:t>
                  </w:r>
                </w:p>
                <w:p w14:paraId="4CF1D2D1">
                  <w:pPr>
                    <w:adjustRightInd w:val="0"/>
                    <w:snapToGrid w:val="0"/>
                    <w:jc w:val="center"/>
                    <w:rPr>
                      <w:color w:val="000000"/>
                      <w:szCs w:val="21"/>
                    </w:rPr>
                  </w:pPr>
                  <w:r>
                    <w:rPr>
                      <w:color w:val="000000"/>
                      <w:szCs w:val="21"/>
                    </w:rPr>
                    <w:t>防控</w:t>
                  </w:r>
                </w:p>
              </w:tc>
              <w:tc>
                <w:tcPr>
                  <w:tcW w:w="2390" w:type="dxa"/>
                  <w:shd w:val="clear" w:color="auto" w:fill="auto"/>
                  <w:noWrap w:val="0"/>
                  <w:vAlign w:val="center"/>
                </w:tcPr>
                <w:p w14:paraId="439E28A1">
                  <w:pPr>
                    <w:adjustRightInd w:val="0"/>
                    <w:snapToGrid w:val="0"/>
                    <w:jc w:val="left"/>
                    <w:rPr>
                      <w:color w:val="000000"/>
                      <w:szCs w:val="21"/>
                    </w:rPr>
                  </w:pPr>
                  <w:r>
                    <w:rPr>
                      <w:color w:val="000000"/>
                      <w:szCs w:val="21"/>
                    </w:rPr>
                    <w:t>建立环境风险预测预警体系，完善突发环境事件应急预案，提高预警能力。</w:t>
                  </w:r>
                </w:p>
              </w:tc>
              <w:tc>
                <w:tcPr>
                  <w:tcW w:w="3043" w:type="dxa"/>
                  <w:shd w:val="clear" w:color="auto" w:fill="auto"/>
                  <w:noWrap w:val="0"/>
                  <w:vAlign w:val="center"/>
                </w:tcPr>
                <w:p w14:paraId="664E3C27">
                  <w:pPr>
                    <w:adjustRightInd w:val="0"/>
                    <w:snapToGrid w:val="0"/>
                    <w:jc w:val="center"/>
                    <w:rPr>
                      <w:color w:val="000000"/>
                      <w:szCs w:val="21"/>
                    </w:rPr>
                  </w:pPr>
                  <w:r>
                    <w:rPr>
                      <w:color w:val="000000"/>
                      <w:szCs w:val="21"/>
                    </w:rPr>
                    <w:t>项目目前正在办理环评手续。</w:t>
                  </w:r>
                </w:p>
              </w:tc>
              <w:tc>
                <w:tcPr>
                  <w:tcW w:w="625" w:type="dxa"/>
                  <w:shd w:val="clear" w:color="auto" w:fill="auto"/>
                  <w:noWrap w:val="0"/>
                  <w:vAlign w:val="center"/>
                </w:tcPr>
                <w:p w14:paraId="6AEA9D59">
                  <w:pPr>
                    <w:adjustRightInd w:val="0"/>
                    <w:snapToGrid w:val="0"/>
                    <w:jc w:val="center"/>
                    <w:rPr>
                      <w:color w:val="000000"/>
                      <w:szCs w:val="21"/>
                    </w:rPr>
                  </w:pPr>
                  <w:r>
                    <w:rPr>
                      <w:color w:val="000000"/>
                      <w:szCs w:val="21"/>
                    </w:rPr>
                    <w:t>符合</w:t>
                  </w:r>
                </w:p>
              </w:tc>
            </w:tr>
          </w:tbl>
          <w:p w14:paraId="343FC121">
            <w:pPr>
              <w:pStyle w:val="28"/>
              <w:adjustRightInd w:val="0"/>
              <w:snapToGrid w:val="0"/>
              <w:spacing w:before="0" w:after="0" w:line="360" w:lineRule="auto"/>
              <w:ind w:firstLine="480" w:firstLineChars="200"/>
              <w:rPr>
                <w:rFonts w:cs="Times New Roman"/>
                <w:bCs/>
                <w:color w:val="000000"/>
                <w:sz w:val="24"/>
                <w:szCs w:val="24"/>
              </w:rPr>
            </w:pPr>
            <w:r>
              <w:rPr>
                <w:rFonts w:cs="Times New Roman"/>
                <w:bCs/>
                <w:color w:val="000000"/>
                <w:sz w:val="24"/>
                <w:szCs w:val="24"/>
              </w:rPr>
              <w:t>根据上表对比分析，本项目符合《昆明市人民政府关于实施“三线一单”生态环境分区管控的意见》的环境管理要求。</w:t>
            </w:r>
          </w:p>
          <w:p w14:paraId="5DB8959F">
            <w:pPr>
              <w:autoSpaceDE w:val="0"/>
              <w:autoSpaceDN w:val="0"/>
              <w:adjustRightInd w:val="0"/>
              <w:spacing w:line="360" w:lineRule="auto"/>
              <w:ind w:firstLine="482" w:firstLineChars="200"/>
              <w:jc w:val="left"/>
              <w:rPr>
                <w:b/>
                <w:bCs/>
                <w:color w:val="000000"/>
                <w:kern w:val="0"/>
                <w:sz w:val="24"/>
              </w:rPr>
            </w:pPr>
            <w:r>
              <w:rPr>
                <w:rFonts w:hint="eastAsia"/>
                <w:b/>
                <w:bCs/>
                <w:color w:val="000000"/>
                <w:kern w:val="0"/>
                <w:sz w:val="24"/>
              </w:rPr>
              <w:t>五、</w:t>
            </w:r>
            <w:r>
              <w:rPr>
                <w:b/>
                <w:bCs/>
                <w:color w:val="000000"/>
                <w:kern w:val="0"/>
                <w:sz w:val="24"/>
              </w:rPr>
              <w:t>与《</w:t>
            </w:r>
            <w:r>
              <w:rPr>
                <w:rFonts w:hint="eastAsia"/>
                <w:b/>
                <w:bCs/>
                <w:color w:val="000000"/>
                <w:kern w:val="0"/>
                <w:sz w:val="24"/>
              </w:rPr>
              <w:t>昆明市大气污染防治条例</w:t>
            </w:r>
            <w:r>
              <w:rPr>
                <w:b/>
                <w:bCs/>
                <w:color w:val="000000"/>
                <w:kern w:val="0"/>
                <w:sz w:val="24"/>
              </w:rPr>
              <w:t>》符合性分析</w:t>
            </w:r>
          </w:p>
          <w:p w14:paraId="25C59907">
            <w:pPr>
              <w:spacing w:line="360" w:lineRule="auto"/>
              <w:jc w:val="center"/>
              <w:rPr>
                <w:b/>
                <w:bCs/>
                <w:color w:val="000000"/>
              </w:rPr>
            </w:pPr>
            <w:r>
              <w:rPr>
                <w:b/>
                <w:bCs/>
                <w:color w:val="000000"/>
              </w:rPr>
              <w:t>表1-3  与《</w:t>
            </w:r>
            <w:r>
              <w:rPr>
                <w:rFonts w:hint="eastAsia"/>
                <w:b/>
                <w:bCs/>
                <w:color w:val="000000"/>
              </w:rPr>
              <w:t>昆明市大气污染防治条例</w:t>
            </w:r>
            <w:r>
              <w:rPr>
                <w:b/>
                <w:bCs/>
                <w:color w:val="000000"/>
              </w:rPr>
              <w:t>》符合性分析</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2999"/>
              <w:gridCol w:w="720"/>
            </w:tblGrid>
            <w:tr w14:paraId="148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pct"/>
                  <w:shd w:val="clear" w:color="auto" w:fill="auto"/>
                  <w:noWrap w:val="0"/>
                  <w:vAlign w:val="center"/>
                </w:tcPr>
                <w:p w14:paraId="187ADD5C">
                  <w:pPr>
                    <w:pStyle w:val="7"/>
                    <w:spacing w:before="0" w:after="0" w:line="240" w:lineRule="auto"/>
                    <w:ind w:right="0"/>
                    <w:jc w:val="center"/>
                    <w:rPr>
                      <w:b/>
                      <w:bCs/>
                      <w:color w:val="000000"/>
                      <w:sz w:val="21"/>
                      <w:szCs w:val="21"/>
                    </w:rPr>
                  </w:pPr>
                  <w:r>
                    <w:rPr>
                      <w:b/>
                      <w:bCs/>
                      <w:color w:val="000000"/>
                      <w:sz w:val="21"/>
                      <w:szCs w:val="21"/>
                    </w:rPr>
                    <w:t>文件内容</w:t>
                  </w:r>
                </w:p>
              </w:tc>
              <w:tc>
                <w:tcPr>
                  <w:tcW w:w="2238" w:type="pct"/>
                  <w:shd w:val="clear" w:color="auto" w:fill="auto"/>
                  <w:noWrap w:val="0"/>
                  <w:vAlign w:val="center"/>
                </w:tcPr>
                <w:p w14:paraId="02A21CFE">
                  <w:pPr>
                    <w:pStyle w:val="7"/>
                    <w:spacing w:before="0" w:after="0" w:line="240" w:lineRule="auto"/>
                    <w:ind w:right="0"/>
                    <w:jc w:val="center"/>
                    <w:rPr>
                      <w:b/>
                      <w:bCs/>
                      <w:color w:val="000000"/>
                      <w:sz w:val="21"/>
                      <w:szCs w:val="21"/>
                    </w:rPr>
                  </w:pPr>
                  <w:r>
                    <w:rPr>
                      <w:b/>
                      <w:bCs/>
                      <w:color w:val="000000"/>
                      <w:sz w:val="21"/>
                      <w:szCs w:val="21"/>
                    </w:rPr>
                    <w:t>相符性分析</w:t>
                  </w:r>
                </w:p>
              </w:tc>
              <w:tc>
                <w:tcPr>
                  <w:tcW w:w="537" w:type="pct"/>
                  <w:shd w:val="clear" w:color="auto" w:fill="auto"/>
                  <w:noWrap w:val="0"/>
                  <w:vAlign w:val="center"/>
                </w:tcPr>
                <w:p w14:paraId="1AC29175">
                  <w:pPr>
                    <w:pStyle w:val="7"/>
                    <w:spacing w:before="0" w:after="0" w:line="240" w:lineRule="auto"/>
                    <w:ind w:right="0"/>
                    <w:jc w:val="center"/>
                    <w:rPr>
                      <w:b/>
                      <w:bCs/>
                      <w:color w:val="000000"/>
                      <w:sz w:val="21"/>
                      <w:szCs w:val="21"/>
                    </w:rPr>
                  </w:pPr>
                  <w:r>
                    <w:rPr>
                      <w:b/>
                      <w:bCs/>
                      <w:color w:val="000000"/>
                      <w:sz w:val="21"/>
                      <w:szCs w:val="21"/>
                    </w:rPr>
                    <w:t>符合性</w:t>
                  </w:r>
                </w:p>
              </w:tc>
            </w:tr>
            <w:tr w14:paraId="3472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2224" w:type="pct"/>
                  <w:shd w:val="clear" w:color="auto" w:fill="auto"/>
                  <w:noWrap w:val="0"/>
                  <w:vAlign w:val="center"/>
                </w:tcPr>
                <w:p w14:paraId="4DF61875">
                  <w:pPr>
                    <w:adjustRightInd w:val="0"/>
                    <w:snapToGrid w:val="0"/>
                    <w:jc w:val="center"/>
                    <w:rPr>
                      <w:bCs/>
                      <w:color w:val="000000"/>
                      <w:szCs w:val="21"/>
                    </w:rPr>
                  </w:pPr>
                  <w:r>
                    <w:rPr>
                      <w:bCs/>
                      <w:color w:val="000000"/>
                      <w:szCs w:val="21"/>
                    </w:rPr>
                    <w:t>第十一条按照国家有关规定依法实行排污许可管理的单位，应当依法取得排污许可证，并按照排污许可证的规定排放大气污染物，禁止无排污许可证或者不按照排污许可证的规定排放大气污染物</w:t>
                  </w:r>
                </w:p>
              </w:tc>
              <w:tc>
                <w:tcPr>
                  <w:tcW w:w="2238" w:type="pct"/>
                  <w:shd w:val="clear" w:color="auto" w:fill="auto"/>
                  <w:noWrap w:val="0"/>
                  <w:vAlign w:val="center"/>
                </w:tcPr>
                <w:p w14:paraId="718AEF15">
                  <w:pPr>
                    <w:adjustRightInd w:val="0"/>
                    <w:snapToGrid w:val="0"/>
                    <w:jc w:val="center"/>
                    <w:rPr>
                      <w:bCs/>
                      <w:color w:val="000000"/>
                      <w:szCs w:val="21"/>
                    </w:rPr>
                  </w:pPr>
                  <w:r>
                    <w:rPr>
                      <w:rFonts w:hint="eastAsia"/>
                      <w:bCs/>
                      <w:color w:val="000000"/>
                      <w:szCs w:val="21"/>
                    </w:rPr>
                    <w:t>建设单位尚未办理排污许可证，项目属于新建项目，待建设单位按本次环评要求整改后须及时办理排污许可证。经查阅，本项目属于登记管理。</w:t>
                  </w:r>
                </w:p>
              </w:tc>
              <w:tc>
                <w:tcPr>
                  <w:tcW w:w="537" w:type="pct"/>
                  <w:shd w:val="clear" w:color="auto" w:fill="auto"/>
                  <w:noWrap w:val="0"/>
                  <w:vAlign w:val="center"/>
                </w:tcPr>
                <w:p w14:paraId="06FBC7F5">
                  <w:pPr>
                    <w:adjustRightInd w:val="0"/>
                    <w:snapToGrid w:val="0"/>
                    <w:jc w:val="center"/>
                    <w:rPr>
                      <w:bCs/>
                      <w:color w:val="000000"/>
                      <w:szCs w:val="21"/>
                    </w:rPr>
                  </w:pPr>
                  <w:r>
                    <w:rPr>
                      <w:bCs/>
                      <w:color w:val="000000"/>
                      <w:szCs w:val="21"/>
                    </w:rPr>
                    <w:t>符合</w:t>
                  </w:r>
                </w:p>
              </w:tc>
            </w:tr>
            <w:tr w14:paraId="32BD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pct"/>
                  <w:shd w:val="clear" w:color="auto" w:fill="auto"/>
                  <w:noWrap w:val="0"/>
                  <w:vAlign w:val="center"/>
                </w:tcPr>
                <w:p w14:paraId="7E0BE157">
                  <w:pPr>
                    <w:adjustRightInd w:val="0"/>
                    <w:snapToGrid w:val="0"/>
                    <w:jc w:val="center"/>
                    <w:rPr>
                      <w:bCs/>
                      <w:color w:val="000000"/>
                      <w:szCs w:val="21"/>
                    </w:rPr>
                  </w:pPr>
                  <w:r>
                    <w:rPr>
                      <w:bCs/>
                      <w:color w:val="000000"/>
                      <w:szCs w:val="21"/>
                    </w:rPr>
                    <w:t>第十五条排放大气污染物的企业事业单位和其他生产经营者应当加强精细化管理，严格按照有关规定，配套建设、使用和维护大气污染防治装备</w:t>
                  </w:r>
                </w:p>
              </w:tc>
              <w:tc>
                <w:tcPr>
                  <w:tcW w:w="2238" w:type="pct"/>
                  <w:shd w:val="clear" w:color="auto" w:fill="auto"/>
                  <w:noWrap w:val="0"/>
                  <w:vAlign w:val="center"/>
                </w:tcPr>
                <w:p w14:paraId="075D4F5E">
                  <w:pPr>
                    <w:adjustRightInd w:val="0"/>
                    <w:snapToGrid w:val="0"/>
                    <w:jc w:val="center"/>
                    <w:rPr>
                      <w:bCs/>
                      <w:color w:val="000000"/>
                      <w:szCs w:val="21"/>
                    </w:rPr>
                  </w:pPr>
                  <w:r>
                    <w:rPr>
                      <w:rFonts w:hint="eastAsia"/>
                      <w:bCs/>
                      <w:color w:val="000000"/>
                      <w:szCs w:val="21"/>
                    </w:rPr>
                    <w:t>项目运营期生产过程在半密闭（仅留出入口）厂房进行，除湿间废气配备负压风机，生产废气在负压状态经管道收集后进入三级活性炭吸附系统处理，经1根15米高的排气筒排放。</w:t>
                  </w:r>
                </w:p>
              </w:tc>
              <w:tc>
                <w:tcPr>
                  <w:tcW w:w="537" w:type="pct"/>
                  <w:shd w:val="clear" w:color="auto" w:fill="auto"/>
                  <w:noWrap w:val="0"/>
                  <w:vAlign w:val="center"/>
                </w:tcPr>
                <w:p w14:paraId="4DE74C59">
                  <w:pPr>
                    <w:adjustRightInd w:val="0"/>
                    <w:snapToGrid w:val="0"/>
                    <w:jc w:val="center"/>
                    <w:rPr>
                      <w:bCs/>
                      <w:color w:val="000000"/>
                      <w:szCs w:val="21"/>
                    </w:rPr>
                  </w:pPr>
                  <w:r>
                    <w:rPr>
                      <w:bCs/>
                      <w:color w:val="000000"/>
                      <w:szCs w:val="21"/>
                    </w:rPr>
                    <w:t>符合</w:t>
                  </w:r>
                </w:p>
              </w:tc>
            </w:tr>
            <w:tr w14:paraId="42CE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pct"/>
                  <w:shd w:val="clear" w:color="auto" w:fill="auto"/>
                  <w:noWrap w:val="0"/>
                  <w:vAlign w:val="center"/>
                </w:tcPr>
                <w:p w14:paraId="7E34ACFF">
                  <w:pPr>
                    <w:adjustRightInd w:val="0"/>
                    <w:snapToGrid w:val="0"/>
                    <w:jc w:val="center"/>
                    <w:rPr>
                      <w:bCs/>
                      <w:color w:val="000000"/>
                      <w:szCs w:val="21"/>
                    </w:rPr>
                  </w:pPr>
                  <w:r>
                    <w:rPr>
                      <w:bCs/>
                      <w:color w:val="000000"/>
                      <w:szCs w:val="21"/>
                    </w:rPr>
                    <w:t>第十六条向大气排放污染物的企业事业单位和其他生产经营者，应当按照有关规定设置大气污染物排放口</w:t>
                  </w:r>
                </w:p>
              </w:tc>
              <w:tc>
                <w:tcPr>
                  <w:tcW w:w="2238" w:type="pct"/>
                  <w:shd w:val="clear" w:color="auto" w:fill="auto"/>
                  <w:noWrap w:val="0"/>
                  <w:vAlign w:val="center"/>
                </w:tcPr>
                <w:p w14:paraId="72901B0F">
                  <w:pPr>
                    <w:adjustRightInd w:val="0"/>
                    <w:snapToGrid w:val="0"/>
                    <w:jc w:val="center"/>
                    <w:rPr>
                      <w:bCs/>
                      <w:color w:val="000000"/>
                      <w:szCs w:val="21"/>
                    </w:rPr>
                  </w:pPr>
                  <w:r>
                    <w:rPr>
                      <w:rFonts w:hint="eastAsia"/>
                      <w:bCs/>
                      <w:color w:val="000000"/>
                      <w:szCs w:val="21"/>
                    </w:rPr>
                    <w:t>项目运营期生产过程在半密闭（仅留出入口）厂房进行，除湿间废气配备负压风机，生产废气在负压状态经管道收集后进入三级活性炭吸附系统处理，经1根15米高的排气筒排放。</w:t>
                  </w:r>
                </w:p>
              </w:tc>
              <w:tc>
                <w:tcPr>
                  <w:tcW w:w="537" w:type="pct"/>
                  <w:shd w:val="clear" w:color="auto" w:fill="auto"/>
                  <w:noWrap w:val="0"/>
                  <w:vAlign w:val="center"/>
                </w:tcPr>
                <w:p w14:paraId="45E211A4">
                  <w:pPr>
                    <w:adjustRightInd w:val="0"/>
                    <w:snapToGrid w:val="0"/>
                    <w:jc w:val="center"/>
                    <w:rPr>
                      <w:bCs/>
                      <w:color w:val="000000"/>
                      <w:szCs w:val="21"/>
                    </w:rPr>
                  </w:pPr>
                  <w:r>
                    <w:rPr>
                      <w:bCs/>
                      <w:color w:val="000000"/>
                      <w:szCs w:val="21"/>
                    </w:rPr>
                    <w:t>符合</w:t>
                  </w:r>
                </w:p>
              </w:tc>
            </w:tr>
            <w:tr w14:paraId="19BB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pct"/>
                  <w:shd w:val="clear" w:color="auto" w:fill="auto"/>
                  <w:noWrap w:val="0"/>
                  <w:vAlign w:val="center"/>
                </w:tcPr>
                <w:p w14:paraId="1F13918F">
                  <w:pPr>
                    <w:adjustRightInd w:val="0"/>
                    <w:snapToGrid w:val="0"/>
                    <w:jc w:val="center"/>
                    <w:rPr>
                      <w:bCs/>
                      <w:color w:val="000000"/>
                      <w:szCs w:val="21"/>
                    </w:rPr>
                  </w:pPr>
                  <w:r>
                    <w:rPr>
                      <w:bCs/>
                      <w:color w:val="000000"/>
                      <w:szCs w:val="21"/>
                    </w:rPr>
                    <w:t>第三十四条建设单位应当将防治扬尘污染的费用纳入工程造价，并在施工承句合同中明确施工单位扬尘污染防治责任</w:t>
                  </w:r>
                </w:p>
              </w:tc>
              <w:tc>
                <w:tcPr>
                  <w:tcW w:w="2238" w:type="pct"/>
                  <w:shd w:val="clear" w:color="auto" w:fill="auto"/>
                  <w:noWrap w:val="0"/>
                  <w:vAlign w:val="center"/>
                </w:tcPr>
                <w:p w14:paraId="28410CC5">
                  <w:pPr>
                    <w:adjustRightInd w:val="0"/>
                    <w:snapToGrid w:val="0"/>
                    <w:jc w:val="center"/>
                    <w:rPr>
                      <w:bCs/>
                      <w:color w:val="000000"/>
                      <w:szCs w:val="21"/>
                    </w:rPr>
                  </w:pPr>
                  <w:r>
                    <w:rPr>
                      <w:rFonts w:hint="eastAsia"/>
                      <w:bCs/>
                      <w:color w:val="000000"/>
                      <w:szCs w:val="21"/>
                    </w:rPr>
                    <w:t>根据业主提供的设计资料，建设单位已将扬尘污染的费用纳入工程造价，目前业主未确定施工单位，建设单位承诺待确定施工单位后将明确施工单位扬尘污染防治责任</w:t>
                  </w:r>
                </w:p>
              </w:tc>
              <w:tc>
                <w:tcPr>
                  <w:tcW w:w="537" w:type="pct"/>
                  <w:shd w:val="clear" w:color="auto" w:fill="auto"/>
                  <w:noWrap w:val="0"/>
                  <w:vAlign w:val="center"/>
                </w:tcPr>
                <w:p w14:paraId="15CB0726">
                  <w:pPr>
                    <w:adjustRightInd w:val="0"/>
                    <w:snapToGrid w:val="0"/>
                    <w:jc w:val="center"/>
                    <w:rPr>
                      <w:bCs/>
                      <w:color w:val="000000"/>
                      <w:szCs w:val="21"/>
                    </w:rPr>
                  </w:pPr>
                  <w:r>
                    <w:rPr>
                      <w:bCs/>
                      <w:color w:val="000000"/>
                      <w:szCs w:val="21"/>
                    </w:rPr>
                    <w:t>符合</w:t>
                  </w:r>
                </w:p>
              </w:tc>
            </w:tr>
            <w:tr w14:paraId="4B8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pct"/>
                  <w:shd w:val="clear" w:color="auto" w:fill="auto"/>
                  <w:noWrap w:val="0"/>
                  <w:vAlign w:val="center"/>
                </w:tcPr>
                <w:p w14:paraId="51F0542B">
                  <w:pPr>
                    <w:adjustRightInd w:val="0"/>
                    <w:snapToGrid w:val="0"/>
                    <w:jc w:val="center"/>
                    <w:rPr>
                      <w:bCs/>
                      <w:color w:val="000000"/>
                      <w:szCs w:val="21"/>
                    </w:rPr>
                  </w:pPr>
                  <w:r>
                    <w:rPr>
                      <w:bCs/>
                      <w:color w:val="000000"/>
                      <w:szCs w:val="21"/>
                    </w:rPr>
                    <w:t>第三十九条实施绿化和养护作业，作业面在48小时内不能栽植的应当采取洒水、覆盖等防尘措施，绿化带边沿覆土不得高于临边用护。绿化和养护施工结束后应当及时清理现场</w:t>
                  </w:r>
                </w:p>
              </w:tc>
              <w:tc>
                <w:tcPr>
                  <w:tcW w:w="2238" w:type="pct"/>
                  <w:shd w:val="clear" w:color="auto" w:fill="auto"/>
                  <w:noWrap w:val="0"/>
                  <w:vAlign w:val="center"/>
                </w:tcPr>
                <w:p w14:paraId="08594676">
                  <w:pPr>
                    <w:adjustRightInd w:val="0"/>
                    <w:snapToGrid w:val="0"/>
                    <w:jc w:val="center"/>
                    <w:rPr>
                      <w:bCs/>
                      <w:color w:val="000000"/>
                      <w:szCs w:val="21"/>
                    </w:rPr>
                  </w:pPr>
                  <w:r>
                    <w:rPr>
                      <w:rFonts w:hint="eastAsia"/>
                      <w:bCs/>
                      <w:color w:val="000000"/>
                      <w:szCs w:val="21"/>
                    </w:rPr>
                    <w:t>建设单位正在开展项目区绿化设计，在后期确定绿化施工单位后要求施工单位严格执行第三十九条的规定</w:t>
                  </w:r>
                </w:p>
              </w:tc>
              <w:tc>
                <w:tcPr>
                  <w:tcW w:w="537" w:type="pct"/>
                  <w:shd w:val="clear" w:color="auto" w:fill="auto"/>
                  <w:noWrap w:val="0"/>
                  <w:vAlign w:val="center"/>
                </w:tcPr>
                <w:p w14:paraId="35145C02">
                  <w:pPr>
                    <w:adjustRightInd w:val="0"/>
                    <w:snapToGrid w:val="0"/>
                    <w:jc w:val="center"/>
                    <w:rPr>
                      <w:bCs/>
                      <w:color w:val="000000"/>
                      <w:szCs w:val="21"/>
                    </w:rPr>
                  </w:pPr>
                  <w:r>
                    <w:rPr>
                      <w:bCs/>
                      <w:color w:val="000000"/>
                      <w:szCs w:val="21"/>
                    </w:rPr>
                    <w:t>符合</w:t>
                  </w:r>
                </w:p>
              </w:tc>
            </w:tr>
          </w:tbl>
          <w:p w14:paraId="74078088">
            <w:pPr>
              <w:spacing w:line="360" w:lineRule="auto"/>
              <w:ind w:firstLine="482" w:firstLineChars="200"/>
              <w:rPr>
                <w:b/>
                <w:bCs/>
                <w:color w:val="000000"/>
                <w:sz w:val="24"/>
              </w:rPr>
            </w:pPr>
            <w:r>
              <w:rPr>
                <w:rFonts w:hint="eastAsia"/>
                <w:b/>
                <w:bCs/>
                <w:color w:val="000000"/>
                <w:kern w:val="0"/>
                <w:sz w:val="24"/>
              </w:rPr>
              <w:t>六、与</w:t>
            </w:r>
            <w:r>
              <w:rPr>
                <w:b/>
                <w:bCs/>
                <w:color w:val="000000"/>
                <w:sz w:val="24"/>
              </w:rPr>
              <w:t>《云南省生态环境厅关于印发云南省重点行业挥发性有机物综合治理实施方案的通知》（云环通〔2019〕125号）符合性分析</w:t>
            </w:r>
          </w:p>
          <w:p w14:paraId="1C3BEC3A">
            <w:pPr>
              <w:tabs>
                <w:tab w:val="left" w:pos="611"/>
              </w:tabs>
              <w:snapToGrid w:val="0"/>
              <w:spacing w:line="360" w:lineRule="auto"/>
              <w:ind w:firstLine="480" w:firstLineChars="200"/>
              <w:rPr>
                <w:color w:val="000000"/>
                <w:kern w:val="0"/>
                <w:sz w:val="24"/>
              </w:rPr>
            </w:pPr>
            <w:r>
              <w:rPr>
                <w:color w:val="000000"/>
                <w:sz w:val="24"/>
              </w:rPr>
              <w:t>本项目与《云南省生态环境厅关于印发云南省重点行业挥发性有机物综合治理实施方案的通知》（云环通〔2019〕125号）符合性分析见表</w:t>
            </w:r>
            <w:r>
              <w:rPr>
                <w:rFonts w:hint="eastAsia"/>
                <w:color w:val="000000"/>
                <w:kern w:val="0"/>
                <w:sz w:val="24"/>
              </w:rPr>
              <w:t>1-</w:t>
            </w:r>
            <w:r>
              <w:rPr>
                <w:color w:val="000000"/>
                <w:kern w:val="0"/>
                <w:sz w:val="24"/>
              </w:rPr>
              <w:t>4</w:t>
            </w:r>
            <w:r>
              <w:rPr>
                <w:rFonts w:hint="eastAsia"/>
                <w:color w:val="000000"/>
                <w:kern w:val="0"/>
                <w:sz w:val="24"/>
              </w:rPr>
              <w:t>。</w:t>
            </w:r>
          </w:p>
          <w:p w14:paraId="7B1AD738">
            <w:pPr>
              <w:spacing w:line="360" w:lineRule="auto"/>
              <w:jc w:val="center"/>
              <w:rPr>
                <w:b/>
                <w:bCs/>
                <w:color w:val="000000"/>
              </w:rPr>
            </w:pPr>
          </w:p>
          <w:p w14:paraId="2E56AD6E">
            <w:pPr>
              <w:pStyle w:val="2"/>
              <w:rPr>
                <w:color w:val="000000"/>
              </w:rPr>
            </w:pPr>
          </w:p>
          <w:p w14:paraId="6FD7C9C8">
            <w:pPr>
              <w:rPr>
                <w:color w:val="000000"/>
              </w:rPr>
            </w:pPr>
          </w:p>
          <w:p w14:paraId="7D5578E0">
            <w:pPr>
              <w:pStyle w:val="2"/>
              <w:rPr>
                <w:color w:val="000000"/>
              </w:rPr>
            </w:pPr>
          </w:p>
          <w:p w14:paraId="464E1F3B">
            <w:pPr>
              <w:rPr>
                <w:rFonts w:hint="eastAsia"/>
                <w:color w:val="000000"/>
              </w:rPr>
            </w:pPr>
          </w:p>
          <w:p w14:paraId="705A2697">
            <w:pPr>
              <w:spacing w:line="360" w:lineRule="auto"/>
              <w:jc w:val="center"/>
              <w:rPr>
                <w:b/>
                <w:bCs/>
                <w:color w:val="000000"/>
              </w:rPr>
            </w:pPr>
            <w:r>
              <w:rPr>
                <w:b/>
                <w:bCs/>
                <w:color w:val="000000"/>
              </w:rPr>
              <w:t>表1-4  与</w:t>
            </w:r>
            <w:r>
              <w:rPr>
                <w:rFonts w:hint="eastAsia"/>
                <w:b/>
                <w:bCs/>
                <w:color w:val="000000"/>
              </w:rPr>
              <w:t>“</w:t>
            </w:r>
            <w:r>
              <w:rPr>
                <w:b/>
                <w:bCs/>
                <w:color w:val="000000"/>
              </w:rPr>
              <w:t>云环通〔2019〕125号</w:t>
            </w:r>
            <w:r>
              <w:rPr>
                <w:rFonts w:hint="eastAsia"/>
                <w:b/>
                <w:bCs/>
                <w:color w:val="000000"/>
              </w:rPr>
              <w:t>”</w:t>
            </w:r>
            <w:r>
              <w:rPr>
                <w:b/>
                <w:bCs/>
                <w:color w:val="000000"/>
              </w:rPr>
              <w:t>符合性分析</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3487"/>
              <w:gridCol w:w="2224"/>
              <w:gridCol w:w="682"/>
            </w:tblGrid>
            <w:tr w14:paraId="10B2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465" w:type="dxa"/>
                  <w:noWrap w:val="0"/>
                  <w:vAlign w:val="top"/>
                </w:tcPr>
                <w:p w14:paraId="59D88F92">
                  <w:pPr>
                    <w:jc w:val="center"/>
                    <w:rPr>
                      <w:b/>
                      <w:bCs/>
                      <w:color w:val="000000"/>
                      <w:szCs w:val="21"/>
                    </w:rPr>
                  </w:pPr>
                  <w:r>
                    <w:rPr>
                      <w:b/>
                      <w:bCs/>
                      <w:color w:val="000000"/>
                      <w:szCs w:val="21"/>
                    </w:rPr>
                    <w:t>序号</w:t>
                  </w:r>
                </w:p>
              </w:tc>
              <w:tc>
                <w:tcPr>
                  <w:tcW w:w="3487" w:type="dxa"/>
                  <w:noWrap w:val="0"/>
                  <w:vAlign w:val="top"/>
                </w:tcPr>
                <w:p w14:paraId="1EAE254E">
                  <w:pPr>
                    <w:jc w:val="center"/>
                    <w:rPr>
                      <w:b/>
                      <w:bCs/>
                      <w:color w:val="000000"/>
                      <w:szCs w:val="21"/>
                    </w:rPr>
                  </w:pPr>
                  <w:r>
                    <w:rPr>
                      <w:b/>
                      <w:bCs/>
                      <w:color w:val="000000"/>
                      <w:szCs w:val="21"/>
                    </w:rPr>
                    <w:t>云环通〔2019〕125号要求</w:t>
                  </w:r>
                </w:p>
              </w:tc>
              <w:tc>
                <w:tcPr>
                  <w:tcW w:w="2224" w:type="dxa"/>
                  <w:noWrap w:val="0"/>
                  <w:vAlign w:val="top"/>
                </w:tcPr>
                <w:p w14:paraId="2A62C18C">
                  <w:pPr>
                    <w:jc w:val="center"/>
                    <w:rPr>
                      <w:b/>
                      <w:bCs/>
                      <w:color w:val="000000"/>
                      <w:szCs w:val="21"/>
                    </w:rPr>
                  </w:pPr>
                  <w:r>
                    <w:rPr>
                      <w:b/>
                      <w:bCs/>
                      <w:color w:val="000000"/>
                      <w:szCs w:val="21"/>
                    </w:rPr>
                    <w:t>本项目情况</w:t>
                  </w:r>
                </w:p>
              </w:tc>
              <w:tc>
                <w:tcPr>
                  <w:tcW w:w="682" w:type="dxa"/>
                  <w:noWrap w:val="0"/>
                  <w:vAlign w:val="top"/>
                </w:tcPr>
                <w:p w14:paraId="5549492A">
                  <w:pPr>
                    <w:jc w:val="center"/>
                    <w:rPr>
                      <w:b/>
                      <w:bCs/>
                      <w:color w:val="000000"/>
                      <w:szCs w:val="21"/>
                    </w:rPr>
                  </w:pPr>
                  <w:r>
                    <w:rPr>
                      <w:b/>
                      <w:bCs/>
                      <w:color w:val="000000"/>
                      <w:szCs w:val="21"/>
                    </w:rPr>
                    <w:t>符合性</w:t>
                  </w:r>
                </w:p>
              </w:tc>
            </w:tr>
            <w:tr w14:paraId="3A49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jc w:val="center"/>
              </w:trPr>
              <w:tc>
                <w:tcPr>
                  <w:tcW w:w="465" w:type="dxa"/>
                  <w:noWrap w:val="0"/>
                  <w:vAlign w:val="top"/>
                </w:tcPr>
                <w:p w14:paraId="66E3CB49">
                  <w:pPr>
                    <w:jc w:val="center"/>
                    <w:rPr>
                      <w:color w:val="000000"/>
                      <w:szCs w:val="21"/>
                    </w:rPr>
                  </w:pPr>
                </w:p>
                <w:p w14:paraId="1E590E68">
                  <w:pPr>
                    <w:jc w:val="center"/>
                    <w:rPr>
                      <w:color w:val="000000"/>
                      <w:szCs w:val="21"/>
                    </w:rPr>
                  </w:pPr>
                </w:p>
                <w:p w14:paraId="42B3A6B6">
                  <w:pPr>
                    <w:jc w:val="center"/>
                    <w:rPr>
                      <w:color w:val="000000"/>
                      <w:szCs w:val="21"/>
                    </w:rPr>
                  </w:pPr>
                  <w:r>
                    <w:rPr>
                      <w:color w:val="000000"/>
                      <w:szCs w:val="21"/>
                    </w:rPr>
                    <w:t>1</w:t>
                  </w:r>
                </w:p>
              </w:tc>
              <w:tc>
                <w:tcPr>
                  <w:tcW w:w="3487" w:type="dxa"/>
                  <w:noWrap w:val="0"/>
                  <w:vAlign w:val="center"/>
                </w:tcPr>
                <w:p w14:paraId="43F472BC">
                  <w:pPr>
                    <w:jc w:val="center"/>
                    <w:rPr>
                      <w:color w:val="000000"/>
                      <w:szCs w:val="21"/>
                    </w:rPr>
                  </w:pPr>
                  <w:r>
                    <w:rPr>
                      <w:color w:val="000000"/>
                      <w:szCs w:val="21"/>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2224" w:type="dxa"/>
                  <w:noWrap w:val="0"/>
                  <w:vAlign w:val="center"/>
                </w:tcPr>
                <w:p w14:paraId="2F87B7A3">
                  <w:pPr>
                    <w:jc w:val="center"/>
                    <w:rPr>
                      <w:color w:val="000000"/>
                      <w:szCs w:val="21"/>
                    </w:rPr>
                  </w:pPr>
                  <w:r>
                    <w:rPr>
                      <w:color w:val="000000"/>
                      <w:szCs w:val="21"/>
                    </w:rPr>
                    <w:t>本项目原料主要为</w:t>
                  </w:r>
                  <w:r>
                    <w:rPr>
                      <w:rFonts w:hint="eastAsia"/>
                      <w:color w:val="000000"/>
                      <w:szCs w:val="21"/>
                    </w:rPr>
                    <w:t>色素、甘油、甲醇，色素和甘油</w:t>
                  </w:r>
                  <w:r>
                    <w:rPr>
                      <w:color w:val="000000"/>
                      <w:szCs w:val="21"/>
                    </w:rPr>
                    <w:t>不具有挥发性，</w:t>
                  </w:r>
                  <w:r>
                    <w:rPr>
                      <w:rFonts w:hint="eastAsia"/>
                      <w:color w:val="000000"/>
                      <w:szCs w:val="21"/>
                    </w:rPr>
                    <w:t>甲醇通过汽车运输直接导入脱色、染色桶内，脱色和染色桶采用防火布密封覆盖，项目仅在脱色和染色过程中</w:t>
                  </w:r>
                  <w:r>
                    <w:rPr>
                      <w:color w:val="000000"/>
                      <w:szCs w:val="21"/>
                    </w:rPr>
                    <w:t>产生少量的</w:t>
                  </w:r>
                  <w:r>
                    <w:rPr>
                      <w:rFonts w:hint="eastAsia"/>
                      <w:color w:val="000000"/>
                      <w:szCs w:val="21"/>
                    </w:rPr>
                    <w:t>甲醇</w:t>
                  </w:r>
                  <w:r>
                    <w:rPr>
                      <w:color w:val="000000"/>
                      <w:szCs w:val="21"/>
                    </w:rPr>
                    <w:t>，这部分甲醇无组织排放；除湿间产生的甲醇</w:t>
                  </w:r>
                  <w:r>
                    <w:rPr>
                      <w:rFonts w:hint="eastAsia"/>
                      <w:bCs/>
                      <w:color w:val="000000"/>
                      <w:szCs w:val="21"/>
                    </w:rPr>
                    <w:t>废气在负压状态经管道收集后进入三级活性炭吸附系统处理，经1根15米高的排气筒排放。</w:t>
                  </w:r>
                </w:p>
              </w:tc>
              <w:tc>
                <w:tcPr>
                  <w:tcW w:w="682" w:type="dxa"/>
                  <w:noWrap w:val="0"/>
                  <w:vAlign w:val="top"/>
                </w:tcPr>
                <w:p w14:paraId="103915B8">
                  <w:pPr>
                    <w:jc w:val="center"/>
                    <w:rPr>
                      <w:color w:val="000000"/>
                      <w:szCs w:val="21"/>
                    </w:rPr>
                  </w:pPr>
                </w:p>
                <w:p w14:paraId="780C91FC">
                  <w:pPr>
                    <w:jc w:val="center"/>
                    <w:rPr>
                      <w:color w:val="000000"/>
                      <w:szCs w:val="21"/>
                    </w:rPr>
                  </w:pPr>
                </w:p>
                <w:p w14:paraId="2555B91E">
                  <w:pPr>
                    <w:jc w:val="center"/>
                    <w:rPr>
                      <w:color w:val="000000"/>
                      <w:szCs w:val="21"/>
                    </w:rPr>
                  </w:pPr>
                </w:p>
                <w:p w14:paraId="64851FD4">
                  <w:pPr>
                    <w:jc w:val="center"/>
                    <w:rPr>
                      <w:color w:val="000000"/>
                      <w:szCs w:val="21"/>
                    </w:rPr>
                  </w:pPr>
                  <w:r>
                    <w:rPr>
                      <w:color w:val="000000"/>
                      <w:szCs w:val="21"/>
                    </w:rPr>
                    <w:t>符合</w:t>
                  </w:r>
                </w:p>
              </w:tc>
            </w:tr>
            <w:tr w14:paraId="31C3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65" w:type="dxa"/>
                  <w:noWrap w:val="0"/>
                  <w:vAlign w:val="top"/>
                </w:tcPr>
                <w:p w14:paraId="7FA364E2">
                  <w:pPr>
                    <w:jc w:val="center"/>
                    <w:rPr>
                      <w:color w:val="000000"/>
                      <w:szCs w:val="21"/>
                    </w:rPr>
                  </w:pPr>
                </w:p>
                <w:p w14:paraId="0882DB05">
                  <w:pPr>
                    <w:jc w:val="center"/>
                    <w:rPr>
                      <w:color w:val="000000"/>
                      <w:szCs w:val="21"/>
                    </w:rPr>
                  </w:pPr>
                </w:p>
                <w:p w14:paraId="221310D6">
                  <w:pPr>
                    <w:jc w:val="center"/>
                    <w:rPr>
                      <w:color w:val="000000"/>
                      <w:szCs w:val="21"/>
                    </w:rPr>
                  </w:pPr>
                </w:p>
                <w:p w14:paraId="31D58F45">
                  <w:pPr>
                    <w:jc w:val="center"/>
                    <w:rPr>
                      <w:color w:val="000000"/>
                      <w:szCs w:val="21"/>
                    </w:rPr>
                  </w:pPr>
                </w:p>
                <w:p w14:paraId="76B3CB50">
                  <w:pPr>
                    <w:jc w:val="center"/>
                    <w:rPr>
                      <w:color w:val="000000"/>
                      <w:szCs w:val="21"/>
                    </w:rPr>
                  </w:pPr>
                  <w:r>
                    <w:rPr>
                      <w:color w:val="000000"/>
                      <w:szCs w:val="21"/>
                    </w:rPr>
                    <w:t>2</w:t>
                  </w:r>
                </w:p>
              </w:tc>
              <w:tc>
                <w:tcPr>
                  <w:tcW w:w="3487" w:type="dxa"/>
                  <w:noWrap w:val="0"/>
                  <w:vAlign w:val="center"/>
                </w:tcPr>
                <w:p w14:paraId="73E711DF">
                  <w:pPr>
                    <w:jc w:val="center"/>
                    <w:rPr>
                      <w:color w:val="000000"/>
                      <w:szCs w:val="21"/>
                    </w:rPr>
                  </w:pPr>
                  <w:r>
                    <w:rPr>
                      <w:color w:val="000000"/>
                      <w:szCs w:val="21"/>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w:t>
                  </w:r>
                  <w:r>
                    <w:rPr>
                      <w:rFonts w:hint="eastAsia"/>
                      <w:color w:val="000000"/>
                      <w:szCs w:val="21"/>
                    </w:rPr>
                    <w:t>半密闭</w:t>
                  </w:r>
                  <w:r>
                    <w:rPr>
                      <w:color w:val="000000"/>
                      <w:szCs w:val="21"/>
                    </w:rPr>
                    <w:t>、工艺改进、废气有效收集等措施，削减VOCs无组织排放。”推进使用先进生产工艺。通过采用全</w:t>
                  </w:r>
                  <w:r>
                    <w:rPr>
                      <w:rFonts w:hint="eastAsia"/>
                      <w:color w:val="000000"/>
                      <w:szCs w:val="21"/>
                    </w:rPr>
                    <w:t>半密闭</w:t>
                  </w:r>
                  <w:r>
                    <w:rPr>
                      <w:color w:val="000000"/>
                      <w:szCs w:val="21"/>
                    </w:rPr>
                    <w:t>、连续化、自动化等生产技术。提高废气收集率。</w:t>
                  </w:r>
                </w:p>
              </w:tc>
              <w:tc>
                <w:tcPr>
                  <w:tcW w:w="2224" w:type="dxa"/>
                  <w:noWrap w:val="0"/>
                  <w:vAlign w:val="center"/>
                </w:tcPr>
                <w:p w14:paraId="0DAA2D82">
                  <w:pPr>
                    <w:jc w:val="center"/>
                    <w:rPr>
                      <w:color w:val="000000"/>
                      <w:szCs w:val="21"/>
                    </w:rPr>
                  </w:pPr>
                  <w:r>
                    <w:rPr>
                      <w:rFonts w:hint="eastAsia"/>
                      <w:bCs/>
                      <w:color w:val="000000"/>
                      <w:szCs w:val="21"/>
                    </w:rPr>
                    <w:t>项目运营期生产过程在半密闭（仅留出入口）厂房进行，除湿间废气配备负压风机，生产废气在负压状态经管道收集后进入三级活性炭吸附系统处理，经1根15米高的排气筒排放。</w:t>
                  </w:r>
                </w:p>
              </w:tc>
              <w:tc>
                <w:tcPr>
                  <w:tcW w:w="682" w:type="dxa"/>
                  <w:noWrap w:val="0"/>
                  <w:vAlign w:val="top"/>
                </w:tcPr>
                <w:p w14:paraId="53A346AA">
                  <w:pPr>
                    <w:jc w:val="center"/>
                    <w:rPr>
                      <w:color w:val="000000"/>
                      <w:szCs w:val="21"/>
                    </w:rPr>
                  </w:pPr>
                </w:p>
                <w:p w14:paraId="2ECE972C">
                  <w:pPr>
                    <w:jc w:val="center"/>
                    <w:rPr>
                      <w:color w:val="000000"/>
                      <w:szCs w:val="21"/>
                    </w:rPr>
                  </w:pPr>
                </w:p>
                <w:p w14:paraId="199BD12D">
                  <w:pPr>
                    <w:jc w:val="center"/>
                    <w:rPr>
                      <w:color w:val="000000"/>
                      <w:szCs w:val="21"/>
                    </w:rPr>
                  </w:pPr>
                </w:p>
                <w:p w14:paraId="39571872">
                  <w:pPr>
                    <w:jc w:val="center"/>
                    <w:rPr>
                      <w:color w:val="000000"/>
                      <w:szCs w:val="21"/>
                    </w:rPr>
                  </w:pPr>
                </w:p>
                <w:p w14:paraId="3A413134">
                  <w:pPr>
                    <w:jc w:val="center"/>
                    <w:rPr>
                      <w:color w:val="000000"/>
                      <w:szCs w:val="21"/>
                    </w:rPr>
                  </w:pPr>
                </w:p>
                <w:p w14:paraId="6D7ACF65">
                  <w:pPr>
                    <w:jc w:val="center"/>
                    <w:rPr>
                      <w:color w:val="000000"/>
                      <w:szCs w:val="21"/>
                    </w:rPr>
                  </w:pPr>
                </w:p>
                <w:p w14:paraId="01E5CF8C">
                  <w:pPr>
                    <w:jc w:val="center"/>
                    <w:rPr>
                      <w:color w:val="000000"/>
                      <w:szCs w:val="21"/>
                    </w:rPr>
                  </w:pPr>
                </w:p>
                <w:p w14:paraId="75C4C7DF">
                  <w:pPr>
                    <w:jc w:val="center"/>
                    <w:rPr>
                      <w:color w:val="000000"/>
                      <w:szCs w:val="21"/>
                    </w:rPr>
                  </w:pPr>
                  <w:r>
                    <w:rPr>
                      <w:color w:val="000000"/>
                      <w:szCs w:val="21"/>
                    </w:rPr>
                    <w:t>符合</w:t>
                  </w:r>
                </w:p>
              </w:tc>
            </w:tr>
            <w:tr w14:paraId="005A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jc w:val="center"/>
              </w:trPr>
              <w:tc>
                <w:tcPr>
                  <w:tcW w:w="465" w:type="dxa"/>
                  <w:noWrap w:val="0"/>
                  <w:vAlign w:val="top"/>
                </w:tcPr>
                <w:p w14:paraId="2CA37A6F">
                  <w:pPr>
                    <w:jc w:val="center"/>
                    <w:rPr>
                      <w:color w:val="000000"/>
                      <w:szCs w:val="21"/>
                    </w:rPr>
                  </w:pPr>
                  <w:r>
                    <w:rPr>
                      <w:color w:val="000000"/>
                      <w:szCs w:val="21"/>
                    </w:rPr>
                    <w:t>3</w:t>
                  </w:r>
                </w:p>
              </w:tc>
              <w:tc>
                <w:tcPr>
                  <w:tcW w:w="3487" w:type="dxa"/>
                  <w:noWrap w:val="0"/>
                  <w:vAlign w:val="center"/>
                </w:tcPr>
                <w:p w14:paraId="38A12BFE">
                  <w:pPr>
                    <w:jc w:val="center"/>
                    <w:rPr>
                      <w:color w:val="000000"/>
                      <w:szCs w:val="21"/>
                    </w:rPr>
                  </w:pPr>
                  <w:r>
                    <w:rPr>
                      <w:color w:val="000000"/>
                      <w:szCs w:val="21"/>
                    </w:rPr>
                    <w:t>推进建设适宜高效的治污设施。低浓度、大风量废气，宜采用沸石转垫吸附、活性炭吸附、减风增浓等派缩技术，提高VOCs浓度后净化处理。采用一次性活性炭吸附技术的，应定期更换活性炭，废旧活性炭应再生或处理处置。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2224" w:type="dxa"/>
                  <w:noWrap w:val="0"/>
                  <w:vAlign w:val="center"/>
                </w:tcPr>
                <w:p w14:paraId="23F0D2EB">
                  <w:pPr>
                    <w:jc w:val="center"/>
                    <w:rPr>
                      <w:color w:val="000000"/>
                      <w:szCs w:val="21"/>
                    </w:rPr>
                  </w:pPr>
                  <w:r>
                    <w:rPr>
                      <w:color w:val="000000"/>
                      <w:szCs w:val="21"/>
                    </w:rPr>
                    <w:t>本项目DA001排气筒有组织废气</w:t>
                  </w:r>
                  <w:r>
                    <w:rPr>
                      <w:rFonts w:hint="eastAsia"/>
                      <w:color w:val="000000"/>
                      <w:szCs w:val="21"/>
                    </w:rPr>
                    <w:t>甲醇初始排放</w:t>
                  </w:r>
                  <w:r>
                    <w:rPr>
                      <w:color w:val="000000"/>
                      <w:szCs w:val="21"/>
                    </w:rPr>
                    <w:t>速率</w:t>
                  </w:r>
                  <w:r>
                    <w:rPr>
                      <w:rFonts w:hint="eastAsia"/>
                      <w:color w:val="000000"/>
                      <w:szCs w:val="21"/>
                    </w:rPr>
                    <w:t>小于3</w:t>
                  </w:r>
                  <w:r>
                    <w:rPr>
                      <w:color w:val="000000"/>
                      <w:szCs w:val="21"/>
                    </w:rPr>
                    <w:t>kg/h</w:t>
                  </w:r>
                  <w:r>
                    <w:rPr>
                      <w:rFonts w:hint="eastAsia"/>
                      <w:color w:val="000000"/>
                      <w:szCs w:val="21"/>
                    </w:rPr>
                    <w:t>，</w:t>
                  </w:r>
                  <w:r>
                    <w:rPr>
                      <w:rFonts w:hint="eastAsia"/>
                      <w:bCs/>
                      <w:color w:val="000000"/>
                      <w:szCs w:val="21"/>
                    </w:rPr>
                    <w:t>除湿间废气配备负压风机，生产废气在负压状态经管道收集后进入三级活性炭吸附系统处理，经1根15米高的排气筒排放。</w:t>
                  </w:r>
                </w:p>
              </w:tc>
              <w:tc>
                <w:tcPr>
                  <w:tcW w:w="682" w:type="dxa"/>
                  <w:noWrap w:val="0"/>
                  <w:vAlign w:val="top"/>
                </w:tcPr>
                <w:p w14:paraId="59BC8974">
                  <w:pPr>
                    <w:jc w:val="center"/>
                    <w:rPr>
                      <w:color w:val="000000"/>
                      <w:szCs w:val="21"/>
                    </w:rPr>
                  </w:pPr>
                </w:p>
                <w:p w14:paraId="142D44E9">
                  <w:pPr>
                    <w:jc w:val="center"/>
                    <w:rPr>
                      <w:color w:val="000000"/>
                      <w:szCs w:val="21"/>
                    </w:rPr>
                  </w:pPr>
                </w:p>
                <w:p w14:paraId="486E5EDB">
                  <w:pPr>
                    <w:jc w:val="center"/>
                    <w:rPr>
                      <w:color w:val="000000"/>
                      <w:szCs w:val="21"/>
                    </w:rPr>
                  </w:pPr>
                </w:p>
                <w:p w14:paraId="5CA8BD88">
                  <w:pPr>
                    <w:jc w:val="center"/>
                    <w:rPr>
                      <w:color w:val="000000"/>
                      <w:szCs w:val="21"/>
                    </w:rPr>
                  </w:pPr>
                </w:p>
                <w:p w14:paraId="30C979D6">
                  <w:pPr>
                    <w:jc w:val="center"/>
                    <w:rPr>
                      <w:color w:val="000000"/>
                      <w:szCs w:val="21"/>
                    </w:rPr>
                  </w:pPr>
                </w:p>
                <w:p w14:paraId="259E21DE">
                  <w:pPr>
                    <w:jc w:val="center"/>
                    <w:rPr>
                      <w:color w:val="000000"/>
                      <w:szCs w:val="21"/>
                    </w:rPr>
                  </w:pPr>
                </w:p>
                <w:p w14:paraId="38C683A9">
                  <w:pPr>
                    <w:jc w:val="center"/>
                    <w:rPr>
                      <w:color w:val="000000"/>
                      <w:szCs w:val="21"/>
                    </w:rPr>
                  </w:pPr>
                  <w:r>
                    <w:rPr>
                      <w:color w:val="000000"/>
                      <w:szCs w:val="21"/>
                    </w:rPr>
                    <w:t>符合</w:t>
                  </w:r>
                </w:p>
              </w:tc>
            </w:tr>
          </w:tbl>
          <w:p w14:paraId="3262D2AF">
            <w:pPr>
              <w:spacing w:line="360" w:lineRule="auto"/>
              <w:ind w:firstLine="480" w:firstLineChars="200"/>
              <w:rPr>
                <w:rFonts w:hint="eastAsia"/>
                <w:color w:val="000000"/>
                <w:kern w:val="0"/>
                <w:sz w:val="24"/>
              </w:rPr>
            </w:pPr>
            <w:r>
              <w:rPr>
                <w:rFonts w:hint="eastAsia"/>
                <w:color w:val="000000"/>
                <w:kern w:val="0"/>
                <w:sz w:val="24"/>
              </w:rPr>
              <w:t>根据以上分析，项目的建设</w:t>
            </w:r>
            <w:r>
              <w:rPr>
                <w:color w:val="000000"/>
                <w:sz w:val="24"/>
              </w:rPr>
              <w:t>符合《云南省生态环境厅关于印发云南省重点行业挥发性有机物综合治理实施方案的通知》（云环通〔2019〕125号）的相关要求。</w:t>
            </w:r>
          </w:p>
          <w:p w14:paraId="0FBA3578">
            <w:pPr>
              <w:autoSpaceDE w:val="0"/>
              <w:autoSpaceDN w:val="0"/>
              <w:adjustRightInd w:val="0"/>
              <w:spacing w:line="360" w:lineRule="auto"/>
              <w:ind w:firstLine="482" w:firstLineChars="200"/>
              <w:jc w:val="left"/>
              <w:rPr>
                <w:rFonts w:hint="eastAsia"/>
                <w:b/>
                <w:bCs/>
                <w:color w:val="000000"/>
                <w:kern w:val="0"/>
                <w:sz w:val="24"/>
              </w:rPr>
            </w:pPr>
            <w:r>
              <w:rPr>
                <w:rFonts w:hint="eastAsia"/>
                <w:b/>
                <w:bCs/>
                <w:color w:val="000000"/>
                <w:kern w:val="0"/>
                <w:sz w:val="24"/>
              </w:rPr>
              <w:t>七、与《挥发性有机物（VOCS）污染防治技术政策》符合性分析</w:t>
            </w:r>
          </w:p>
          <w:p w14:paraId="47C0C151">
            <w:pPr>
              <w:tabs>
                <w:tab w:val="left" w:pos="611"/>
              </w:tabs>
              <w:snapToGrid w:val="0"/>
              <w:spacing w:line="360" w:lineRule="auto"/>
              <w:ind w:firstLine="480" w:firstLineChars="200"/>
              <w:rPr>
                <w:rFonts w:hint="eastAsia"/>
                <w:color w:val="000000"/>
                <w:kern w:val="0"/>
                <w:sz w:val="24"/>
              </w:rPr>
            </w:pPr>
            <w:r>
              <w:rPr>
                <w:rFonts w:hint="eastAsia"/>
                <w:color w:val="000000"/>
                <w:kern w:val="0"/>
                <w:sz w:val="24"/>
              </w:rPr>
              <w:t>根据《挥发性有机物（VOC</w:t>
            </w:r>
            <w:r>
              <w:rPr>
                <w:rFonts w:hint="eastAsia"/>
                <w:color w:val="000000"/>
                <w:kern w:val="0"/>
                <w:sz w:val="24"/>
                <w:vertAlign w:val="subscript"/>
              </w:rPr>
              <w:t>S</w:t>
            </w:r>
            <w:r>
              <w:rPr>
                <w:rFonts w:hint="eastAsia"/>
                <w:color w:val="000000"/>
                <w:kern w:val="0"/>
                <w:sz w:val="24"/>
              </w:rPr>
              <w:t>）污染防治技术政策》（生态环境部公告</w:t>
            </w:r>
            <w:r>
              <w:rPr>
                <w:rFonts w:hint="eastAsia"/>
                <w:bCs/>
                <w:color w:val="000000"/>
                <w:kern w:val="0"/>
                <w:sz w:val="24"/>
              </w:rPr>
              <w:t>2013年第31号</w:t>
            </w:r>
            <w:r>
              <w:rPr>
                <w:rFonts w:hint="eastAsia"/>
                <w:color w:val="000000"/>
                <w:kern w:val="0"/>
                <w:sz w:val="24"/>
              </w:rPr>
              <w:t>），项目相关符合性分析见表1-</w:t>
            </w:r>
            <w:r>
              <w:rPr>
                <w:color w:val="000000"/>
                <w:kern w:val="0"/>
                <w:sz w:val="24"/>
              </w:rPr>
              <w:t>5</w:t>
            </w:r>
            <w:r>
              <w:rPr>
                <w:rFonts w:hint="eastAsia"/>
                <w:color w:val="000000"/>
                <w:kern w:val="0"/>
                <w:sz w:val="24"/>
              </w:rPr>
              <w:t>。</w:t>
            </w:r>
          </w:p>
          <w:p w14:paraId="06A427CE">
            <w:pPr>
              <w:spacing w:line="360" w:lineRule="auto"/>
              <w:jc w:val="center"/>
              <w:rPr>
                <w:b/>
                <w:bCs/>
                <w:color w:val="000000"/>
              </w:rPr>
            </w:pPr>
            <w:r>
              <w:rPr>
                <w:rFonts w:hint="eastAsia"/>
                <w:b/>
                <w:color w:val="000000"/>
                <w:szCs w:val="21"/>
              </w:rPr>
              <w:t>表1-</w:t>
            </w:r>
            <w:r>
              <w:rPr>
                <w:b/>
                <w:color w:val="000000"/>
                <w:szCs w:val="21"/>
              </w:rPr>
              <w:t>5</w:t>
            </w:r>
            <w:r>
              <w:rPr>
                <w:rFonts w:hint="eastAsia"/>
                <w:b/>
                <w:color w:val="000000"/>
                <w:szCs w:val="21"/>
              </w:rPr>
              <w:t xml:space="preserve"> 项目与《挥发性有机物（VOC</w:t>
            </w:r>
            <w:r>
              <w:rPr>
                <w:rFonts w:hint="eastAsia"/>
                <w:b/>
                <w:color w:val="000000"/>
                <w:szCs w:val="21"/>
                <w:vertAlign w:val="subscript"/>
              </w:rPr>
              <w:t>S</w:t>
            </w:r>
            <w:r>
              <w:rPr>
                <w:rFonts w:hint="eastAsia"/>
                <w:b/>
                <w:color w:val="000000"/>
                <w:szCs w:val="21"/>
              </w:rPr>
              <w:t>）污染防治技术政策》的符合性</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780"/>
              <w:gridCol w:w="879"/>
            </w:tblGrid>
            <w:tr w14:paraId="4C57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pct"/>
                  <w:shd w:val="clear" w:color="auto" w:fill="auto"/>
                  <w:noWrap w:val="0"/>
                  <w:vAlign w:val="center"/>
                </w:tcPr>
                <w:p w14:paraId="726FFD25">
                  <w:pPr>
                    <w:pStyle w:val="7"/>
                    <w:spacing w:before="0" w:after="0" w:line="240" w:lineRule="auto"/>
                    <w:ind w:right="0"/>
                    <w:jc w:val="center"/>
                    <w:rPr>
                      <w:b/>
                      <w:bCs/>
                      <w:color w:val="000000"/>
                      <w:sz w:val="21"/>
                      <w:szCs w:val="21"/>
                    </w:rPr>
                  </w:pPr>
                  <w:r>
                    <w:rPr>
                      <w:b/>
                      <w:bCs/>
                      <w:color w:val="000000"/>
                      <w:sz w:val="21"/>
                      <w:szCs w:val="21"/>
                    </w:rPr>
                    <w:t>文件内容</w:t>
                  </w:r>
                </w:p>
              </w:tc>
              <w:tc>
                <w:tcPr>
                  <w:tcW w:w="2074" w:type="pct"/>
                  <w:shd w:val="clear" w:color="auto" w:fill="auto"/>
                  <w:noWrap w:val="0"/>
                  <w:vAlign w:val="center"/>
                </w:tcPr>
                <w:p w14:paraId="27B3E179">
                  <w:pPr>
                    <w:pStyle w:val="7"/>
                    <w:spacing w:before="0" w:after="0" w:line="240" w:lineRule="auto"/>
                    <w:ind w:right="0"/>
                    <w:jc w:val="center"/>
                    <w:rPr>
                      <w:b/>
                      <w:bCs/>
                      <w:color w:val="000000"/>
                      <w:sz w:val="21"/>
                      <w:szCs w:val="21"/>
                    </w:rPr>
                  </w:pPr>
                  <w:r>
                    <w:rPr>
                      <w:b/>
                      <w:bCs/>
                      <w:color w:val="000000"/>
                      <w:sz w:val="21"/>
                      <w:szCs w:val="21"/>
                    </w:rPr>
                    <w:t>相符性分析</w:t>
                  </w:r>
                </w:p>
              </w:tc>
              <w:tc>
                <w:tcPr>
                  <w:tcW w:w="656" w:type="pct"/>
                  <w:shd w:val="clear" w:color="auto" w:fill="auto"/>
                  <w:noWrap w:val="0"/>
                  <w:vAlign w:val="center"/>
                </w:tcPr>
                <w:p w14:paraId="1A408CC8">
                  <w:pPr>
                    <w:pStyle w:val="7"/>
                    <w:spacing w:before="0" w:after="0" w:line="240" w:lineRule="auto"/>
                    <w:ind w:right="0"/>
                    <w:jc w:val="center"/>
                    <w:rPr>
                      <w:b/>
                      <w:bCs/>
                      <w:color w:val="000000"/>
                      <w:sz w:val="21"/>
                      <w:szCs w:val="21"/>
                    </w:rPr>
                  </w:pPr>
                  <w:r>
                    <w:rPr>
                      <w:b/>
                      <w:bCs/>
                      <w:color w:val="000000"/>
                      <w:sz w:val="21"/>
                      <w:szCs w:val="21"/>
                    </w:rPr>
                    <w:t>符合性</w:t>
                  </w:r>
                </w:p>
              </w:tc>
            </w:tr>
            <w:tr w14:paraId="6635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041" w:type="dxa"/>
                  <w:shd w:val="clear" w:color="auto" w:fill="auto"/>
                  <w:noWrap w:val="0"/>
                  <w:vAlign w:val="center"/>
                </w:tcPr>
                <w:p w14:paraId="36FEFA88">
                  <w:pPr>
                    <w:adjustRightInd w:val="0"/>
                    <w:snapToGrid w:val="0"/>
                    <w:jc w:val="center"/>
                    <w:rPr>
                      <w:bCs/>
                      <w:color w:val="000000"/>
                      <w:szCs w:val="21"/>
                    </w:rPr>
                  </w:pPr>
                  <w:r>
                    <w:rPr>
                      <w:rFonts w:hint="eastAsia"/>
                      <w:bCs/>
                      <w:color w:val="000000"/>
                      <w:szCs w:val="21"/>
                    </w:rPr>
                    <w:t>（四）</w:t>
                  </w:r>
                  <w:r>
                    <w:rPr>
                      <w:bCs/>
                      <w:color w:val="000000"/>
                      <w:szCs w:val="21"/>
                    </w:rPr>
                    <w:t>VOCs</w:t>
                  </w:r>
                  <w:r>
                    <w:rPr>
                      <w:rFonts w:hint="eastAsia"/>
                      <w:bCs/>
                      <w:color w:val="000000"/>
                      <w:szCs w:val="21"/>
                    </w:rPr>
                    <w:t>污染防治应遵循源头和过程控制与末端治理相结合的综合防治原则。在工业生产中采用清洁生产技术，严格控制含</w:t>
                  </w:r>
                  <w:r>
                    <w:rPr>
                      <w:bCs/>
                      <w:color w:val="000000"/>
                      <w:szCs w:val="21"/>
                    </w:rPr>
                    <w:t>VOCs</w:t>
                  </w:r>
                  <w:r>
                    <w:rPr>
                      <w:rFonts w:hint="eastAsia"/>
                      <w:bCs/>
                      <w:color w:val="000000"/>
                      <w:szCs w:val="21"/>
                    </w:rPr>
                    <w:t>原料与产品在生产和储运销过程中的</w:t>
                  </w:r>
                  <w:r>
                    <w:rPr>
                      <w:bCs/>
                      <w:color w:val="000000"/>
                      <w:szCs w:val="21"/>
                    </w:rPr>
                    <w:t>VOCs</w:t>
                  </w:r>
                  <w:r>
                    <w:rPr>
                      <w:rFonts w:hint="eastAsia"/>
                      <w:bCs/>
                      <w:color w:val="000000"/>
                      <w:szCs w:val="21"/>
                    </w:rPr>
                    <w:t>排放，鼓励对资源和能源的回收利用；鼓励在生产和生活中使用不含</w:t>
                  </w:r>
                  <w:r>
                    <w:rPr>
                      <w:bCs/>
                      <w:color w:val="000000"/>
                      <w:szCs w:val="21"/>
                    </w:rPr>
                    <w:t>VOCs</w:t>
                  </w:r>
                  <w:r>
                    <w:rPr>
                      <w:rFonts w:hint="eastAsia"/>
                      <w:bCs/>
                      <w:color w:val="000000"/>
                      <w:szCs w:val="21"/>
                    </w:rPr>
                    <w:t>的替代产品或低</w:t>
                  </w:r>
                  <w:r>
                    <w:rPr>
                      <w:bCs/>
                      <w:color w:val="000000"/>
                      <w:szCs w:val="21"/>
                    </w:rPr>
                    <w:t>VOCs</w:t>
                  </w:r>
                  <w:r>
                    <w:rPr>
                      <w:rFonts w:hint="eastAsia"/>
                      <w:bCs/>
                      <w:color w:val="000000"/>
                      <w:szCs w:val="21"/>
                    </w:rPr>
                    <w:t>含量的产品。</w:t>
                  </w:r>
                </w:p>
              </w:tc>
              <w:tc>
                <w:tcPr>
                  <w:tcW w:w="2780" w:type="dxa"/>
                  <w:shd w:val="clear" w:color="auto" w:fill="auto"/>
                  <w:noWrap w:val="0"/>
                  <w:vAlign w:val="center"/>
                </w:tcPr>
                <w:p w14:paraId="32CB1454">
                  <w:pPr>
                    <w:adjustRightInd w:val="0"/>
                    <w:snapToGrid w:val="0"/>
                    <w:jc w:val="center"/>
                    <w:rPr>
                      <w:bCs/>
                      <w:color w:val="000000"/>
                      <w:szCs w:val="21"/>
                    </w:rPr>
                  </w:pPr>
                  <w:r>
                    <w:rPr>
                      <w:rFonts w:hint="eastAsia"/>
                      <w:bCs/>
                      <w:color w:val="000000"/>
                      <w:szCs w:val="21"/>
                    </w:rPr>
                    <w:t>除湿间废气配备负压风机，生产废气在负压状态经管道收集后进入三级活性炭吸附系统处理，经1根15米高的排气筒排放。</w:t>
                  </w:r>
                </w:p>
              </w:tc>
              <w:tc>
                <w:tcPr>
                  <w:tcW w:w="656" w:type="pct"/>
                  <w:shd w:val="clear" w:color="auto" w:fill="auto"/>
                  <w:noWrap w:val="0"/>
                  <w:vAlign w:val="center"/>
                </w:tcPr>
                <w:p w14:paraId="7C40E0BC">
                  <w:pPr>
                    <w:adjustRightInd w:val="0"/>
                    <w:snapToGrid w:val="0"/>
                    <w:jc w:val="center"/>
                    <w:rPr>
                      <w:bCs/>
                      <w:color w:val="000000"/>
                      <w:szCs w:val="21"/>
                    </w:rPr>
                  </w:pPr>
                  <w:r>
                    <w:rPr>
                      <w:bCs/>
                      <w:color w:val="000000"/>
                      <w:szCs w:val="21"/>
                    </w:rPr>
                    <w:t>符合</w:t>
                  </w:r>
                </w:p>
              </w:tc>
            </w:tr>
          </w:tbl>
          <w:p w14:paraId="0CAD2A81">
            <w:pPr>
              <w:tabs>
                <w:tab w:val="left" w:pos="611"/>
              </w:tabs>
              <w:snapToGrid w:val="0"/>
              <w:spacing w:before="156" w:beforeLines="50" w:line="360" w:lineRule="auto"/>
              <w:ind w:firstLine="480" w:firstLineChars="200"/>
              <w:rPr>
                <w:rFonts w:hint="eastAsia"/>
                <w:color w:val="000000"/>
                <w:kern w:val="0"/>
                <w:sz w:val="24"/>
              </w:rPr>
            </w:pPr>
            <w:r>
              <w:rPr>
                <w:rFonts w:hint="eastAsia"/>
                <w:color w:val="000000"/>
                <w:kern w:val="0"/>
                <w:sz w:val="24"/>
              </w:rPr>
              <w:t>根据以上分析，项目符合《挥发性有机物（VOC</w:t>
            </w:r>
            <w:r>
              <w:rPr>
                <w:rFonts w:hint="eastAsia"/>
                <w:color w:val="000000"/>
                <w:kern w:val="0"/>
                <w:sz w:val="24"/>
                <w:vertAlign w:val="subscript"/>
              </w:rPr>
              <w:t>S</w:t>
            </w:r>
            <w:r>
              <w:rPr>
                <w:rFonts w:hint="eastAsia"/>
                <w:color w:val="000000"/>
                <w:kern w:val="0"/>
                <w:sz w:val="24"/>
              </w:rPr>
              <w:t>）污染防治技术政策》（生态环境部公告</w:t>
            </w:r>
            <w:r>
              <w:rPr>
                <w:rFonts w:hint="eastAsia"/>
                <w:bCs/>
                <w:color w:val="000000"/>
                <w:kern w:val="0"/>
                <w:sz w:val="24"/>
              </w:rPr>
              <w:t>2013年第31号</w:t>
            </w:r>
            <w:r>
              <w:rPr>
                <w:rFonts w:hint="eastAsia"/>
                <w:color w:val="000000"/>
                <w:kern w:val="0"/>
                <w:sz w:val="24"/>
              </w:rPr>
              <w:t>）的要求。</w:t>
            </w:r>
          </w:p>
          <w:p w14:paraId="7CDC28BF">
            <w:pPr>
              <w:autoSpaceDE w:val="0"/>
              <w:autoSpaceDN w:val="0"/>
              <w:adjustRightInd w:val="0"/>
              <w:spacing w:line="360" w:lineRule="auto"/>
              <w:ind w:firstLine="482" w:firstLineChars="200"/>
              <w:jc w:val="left"/>
              <w:rPr>
                <w:b/>
                <w:bCs/>
                <w:color w:val="000000"/>
                <w:kern w:val="0"/>
                <w:sz w:val="24"/>
              </w:rPr>
            </w:pPr>
            <w:r>
              <w:rPr>
                <w:b/>
                <w:bCs/>
                <w:color w:val="000000"/>
                <w:kern w:val="0"/>
                <w:sz w:val="24"/>
              </w:rPr>
              <w:t>八、选址合理性及环境相容性分析</w:t>
            </w:r>
          </w:p>
          <w:p w14:paraId="4161E31E">
            <w:pPr>
              <w:spacing w:line="360" w:lineRule="auto"/>
              <w:ind w:firstLine="480" w:firstLineChars="200"/>
              <w:rPr>
                <w:color w:val="000000"/>
                <w:sz w:val="24"/>
              </w:rPr>
            </w:pPr>
            <w:r>
              <w:rPr>
                <w:color w:val="000000"/>
                <w:sz w:val="24"/>
              </w:rPr>
              <w:t>项目租用板桥街道者乌龙村民委员会、板桥村民委员会、冒水洞村民委员会、大叠水村民委员会场地进行建设</w:t>
            </w:r>
            <w:r>
              <w:rPr>
                <w:rFonts w:hint="eastAsia"/>
                <w:color w:val="000000"/>
                <w:sz w:val="24"/>
              </w:rPr>
              <w:t>（项目租地合同详见附件4）</w:t>
            </w:r>
            <w:r>
              <w:rPr>
                <w:color w:val="000000"/>
                <w:sz w:val="24"/>
              </w:rPr>
              <w:t>，位于</w:t>
            </w:r>
            <w:r>
              <w:rPr>
                <w:rFonts w:hint="eastAsia"/>
                <w:color w:val="000000"/>
                <w:sz w:val="24"/>
              </w:rPr>
              <w:t>石林县板桥街道板桥社区碧落甸村</w:t>
            </w:r>
            <w:r>
              <w:rPr>
                <w:color w:val="000000"/>
                <w:sz w:val="24"/>
              </w:rPr>
              <w:t>。</w:t>
            </w:r>
          </w:p>
          <w:p w14:paraId="3A72725B">
            <w:pPr>
              <w:spacing w:line="360" w:lineRule="auto"/>
              <w:ind w:firstLine="480" w:firstLineChars="200"/>
              <w:rPr>
                <w:color w:val="000000"/>
                <w:sz w:val="24"/>
              </w:rPr>
            </w:pPr>
            <w:r>
              <w:rPr>
                <w:color w:val="000000"/>
                <w:sz w:val="24"/>
              </w:rPr>
              <w:t>本项目占地不涉及生态保护红线和基本农田，选址交通便利，地势平坦，地形较为规整，便于项目功能布局，同时，项目不在文物保护单位、自然保护区、风景名胜区、森林公园、饮用水源保护区和其他需要特别保护的区域内，亦不在长江流域相关保护区内。综上分析，选址较为合理。</w:t>
            </w:r>
          </w:p>
          <w:p w14:paraId="617FCBFB">
            <w:pPr>
              <w:pStyle w:val="4"/>
              <w:spacing w:line="360" w:lineRule="auto"/>
              <w:ind w:firstLine="480"/>
              <w:rPr>
                <w:rFonts w:ascii="Times New Roman" w:hAnsi="Times New Roman" w:cs="Times New Roman"/>
                <w:color w:val="000000"/>
                <w:sz w:val="24"/>
              </w:rPr>
            </w:pPr>
            <w:r>
              <w:rPr>
                <w:rFonts w:ascii="Times New Roman" w:hAnsi="Times New Roman" w:cs="Times New Roman"/>
                <w:color w:val="000000"/>
                <w:sz w:val="24"/>
              </w:rPr>
              <w:t>项目距离最近的环境保护目标为处于</w:t>
            </w:r>
            <w:r>
              <w:rPr>
                <w:rFonts w:hint="eastAsia" w:ascii="Times New Roman" w:hAnsi="Times New Roman" w:cs="Times New Roman"/>
                <w:color w:val="000000"/>
                <w:sz w:val="24"/>
              </w:rPr>
              <w:t>东南</w:t>
            </w:r>
            <w:r>
              <w:rPr>
                <w:rFonts w:ascii="Times New Roman" w:hAnsi="Times New Roman" w:cs="Times New Roman"/>
                <w:color w:val="000000"/>
                <w:sz w:val="24"/>
              </w:rPr>
              <w:t>方向的板桥社区养老院，处于侧风向，项目有组织废气排放口位于厂区西北角，尽可能的远离了板桥社区养老院；经预测，厂界噪声可以实现达标排放，对声环境保护目标的影响小；项目无组织废气排放为间歇性排放（</w:t>
            </w:r>
            <w:r>
              <w:rPr>
                <w:rFonts w:hint="eastAsia" w:ascii="Times New Roman" w:hAnsi="Times New Roman" w:cs="Times New Roman"/>
                <w:color w:val="000000"/>
                <w:sz w:val="24"/>
              </w:rPr>
              <w:t>2h/a</w:t>
            </w:r>
            <w:r>
              <w:rPr>
                <w:rFonts w:ascii="Times New Roman" w:hAnsi="Times New Roman" w:cs="Times New Roman"/>
                <w:color w:val="000000"/>
                <w:sz w:val="24"/>
              </w:rPr>
              <w:t>），项目排放的废气对其影响较小。</w:t>
            </w:r>
          </w:p>
          <w:p w14:paraId="07DE2D18">
            <w:pPr>
              <w:pStyle w:val="4"/>
              <w:spacing w:line="360" w:lineRule="auto"/>
              <w:ind w:firstLine="480"/>
              <w:rPr>
                <w:rFonts w:ascii="Times New Roman" w:hAnsi="Times New Roman" w:cs="Times New Roman"/>
                <w:color w:val="000000"/>
                <w:sz w:val="24"/>
              </w:rPr>
            </w:pPr>
            <w:r>
              <w:rPr>
                <w:rFonts w:ascii="Times New Roman" w:hAnsi="Times New Roman" w:cs="Times New Roman"/>
                <w:color w:val="000000"/>
                <w:sz w:val="24"/>
              </w:rPr>
              <w:t>项目周边最近的地表水体为东侧800m处的巴江，项目产生的少量生活污水经化粪池处理后用于农田施肥，对其影响小。</w:t>
            </w:r>
          </w:p>
          <w:p w14:paraId="49ED55B7">
            <w:pPr>
              <w:pStyle w:val="4"/>
              <w:spacing w:line="360" w:lineRule="auto"/>
              <w:ind w:firstLine="480"/>
              <w:rPr>
                <w:rFonts w:hint="eastAsia" w:ascii="Times New Roman" w:hAnsi="Times New Roman" w:cs="Times New Roman"/>
                <w:color w:val="000000"/>
                <w:sz w:val="24"/>
              </w:rPr>
            </w:pPr>
            <w:r>
              <w:rPr>
                <w:rFonts w:ascii="Times New Roman" w:hAnsi="Times New Roman" w:cs="Times New Roman"/>
                <w:color w:val="000000"/>
                <w:sz w:val="24"/>
              </w:rPr>
              <w:t>项目周边不存在对本项目产品质量产生影响的工业企业，亦不存在可能受到本项目影响的工业企业。</w:t>
            </w:r>
          </w:p>
          <w:p w14:paraId="38B4BFB7">
            <w:pPr>
              <w:pStyle w:val="4"/>
              <w:spacing w:line="360" w:lineRule="auto"/>
              <w:ind w:firstLine="480"/>
              <w:rPr>
                <w:rFonts w:hint="eastAsia"/>
                <w:color w:val="000000"/>
              </w:rPr>
            </w:pPr>
            <w:r>
              <w:rPr>
                <w:rFonts w:hint="eastAsia" w:ascii="Times New Roman" w:hAnsi="Times New Roman" w:cs="Times New Roman"/>
                <w:color w:val="000000"/>
                <w:sz w:val="24"/>
              </w:rPr>
              <w:t>因此，项目与周边环境具有相容性。</w:t>
            </w:r>
          </w:p>
          <w:p w14:paraId="3FF343FA">
            <w:pPr>
              <w:autoSpaceDE w:val="0"/>
              <w:autoSpaceDN w:val="0"/>
              <w:adjustRightInd w:val="0"/>
              <w:spacing w:line="360" w:lineRule="auto"/>
              <w:ind w:firstLine="482" w:firstLineChars="200"/>
              <w:jc w:val="left"/>
              <w:rPr>
                <w:b/>
                <w:bCs/>
                <w:color w:val="000000"/>
                <w:kern w:val="0"/>
                <w:sz w:val="24"/>
              </w:rPr>
            </w:pPr>
            <w:r>
              <w:rPr>
                <w:b/>
                <w:bCs/>
                <w:color w:val="000000"/>
                <w:kern w:val="0"/>
                <w:sz w:val="24"/>
              </w:rPr>
              <w:t>九、平面布置合理性分析</w:t>
            </w:r>
          </w:p>
          <w:p w14:paraId="0D0CBD93">
            <w:pPr>
              <w:spacing w:line="360" w:lineRule="auto"/>
              <w:ind w:firstLine="480" w:firstLineChars="200"/>
              <w:rPr>
                <w:rFonts w:hint="eastAsia"/>
                <w:color w:val="000000"/>
                <w:sz w:val="24"/>
              </w:rPr>
            </w:pPr>
            <w:r>
              <w:rPr>
                <w:rFonts w:hint="eastAsia"/>
                <w:color w:val="000000"/>
                <w:sz w:val="24"/>
              </w:rPr>
              <w:t>拟建项目位于石林县板桥街道板桥社区碧落甸村，</w:t>
            </w:r>
            <w:r>
              <w:rPr>
                <w:color w:val="000000"/>
                <w:sz w:val="24"/>
              </w:rPr>
              <w:t>项目通过收购石林县鲜花种植基地的鲜花，经过脱色</w:t>
            </w:r>
            <w:r>
              <w:rPr>
                <w:rFonts w:hint="eastAsia"/>
                <w:color w:val="000000"/>
                <w:sz w:val="24"/>
              </w:rPr>
              <w:t>-</w:t>
            </w:r>
            <w:r>
              <w:rPr>
                <w:color w:val="000000"/>
                <w:sz w:val="24"/>
              </w:rPr>
              <w:t>染色生产永生花，</w:t>
            </w:r>
            <w:r>
              <w:rPr>
                <w:rFonts w:hint="eastAsia"/>
                <w:color w:val="000000"/>
                <w:sz w:val="24"/>
              </w:rPr>
              <w:t>产品外售，</w:t>
            </w:r>
            <w:r>
              <w:rPr>
                <w:color w:val="000000"/>
                <w:sz w:val="24"/>
              </w:rPr>
              <w:t>属于</w:t>
            </w:r>
            <w:r>
              <w:rPr>
                <w:rFonts w:hint="eastAsia"/>
                <w:color w:val="000000"/>
                <w:sz w:val="24"/>
              </w:rPr>
              <w:t>工艺美术及礼仪用品制造</w:t>
            </w:r>
            <w:r>
              <w:rPr>
                <w:color w:val="000000"/>
                <w:sz w:val="24"/>
              </w:rPr>
              <w:t>业</w:t>
            </w:r>
            <w:r>
              <w:rPr>
                <w:rFonts w:hint="eastAsia"/>
                <w:color w:val="000000"/>
                <w:sz w:val="24"/>
              </w:rPr>
              <w:t>，</w:t>
            </w:r>
            <w:r>
              <w:rPr>
                <w:color w:val="000000"/>
                <w:sz w:val="24"/>
              </w:rPr>
              <w:t>项目建设内容主要包括</w:t>
            </w:r>
            <w:r>
              <w:rPr>
                <w:rFonts w:hint="eastAsia"/>
                <w:color w:val="000000"/>
                <w:sz w:val="24"/>
              </w:rPr>
              <w:t>主体工程、辅助工程和公用工程。其中主体工程为：脱色车间、染色车间、仓库、，辅助工程为办公生活区，公用工程为高位水池、蓄水池以及污水处理站等环保设施。主体工程</w:t>
            </w:r>
            <w:r>
              <w:rPr>
                <w:color w:val="000000"/>
                <w:sz w:val="24"/>
              </w:rPr>
              <w:t>主要分布于</w:t>
            </w:r>
            <w:r>
              <w:rPr>
                <w:rFonts w:hint="eastAsia"/>
                <w:color w:val="000000"/>
                <w:sz w:val="24"/>
              </w:rPr>
              <w:t>项目区</w:t>
            </w:r>
            <w:r>
              <w:rPr>
                <w:color w:val="000000"/>
                <w:sz w:val="24"/>
              </w:rPr>
              <w:t>的</w:t>
            </w:r>
            <w:r>
              <w:rPr>
                <w:rFonts w:hint="eastAsia"/>
                <w:color w:val="000000"/>
                <w:sz w:val="24"/>
              </w:rPr>
              <w:t>北侧，</w:t>
            </w:r>
            <w:r>
              <w:rPr>
                <w:rFonts w:hint="eastAsia"/>
                <w:snapToGrid w:val="0"/>
                <w:color w:val="000000"/>
                <w:kern w:val="0"/>
                <w:sz w:val="24"/>
              </w:rPr>
              <w:t>辅助工程</w:t>
            </w:r>
            <w:r>
              <w:rPr>
                <w:color w:val="000000"/>
                <w:sz w:val="24"/>
              </w:rPr>
              <w:t>分布于</w:t>
            </w:r>
            <w:r>
              <w:rPr>
                <w:rFonts w:hint="eastAsia"/>
                <w:color w:val="000000"/>
                <w:sz w:val="24"/>
              </w:rPr>
              <w:t>项目区</w:t>
            </w:r>
            <w:r>
              <w:rPr>
                <w:color w:val="000000"/>
                <w:sz w:val="24"/>
              </w:rPr>
              <w:t>的</w:t>
            </w:r>
            <w:r>
              <w:rPr>
                <w:rFonts w:hint="eastAsia"/>
                <w:color w:val="000000"/>
                <w:sz w:val="24"/>
              </w:rPr>
              <w:t>南侧。石林主导风向为西南风，生活办公区位于项目区南侧，位于主导风向的侧风向，项目生产过程中产生的污染物对生活办公区影响很小。</w:t>
            </w:r>
          </w:p>
          <w:p w14:paraId="44DB3012">
            <w:pPr>
              <w:spacing w:line="360" w:lineRule="auto"/>
              <w:ind w:firstLine="480" w:firstLineChars="200"/>
              <w:rPr>
                <w:rFonts w:hint="eastAsia"/>
                <w:color w:val="000000"/>
                <w:sz w:val="24"/>
              </w:rPr>
            </w:pPr>
            <w:r>
              <w:rPr>
                <w:color w:val="000000"/>
                <w:sz w:val="24"/>
              </w:rPr>
              <w:t>根据工艺规划和工序要求，本项目对生产厂房进行了工艺区划，主要体现生产连续、稳定的原则。生产车间</w:t>
            </w:r>
            <w:r>
              <w:rPr>
                <w:rFonts w:hint="eastAsia"/>
                <w:color w:val="000000"/>
                <w:sz w:val="24"/>
              </w:rPr>
              <w:t>连续分布在项目区北部，</w:t>
            </w:r>
            <w:r>
              <w:rPr>
                <w:color w:val="000000"/>
                <w:sz w:val="24"/>
              </w:rPr>
              <w:t>项目临近道路，方便原</w:t>
            </w:r>
            <w:r>
              <w:rPr>
                <w:rFonts w:hint="eastAsia"/>
                <w:color w:val="000000"/>
                <w:sz w:val="24"/>
              </w:rPr>
              <w:t>材</w:t>
            </w:r>
            <w:r>
              <w:rPr>
                <w:color w:val="000000"/>
                <w:sz w:val="24"/>
              </w:rPr>
              <w:t>料运输。</w:t>
            </w:r>
          </w:p>
          <w:p w14:paraId="0D50C590">
            <w:pPr>
              <w:spacing w:line="360" w:lineRule="auto"/>
              <w:ind w:firstLine="480" w:firstLineChars="200"/>
              <w:rPr>
                <w:rFonts w:hint="eastAsia"/>
                <w:bCs/>
                <w:color w:val="000000"/>
                <w:sz w:val="24"/>
              </w:rPr>
            </w:pPr>
            <w:r>
              <w:rPr>
                <w:color w:val="000000"/>
                <w:sz w:val="24"/>
              </w:rPr>
              <w:t>综上所述，项目区平面布局合理。项目区平面布置示意图</w:t>
            </w:r>
            <w:r>
              <w:rPr>
                <w:rFonts w:hint="eastAsia"/>
                <w:color w:val="000000"/>
                <w:sz w:val="24"/>
              </w:rPr>
              <w:t>见附图3。</w:t>
            </w:r>
          </w:p>
        </w:tc>
      </w:tr>
    </w:tbl>
    <w:p w14:paraId="636FFA09">
      <w:pPr>
        <w:pStyle w:val="16"/>
        <w:jc w:val="center"/>
        <w:outlineLvl w:val="0"/>
        <w:rPr>
          <w:rFonts w:ascii="黑体" w:hAnsi="黑体" w:eastAsia="黑体"/>
          <w:snapToGrid w:val="0"/>
          <w:color w:val="000000"/>
          <w:kern w:val="21"/>
          <w:sz w:val="30"/>
          <w:szCs w:val="30"/>
        </w:rPr>
      </w:pPr>
      <w:r>
        <w:rPr>
          <w:color w:val="000000"/>
        </w:rPr>
        <w:br w:type="page"/>
      </w:r>
      <w:bookmarkStart w:id="3" w:name="_Toc25716"/>
      <w:r>
        <w:rPr>
          <w:rFonts w:ascii="黑体" w:hAnsi="黑体" w:eastAsia="黑体"/>
          <w:snapToGrid w:val="0"/>
          <w:color w:val="000000"/>
          <w:kern w:val="21"/>
          <w:sz w:val="30"/>
          <w:szCs w:val="30"/>
        </w:rPr>
        <w:t>二、建设项目工程分析</w:t>
      </w:r>
      <w:bookmarkEnd w:id="3"/>
    </w:p>
    <w:tbl>
      <w:tblPr>
        <w:tblStyle w:val="20"/>
        <w:tblW w:w="89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3"/>
        <w:gridCol w:w="8161"/>
      </w:tblGrid>
      <w:tr w14:paraId="1A986D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1" w:hRule="atLeast"/>
          <w:jc w:val="center"/>
        </w:trPr>
        <w:tc>
          <w:tcPr>
            <w:tcW w:w="823" w:type="dxa"/>
            <w:noWrap w:val="0"/>
            <w:vAlign w:val="center"/>
          </w:tcPr>
          <w:p w14:paraId="237C4214">
            <w:pPr>
              <w:pStyle w:val="16"/>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Cs w:val="24"/>
              </w:rPr>
              <w:t>建设内容</w:t>
            </w:r>
          </w:p>
        </w:tc>
        <w:tc>
          <w:tcPr>
            <w:tcW w:w="8161" w:type="dxa"/>
            <w:noWrap w:val="0"/>
            <w:vAlign w:val="top"/>
          </w:tcPr>
          <w:p w14:paraId="623ABDA6">
            <w:pPr>
              <w:autoSpaceDE w:val="0"/>
              <w:autoSpaceDN w:val="0"/>
              <w:adjustRightInd w:val="0"/>
              <w:snapToGrid w:val="0"/>
              <w:spacing w:line="360" w:lineRule="auto"/>
              <w:ind w:firstLine="482" w:firstLineChars="200"/>
              <w:rPr>
                <w:b/>
                <w:bCs/>
                <w:color w:val="000000"/>
                <w:sz w:val="24"/>
              </w:rPr>
            </w:pPr>
            <w:r>
              <w:rPr>
                <w:b/>
                <w:bCs/>
                <w:color w:val="000000"/>
                <w:sz w:val="24"/>
              </w:rPr>
              <w:t>一、项目由来</w:t>
            </w:r>
          </w:p>
          <w:p w14:paraId="0E42865A">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云南南之锦花卉有限公司（以下简称“建设单位”）投资</w:t>
            </w:r>
            <w:r>
              <w:rPr>
                <w:color w:val="000000"/>
                <w:sz w:val="24"/>
              </w:rPr>
              <w:t>1320</w:t>
            </w:r>
            <w:r>
              <w:rPr>
                <w:rFonts w:hint="eastAsia"/>
                <w:color w:val="000000"/>
                <w:sz w:val="24"/>
              </w:rPr>
              <w:t>万元在石林县板桥街道板桥社区碧落甸村建设南之锦花卉分拣储运加工中心</w:t>
            </w:r>
            <w:r>
              <w:rPr>
                <w:color w:val="000000"/>
                <w:sz w:val="24"/>
              </w:rPr>
              <w:t>建设项目（以下简称</w:t>
            </w:r>
            <w:r>
              <w:rPr>
                <w:rFonts w:ascii="宋体" w:hAnsi="宋体"/>
                <w:color w:val="000000"/>
                <w:sz w:val="24"/>
              </w:rPr>
              <w:t>“本项目”</w:t>
            </w:r>
            <w:r>
              <w:rPr>
                <w:color w:val="000000"/>
                <w:sz w:val="24"/>
              </w:rPr>
              <w:t>）</w:t>
            </w:r>
            <w:r>
              <w:rPr>
                <w:rFonts w:hint="eastAsia"/>
                <w:color w:val="000000"/>
                <w:sz w:val="24"/>
              </w:rPr>
              <w:t>。</w:t>
            </w:r>
          </w:p>
          <w:p w14:paraId="36CE08A3">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项目于2021年5月2</w:t>
            </w:r>
            <w:r>
              <w:rPr>
                <w:color w:val="000000"/>
                <w:sz w:val="24"/>
              </w:rPr>
              <w:t>8</w:t>
            </w:r>
            <w:r>
              <w:rPr>
                <w:rFonts w:hint="eastAsia"/>
                <w:color w:val="000000"/>
                <w:sz w:val="24"/>
              </w:rPr>
              <w:t>日取得了石林县发展和改革局的投资备案证（项目代码：</w:t>
            </w:r>
            <w:r>
              <w:rPr>
                <w:color w:val="000000"/>
                <w:sz w:val="24"/>
              </w:rPr>
              <w:t>2105-530126-89-01-552700</w:t>
            </w:r>
            <w:r>
              <w:rPr>
                <w:rFonts w:hint="eastAsia"/>
                <w:color w:val="000000"/>
                <w:sz w:val="24"/>
              </w:rPr>
              <w:t>）。建设规模为年生产100万只永生花，项目性质为新建，占地36亩（9333.</w:t>
            </w:r>
            <w:r>
              <w:rPr>
                <w:color w:val="000000"/>
                <w:sz w:val="24"/>
              </w:rPr>
              <w:t>3</w:t>
            </w:r>
            <w:r>
              <w:rPr>
                <w:rFonts w:hint="eastAsia"/>
                <w:color w:val="000000"/>
                <w:sz w:val="24"/>
              </w:rPr>
              <w:t>8m</w:t>
            </w:r>
            <w:r>
              <w:rPr>
                <w:rFonts w:hint="eastAsia"/>
                <w:color w:val="000000"/>
                <w:sz w:val="24"/>
                <w:vertAlign w:val="superscript"/>
              </w:rPr>
              <w:t>2</w:t>
            </w:r>
            <w:r>
              <w:rPr>
                <w:rFonts w:hint="eastAsia"/>
                <w:color w:val="000000"/>
                <w:sz w:val="24"/>
              </w:rPr>
              <w:t>），项目建设内容包括主体工程，辅助工程，公用工程和环保工程。于2021年5月开工建设，历时约3个月，2021年8月建设完成主体工程、辅助工程、公用工程和部分环保工程，由于市场原因，于2021年8月投入运营。</w:t>
            </w:r>
          </w:p>
          <w:p w14:paraId="4037F87C">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根据《中华人民共和国环境影响评价法》、《建设项目环境保护管理条例》、《建设项目环境影响评价分类管理名录》（2021版），本项目属于“二十一</w:t>
            </w:r>
            <w:r>
              <w:rPr>
                <w:color w:val="000000"/>
                <w:sz w:val="24"/>
              </w:rPr>
              <w:t>、文教、工美、体育和娱乐用品制品业24-工艺美术及礼仪用品制造243-年用溶剂型涂料（含稀释剂）10吨以下的</w:t>
            </w:r>
            <w:r>
              <w:rPr>
                <w:rFonts w:hint="eastAsia"/>
                <w:color w:val="000000"/>
                <w:sz w:val="24"/>
              </w:rPr>
              <w:t>”，应编制环境影响评价报告表。受石林芳草阁花卉有限公司委托，我单位承担该项目的环境影响评价工作，在现场踏勘、资料收集和工程分析的基础上，根据环评技术导则、法律法规及其它有关文件，编制了该项目的环境影响报告表。通过环境影响评价，阐明建设项目对周围环境影响的程度和范围，并进一步提出环境污染控制措施，报请主管部门审批。</w:t>
            </w:r>
          </w:p>
          <w:p w14:paraId="00495D81">
            <w:pPr>
              <w:autoSpaceDE w:val="0"/>
              <w:autoSpaceDN w:val="0"/>
              <w:adjustRightInd w:val="0"/>
              <w:snapToGrid w:val="0"/>
              <w:spacing w:line="360" w:lineRule="auto"/>
              <w:ind w:firstLine="482" w:firstLineChars="200"/>
              <w:rPr>
                <w:b/>
                <w:bCs/>
                <w:color w:val="000000"/>
                <w:sz w:val="24"/>
              </w:rPr>
            </w:pPr>
            <w:r>
              <w:rPr>
                <w:rFonts w:hint="eastAsia"/>
                <w:b/>
                <w:bCs/>
                <w:color w:val="000000"/>
                <w:sz w:val="24"/>
              </w:rPr>
              <w:t>二</w:t>
            </w:r>
            <w:r>
              <w:rPr>
                <w:b/>
                <w:bCs/>
                <w:color w:val="000000"/>
                <w:sz w:val="24"/>
              </w:rPr>
              <w:t>、项目建设内容、规模及项目组成</w:t>
            </w:r>
          </w:p>
          <w:p w14:paraId="79D2EEC8">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项目占地面积9333.</w:t>
            </w:r>
            <w:r>
              <w:rPr>
                <w:color w:val="000000"/>
                <w:sz w:val="24"/>
              </w:rPr>
              <w:t>3</w:t>
            </w:r>
            <w:r>
              <w:rPr>
                <w:rFonts w:hint="eastAsia"/>
                <w:color w:val="000000"/>
                <w:sz w:val="24"/>
              </w:rPr>
              <w:t>8m</w:t>
            </w:r>
            <w:r>
              <w:rPr>
                <w:rFonts w:hint="eastAsia"/>
                <w:color w:val="000000"/>
                <w:sz w:val="24"/>
                <w:vertAlign w:val="superscript"/>
              </w:rPr>
              <w:t>2</w:t>
            </w:r>
            <w:r>
              <w:rPr>
                <w:rFonts w:hint="eastAsia"/>
                <w:color w:val="000000"/>
                <w:sz w:val="24"/>
              </w:rPr>
              <w:t>，项目建设内容包括主体工程，辅助工程，公用工程和环保工程，其中原料仓库</w:t>
            </w:r>
            <w:r>
              <w:rPr>
                <w:color w:val="000000"/>
                <w:sz w:val="24"/>
              </w:rPr>
              <w:t>5</w:t>
            </w:r>
            <w:r>
              <w:rPr>
                <w:rFonts w:hint="eastAsia"/>
                <w:color w:val="000000"/>
                <w:sz w:val="24"/>
              </w:rPr>
              <w:t>00平方米，包装间、产品仓库</w:t>
            </w:r>
            <w:r>
              <w:rPr>
                <w:color w:val="000000"/>
                <w:sz w:val="24"/>
              </w:rPr>
              <w:t>5</w:t>
            </w:r>
            <w:r>
              <w:rPr>
                <w:rFonts w:hint="eastAsia"/>
                <w:color w:val="000000"/>
                <w:sz w:val="24"/>
              </w:rPr>
              <w:t>00平方米（投资备案证中的冷库1000平方米，实际为原料仓库、包装间和产品仓库），辅助用房800平方米，花卉加工棚5个，5800平方米，供电，地面硬化等附属设施。</w:t>
            </w:r>
          </w:p>
          <w:p w14:paraId="188A442F">
            <w:pPr>
              <w:adjustRightInd w:val="0"/>
              <w:snapToGrid w:val="0"/>
              <w:spacing w:line="360" w:lineRule="auto"/>
              <w:ind w:firstLine="480" w:firstLineChars="200"/>
              <w:jc w:val="left"/>
              <w:rPr>
                <w:color w:val="000000"/>
                <w:sz w:val="24"/>
              </w:rPr>
            </w:pPr>
            <w:r>
              <w:rPr>
                <w:color w:val="000000"/>
                <w:sz w:val="24"/>
              </w:rPr>
              <w:t>项目工程组成情况见表</w:t>
            </w:r>
            <w:r>
              <w:rPr>
                <w:rFonts w:hint="eastAsia"/>
                <w:color w:val="000000"/>
                <w:sz w:val="24"/>
              </w:rPr>
              <w:t>2</w:t>
            </w:r>
            <w:r>
              <w:rPr>
                <w:color w:val="000000"/>
                <w:sz w:val="24"/>
              </w:rPr>
              <w:t>-</w:t>
            </w:r>
            <w:r>
              <w:rPr>
                <w:rFonts w:hint="eastAsia"/>
                <w:color w:val="000000"/>
                <w:sz w:val="24"/>
              </w:rPr>
              <w:t>1</w:t>
            </w:r>
            <w:r>
              <w:rPr>
                <w:color w:val="000000"/>
                <w:sz w:val="24"/>
              </w:rPr>
              <w:t>。</w:t>
            </w:r>
          </w:p>
          <w:p w14:paraId="6963448E">
            <w:pPr>
              <w:rPr>
                <w:color w:val="000000"/>
              </w:rPr>
            </w:pPr>
          </w:p>
          <w:p w14:paraId="7B59DDC2">
            <w:pPr>
              <w:pStyle w:val="2"/>
              <w:rPr>
                <w:rFonts w:hint="eastAsia"/>
                <w:color w:val="000000"/>
              </w:rPr>
            </w:pPr>
          </w:p>
          <w:p w14:paraId="3C6AB0F0">
            <w:pPr>
              <w:autoSpaceDE w:val="0"/>
              <w:autoSpaceDN w:val="0"/>
              <w:adjustRightInd w:val="0"/>
              <w:spacing w:line="360" w:lineRule="auto"/>
              <w:jc w:val="center"/>
              <w:rPr>
                <w:b/>
                <w:bCs/>
                <w:color w:val="000000"/>
                <w:kern w:val="0"/>
                <w:szCs w:val="21"/>
              </w:rPr>
            </w:pPr>
            <w:r>
              <w:rPr>
                <w:b/>
                <w:bCs/>
                <w:color w:val="000000"/>
                <w:szCs w:val="21"/>
              </w:rPr>
              <w:t>表2-1  项目建设内容一览表</w:t>
            </w:r>
          </w:p>
          <w:tbl>
            <w:tblPr>
              <w:tblStyle w:val="20"/>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39"/>
              <w:gridCol w:w="32"/>
              <w:gridCol w:w="814"/>
              <w:gridCol w:w="5315"/>
              <w:gridCol w:w="692"/>
            </w:tblGrid>
            <w:tr w14:paraId="7E8A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shd w:val="clear" w:color="auto" w:fill="auto"/>
                  <w:noWrap w:val="0"/>
                  <w:vAlign w:val="center"/>
                </w:tcPr>
                <w:p w14:paraId="03D24A6C">
                  <w:pPr>
                    <w:pStyle w:val="29"/>
                    <w:spacing w:line="240" w:lineRule="auto"/>
                    <w:jc w:val="center"/>
                    <w:rPr>
                      <w:rFonts w:ascii="Times New Roman" w:hAnsi="Times New Roman"/>
                      <w:b/>
                      <w:bCs/>
                      <w:color w:val="000000"/>
                      <w:szCs w:val="21"/>
                    </w:rPr>
                  </w:pPr>
                  <w:r>
                    <w:rPr>
                      <w:rFonts w:ascii="Times New Roman" w:hAnsi="Times New Roman"/>
                      <w:b/>
                      <w:bCs/>
                      <w:color w:val="000000"/>
                      <w:szCs w:val="21"/>
                    </w:rPr>
                    <w:t>工程类别</w:t>
                  </w:r>
                </w:p>
              </w:tc>
              <w:tc>
                <w:tcPr>
                  <w:tcW w:w="1285" w:type="dxa"/>
                  <w:gridSpan w:val="3"/>
                  <w:shd w:val="clear" w:color="auto" w:fill="auto"/>
                  <w:noWrap w:val="0"/>
                  <w:vAlign w:val="center"/>
                </w:tcPr>
                <w:p w14:paraId="3C4169FE">
                  <w:pPr>
                    <w:pStyle w:val="29"/>
                    <w:spacing w:line="240" w:lineRule="auto"/>
                    <w:jc w:val="center"/>
                    <w:rPr>
                      <w:rFonts w:ascii="Times New Roman" w:hAnsi="Times New Roman"/>
                      <w:b/>
                      <w:bCs/>
                      <w:color w:val="000000"/>
                      <w:szCs w:val="21"/>
                    </w:rPr>
                  </w:pPr>
                  <w:r>
                    <w:rPr>
                      <w:rFonts w:ascii="Times New Roman" w:hAnsi="Times New Roman"/>
                      <w:b/>
                      <w:bCs/>
                      <w:color w:val="000000"/>
                      <w:szCs w:val="21"/>
                    </w:rPr>
                    <w:t>工程名称</w:t>
                  </w:r>
                </w:p>
              </w:tc>
              <w:tc>
                <w:tcPr>
                  <w:tcW w:w="5315" w:type="dxa"/>
                  <w:shd w:val="clear" w:color="auto" w:fill="auto"/>
                  <w:noWrap w:val="0"/>
                  <w:vAlign w:val="center"/>
                </w:tcPr>
                <w:p w14:paraId="2CCBF631">
                  <w:pPr>
                    <w:pStyle w:val="29"/>
                    <w:spacing w:line="240" w:lineRule="auto"/>
                    <w:jc w:val="center"/>
                    <w:rPr>
                      <w:rFonts w:ascii="Times New Roman" w:hAnsi="Times New Roman"/>
                      <w:b/>
                      <w:bCs/>
                      <w:color w:val="000000"/>
                      <w:szCs w:val="21"/>
                    </w:rPr>
                  </w:pPr>
                  <w:r>
                    <w:rPr>
                      <w:rFonts w:hint="eastAsia" w:ascii="Times New Roman" w:hAnsi="Times New Roman"/>
                      <w:b/>
                      <w:bCs/>
                      <w:color w:val="000000"/>
                      <w:szCs w:val="21"/>
                    </w:rPr>
                    <w:t>工程内容</w:t>
                  </w:r>
                </w:p>
              </w:tc>
              <w:tc>
                <w:tcPr>
                  <w:tcW w:w="692" w:type="dxa"/>
                  <w:shd w:val="clear" w:color="auto" w:fill="auto"/>
                  <w:noWrap w:val="0"/>
                  <w:vAlign w:val="center"/>
                </w:tcPr>
                <w:p w14:paraId="744C3374">
                  <w:pPr>
                    <w:pStyle w:val="29"/>
                    <w:spacing w:line="240" w:lineRule="auto"/>
                    <w:jc w:val="center"/>
                    <w:rPr>
                      <w:rFonts w:ascii="Times New Roman" w:hAnsi="Times New Roman"/>
                      <w:b/>
                      <w:bCs/>
                      <w:color w:val="000000"/>
                      <w:szCs w:val="21"/>
                    </w:rPr>
                  </w:pPr>
                  <w:r>
                    <w:rPr>
                      <w:rFonts w:ascii="Times New Roman" w:hAnsi="Times New Roman"/>
                      <w:b/>
                      <w:bCs/>
                      <w:color w:val="000000"/>
                      <w:szCs w:val="21"/>
                    </w:rPr>
                    <w:t>备注</w:t>
                  </w:r>
                </w:p>
              </w:tc>
            </w:tr>
            <w:tr w14:paraId="1215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noWrap w:val="0"/>
                  <w:vAlign w:val="center"/>
                </w:tcPr>
                <w:p w14:paraId="57E730B4">
                  <w:pPr>
                    <w:pStyle w:val="29"/>
                    <w:spacing w:line="240" w:lineRule="auto"/>
                    <w:jc w:val="center"/>
                    <w:rPr>
                      <w:rFonts w:ascii="Times New Roman" w:hAnsi="Times New Roman"/>
                      <w:color w:val="000000"/>
                      <w:szCs w:val="21"/>
                    </w:rPr>
                  </w:pPr>
                  <w:r>
                    <w:rPr>
                      <w:rFonts w:ascii="Times New Roman" w:hAnsi="Times New Roman"/>
                      <w:color w:val="000000"/>
                      <w:szCs w:val="21"/>
                    </w:rPr>
                    <w:t>主体工程</w:t>
                  </w:r>
                </w:p>
              </w:tc>
              <w:tc>
                <w:tcPr>
                  <w:tcW w:w="1285" w:type="dxa"/>
                  <w:gridSpan w:val="3"/>
                  <w:shd w:val="clear" w:color="auto" w:fill="auto"/>
                  <w:noWrap w:val="0"/>
                  <w:vAlign w:val="center"/>
                </w:tcPr>
                <w:p w14:paraId="73FB5ACB">
                  <w:pPr>
                    <w:pStyle w:val="29"/>
                    <w:spacing w:line="240" w:lineRule="auto"/>
                    <w:jc w:val="center"/>
                    <w:rPr>
                      <w:rFonts w:hint="eastAsia" w:ascii="Times New Roman" w:hAnsi="Times New Roman"/>
                      <w:color w:val="000000"/>
                      <w:szCs w:val="21"/>
                    </w:rPr>
                  </w:pPr>
                  <w:r>
                    <w:rPr>
                      <w:rFonts w:ascii="Times New Roman" w:hAnsi="Times New Roman"/>
                      <w:color w:val="000000"/>
                      <w:szCs w:val="21"/>
                    </w:rPr>
                    <w:t>脱色车间</w:t>
                  </w:r>
                </w:p>
              </w:tc>
              <w:tc>
                <w:tcPr>
                  <w:tcW w:w="5315" w:type="dxa"/>
                  <w:shd w:val="clear" w:color="auto" w:fill="auto"/>
                  <w:noWrap w:val="0"/>
                  <w:vAlign w:val="center"/>
                </w:tcPr>
                <w:p w14:paraId="39DDDD48">
                  <w:pPr>
                    <w:pStyle w:val="29"/>
                    <w:spacing w:line="240" w:lineRule="auto"/>
                    <w:jc w:val="center"/>
                    <w:rPr>
                      <w:rFonts w:ascii="Times New Roman" w:hAnsi="Times New Roman"/>
                      <w:color w:val="000000"/>
                      <w:szCs w:val="21"/>
                    </w:rPr>
                  </w:pPr>
                  <w:r>
                    <w:rPr>
                      <w:rFonts w:ascii="Times New Roman" w:hAnsi="Times New Roman"/>
                      <w:color w:val="000000"/>
                      <w:szCs w:val="21"/>
                    </w:rPr>
                    <w:t>占地面积58</w:t>
                  </w:r>
                  <w:r>
                    <w:rPr>
                      <w:rFonts w:hint="eastAsia" w:ascii="Times New Roman" w:hAnsi="Times New Roman"/>
                      <w:color w:val="000000"/>
                      <w:szCs w:val="21"/>
                    </w:rPr>
                    <w:t>00</w:t>
                  </w:r>
                  <w:r>
                    <w:rPr>
                      <w:rFonts w:ascii="Times New Roman" w:hAnsi="Times New Roman"/>
                      <w:color w:val="000000"/>
                      <w:szCs w:val="21"/>
                    </w:rPr>
                    <w:t>m</w:t>
                  </w:r>
                  <w:r>
                    <w:rPr>
                      <w:rFonts w:ascii="Times New Roman" w:hAnsi="Times New Roman"/>
                      <w:color w:val="000000"/>
                      <w:szCs w:val="21"/>
                      <w:vertAlign w:val="superscript"/>
                    </w:rPr>
                    <w:t>2</w:t>
                  </w:r>
                  <w:r>
                    <w:rPr>
                      <w:rFonts w:ascii="Times New Roman" w:hAnsi="Times New Roman"/>
                      <w:color w:val="000000"/>
                      <w:szCs w:val="21"/>
                    </w:rPr>
                    <w:t>，为5</w:t>
                  </w:r>
                  <w:r>
                    <w:rPr>
                      <w:rFonts w:hint="eastAsia" w:ascii="Times New Roman" w:hAnsi="Times New Roman"/>
                      <w:color w:val="000000"/>
                      <w:szCs w:val="21"/>
                    </w:rPr>
                    <w:t>间1</w:t>
                  </w:r>
                  <w:r>
                    <w:rPr>
                      <w:rFonts w:ascii="Times New Roman" w:hAnsi="Times New Roman"/>
                      <w:color w:val="000000"/>
                      <w:szCs w:val="21"/>
                    </w:rPr>
                    <w:t>层</w:t>
                  </w:r>
                  <w:r>
                    <w:rPr>
                      <w:rFonts w:hint="eastAsia" w:ascii="Times New Roman" w:hAnsi="Times New Roman"/>
                      <w:color w:val="000000"/>
                      <w:szCs w:val="21"/>
                    </w:rPr>
                    <w:t>半密闭砖混结构</w:t>
                  </w:r>
                  <w:r>
                    <w:rPr>
                      <w:rFonts w:ascii="Times New Roman" w:hAnsi="Times New Roman"/>
                      <w:color w:val="000000"/>
                      <w:szCs w:val="21"/>
                    </w:rPr>
                    <w:t>厂房</w:t>
                  </w:r>
                  <w:r>
                    <w:rPr>
                      <w:rFonts w:hint="eastAsia" w:ascii="Times New Roman" w:hAnsi="Times New Roman"/>
                      <w:color w:val="000000"/>
                      <w:szCs w:val="21"/>
                    </w:rPr>
                    <w:t>（仅留出入口），</w:t>
                  </w:r>
                  <w:r>
                    <w:rPr>
                      <w:rFonts w:ascii="Times New Roman" w:hAnsi="Times New Roman"/>
                      <w:color w:val="000000"/>
                      <w:szCs w:val="21"/>
                    </w:rPr>
                    <w:t>高度为</w:t>
                  </w:r>
                  <w:r>
                    <w:rPr>
                      <w:rFonts w:hint="eastAsia" w:ascii="Times New Roman" w:hAnsi="Times New Roman"/>
                      <w:color w:val="000000"/>
                      <w:szCs w:val="21"/>
                    </w:rPr>
                    <w:t>2.5</w:t>
                  </w:r>
                  <w:r>
                    <w:rPr>
                      <w:rFonts w:ascii="Times New Roman" w:hAnsi="Times New Roman"/>
                      <w:color w:val="000000"/>
                      <w:szCs w:val="21"/>
                    </w:rPr>
                    <w:t>m。其中</w:t>
                  </w:r>
                  <w:r>
                    <w:rPr>
                      <w:rFonts w:hint="eastAsia" w:ascii="Times New Roman" w:hAnsi="Times New Roman"/>
                      <w:color w:val="000000"/>
                      <w:szCs w:val="21"/>
                    </w:rPr>
                    <w:t>2间为甲醇脱色、3间为漂白剂脱色。</w:t>
                  </w:r>
                </w:p>
              </w:tc>
              <w:tc>
                <w:tcPr>
                  <w:tcW w:w="692" w:type="dxa"/>
                  <w:shd w:val="clear" w:color="auto" w:fill="auto"/>
                  <w:noWrap w:val="0"/>
                  <w:vAlign w:val="center"/>
                </w:tcPr>
                <w:p w14:paraId="556578DB">
                  <w:pPr>
                    <w:autoSpaceDE w:val="0"/>
                    <w:autoSpaceDN w:val="0"/>
                    <w:adjustRightInd w:val="0"/>
                    <w:snapToGrid w:val="0"/>
                    <w:jc w:val="center"/>
                    <w:textAlignment w:val="bottom"/>
                    <w:rPr>
                      <w:color w:val="000000"/>
                      <w:szCs w:val="21"/>
                    </w:rPr>
                  </w:pPr>
                  <w:r>
                    <w:rPr>
                      <w:rFonts w:hint="eastAsia"/>
                      <w:color w:val="000000"/>
                      <w:szCs w:val="21"/>
                    </w:rPr>
                    <w:t>已建</w:t>
                  </w:r>
                </w:p>
              </w:tc>
            </w:tr>
            <w:tr w14:paraId="18C4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3716D2B9">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16EF584B">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染色车间</w:t>
                  </w:r>
                </w:p>
              </w:tc>
              <w:tc>
                <w:tcPr>
                  <w:tcW w:w="5315" w:type="dxa"/>
                  <w:shd w:val="clear" w:color="auto" w:fill="auto"/>
                  <w:noWrap w:val="0"/>
                  <w:vAlign w:val="center"/>
                </w:tcPr>
                <w:p w14:paraId="29B7DA45">
                  <w:pPr>
                    <w:pStyle w:val="29"/>
                    <w:spacing w:line="240" w:lineRule="auto"/>
                    <w:jc w:val="center"/>
                    <w:rPr>
                      <w:rFonts w:ascii="Times New Roman" w:hAnsi="Times New Roman"/>
                      <w:color w:val="000000"/>
                      <w:szCs w:val="21"/>
                    </w:rPr>
                  </w:pPr>
                  <w:r>
                    <w:rPr>
                      <w:rFonts w:ascii="Times New Roman" w:hAnsi="Times New Roman"/>
                      <w:color w:val="000000"/>
                      <w:szCs w:val="21"/>
                    </w:rPr>
                    <w:t>占地面积</w:t>
                  </w:r>
                  <w:r>
                    <w:rPr>
                      <w:rFonts w:hint="eastAsia" w:ascii="Times New Roman" w:hAnsi="Times New Roman"/>
                      <w:color w:val="000000"/>
                      <w:szCs w:val="21"/>
                    </w:rPr>
                    <w:t>500</w:t>
                  </w:r>
                  <w:r>
                    <w:rPr>
                      <w:rFonts w:ascii="Times New Roman" w:hAnsi="Times New Roman"/>
                      <w:color w:val="000000"/>
                      <w:szCs w:val="21"/>
                    </w:rPr>
                    <w:t>m</w:t>
                  </w:r>
                  <w:r>
                    <w:rPr>
                      <w:rFonts w:ascii="Times New Roman" w:hAnsi="Times New Roman"/>
                      <w:color w:val="000000"/>
                      <w:szCs w:val="21"/>
                      <w:vertAlign w:val="superscript"/>
                    </w:rPr>
                    <w:t>2</w:t>
                  </w:r>
                  <w:r>
                    <w:rPr>
                      <w:rFonts w:ascii="Times New Roman" w:hAnsi="Times New Roman"/>
                      <w:color w:val="000000"/>
                      <w:szCs w:val="21"/>
                    </w:rPr>
                    <w:t>，为</w:t>
                  </w:r>
                  <w:r>
                    <w:rPr>
                      <w:rFonts w:hint="eastAsia" w:ascii="Times New Roman" w:hAnsi="Times New Roman"/>
                      <w:color w:val="000000"/>
                      <w:szCs w:val="21"/>
                    </w:rPr>
                    <w:t>1间1</w:t>
                  </w:r>
                  <w:r>
                    <w:rPr>
                      <w:rFonts w:ascii="Times New Roman" w:hAnsi="Times New Roman"/>
                      <w:color w:val="000000"/>
                      <w:szCs w:val="21"/>
                    </w:rPr>
                    <w:t>层</w:t>
                  </w:r>
                  <w:r>
                    <w:rPr>
                      <w:rFonts w:hint="eastAsia" w:ascii="Times New Roman" w:hAnsi="Times New Roman"/>
                      <w:color w:val="000000"/>
                      <w:szCs w:val="21"/>
                    </w:rPr>
                    <w:t>半密闭彩钢瓦</w:t>
                  </w:r>
                  <w:r>
                    <w:rPr>
                      <w:rFonts w:ascii="Times New Roman" w:hAnsi="Times New Roman"/>
                      <w:color w:val="000000"/>
                      <w:szCs w:val="21"/>
                    </w:rPr>
                    <w:t>厂房</w:t>
                  </w:r>
                  <w:r>
                    <w:rPr>
                      <w:rFonts w:hint="eastAsia" w:ascii="Times New Roman" w:hAnsi="Times New Roman"/>
                      <w:color w:val="000000"/>
                      <w:szCs w:val="21"/>
                    </w:rPr>
                    <w:t>（仅留出入口）</w:t>
                  </w:r>
                  <w:r>
                    <w:rPr>
                      <w:rFonts w:ascii="Times New Roman" w:hAnsi="Times New Roman"/>
                      <w:color w:val="000000"/>
                      <w:szCs w:val="21"/>
                    </w:rPr>
                    <w:t>，高度为</w:t>
                  </w:r>
                  <w:r>
                    <w:rPr>
                      <w:rFonts w:hint="eastAsia" w:ascii="Times New Roman" w:hAnsi="Times New Roman"/>
                      <w:color w:val="000000"/>
                      <w:szCs w:val="21"/>
                    </w:rPr>
                    <w:t>2.5</w:t>
                  </w:r>
                  <w:r>
                    <w:rPr>
                      <w:rFonts w:ascii="Times New Roman" w:hAnsi="Times New Roman"/>
                      <w:color w:val="000000"/>
                      <w:szCs w:val="21"/>
                    </w:rPr>
                    <w:t>m。</w:t>
                  </w:r>
                  <w:r>
                    <w:rPr>
                      <w:rFonts w:hint="eastAsia" w:ascii="Times New Roman" w:hAnsi="Times New Roman"/>
                      <w:color w:val="000000"/>
                      <w:szCs w:val="21"/>
                    </w:rPr>
                    <w:t>用于脱色后的鲜花染色。</w:t>
                  </w:r>
                </w:p>
              </w:tc>
              <w:tc>
                <w:tcPr>
                  <w:tcW w:w="692" w:type="dxa"/>
                  <w:shd w:val="clear" w:color="auto" w:fill="auto"/>
                  <w:noWrap w:val="0"/>
                  <w:vAlign w:val="center"/>
                </w:tcPr>
                <w:p w14:paraId="763174B4">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64E5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5D027B6A">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26CB603F">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除湿间</w:t>
                  </w:r>
                </w:p>
              </w:tc>
              <w:tc>
                <w:tcPr>
                  <w:tcW w:w="5315" w:type="dxa"/>
                  <w:shd w:val="clear" w:color="auto" w:fill="auto"/>
                  <w:noWrap w:val="0"/>
                  <w:vAlign w:val="center"/>
                </w:tcPr>
                <w:p w14:paraId="29EAC7DF">
                  <w:pPr>
                    <w:pStyle w:val="29"/>
                    <w:spacing w:line="240" w:lineRule="auto"/>
                    <w:jc w:val="center"/>
                    <w:rPr>
                      <w:rFonts w:ascii="Times New Roman" w:hAnsi="Times New Roman"/>
                      <w:color w:val="000000"/>
                      <w:szCs w:val="21"/>
                    </w:rPr>
                  </w:pPr>
                  <w:r>
                    <w:rPr>
                      <w:rFonts w:ascii="Times New Roman" w:hAnsi="Times New Roman"/>
                      <w:color w:val="000000"/>
                      <w:szCs w:val="21"/>
                    </w:rPr>
                    <w:t>占地面积25</w:t>
                  </w:r>
                  <w:r>
                    <w:rPr>
                      <w:rFonts w:hint="eastAsia" w:ascii="Times New Roman" w:hAnsi="Times New Roman"/>
                      <w:color w:val="000000"/>
                      <w:szCs w:val="21"/>
                    </w:rPr>
                    <w:t>0</w:t>
                  </w:r>
                  <w:r>
                    <w:rPr>
                      <w:rFonts w:ascii="Times New Roman" w:hAnsi="Times New Roman"/>
                      <w:color w:val="000000"/>
                      <w:szCs w:val="21"/>
                    </w:rPr>
                    <w:t>m</w:t>
                  </w:r>
                  <w:r>
                    <w:rPr>
                      <w:rFonts w:ascii="Times New Roman" w:hAnsi="Times New Roman"/>
                      <w:color w:val="000000"/>
                      <w:szCs w:val="21"/>
                      <w:vertAlign w:val="superscript"/>
                    </w:rPr>
                    <w:t>2</w:t>
                  </w:r>
                  <w:r>
                    <w:rPr>
                      <w:rFonts w:ascii="Times New Roman" w:hAnsi="Times New Roman"/>
                      <w:color w:val="000000"/>
                      <w:szCs w:val="21"/>
                    </w:rPr>
                    <w:t>，为</w:t>
                  </w:r>
                  <w:r>
                    <w:rPr>
                      <w:rFonts w:hint="eastAsia" w:ascii="Times New Roman" w:hAnsi="Times New Roman"/>
                      <w:color w:val="000000"/>
                      <w:szCs w:val="21"/>
                    </w:rPr>
                    <w:t>1间1</w:t>
                  </w:r>
                  <w:r>
                    <w:rPr>
                      <w:rFonts w:ascii="Times New Roman" w:hAnsi="Times New Roman"/>
                      <w:color w:val="000000"/>
                      <w:szCs w:val="21"/>
                    </w:rPr>
                    <w:t>层</w:t>
                  </w:r>
                  <w:r>
                    <w:rPr>
                      <w:rFonts w:hint="eastAsia" w:ascii="Times New Roman" w:hAnsi="Times New Roman"/>
                      <w:color w:val="000000"/>
                      <w:szCs w:val="21"/>
                    </w:rPr>
                    <w:t>密闭彩钢瓦</w:t>
                  </w:r>
                  <w:r>
                    <w:rPr>
                      <w:rFonts w:ascii="Times New Roman" w:hAnsi="Times New Roman"/>
                      <w:color w:val="000000"/>
                      <w:szCs w:val="21"/>
                    </w:rPr>
                    <w:t>厂房，高度为</w:t>
                  </w:r>
                  <w:r>
                    <w:rPr>
                      <w:rFonts w:hint="eastAsia" w:ascii="Times New Roman" w:hAnsi="Times New Roman"/>
                      <w:color w:val="000000"/>
                      <w:szCs w:val="21"/>
                    </w:rPr>
                    <w:t>2.5</w:t>
                  </w:r>
                  <w:r>
                    <w:rPr>
                      <w:rFonts w:ascii="Times New Roman" w:hAnsi="Times New Roman"/>
                      <w:color w:val="000000"/>
                      <w:szCs w:val="21"/>
                    </w:rPr>
                    <w:t>m。</w:t>
                  </w:r>
                  <w:r>
                    <w:rPr>
                      <w:rFonts w:hint="eastAsia" w:ascii="Times New Roman" w:hAnsi="Times New Roman"/>
                      <w:color w:val="000000"/>
                      <w:szCs w:val="21"/>
                    </w:rPr>
                    <w:t>用于染色后鲜花除湿干燥。</w:t>
                  </w:r>
                </w:p>
              </w:tc>
              <w:tc>
                <w:tcPr>
                  <w:tcW w:w="692" w:type="dxa"/>
                  <w:shd w:val="clear" w:color="auto" w:fill="auto"/>
                  <w:noWrap w:val="0"/>
                  <w:vAlign w:val="center"/>
                </w:tcPr>
                <w:p w14:paraId="55AF8B38">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1BCC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noWrap w:val="0"/>
                  <w:vAlign w:val="center"/>
                </w:tcPr>
                <w:p w14:paraId="1556959E">
                  <w:pPr>
                    <w:pStyle w:val="29"/>
                    <w:spacing w:line="240" w:lineRule="auto"/>
                    <w:jc w:val="center"/>
                    <w:rPr>
                      <w:rFonts w:ascii="Times New Roman" w:hAnsi="Times New Roman"/>
                      <w:color w:val="000000"/>
                      <w:szCs w:val="21"/>
                    </w:rPr>
                  </w:pPr>
                  <w:r>
                    <w:rPr>
                      <w:rFonts w:ascii="Times New Roman" w:hAnsi="Times New Roman"/>
                      <w:color w:val="000000"/>
                      <w:szCs w:val="21"/>
                    </w:rPr>
                    <w:t>储运工程</w:t>
                  </w:r>
                </w:p>
              </w:tc>
              <w:tc>
                <w:tcPr>
                  <w:tcW w:w="1285" w:type="dxa"/>
                  <w:gridSpan w:val="3"/>
                  <w:shd w:val="clear" w:color="auto" w:fill="auto"/>
                  <w:noWrap w:val="0"/>
                  <w:vAlign w:val="center"/>
                </w:tcPr>
                <w:p w14:paraId="14833C51">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原料仓库</w:t>
                  </w:r>
                </w:p>
              </w:tc>
              <w:tc>
                <w:tcPr>
                  <w:tcW w:w="5315" w:type="dxa"/>
                  <w:shd w:val="clear" w:color="auto" w:fill="auto"/>
                  <w:noWrap w:val="0"/>
                  <w:vAlign w:val="center"/>
                </w:tcPr>
                <w:p w14:paraId="14F33208">
                  <w:pPr>
                    <w:pStyle w:val="29"/>
                    <w:spacing w:line="240" w:lineRule="auto"/>
                    <w:jc w:val="center"/>
                    <w:rPr>
                      <w:rFonts w:hint="eastAsia" w:ascii="Times New Roman" w:hAnsi="Times New Roman"/>
                      <w:color w:val="000000"/>
                      <w:szCs w:val="21"/>
                    </w:rPr>
                  </w:pPr>
                  <w:r>
                    <w:rPr>
                      <w:rFonts w:ascii="Times New Roman" w:hAnsi="Times New Roman"/>
                      <w:color w:val="000000"/>
                      <w:szCs w:val="21"/>
                    </w:rPr>
                    <w:t>占地面积</w:t>
                  </w:r>
                  <w:r>
                    <w:rPr>
                      <w:rFonts w:hint="eastAsia" w:ascii="Times New Roman" w:hAnsi="Times New Roman"/>
                      <w:color w:val="000000"/>
                      <w:szCs w:val="21"/>
                    </w:rPr>
                    <w:t>500</w:t>
                  </w:r>
                  <w:r>
                    <w:rPr>
                      <w:rFonts w:ascii="Times New Roman" w:hAnsi="Times New Roman"/>
                      <w:color w:val="000000"/>
                      <w:szCs w:val="21"/>
                    </w:rPr>
                    <w:t>m</w:t>
                  </w:r>
                  <w:r>
                    <w:rPr>
                      <w:rFonts w:ascii="Times New Roman" w:hAnsi="Times New Roman"/>
                      <w:color w:val="000000"/>
                      <w:szCs w:val="21"/>
                      <w:vertAlign w:val="superscript"/>
                    </w:rPr>
                    <w:t>2</w:t>
                  </w:r>
                  <w:r>
                    <w:rPr>
                      <w:rFonts w:ascii="Times New Roman" w:hAnsi="Times New Roman"/>
                      <w:color w:val="000000"/>
                      <w:szCs w:val="21"/>
                    </w:rPr>
                    <w:t>，为</w:t>
                  </w:r>
                  <w:r>
                    <w:rPr>
                      <w:rFonts w:hint="eastAsia" w:ascii="Times New Roman" w:hAnsi="Times New Roman"/>
                      <w:color w:val="000000"/>
                      <w:szCs w:val="21"/>
                    </w:rPr>
                    <w:t>1间1</w:t>
                  </w:r>
                  <w:r>
                    <w:rPr>
                      <w:rFonts w:ascii="Times New Roman" w:hAnsi="Times New Roman"/>
                      <w:color w:val="000000"/>
                      <w:szCs w:val="21"/>
                    </w:rPr>
                    <w:t>层</w:t>
                  </w:r>
                  <w:r>
                    <w:rPr>
                      <w:rFonts w:hint="eastAsia" w:ascii="Times New Roman" w:hAnsi="Times New Roman"/>
                      <w:color w:val="000000"/>
                      <w:szCs w:val="21"/>
                    </w:rPr>
                    <w:t>半密闭砖混结构瓦</w:t>
                  </w:r>
                  <w:r>
                    <w:rPr>
                      <w:rFonts w:ascii="Times New Roman" w:hAnsi="Times New Roman"/>
                      <w:color w:val="000000"/>
                      <w:szCs w:val="21"/>
                    </w:rPr>
                    <w:t>厂房</w:t>
                  </w:r>
                  <w:r>
                    <w:rPr>
                      <w:rFonts w:hint="eastAsia" w:ascii="Times New Roman" w:hAnsi="Times New Roman"/>
                      <w:color w:val="000000"/>
                      <w:szCs w:val="21"/>
                    </w:rPr>
                    <w:t>。</w:t>
                  </w:r>
                </w:p>
              </w:tc>
              <w:tc>
                <w:tcPr>
                  <w:tcW w:w="692" w:type="dxa"/>
                  <w:shd w:val="clear" w:color="auto" w:fill="auto"/>
                  <w:noWrap w:val="0"/>
                  <w:vAlign w:val="center"/>
                </w:tcPr>
                <w:p w14:paraId="4648BC3B">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772B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04D7390D">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2CE92761">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包装间、产品仓库</w:t>
                  </w:r>
                </w:p>
              </w:tc>
              <w:tc>
                <w:tcPr>
                  <w:tcW w:w="5315" w:type="dxa"/>
                  <w:shd w:val="clear" w:color="auto" w:fill="auto"/>
                  <w:noWrap w:val="0"/>
                  <w:vAlign w:val="center"/>
                </w:tcPr>
                <w:p w14:paraId="4FA7FA0B">
                  <w:pPr>
                    <w:pStyle w:val="29"/>
                    <w:spacing w:line="240" w:lineRule="auto"/>
                    <w:jc w:val="center"/>
                    <w:rPr>
                      <w:rFonts w:ascii="Times New Roman" w:hAnsi="Times New Roman"/>
                      <w:color w:val="000000"/>
                      <w:szCs w:val="21"/>
                    </w:rPr>
                  </w:pPr>
                  <w:r>
                    <w:rPr>
                      <w:rFonts w:ascii="Times New Roman" w:hAnsi="Times New Roman"/>
                      <w:color w:val="000000"/>
                      <w:szCs w:val="21"/>
                    </w:rPr>
                    <w:t>占地面积</w:t>
                  </w:r>
                  <w:r>
                    <w:rPr>
                      <w:rFonts w:hint="eastAsia" w:ascii="Times New Roman" w:hAnsi="Times New Roman"/>
                      <w:color w:val="000000"/>
                      <w:szCs w:val="21"/>
                    </w:rPr>
                    <w:t>500</w:t>
                  </w:r>
                  <w:r>
                    <w:rPr>
                      <w:rFonts w:ascii="Times New Roman" w:hAnsi="Times New Roman"/>
                      <w:color w:val="000000"/>
                      <w:szCs w:val="21"/>
                    </w:rPr>
                    <w:t>m</w:t>
                  </w:r>
                  <w:r>
                    <w:rPr>
                      <w:rFonts w:ascii="Times New Roman" w:hAnsi="Times New Roman"/>
                      <w:color w:val="000000"/>
                      <w:szCs w:val="21"/>
                      <w:vertAlign w:val="superscript"/>
                    </w:rPr>
                    <w:t>2</w:t>
                  </w:r>
                  <w:r>
                    <w:rPr>
                      <w:rFonts w:ascii="Times New Roman" w:hAnsi="Times New Roman"/>
                      <w:color w:val="000000"/>
                      <w:szCs w:val="21"/>
                    </w:rPr>
                    <w:t>，为</w:t>
                  </w:r>
                  <w:r>
                    <w:rPr>
                      <w:rFonts w:hint="eastAsia" w:ascii="Times New Roman" w:hAnsi="Times New Roman"/>
                      <w:color w:val="000000"/>
                      <w:szCs w:val="21"/>
                    </w:rPr>
                    <w:t>1间1</w:t>
                  </w:r>
                  <w:r>
                    <w:rPr>
                      <w:rFonts w:ascii="Times New Roman" w:hAnsi="Times New Roman"/>
                      <w:color w:val="000000"/>
                      <w:szCs w:val="21"/>
                    </w:rPr>
                    <w:t>层</w:t>
                  </w:r>
                  <w:r>
                    <w:rPr>
                      <w:rFonts w:hint="eastAsia" w:ascii="Times New Roman" w:hAnsi="Times New Roman"/>
                      <w:color w:val="000000"/>
                      <w:szCs w:val="21"/>
                    </w:rPr>
                    <w:t>半密闭砖混结构瓦</w:t>
                  </w:r>
                  <w:r>
                    <w:rPr>
                      <w:rFonts w:ascii="Times New Roman" w:hAnsi="Times New Roman"/>
                      <w:color w:val="000000"/>
                      <w:szCs w:val="21"/>
                    </w:rPr>
                    <w:t>厂房</w:t>
                  </w:r>
                  <w:r>
                    <w:rPr>
                      <w:rFonts w:hint="eastAsia" w:ascii="Times New Roman" w:hAnsi="Times New Roman"/>
                      <w:color w:val="000000"/>
                      <w:szCs w:val="21"/>
                    </w:rPr>
                    <w:t>。</w:t>
                  </w:r>
                </w:p>
              </w:tc>
              <w:tc>
                <w:tcPr>
                  <w:tcW w:w="692" w:type="dxa"/>
                  <w:shd w:val="clear" w:color="auto" w:fill="auto"/>
                  <w:noWrap w:val="0"/>
                  <w:vAlign w:val="center"/>
                </w:tcPr>
                <w:p w14:paraId="1336FF0C">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285D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noWrap w:val="0"/>
                  <w:vAlign w:val="center"/>
                </w:tcPr>
                <w:p w14:paraId="69ABA9DA">
                  <w:pPr>
                    <w:pStyle w:val="29"/>
                    <w:spacing w:line="240" w:lineRule="auto"/>
                    <w:jc w:val="center"/>
                    <w:rPr>
                      <w:rFonts w:ascii="Times New Roman" w:hAnsi="Times New Roman"/>
                      <w:color w:val="000000"/>
                      <w:szCs w:val="21"/>
                    </w:rPr>
                  </w:pPr>
                  <w:r>
                    <w:rPr>
                      <w:rFonts w:ascii="Times New Roman" w:hAnsi="Times New Roman"/>
                      <w:color w:val="000000"/>
                      <w:szCs w:val="21"/>
                    </w:rPr>
                    <w:t>辅助工程</w:t>
                  </w:r>
                </w:p>
              </w:tc>
              <w:tc>
                <w:tcPr>
                  <w:tcW w:w="1285" w:type="dxa"/>
                  <w:gridSpan w:val="3"/>
                  <w:shd w:val="clear" w:color="auto" w:fill="auto"/>
                  <w:noWrap w:val="0"/>
                  <w:vAlign w:val="center"/>
                </w:tcPr>
                <w:p w14:paraId="59BF5531">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门卫室</w:t>
                  </w:r>
                </w:p>
              </w:tc>
              <w:tc>
                <w:tcPr>
                  <w:tcW w:w="5315" w:type="dxa"/>
                  <w:shd w:val="clear" w:color="auto" w:fill="auto"/>
                  <w:noWrap w:val="0"/>
                  <w:vAlign w:val="center"/>
                </w:tcPr>
                <w:p w14:paraId="7613EEFB">
                  <w:pPr>
                    <w:pStyle w:val="29"/>
                    <w:spacing w:line="240" w:lineRule="auto"/>
                    <w:jc w:val="center"/>
                    <w:rPr>
                      <w:rFonts w:ascii="Times New Roman" w:hAnsi="Times New Roman"/>
                      <w:color w:val="000000"/>
                      <w:szCs w:val="21"/>
                    </w:rPr>
                  </w:pPr>
                  <w:r>
                    <w:rPr>
                      <w:rFonts w:ascii="Times New Roman" w:hAnsi="Times New Roman"/>
                      <w:color w:val="000000"/>
                      <w:szCs w:val="21"/>
                    </w:rPr>
                    <w:t>占地面积20m</w:t>
                  </w:r>
                  <w:r>
                    <w:rPr>
                      <w:rFonts w:ascii="Times New Roman" w:hAnsi="Times New Roman"/>
                      <w:color w:val="000000"/>
                      <w:szCs w:val="21"/>
                      <w:vertAlign w:val="superscript"/>
                    </w:rPr>
                    <w:t>2</w:t>
                  </w:r>
                  <w:r>
                    <w:rPr>
                      <w:rFonts w:ascii="Times New Roman" w:hAnsi="Times New Roman"/>
                      <w:color w:val="000000"/>
                      <w:szCs w:val="21"/>
                    </w:rPr>
                    <w:t>，为</w:t>
                  </w:r>
                  <w:r>
                    <w:rPr>
                      <w:rFonts w:hint="eastAsia" w:ascii="Times New Roman" w:hAnsi="Times New Roman"/>
                      <w:color w:val="000000"/>
                      <w:szCs w:val="21"/>
                    </w:rPr>
                    <w:t>1间1</w:t>
                  </w:r>
                  <w:r>
                    <w:rPr>
                      <w:rFonts w:ascii="Times New Roman" w:hAnsi="Times New Roman"/>
                      <w:color w:val="000000"/>
                      <w:szCs w:val="21"/>
                    </w:rPr>
                    <w:t>层</w:t>
                  </w:r>
                  <w:r>
                    <w:rPr>
                      <w:rFonts w:hint="eastAsia" w:ascii="Times New Roman" w:hAnsi="Times New Roman"/>
                      <w:color w:val="000000"/>
                      <w:szCs w:val="21"/>
                    </w:rPr>
                    <w:t>半密闭砖混结构瓦</w:t>
                  </w:r>
                  <w:r>
                    <w:rPr>
                      <w:rFonts w:ascii="Times New Roman" w:hAnsi="Times New Roman"/>
                      <w:color w:val="000000"/>
                      <w:szCs w:val="21"/>
                    </w:rPr>
                    <w:t>厂房</w:t>
                  </w:r>
                  <w:r>
                    <w:rPr>
                      <w:rFonts w:hint="eastAsia" w:ascii="Times New Roman" w:hAnsi="Times New Roman"/>
                      <w:color w:val="000000"/>
                      <w:szCs w:val="21"/>
                    </w:rPr>
                    <w:t>。</w:t>
                  </w:r>
                </w:p>
              </w:tc>
              <w:tc>
                <w:tcPr>
                  <w:tcW w:w="692" w:type="dxa"/>
                  <w:shd w:val="clear" w:color="auto" w:fill="auto"/>
                  <w:noWrap w:val="0"/>
                  <w:vAlign w:val="center"/>
                </w:tcPr>
                <w:p w14:paraId="0015403B">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4128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Merge w:val="continue"/>
                  <w:shd w:val="clear" w:color="auto" w:fill="auto"/>
                  <w:noWrap w:val="0"/>
                  <w:vAlign w:val="center"/>
                </w:tcPr>
                <w:p w14:paraId="7F133B3B">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0D2ACADB">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卫生间</w:t>
                  </w:r>
                </w:p>
              </w:tc>
              <w:tc>
                <w:tcPr>
                  <w:tcW w:w="5315" w:type="dxa"/>
                  <w:shd w:val="clear" w:color="auto" w:fill="auto"/>
                  <w:noWrap w:val="0"/>
                  <w:vAlign w:val="center"/>
                </w:tcPr>
                <w:p w14:paraId="30DB67CD">
                  <w:pPr>
                    <w:autoSpaceDE w:val="0"/>
                    <w:autoSpaceDN w:val="0"/>
                    <w:adjustRightInd w:val="0"/>
                    <w:snapToGrid w:val="0"/>
                    <w:jc w:val="center"/>
                    <w:textAlignment w:val="bottom"/>
                    <w:rPr>
                      <w:color w:val="000000"/>
                      <w:szCs w:val="21"/>
                    </w:rPr>
                  </w:pPr>
                  <w:r>
                    <w:rPr>
                      <w:color w:val="000000"/>
                      <w:szCs w:val="21"/>
                    </w:rPr>
                    <w:t>占地面积8</w:t>
                  </w:r>
                  <w:r>
                    <w:rPr>
                      <w:rFonts w:hint="eastAsia"/>
                      <w:color w:val="000000"/>
                      <w:szCs w:val="21"/>
                    </w:rPr>
                    <w:t>0</w:t>
                  </w:r>
                  <w:r>
                    <w:rPr>
                      <w:color w:val="000000"/>
                      <w:szCs w:val="21"/>
                    </w:rPr>
                    <w:t>m</w:t>
                  </w:r>
                  <w:r>
                    <w:rPr>
                      <w:color w:val="000000"/>
                      <w:szCs w:val="21"/>
                      <w:vertAlign w:val="superscript"/>
                    </w:rPr>
                    <w:t>2</w:t>
                  </w:r>
                  <w:r>
                    <w:rPr>
                      <w:color w:val="000000"/>
                      <w:szCs w:val="21"/>
                    </w:rPr>
                    <w:t>，</w:t>
                  </w:r>
                  <w:r>
                    <w:rPr>
                      <w:rFonts w:hint="eastAsia"/>
                      <w:color w:val="000000"/>
                      <w:szCs w:val="21"/>
                    </w:rPr>
                    <w:t>1间1</w:t>
                  </w:r>
                  <w:r>
                    <w:rPr>
                      <w:color w:val="000000"/>
                      <w:szCs w:val="21"/>
                    </w:rPr>
                    <w:t>层</w:t>
                  </w:r>
                  <w:r>
                    <w:rPr>
                      <w:rFonts w:hint="eastAsia"/>
                      <w:color w:val="000000"/>
                      <w:szCs w:val="21"/>
                    </w:rPr>
                    <w:t>砖混结构。</w:t>
                  </w:r>
                </w:p>
              </w:tc>
              <w:tc>
                <w:tcPr>
                  <w:tcW w:w="692" w:type="dxa"/>
                  <w:shd w:val="clear" w:color="auto" w:fill="auto"/>
                  <w:noWrap w:val="0"/>
                  <w:vAlign w:val="center"/>
                </w:tcPr>
                <w:p w14:paraId="64771279">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6216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50A187C3">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5C3D8D81">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宿舍</w:t>
                  </w:r>
                </w:p>
              </w:tc>
              <w:tc>
                <w:tcPr>
                  <w:tcW w:w="5315" w:type="dxa"/>
                  <w:shd w:val="clear" w:color="auto" w:fill="auto"/>
                  <w:noWrap w:val="0"/>
                  <w:vAlign w:val="center"/>
                </w:tcPr>
                <w:p w14:paraId="138B7A29">
                  <w:pPr>
                    <w:autoSpaceDE w:val="0"/>
                    <w:autoSpaceDN w:val="0"/>
                    <w:adjustRightInd w:val="0"/>
                    <w:snapToGrid w:val="0"/>
                    <w:jc w:val="center"/>
                    <w:textAlignment w:val="bottom"/>
                    <w:rPr>
                      <w:color w:val="000000"/>
                      <w:szCs w:val="21"/>
                    </w:rPr>
                  </w:pPr>
                  <w:r>
                    <w:rPr>
                      <w:color w:val="000000"/>
                      <w:szCs w:val="21"/>
                    </w:rPr>
                    <w:t>占地面积</w:t>
                  </w:r>
                  <w:r>
                    <w:rPr>
                      <w:rFonts w:hint="eastAsia"/>
                      <w:color w:val="000000"/>
                      <w:szCs w:val="21"/>
                    </w:rPr>
                    <w:t>1</w:t>
                  </w:r>
                  <w:r>
                    <w:rPr>
                      <w:color w:val="000000"/>
                      <w:szCs w:val="21"/>
                    </w:rPr>
                    <w:t>2</w:t>
                  </w:r>
                  <w:r>
                    <w:rPr>
                      <w:rFonts w:hint="eastAsia"/>
                      <w:color w:val="000000"/>
                      <w:szCs w:val="21"/>
                    </w:rPr>
                    <w:t>0</w:t>
                  </w:r>
                  <w:r>
                    <w:rPr>
                      <w:color w:val="000000"/>
                      <w:szCs w:val="21"/>
                    </w:rPr>
                    <w:t>m</w:t>
                  </w:r>
                  <w:r>
                    <w:rPr>
                      <w:color w:val="000000"/>
                      <w:szCs w:val="21"/>
                      <w:vertAlign w:val="superscript"/>
                    </w:rPr>
                    <w:t>2</w:t>
                  </w:r>
                  <w:r>
                    <w:rPr>
                      <w:color w:val="000000"/>
                      <w:szCs w:val="21"/>
                    </w:rPr>
                    <w:t>，</w:t>
                  </w:r>
                  <w:r>
                    <w:rPr>
                      <w:rFonts w:hint="eastAsia"/>
                      <w:color w:val="000000"/>
                      <w:szCs w:val="21"/>
                    </w:rPr>
                    <w:t>1</w:t>
                  </w:r>
                  <w:r>
                    <w:rPr>
                      <w:color w:val="000000"/>
                      <w:szCs w:val="21"/>
                    </w:rPr>
                    <w:t>层</w:t>
                  </w:r>
                  <w:r>
                    <w:rPr>
                      <w:rFonts w:hint="eastAsia"/>
                      <w:color w:val="000000"/>
                      <w:szCs w:val="21"/>
                    </w:rPr>
                    <w:t>砖混结构。</w:t>
                  </w:r>
                </w:p>
              </w:tc>
              <w:tc>
                <w:tcPr>
                  <w:tcW w:w="692" w:type="dxa"/>
                  <w:shd w:val="clear" w:color="auto" w:fill="auto"/>
                  <w:noWrap w:val="0"/>
                  <w:vAlign w:val="center"/>
                </w:tcPr>
                <w:p w14:paraId="626E1C70">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7E5C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6B973BC0">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686D2BAC">
                  <w:pPr>
                    <w:pStyle w:val="29"/>
                    <w:spacing w:line="240" w:lineRule="auto"/>
                    <w:jc w:val="center"/>
                    <w:rPr>
                      <w:rFonts w:hint="eastAsia" w:ascii="Times New Roman" w:hAnsi="Times New Roman"/>
                      <w:color w:val="000000"/>
                      <w:szCs w:val="21"/>
                    </w:rPr>
                  </w:pPr>
                  <w:r>
                    <w:rPr>
                      <w:rFonts w:hint="eastAsia" w:ascii="Times New Roman" w:hAnsi="Times New Roman"/>
                      <w:color w:val="000000"/>
                      <w:szCs w:val="21"/>
                    </w:rPr>
                    <w:t>办公室</w:t>
                  </w:r>
                </w:p>
              </w:tc>
              <w:tc>
                <w:tcPr>
                  <w:tcW w:w="5315" w:type="dxa"/>
                  <w:shd w:val="clear" w:color="auto" w:fill="auto"/>
                  <w:noWrap w:val="0"/>
                  <w:vAlign w:val="center"/>
                </w:tcPr>
                <w:p w14:paraId="312C4DE2">
                  <w:pPr>
                    <w:autoSpaceDE w:val="0"/>
                    <w:autoSpaceDN w:val="0"/>
                    <w:adjustRightInd w:val="0"/>
                    <w:snapToGrid w:val="0"/>
                    <w:jc w:val="center"/>
                    <w:textAlignment w:val="bottom"/>
                    <w:rPr>
                      <w:color w:val="000000"/>
                      <w:szCs w:val="21"/>
                    </w:rPr>
                  </w:pPr>
                  <w:r>
                    <w:rPr>
                      <w:color w:val="000000"/>
                      <w:szCs w:val="21"/>
                    </w:rPr>
                    <w:t>占地面积8</w:t>
                  </w:r>
                  <w:r>
                    <w:rPr>
                      <w:rFonts w:hint="eastAsia"/>
                      <w:color w:val="000000"/>
                      <w:szCs w:val="21"/>
                    </w:rPr>
                    <w:t>0</w:t>
                  </w:r>
                  <w:r>
                    <w:rPr>
                      <w:color w:val="000000"/>
                      <w:szCs w:val="21"/>
                    </w:rPr>
                    <w:t>m</w:t>
                  </w:r>
                  <w:r>
                    <w:rPr>
                      <w:color w:val="000000"/>
                      <w:szCs w:val="21"/>
                      <w:vertAlign w:val="superscript"/>
                    </w:rPr>
                    <w:t>2</w:t>
                  </w:r>
                  <w:r>
                    <w:rPr>
                      <w:color w:val="000000"/>
                      <w:szCs w:val="21"/>
                    </w:rPr>
                    <w:t>，</w:t>
                  </w:r>
                  <w:r>
                    <w:rPr>
                      <w:rFonts w:hint="eastAsia"/>
                      <w:color w:val="000000"/>
                      <w:szCs w:val="21"/>
                    </w:rPr>
                    <w:t>1</w:t>
                  </w:r>
                  <w:r>
                    <w:rPr>
                      <w:color w:val="000000"/>
                      <w:szCs w:val="21"/>
                    </w:rPr>
                    <w:t>层</w:t>
                  </w:r>
                  <w:r>
                    <w:rPr>
                      <w:rFonts w:hint="eastAsia"/>
                      <w:color w:val="000000"/>
                      <w:szCs w:val="21"/>
                    </w:rPr>
                    <w:t>砖混结构。</w:t>
                  </w:r>
                </w:p>
              </w:tc>
              <w:tc>
                <w:tcPr>
                  <w:tcW w:w="692" w:type="dxa"/>
                  <w:shd w:val="clear" w:color="auto" w:fill="auto"/>
                  <w:noWrap w:val="0"/>
                  <w:vAlign w:val="center"/>
                </w:tcPr>
                <w:p w14:paraId="2B05348E">
                  <w:pPr>
                    <w:autoSpaceDE w:val="0"/>
                    <w:autoSpaceDN w:val="0"/>
                    <w:adjustRightInd w:val="0"/>
                    <w:snapToGrid w:val="0"/>
                    <w:jc w:val="center"/>
                    <w:textAlignment w:val="bottom"/>
                    <w:rPr>
                      <w:rFonts w:hint="eastAsia"/>
                      <w:color w:val="000000"/>
                      <w:szCs w:val="21"/>
                    </w:rPr>
                  </w:pPr>
                  <w:r>
                    <w:rPr>
                      <w:rFonts w:hint="eastAsia"/>
                      <w:color w:val="000000"/>
                      <w:szCs w:val="21"/>
                    </w:rPr>
                    <w:t>已建</w:t>
                  </w:r>
                </w:p>
              </w:tc>
            </w:tr>
            <w:tr w14:paraId="02EB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noWrap w:val="0"/>
                  <w:vAlign w:val="center"/>
                </w:tcPr>
                <w:p w14:paraId="1BE69212">
                  <w:pPr>
                    <w:pStyle w:val="29"/>
                    <w:spacing w:line="240" w:lineRule="auto"/>
                    <w:jc w:val="center"/>
                    <w:rPr>
                      <w:rFonts w:ascii="Times New Roman" w:hAnsi="Times New Roman"/>
                      <w:color w:val="000000"/>
                      <w:szCs w:val="21"/>
                    </w:rPr>
                  </w:pPr>
                  <w:r>
                    <w:rPr>
                      <w:rFonts w:ascii="Times New Roman" w:hAnsi="Times New Roman"/>
                      <w:color w:val="000000"/>
                      <w:szCs w:val="21"/>
                    </w:rPr>
                    <w:t>公用工程</w:t>
                  </w:r>
                </w:p>
              </w:tc>
              <w:tc>
                <w:tcPr>
                  <w:tcW w:w="1285" w:type="dxa"/>
                  <w:gridSpan w:val="3"/>
                  <w:shd w:val="clear" w:color="auto" w:fill="auto"/>
                  <w:noWrap w:val="0"/>
                  <w:vAlign w:val="center"/>
                </w:tcPr>
                <w:p w14:paraId="5BA28204">
                  <w:pPr>
                    <w:pStyle w:val="29"/>
                    <w:spacing w:line="240" w:lineRule="auto"/>
                    <w:jc w:val="center"/>
                    <w:rPr>
                      <w:rFonts w:ascii="Times New Roman" w:hAnsi="Times New Roman"/>
                      <w:color w:val="000000"/>
                      <w:szCs w:val="21"/>
                    </w:rPr>
                  </w:pPr>
                  <w:r>
                    <w:rPr>
                      <w:rFonts w:hint="eastAsia" w:ascii="Times New Roman" w:hAnsi="Times New Roman"/>
                      <w:color w:val="000000"/>
                      <w:szCs w:val="21"/>
                    </w:rPr>
                    <w:t>供电</w:t>
                  </w:r>
                  <w:r>
                    <w:rPr>
                      <w:rFonts w:ascii="Times New Roman" w:hAnsi="Times New Roman"/>
                      <w:color w:val="000000"/>
                      <w:szCs w:val="21"/>
                    </w:rPr>
                    <w:t>系统</w:t>
                  </w:r>
                </w:p>
              </w:tc>
              <w:tc>
                <w:tcPr>
                  <w:tcW w:w="5315" w:type="dxa"/>
                  <w:shd w:val="clear" w:color="auto" w:fill="auto"/>
                  <w:noWrap w:val="0"/>
                  <w:vAlign w:val="center"/>
                </w:tcPr>
                <w:p w14:paraId="674EFFA0">
                  <w:pPr>
                    <w:pStyle w:val="7"/>
                    <w:wordWrap w:val="0"/>
                    <w:snapToGrid/>
                    <w:spacing w:before="0" w:after="0" w:line="240" w:lineRule="auto"/>
                    <w:ind w:right="0"/>
                    <w:jc w:val="center"/>
                    <w:rPr>
                      <w:rFonts w:hint="eastAsia"/>
                      <w:color w:val="000000"/>
                      <w:sz w:val="21"/>
                      <w:szCs w:val="21"/>
                    </w:rPr>
                  </w:pPr>
                  <w:r>
                    <w:rPr>
                      <w:bCs/>
                      <w:color w:val="000000"/>
                      <w:sz w:val="21"/>
                      <w:szCs w:val="21"/>
                    </w:rPr>
                    <w:t>由</w:t>
                  </w:r>
                  <w:r>
                    <w:rPr>
                      <w:rFonts w:hint="eastAsia"/>
                      <w:bCs/>
                      <w:color w:val="000000"/>
                      <w:sz w:val="21"/>
                      <w:szCs w:val="21"/>
                    </w:rPr>
                    <w:t>当地电网</w:t>
                  </w:r>
                  <w:r>
                    <w:rPr>
                      <w:bCs/>
                      <w:color w:val="000000"/>
                      <w:sz w:val="21"/>
                      <w:szCs w:val="21"/>
                    </w:rPr>
                    <w:t>进行供电</w:t>
                  </w:r>
                  <w:r>
                    <w:rPr>
                      <w:rFonts w:hint="eastAsia"/>
                      <w:bCs/>
                      <w:color w:val="000000"/>
                      <w:sz w:val="21"/>
                      <w:szCs w:val="21"/>
                    </w:rPr>
                    <w:t>。</w:t>
                  </w:r>
                </w:p>
              </w:tc>
              <w:tc>
                <w:tcPr>
                  <w:tcW w:w="692" w:type="dxa"/>
                  <w:shd w:val="clear" w:color="auto" w:fill="auto"/>
                  <w:noWrap w:val="0"/>
                  <w:vAlign w:val="center"/>
                </w:tcPr>
                <w:p w14:paraId="72375513">
                  <w:pPr>
                    <w:autoSpaceDE w:val="0"/>
                    <w:autoSpaceDN w:val="0"/>
                    <w:adjustRightInd w:val="0"/>
                    <w:snapToGrid w:val="0"/>
                    <w:jc w:val="center"/>
                    <w:textAlignment w:val="bottom"/>
                    <w:rPr>
                      <w:color w:val="000000"/>
                      <w:szCs w:val="21"/>
                    </w:rPr>
                  </w:pPr>
                  <w:r>
                    <w:rPr>
                      <w:rFonts w:hint="eastAsia"/>
                      <w:color w:val="000000"/>
                      <w:szCs w:val="21"/>
                    </w:rPr>
                    <w:t>已建</w:t>
                  </w:r>
                </w:p>
              </w:tc>
            </w:tr>
            <w:tr w14:paraId="6C8C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7D5E54EF">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20664881">
                  <w:pPr>
                    <w:pStyle w:val="29"/>
                    <w:spacing w:line="240" w:lineRule="auto"/>
                    <w:jc w:val="center"/>
                    <w:rPr>
                      <w:rFonts w:ascii="Times New Roman" w:hAnsi="Times New Roman"/>
                      <w:color w:val="000000"/>
                      <w:szCs w:val="21"/>
                    </w:rPr>
                  </w:pPr>
                  <w:r>
                    <w:rPr>
                      <w:rFonts w:hint="eastAsia" w:ascii="Times New Roman" w:hAnsi="Times New Roman"/>
                      <w:color w:val="000000"/>
                      <w:szCs w:val="21"/>
                    </w:rPr>
                    <w:t>供水系统</w:t>
                  </w:r>
                </w:p>
              </w:tc>
              <w:tc>
                <w:tcPr>
                  <w:tcW w:w="5315" w:type="dxa"/>
                  <w:shd w:val="clear" w:color="auto" w:fill="auto"/>
                  <w:noWrap w:val="0"/>
                  <w:vAlign w:val="center"/>
                </w:tcPr>
                <w:p w14:paraId="68A405C8">
                  <w:pPr>
                    <w:pStyle w:val="7"/>
                    <w:wordWrap w:val="0"/>
                    <w:snapToGrid/>
                    <w:spacing w:before="0" w:after="0" w:line="240" w:lineRule="auto"/>
                    <w:ind w:right="0"/>
                    <w:jc w:val="center"/>
                    <w:rPr>
                      <w:color w:val="000000"/>
                      <w:sz w:val="21"/>
                      <w:szCs w:val="21"/>
                    </w:rPr>
                  </w:pPr>
                  <w:r>
                    <w:rPr>
                      <w:rFonts w:hint="eastAsia"/>
                      <w:bCs/>
                      <w:color w:val="000000"/>
                      <w:sz w:val="21"/>
                      <w:szCs w:val="21"/>
                    </w:rPr>
                    <w:t>项目生活用水和生产用水依托当地自来水供水管网。</w:t>
                  </w:r>
                </w:p>
              </w:tc>
              <w:tc>
                <w:tcPr>
                  <w:tcW w:w="692" w:type="dxa"/>
                  <w:shd w:val="clear" w:color="auto" w:fill="auto"/>
                  <w:noWrap w:val="0"/>
                  <w:vAlign w:val="center"/>
                </w:tcPr>
                <w:p w14:paraId="6B2772B0">
                  <w:pPr>
                    <w:autoSpaceDE w:val="0"/>
                    <w:autoSpaceDN w:val="0"/>
                    <w:adjustRightInd w:val="0"/>
                    <w:snapToGrid w:val="0"/>
                    <w:jc w:val="center"/>
                    <w:textAlignment w:val="bottom"/>
                    <w:rPr>
                      <w:color w:val="000000"/>
                      <w:szCs w:val="21"/>
                    </w:rPr>
                  </w:pPr>
                  <w:r>
                    <w:rPr>
                      <w:rFonts w:hint="eastAsia"/>
                      <w:color w:val="000000"/>
                      <w:szCs w:val="21"/>
                    </w:rPr>
                    <w:t>已建</w:t>
                  </w:r>
                </w:p>
              </w:tc>
            </w:tr>
            <w:tr w14:paraId="25F5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52894518">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7A59F739">
                  <w:pPr>
                    <w:pStyle w:val="29"/>
                    <w:spacing w:line="240" w:lineRule="auto"/>
                    <w:jc w:val="center"/>
                    <w:rPr>
                      <w:rFonts w:ascii="Times New Roman" w:hAnsi="Times New Roman"/>
                      <w:color w:val="000000"/>
                      <w:szCs w:val="21"/>
                    </w:rPr>
                  </w:pPr>
                  <w:r>
                    <w:rPr>
                      <w:rFonts w:ascii="Times New Roman" w:hAnsi="Times New Roman"/>
                      <w:color w:val="000000"/>
                      <w:szCs w:val="21"/>
                    </w:rPr>
                    <w:t>排水系统</w:t>
                  </w:r>
                </w:p>
              </w:tc>
              <w:tc>
                <w:tcPr>
                  <w:tcW w:w="5315" w:type="dxa"/>
                  <w:shd w:val="clear" w:color="auto" w:fill="auto"/>
                  <w:noWrap w:val="0"/>
                  <w:vAlign w:val="center"/>
                </w:tcPr>
                <w:p w14:paraId="71E040F1">
                  <w:pPr>
                    <w:pStyle w:val="29"/>
                    <w:spacing w:line="240" w:lineRule="auto"/>
                    <w:jc w:val="center"/>
                    <w:rPr>
                      <w:rFonts w:ascii="Times New Roman" w:hAnsi="Times New Roman"/>
                      <w:color w:val="000000"/>
                      <w:szCs w:val="21"/>
                    </w:rPr>
                  </w:pPr>
                  <w:r>
                    <w:rPr>
                      <w:rFonts w:hint="eastAsia" w:ascii="Times New Roman" w:hAnsi="Times New Roman"/>
                      <w:color w:val="000000"/>
                      <w:szCs w:val="21"/>
                    </w:rPr>
                    <w:t>项目区采用雨污分流，雨水经项目区雨水沟排至厂外的雨水沟。办公生活区食堂废水经隔油池预处理后连同其余办公生活污水一起排入化粪池，定期清掏用于施肥。</w:t>
                  </w:r>
                </w:p>
              </w:tc>
              <w:tc>
                <w:tcPr>
                  <w:tcW w:w="692" w:type="dxa"/>
                  <w:shd w:val="clear" w:color="auto" w:fill="auto"/>
                  <w:noWrap w:val="0"/>
                  <w:vAlign w:val="center"/>
                </w:tcPr>
                <w:p w14:paraId="3688F218">
                  <w:pPr>
                    <w:autoSpaceDE w:val="0"/>
                    <w:autoSpaceDN w:val="0"/>
                    <w:adjustRightInd w:val="0"/>
                    <w:snapToGrid w:val="0"/>
                    <w:jc w:val="center"/>
                    <w:textAlignment w:val="bottom"/>
                    <w:rPr>
                      <w:color w:val="000000"/>
                      <w:szCs w:val="21"/>
                    </w:rPr>
                  </w:pPr>
                  <w:r>
                    <w:rPr>
                      <w:rFonts w:hint="eastAsia"/>
                      <w:color w:val="000000"/>
                      <w:szCs w:val="21"/>
                    </w:rPr>
                    <w:t>已建</w:t>
                  </w:r>
                </w:p>
              </w:tc>
            </w:tr>
            <w:tr w14:paraId="6C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restart"/>
                  <w:shd w:val="clear" w:color="auto" w:fill="auto"/>
                  <w:noWrap w:val="0"/>
                  <w:vAlign w:val="center"/>
                </w:tcPr>
                <w:p w14:paraId="0D6658D5">
                  <w:pPr>
                    <w:pStyle w:val="29"/>
                    <w:spacing w:line="240" w:lineRule="auto"/>
                    <w:jc w:val="center"/>
                    <w:rPr>
                      <w:rFonts w:ascii="Times New Roman" w:hAnsi="Times New Roman"/>
                      <w:color w:val="000000"/>
                      <w:szCs w:val="21"/>
                    </w:rPr>
                  </w:pPr>
                  <w:r>
                    <w:rPr>
                      <w:rFonts w:ascii="Times New Roman" w:hAnsi="Times New Roman"/>
                      <w:color w:val="000000"/>
                      <w:szCs w:val="21"/>
                    </w:rPr>
                    <w:t>环保工程</w:t>
                  </w:r>
                </w:p>
              </w:tc>
              <w:tc>
                <w:tcPr>
                  <w:tcW w:w="1285" w:type="dxa"/>
                  <w:gridSpan w:val="3"/>
                  <w:shd w:val="clear" w:color="auto" w:fill="auto"/>
                  <w:noWrap w:val="0"/>
                  <w:vAlign w:val="center"/>
                </w:tcPr>
                <w:p w14:paraId="269AAECB">
                  <w:pPr>
                    <w:pStyle w:val="29"/>
                    <w:spacing w:line="240" w:lineRule="auto"/>
                    <w:jc w:val="center"/>
                    <w:rPr>
                      <w:rFonts w:ascii="Times New Roman" w:hAnsi="Times New Roman"/>
                      <w:color w:val="000000"/>
                      <w:szCs w:val="21"/>
                    </w:rPr>
                  </w:pPr>
                  <w:r>
                    <w:rPr>
                      <w:rFonts w:ascii="Times New Roman" w:hAnsi="Times New Roman"/>
                      <w:color w:val="000000"/>
                      <w:szCs w:val="21"/>
                    </w:rPr>
                    <w:t>废气处理</w:t>
                  </w:r>
                </w:p>
              </w:tc>
              <w:tc>
                <w:tcPr>
                  <w:tcW w:w="5315" w:type="dxa"/>
                  <w:shd w:val="clear" w:color="auto" w:fill="auto"/>
                  <w:noWrap w:val="0"/>
                  <w:vAlign w:val="center"/>
                </w:tcPr>
                <w:p w14:paraId="3AE834E4">
                  <w:pPr>
                    <w:pStyle w:val="29"/>
                    <w:spacing w:line="240" w:lineRule="auto"/>
                    <w:jc w:val="center"/>
                    <w:rPr>
                      <w:rFonts w:ascii="Times New Roman" w:hAnsi="Times New Roman"/>
                      <w:color w:val="000000"/>
                      <w:szCs w:val="21"/>
                    </w:rPr>
                  </w:pPr>
                  <w:r>
                    <w:rPr>
                      <w:rFonts w:hint="eastAsia" w:ascii="Times New Roman" w:hAnsi="Times New Roman"/>
                      <w:bCs/>
                      <w:color w:val="000000"/>
                      <w:szCs w:val="21"/>
                    </w:rPr>
                    <w:t>项目除湿间产生的甲醇废气经“三级活性炭吸附系统+15m排气筒”处理后达标排放。</w:t>
                  </w:r>
                </w:p>
              </w:tc>
              <w:tc>
                <w:tcPr>
                  <w:tcW w:w="692" w:type="dxa"/>
                  <w:vMerge w:val="restart"/>
                  <w:shd w:val="clear" w:color="auto" w:fill="auto"/>
                  <w:noWrap w:val="0"/>
                  <w:vAlign w:val="center"/>
                </w:tcPr>
                <w:p w14:paraId="1BBFEDA3">
                  <w:pPr>
                    <w:autoSpaceDE w:val="0"/>
                    <w:autoSpaceDN w:val="0"/>
                    <w:adjustRightInd w:val="0"/>
                    <w:snapToGrid w:val="0"/>
                    <w:jc w:val="center"/>
                    <w:textAlignment w:val="bottom"/>
                    <w:rPr>
                      <w:color w:val="000000"/>
                      <w:szCs w:val="21"/>
                    </w:rPr>
                  </w:pPr>
                  <w:r>
                    <w:rPr>
                      <w:rFonts w:hint="eastAsia"/>
                      <w:color w:val="000000"/>
                      <w:szCs w:val="21"/>
                    </w:rPr>
                    <w:t>环评提出，未建</w:t>
                  </w:r>
                </w:p>
              </w:tc>
            </w:tr>
            <w:tr w14:paraId="4D48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53" w:type="dxa"/>
                  <w:vMerge w:val="continue"/>
                  <w:shd w:val="clear" w:color="auto" w:fill="auto"/>
                  <w:noWrap w:val="0"/>
                  <w:vAlign w:val="center"/>
                </w:tcPr>
                <w:p w14:paraId="257D72F5">
                  <w:pPr>
                    <w:pStyle w:val="29"/>
                    <w:spacing w:line="240" w:lineRule="auto"/>
                    <w:jc w:val="center"/>
                    <w:rPr>
                      <w:rFonts w:ascii="Times New Roman" w:hAnsi="Times New Roman"/>
                      <w:color w:val="000000"/>
                      <w:szCs w:val="21"/>
                    </w:rPr>
                  </w:pPr>
                </w:p>
              </w:tc>
              <w:tc>
                <w:tcPr>
                  <w:tcW w:w="439" w:type="dxa"/>
                  <w:vMerge w:val="restart"/>
                  <w:shd w:val="clear" w:color="auto" w:fill="auto"/>
                  <w:noWrap w:val="0"/>
                  <w:vAlign w:val="center"/>
                </w:tcPr>
                <w:p w14:paraId="42E97876">
                  <w:pPr>
                    <w:pStyle w:val="29"/>
                    <w:spacing w:line="240" w:lineRule="auto"/>
                    <w:jc w:val="center"/>
                    <w:rPr>
                      <w:rFonts w:ascii="Times New Roman" w:hAnsi="Times New Roman"/>
                      <w:color w:val="000000"/>
                      <w:szCs w:val="21"/>
                    </w:rPr>
                  </w:pPr>
                  <w:r>
                    <w:rPr>
                      <w:rFonts w:ascii="Times New Roman" w:hAnsi="Times New Roman"/>
                      <w:color w:val="000000"/>
                      <w:szCs w:val="21"/>
                    </w:rPr>
                    <w:t>废水处理</w:t>
                  </w:r>
                </w:p>
              </w:tc>
              <w:tc>
                <w:tcPr>
                  <w:tcW w:w="846" w:type="dxa"/>
                  <w:gridSpan w:val="2"/>
                  <w:shd w:val="clear" w:color="auto" w:fill="auto"/>
                  <w:noWrap w:val="0"/>
                  <w:vAlign w:val="center"/>
                </w:tcPr>
                <w:p w14:paraId="65AFE2CD">
                  <w:pPr>
                    <w:pStyle w:val="7"/>
                    <w:wordWrap w:val="0"/>
                    <w:snapToGrid/>
                    <w:spacing w:before="0" w:after="0" w:line="240" w:lineRule="auto"/>
                    <w:ind w:right="0"/>
                    <w:jc w:val="center"/>
                    <w:rPr>
                      <w:color w:val="000000"/>
                      <w:sz w:val="21"/>
                      <w:szCs w:val="21"/>
                    </w:rPr>
                  </w:pPr>
                  <w:r>
                    <w:rPr>
                      <w:bCs/>
                      <w:color w:val="000000"/>
                      <w:sz w:val="21"/>
                      <w:szCs w:val="21"/>
                    </w:rPr>
                    <w:t>隔油池</w:t>
                  </w:r>
                </w:p>
              </w:tc>
              <w:tc>
                <w:tcPr>
                  <w:tcW w:w="5315" w:type="dxa"/>
                  <w:shd w:val="clear" w:color="auto" w:fill="auto"/>
                  <w:noWrap w:val="0"/>
                  <w:vAlign w:val="center"/>
                </w:tcPr>
                <w:p w14:paraId="3F9E6E73">
                  <w:pPr>
                    <w:pStyle w:val="7"/>
                    <w:wordWrap w:val="0"/>
                    <w:snapToGrid/>
                    <w:spacing w:before="0" w:after="0" w:line="240" w:lineRule="auto"/>
                    <w:ind w:right="0"/>
                    <w:jc w:val="center"/>
                    <w:rPr>
                      <w:rFonts w:hint="eastAsia"/>
                      <w:color w:val="000000"/>
                      <w:sz w:val="21"/>
                      <w:szCs w:val="21"/>
                    </w:rPr>
                  </w:pPr>
                  <w:r>
                    <w:rPr>
                      <w:rFonts w:hint="eastAsia"/>
                      <w:bCs/>
                      <w:color w:val="000000"/>
                      <w:sz w:val="21"/>
                      <w:szCs w:val="21"/>
                    </w:rPr>
                    <w:t>设置</w:t>
                  </w:r>
                  <w:r>
                    <w:rPr>
                      <w:bCs/>
                      <w:color w:val="000000"/>
                      <w:sz w:val="21"/>
                      <w:szCs w:val="21"/>
                    </w:rPr>
                    <w:t>一座</w:t>
                  </w:r>
                  <w:r>
                    <w:rPr>
                      <w:rFonts w:hint="eastAsia"/>
                      <w:bCs/>
                      <w:color w:val="000000"/>
                      <w:sz w:val="21"/>
                      <w:szCs w:val="21"/>
                    </w:rPr>
                    <w:t>0.5</w:t>
                  </w:r>
                  <w:r>
                    <w:rPr>
                      <w:bCs/>
                      <w:color w:val="000000"/>
                      <w:sz w:val="21"/>
                      <w:szCs w:val="21"/>
                    </w:rPr>
                    <w:t>m</w:t>
                  </w:r>
                  <w:r>
                    <w:rPr>
                      <w:bCs/>
                      <w:color w:val="000000"/>
                      <w:sz w:val="21"/>
                      <w:szCs w:val="21"/>
                      <w:vertAlign w:val="superscript"/>
                    </w:rPr>
                    <w:t>3</w:t>
                  </w:r>
                  <w:r>
                    <w:rPr>
                      <w:bCs/>
                      <w:color w:val="000000"/>
                      <w:sz w:val="21"/>
                      <w:szCs w:val="21"/>
                    </w:rPr>
                    <w:t>隔油池，位于食堂</w:t>
                  </w:r>
                  <w:r>
                    <w:rPr>
                      <w:rFonts w:hint="eastAsia"/>
                      <w:bCs/>
                      <w:color w:val="000000"/>
                      <w:sz w:val="21"/>
                      <w:szCs w:val="21"/>
                    </w:rPr>
                    <w:t>内。</w:t>
                  </w:r>
                </w:p>
              </w:tc>
              <w:tc>
                <w:tcPr>
                  <w:tcW w:w="692" w:type="dxa"/>
                  <w:vMerge w:val="continue"/>
                  <w:shd w:val="clear" w:color="auto" w:fill="auto"/>
                  <w:noWrap w:val="0"/>
                  <w:vAlign w:val="center"/>
                </w:tcPr>
                <w:p w14:paraId="6E1FCD78">
                  <w:pPr>
                    <w:autoSpaceDE w:val="0"/>
                    <w:autoSpaceDN w:val="0"/>
                    <w:adjustRightInd w:val="0"/>
                    <w:snapToGrid w:val="0"/>
                    <w:jc w:val="center"/>
                    <w:textAlignment w:val="bottom"/>
                    <w:rPr>
                      <w:color w:val="000000"/>
                      <w:szCs w:val="21"/>
                    </w:rPr>
                  </w:pPr>
                </w:p>
              </w:tc>
            </w:tr>
            <w:tr w14:paraId="1DF7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53" w:type="dxa"/>
                  <w:vMerge w:val="continue"/>
                  <w:shd w:val="clear" w:color="auto" w:fill="auto"/>
                  <w:noWrap w:val="0"/>
                  <w:vAlign w:val="center"/>
                </w:tcPr>
                <w:p w14:paraId="4DA5199A">
                  <w:pPr>
                    <w:pStyle w:val="29"/>
                    <w:spacing w:line="240" w:lineRule="auto"/>
                    <w:jc w:val="center"/>
                    <w:rPr>
                      <w:color w:val="000000"/>
                    </w:rPr>
                  </w:pPr>
                </w:p>
              </w:tc>
              <w:tc>
                <w:tcPr>
                  <w:tcW w:w="439" w:type="dxa"/>
                  <w:vMerge w:val="continue"/>
                  <w:shd w:val="clear" w:color="auto" w:fill="auto"/>
                  <w:noWrap w:val="0"/>
                  <w:vAlign w:val="center"/>
                </w:tcPr>
                <w:p w14:paraId="1E84A138">
                  <w:pPr>
                    <w:pStyle w:val="29"/>
                    <w:spacing w:line="240" w:lineRule="auto"/>
                    <w:jc w:val="center"/>
                    <w:rPr>
                      <w:color w:val="000000"/>
                    </w:rPr>
                  </w:pPr>
                </w:p>
              </w:tc>
              <w:tc>
                <w:tcPr>
                  <w:tcW w:w="846" w:type="dxa"/>
                  <w:gridSpan w:val="2"/>
                  <w:shd w:val="clear" w:color="auto" w:fill="auto"/>
                  <w:noWrap w:val="0"/>
                  <w:vAlign w:val="center"/>
                </w:tcPr>
                <w:p w14:paraId="022C1A1E">
                  <w:pPr>
                    <w:pStyle w:val="7"/>
                    <w:wordWrap w:val="0"/>
                    <w:snapToGrid/>
                    <w:spacing w:before="0" w:after="0" w:line="240" w:lineRule="auto"/>
                    <w:ind w:right="0"/>
                    <w:jc w:val="center"/>
                    <w:rPr>
                      <w:color w:val="000000"/>
                      <w:sz w:val="21"/>
                      <w:szCs w:val="21"/>
                    </w:rPr>
                  </w:pPr>
                  <w:r>
                    <w:rPr>
                      <w:bCs/>
                      <w:color w:val="000000"/>
                      <w:sz w:val="21"/>
                      <w:szCs w:val="21"/>
                    </w:rPr>
                    <w:t>化粪池</w:t>
                  </w:r>
                </w:p>
              </w:tc>
              <w:tc>
                <w:tcPr>
                  <w:tcW w:w="5315" w:type="dxa"/>
                  <w:shd w:val="clear" w:color="auto" w:fill="auto"/>
                  <w:noWrap w:val="0"/>
                  <w:vAlign w:val="center"/>
                </w:tcPr>
                <w:p w14:paraId="657C1252">
                  <w:pPr>
                    <w:pStyle w:val="7"/>
                    <w:wordWrap w:val="0"/>
                    <w:snapToGrid/>
                    <w:spacing w:before="0" w:after="0" w:line="240" w:lineRule="auto"/>
                    <w:ind w:right="0"/>
                    <w:jc w:val="center"/>
                    <w:rPr>
                      <w:rFonts w:hint="eastAsia"/>
                      <w:color w:val="000000"/>
                      <w:sz w:val="21"/>
                      <w:szCs w:val="21"/>
                    </w:rPr>
                  </w:pPr>
                  <w:r>
                    <w:rPr>
                      <w:rFonts w:hint="eastAsia"/>
                      <w:bCs/>
                      <w:color w:val="000000"/>
                      <w:sz w:val="21"/>
                      <w:szCs w:val="21"/>
                    </w:rPr>
                    <w:t>设置1</w:t>
                  </w:r>
                  <w:r>
                    <w:rPr>
                      <w:bCs/>
                      <w:color w:val="000000"/>
                      <w:sz w:val="21"/>
                      <w:szCs w:val="21"/>
                    </w:rPr>
                    <w:t>座2</w:t>
                  </w:r>
                  <w:r>
                    <w:rPr>
                      <w:rFonts w:hint="eastAsia"/>
                      <w:bCs/>
                      <w:color w:val="000000"/>
                      <w:sz w:val="21"/>
                      <w:szCs w:val="21"/>
                    </w:rPr>
                    <w:t>0</w:t>
                  </w:r>
                  <w:r>
                    <w:rPr>
                      <w:bCs/>
                      <w:color w:val="000000"/>
                      <w:sz w:val="21"/>
                      <w:szCs w:val="21"/>
                    </w:rPr>
                    <w:t>m</w:t>
                  </w:r>
                  <w:r>
                    <w:rPr>
                      <w:bCs/>
                      <w:color w:val="000000"/>
                      <w:sz w:val="21"/>
                      <w:szCs w:val="21"/>
                      <w:vertAlign w:val="superscript"/>
                    </w:rPr>
                    <w:t>3</w:t>
                  </w:r>
                  <w:r>
                    <w:rPr>
                      <w:bCs/>
                      <w:color w:val="000000"/>
                      <w:sz w:val="21"/>
                      <w:szCs w:val="21"/>
                    </w:rPr>
                    <w:t>化粪池，位于</w:t>
                  </w:r>
                  <w:r>
                    <w:rPr>
                      <w:rFonts w:hint="eastAsia"/>
                      <w:bCs/>
                      <w:color w:val="000000"/>
                      <w:sz w:val="21"/>
                      <w:szCs w:val="21"/>
                    </w:rPr>
                    <w:t>项目区北侧。</w:t>
                  </w:r>
                </w:p>
              </w:tc>
              <w:tc>
                <w:tcPr>
                  <w:tcW w:w="692" w:type="dxa"/>
                  <w:shd w:val="clear" w:color="auto" w:fill="auto"/>
                  <w:noWrap w:val="0"/>
                  <w:vAlign w:val="center"/>
                </w:tcPr>
                <w:p w14:paraId="4CEC89BF">
                  <w:pPr>
                    <w:pStyle w:val="29"/>
                    <w:spacing w:line="240" w:lineRule="auto"/>
                    <w:jc w:val="center"/>
                    <w:rPr>
                      <w:rFonts w:ascii="Times New Roman" w:hAnsi="Times New Roman"/>
                      <w:color w:val="000000"/>
                      <w:szCs w:val="21"/>
                    </w:rPr>
                  </w:pPr>
                  <w:r>
                    <w:rPr>
                      <w:rFonts w:hint="eastAsia" w:ascii="Times New Roman" w:hAnsi="Times New Roman"/>
                      <w:color w:val="000000"/>
                      <w:szCs w:val="21"/>
                    </w:rPr>
                    <w:t>已建</w:t>
                  </w:r>
                </w:p>
              </w:tc>
            </w:tr>
            <w:tr w14:paraId="4924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Merge w:val="continue"/>
                  <w:shd w:val="clear" w:color="auto" w:fill="auto"/>
                  <w:noWrap w:val="0"/>
                  <w:vAlign w:val="center"/>
                </w:tcPr>
                <w:p w14:paraId="21F5D3DD">
                  <w:pPr>
                    <w:pStyle w:val="29"/>
                    <w:spacing w:line="240" w:lineRule="auto"/>
                    <w:jc w:val="center"/>
                    <w:rPr>
                      <w:rFonts w:ascii="Times New Roman" w:hAnsi="Times New Roman"/>
                      <w:color w:val="000000"/>
                      <w:szCs w:val="21"/>
                    </w:rPr>
                  </w:pPr>
                </w:p>
              </w:tc>
              <w:tc>
                <w:tcPr>
                  <w:tcW w:w="1285" w:type="dxa"/>
                  <w:gridSpan w:val="3"/>
                  <w:shd w:val="clear" w:color="auto" w:fill="auto"/>
                  <w:noWrap w:val="0"/>
                  <w:vAlign w:val="center"/>
                </w:tcPr>
                <w:p w14:paraId="7F3DF382">
                  <w:pPr>
                    <w:pStyle w:val="29"/>
                    <w:spacing w:line="240" w:lineRule="auto"/>
                    <w:jc w:val="center"/>
                    <w:rPr>
                      <w:rFonts w:ascii="Times New Roman" w:hAnsi="Times New Roman"/>
                      <w:color w:val="000000"/>
                      <w:szCs w:val="21"/>
                    </w:rPr>
                  </w:pPr>
                  <w:r>
                    <w:rPr>
                      <w:rFonts w:ascii="Times New Roman" w:hAnsi="Times New Roman"/>
                      <w:color w:val="000000"/>
                      <w:szCs w:val="21"/>
                    </w:rPr>
                    <w:t>噪声治理</w:t>
                  </w:r>
                </w:p>
              </w:tc>
              <w:tc>
                <w:tcPr>
                  <w:tcW w:w="5315" w:type="dxa"/>
                  <w:shd w:val="clear" w:color="auto" w:fill="auto"/>
                  <w:noWrap w:val="0"/>
                  <w:vAlign w:val="center"/>
                </w:tcPr>
                <w:p w14:paraId="7CEBEF1A">
                  <w:pPr>
                    <w:pStyle w:val="29"/>
                    <w:spacing w:line="240" w:lineRule="auto"/>
                    <w:jc w:val="center"/>
                    <w:rPr>
                      <w:rFonts w:ascii="Times New Roman" w:hAnsi="Times New Roman"/>
                      <w:color w:val="000000"/>
                      <w:szCs w:val="21"/>
                    </w:rPr>
                  </w:pPr>
                  <w:r>
                    <w:rPr>
                      <w:rFonts w:ascii="Times New Roman" w:hAnsi="Times New Roman"/>
                      <w:color w:val="000000"/>
                      <w:szCs w:val="21"/>
                    </w:rPr>
                    <w:t>墙体隔声、距离衰减、厂内绿化等</w:t>
                  </w:r>
                </w:p>
              </w:tc>
              <w:tc>
                <w:tcPr>
                  <w:tcW w:w="692" w:type="dxa"/>
                  <w:shd w:val="clear" w:color="auto" w:fill="auto"/>
                  <w:noWrap w:val="0"/>
                  <w:vAlign w:val="center"/>
                </w:tcPr>
                <w:p w14:paraId="37985852">
                  <w:pPr>
                    <w:pStyle w:val="29"/>
                    <w:spacing w:line="240" w:lineRule="auto"/>
                    <w:jc w:val="center"/>
                    <w:rPr>
                      <w:rFonts w:ascii="Times New Roman" w:hAnsi="Times New Roman"/>
                      <w:color w:val="000000"/>
                      <w:szCs w:val="21"/>
                    </w:rPr>
                  </w:pPr>
                  <w:r>
                    <w:rPr>
                      <w:rFonts w:hint="eastAsia" w:ascii="Times New Roman" w:hAnsi="Times New Roman"/>
                      <w:color w:val="000000"/>
                      <w:szCs w:val="21"/>
                    </w:rPr>
                    <w:t>已建</w:t>
                  </w:r>
                </w:p>
              </w:tc>
            </w:tr>
            <w:tr w14:paraId="750D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53" w:type="dxa"/>
                  <w:vMerge w:val="continue"/>
                  <w:shd w:val="clear" w:color="auto" w:fill="auto"/>
                  <w:noWrap w:val="0"/>
                  <w:vAlign w:val="center"/>
                </w:tcPr>
                <w:p w14:paraId="2462AAD6">
                  <w:pPr>
                    <w:pStyle w:val="29"/>
                    <w:spacing w:line="240" w:lineRule="auto"/>
                    <w:jc w:val="center"/>
                    <w:rPr>
                      <w:rFonts w:ascii="Times New Roman" w:hAnsi="Times New Roman"/>
                      <w:color w:val="000000"/>
                      <w:szCs w:val="21"/>
                    </w:rPr>
                  </w:pPr>
                </w:p>
              </w:tc>
              <w:tc>
                <w:tcPr>
                  <w:tcW w:w="471" w:type="dxa"/>
                  <w:gridSpan w:val="2"/>
                  <w:vMerge w:val="restart"/>
                  <w:shd w:val="clear" w:color="auto" w:fill="auto"/>
                  <w:noWrap w:val="0"/>
                  <w:vAlign w:val="center"/>
                </w:tcPr>
                <w:p w14:paraId="617564E1">
                  <w:pPr>
                    <w:pStyle w:val="29"/>
                    <w:spacing w:line="240" w:lineRule="auto"/>
                    <w:jc w:val="center"/>
                    <w:rPr>
                      <w:rFonts w:ascii="Times New Roman" w:hAnsi="Times New Roman"/>
                      <w:color w:val="000000"/>
                      <w:szCs w:val="21"/>
                    </w:rPr>
                  </w:pPr>
                  <w:r>
                    <w:rPr>
                      <w:rFonts w:ascii="Times New Roman" w:hAnsi="Times New Roman"/>
                      <w:color w:val="000000"/>
                      <w:szCs w:val="21"/>
                    </w:rPr>
                    <w:t>固废处理</w:t>
                  </w:r>
                </w:p>
              </w:tc>
              <w:tc>
                <w:tcPr>
                  <w:tcW w:w="814" w:type="dxa"/>
                  <w:shd w:val="clear" w:color="auto" w:fill="auto"/>
                  <w:noWrap w:val="0"/>
                  <w:vAlign w:val="center"/>
                </w:tcPr>
                <w:p w14:paraId="54926F25">
                  <w:pPr>
                    <w:pStyle w:val="7"/>
                    <w:wordWrap w:val="0"/>
                    <w:snapToGrid/>
                    <w:spacing w:before="0" w:after="0" w:line="240" w:lineRule="auto"/>
                    <w:ind w:right="0"/>
                    <w:jc w:val="center"/>
                    <w:rPr>
                      <w:color w:val="000000"/>
                      <w:sz w:val="21"/>
                      <w:szCs w:val="21"/>
                    </w:rPr>
                  </w:pPr>
                  <w:r>
                    <w:rPr>
                      <w:bCs/>
                      <w:color w:val="000000"/>
                      <w:sz w:val="21"/>
                      <w:szCs w:val="21"/>
                    </w:rPr>
                    <w:t>危废暂存间</w:t>
                  </w:r>
                </w:p>
              </w:tc>
              <w:tc>
                <w:tcPr>
                  <w:tcW w:w="5315" w:type="dxa"/>
                  <w:shd w:val="clear" w:color="auto" w:fill="auto"/>
                  <w:noWrap w:val="0"/>
                  <w:vAlign w:val="center"/>
                </w:tcPr>
                <w:p w14:paraId="6C956879">
                  <w:pPr>
                    <w:pStyle w:val="7"/>
                    <w:wordWrap w:val="0"/>
                    <w:snapToGrid/>
                    <w:spacing w:before="0" w:after="0" w:line="240" w:lineRule="auto"/>
                    <w:ind w:right="0"/>
                    <w:jc w:val="center"/>
                    <w:rPr>
                      <w:rFonts w:hint="eastAsia"/>
                      <w:color w:val="000000"/>
                      <w:sz w:val="21"/>
                      <w:szCs w:val="21"/>
                    </w:rPr>
                  </w:pPr>
                  <w:r>
                    <w:rPr>
                      <w:bCs/>
                      <w:color w:val="000000"/>
                      <w:sz w:val="21"/>
                      <w:szCs w:val="21"/>
                    </w:rPr>
                    <w:t>5m</w:t>
                  </w:r>
                  <w:r>
                    <w:rPr>
                      <w:bCs/>
                      <w:color w:val="000000"/>
                      <w:sz w:val="21"/>
                      <w:szCs w:val="21"/>
                      <w:vertAlign w:val="superscript"/>
                    </w:rPr>
                    <w:t>2</w:t>
                  </w:r>
                  <w:r>
                    <w:rPr>
                      <w:bCs/>
                      <w:color w:val="000000"/>
                      <w:sz w:val="21"/>
                      <w:szCs w:val="21"/>
                    </w:rPr>
                    <w:t>危废暂存间1间</w:t>
                  </w:r>
                  <w:r>
                    <w:rPr>
                      <w:rFonts w:hint="eastAsia"/>
                      <w:bCs/>
                      <w:color w:val="000000"/>
                      <w:sz w:val="21"/>
                      <w:szCs w:val="21"/>
                    </w:rPr>
                    <w:t>，危废间设置废油收集桶，并设围堰。</w:t>
                  </w:r>
                </w:p>
              </w:tc>
              <w:tc>
                <w:tcPr>
                  <w:tcW w:w="692" w:type="dxa"/>
                  <w:vMerge w:val="restart"/>
                  <w:shd w:val="clear" w:color="auto" w:fill="auto"/>
                  <w:noWrap w:val="0"/>
                  <w:vAlign w:val="center"/>
                </w:tcPr>
                <w:p w14:paraId="16348347">
                  <w:pPr>
                    <w:autoSpaceDE w:val="0"/>
                    <w:autoSpaceDN w:val="0"/>
                    <w:adjustRightInd w:val="0"/>
                    <w:snapToGrid w:val="0"/>
                    <w:jc w:val="center"/>
                    <w:textAlignment w:val="bottom"/>
                    <w:rPr>
                      <w:color w:val="000000"/>
                      <w:szCs w:val="21"/>
                    </w:rPr>
                  </w:pPr>
                  <w:r>
                    <w:rPr>
                      <w:rFonts w:hint="eastAsia"/>
                      <w:color w:val="000000"/>
                      <w:szCs w:val="21"/>
                    </w:rPr>
                    <w:t>环评提出，未建</w:t>
                  </w:r>
                </w:p>
              </w:tc>
            </w:tr>
            <w:tr w14:paraId="5B1F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53" w:type="dxa"/>
                  <w:vMerge w:val="continue"/>
                  <w:shd w:val="clear" w:color="auto" w:fill="auto"/>
                  <w:noWrap w:val="0"/>
                  <w:vAlign w:val="center"/>
                </w:tcPr>
                <w:p w14:paraId="413FE14F">
                  <w:pPr>
                    <w:pStyle w:val="29"/>
                    <w:spacing w:line="240" w:lineRule="auto"/>
                    <w:jc w:val="center"/>
                    <w:rPr>
                      <w:color w:val="000000"/>
                    </w:rPr>
                  </w:pPr>
                </w:p>
              </w:tc>
              <w:tc>
                <w:tcPr>
                  <w:tcW w:w="471" w:type="dxa"/>
                  <w:gridSpan w:val="2"/>
                  <w:vMerge w:val="continue"/>
                  <w:shd w:val="clear" w:color="auto" w:fill="auto"/>
                  <w:noWrap w:val="0"/>
                  <w:vAlign w:val="center"/>
                </w:tcPr>
                <w:p w14:paraId="11484498">
                  <w:pPr>
                    <w:pStyle w:val="29"/>
                    <w:spacing w:line="240" w:lineRule="auto"/>
                    <w:jc w:val="center"/>
                    <w:rPr>
                      <w:rFonts w:ascii="Times New Roman" w:hAnsi="Times New Roman"/>
                      <w:color w:val="000000"/>
                      <w:szCs w:val="21"/>
                    </w:rPr>
                  </w:pPr>
                </w:p>
              </w:tc>
              <w:tc>
                <w:tcPr>
                  <w:tcW w:w="814" w:type="dxa"/>
                  <w:shd w:val="clear" w:color="auto" w:fill="auto"/>
                  <w:noWrap w:val="0"/>
                  <w:vAlign w:val="center"/>
                </w:tcPr>
                <w:p w14:paraId="220735CE">
                  <w:pPr>
                    <w:pStyle w:val="7"/>
                    <w:wordWrap w:val="0"/>
                    <w:snapToGrid/>
                    <w:spacing w:before="0" w:after="0" w:line="240" w:lineRule="auto"/>
                    <w:ind w:right="0"/>
                    <w:jc w:val="center"/>
                    <w:rPr>
                      <w:color w:val="000000"/>
                      <w:sz w:val="21"/>
                      <w:szCs w:val="21"/>
                    </w:rPr>
                  </w:pPr>
                  <w:r>
                    <w:rPr>
                      <w:bCs/>
                      <w:color w:val="000000"/>
                      <w:sz w:val="21"/>
                      <w:szCs w:val="21"/>
                    </w:rPr>
                    <w:t>一般固废暂存间</w:t>
                  </w:r>
                </w:p>
              </w:tc>
              <w:tc>
                <w:tcPr>
                  <w:tcW w:w="5315" w:type="dxa"/>
                  <w:shd w:val="clear" w:color="auto" w:fill="auto"/>
                  <w:noWrap w:val="0"/>
                  <w:vAlign w:val="center"/>
                </w:tcPr>
                <w:p w14:paraId="076BF71C">
                  <w:pPr>
                    <w:pStyle w:val="41"/>
                    <w:spacing w:before="36" w:after="36"/>
                    <w:rPr>
                      <w:rFonts w:hint="eastAsia"/>
                      <w:szCs w:val="21"/>
                    </w:rPr>
                  </w:pPr>
                  <w:r>
                    <w:rPr>
                      <w:rFonts w:hint="eastAsia"/>
                    </w:rPr>
                    <w:t>1间一般固废暂存间，面积为10m</w:t>
                  </w:r>
                  <w:r>
                    <w:rPr>
                      <w:rFonts w:hint="eastAsia"/>
                      <w:vertAlign w:val="superscript"/>
                    </w:rPr>
                    <w:t>2</w:t>
                  </w:r>
                  <w:r>
                    <w:rPr>
                      <w:rFonts w:hint="eastAsia"/>
                    </w:rPr>
                    <w:t>，做到防雨淋、防流失、防渗漏，用于储存废包装袋。</w:t>
                  </w:r>
                </w:p>
              </w:tc>
              <w:tc>
                <w:tcPr>
                  <w:tcW w:w="692" w:type="dxa"/>
                  <w:vMerge w:val="continue"/>
                  <w:shd w:val="clear" w:color="auto" w:fill="auto"/>
                  <w:noWrap w:val="0"/>
                  <w:vAlign w:val="center"/>
                </w:tcPr>
                <w:p w14:paraId="75916C21">
                  <w:pPr>
                    <w:autoSpaceDE w:val="0"/>
                    <w:autoSpaceDN w:val="0"/>
                    <w:adjustRightInd w:val="0"/>
                    <w:snapToGrid w:val="0"/>
                    <w:jc w:val="center"/>
                    <w:textAlignment w:val="bottom"/>
                    <w:rPr>
                      <w:color w:val="000000"/>
                      <w:szCs w:val="21"/>
                    </w:rPr>
                  </w:pPr>
                </w:p>
              </w:tc>
            </w:tr>
            <w:tr w14:paraId="1329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53" w:type="dxa"/>
                  <w:vMerge w:val="continue"/>
                  <w:shd w:val="clear" w:color="auto" w:fill="auto"/>
                  <w:noWrap w:val="0"/>
                  <w:vAlign w:val="center"/>
                </w:tcPr>
                <w:p w14:paraId="60039391">
                  <w:pPr>
                    <w:pStyle w:val="29"/>
                    <w:spacing w:line="240" w:lineRule="auto"/>
                    <w:jc w:val="center"/>
                    <w:rPr>
                      <w:rFonts w:ascii="Times New Roman" w:hAnsi="Times New Roman"/>
                      <w:color w:val="000000"/>
                      <w:szCs w:val="21"/>
                    </w:rPr>
                  </w:pPr>
                </w:p>
              </w:tc>
              <w:tc>
                <w:tcPr>
                  <w:tcW w:w="471" w:type="dxa"/>
                  <w:gridSpan w:val="2"/>
                  <w:vMerge w:val="restart"/>
                  <w:shd w:val="clear" w:color="auto" w:fill="auto"/>
                  <w:noWrap w:val="0"/>
                  <w:vAlign w:val="center"/>
                </w:tcPr>
                <w:p w14:paraId="3C74D6A2">
                  <w:pPr>
                    <w:pStyle w:val="7"/>
                    <w:wordWrap w:val="0"/>
                    <w:snapToGrid/>
                    <w:spacing w:before="0" w:after="0" w:line="240" w:lineRule="auto"/>
                    <w:ind w:right="0"/>
                    <w:jc w:val="center"/>
                    <w:rPr>
                      <w:color w:val="000000"/>
                      <w:sz w:val="21"/>
                      <w:szCs w:val="21"/>
                    </w:rPr>
                  </w:pPr>
                  <w:r>
                    <w:rPr>
                      <w:rFonts w:hint="eastAsia"/>
                      <w:bCs/>
                      <w:color w:val="000000"/>
                      <w:sz w:val="21"/>
                      <w:szCs w:val="21"/>
                    </w:rPr>
                    <w:t>地下水污染防治</w:t>
                  </w:r>
                </w:p>
              </w:tc>
              <w:tc>
                <w:tcPr>
                  <w:tcW w:w="814" w:type="dxa"/>
                  <w:vMerge w:val="restart"/>
                  <w:shd w:val="clear" w:color="auto" w:fill="auto"/>
                  <w:noWrap w:val="0"/>
                  <w:vAlign w:val="center"/>
                </w:tcPr>
                <w:p w14:paraId="2959E35E">
                  <w:pPr>
                    <w:pStyle w:val="7"/>
                    <w:wordWrap w:val="0"/>
                    <w:spacing w:before="0" w:after="0" w:line="240" w:lineRule="auto"/>
                    <w:ind w:right="0"/>
                    <w:jc w:val="center"/>
                    <w:rPr>
                      <w:color w:val="000000"/>
                      <w:sz w:val="21"/>
                      <w:szCs w:val="21"/>
                    </w:rPr>
                  </w:pPr>
                  <w:r>
                    <w:rPr>
                      <w:rFonts w:hint="eastAsia"/>
                      <w:bCs/>
                      <w:color w:val="000000"/>
                      <w:sz w:val="21"/>
                      <w:szCs w:val="21"/>
                    </w:rPr>
                    <w:t>防渗</w:t>
                  </w:r>
                </w:p>
              </w:tc>
              <w:tc>
                <w:tcPr>
                  <w:tcW w:w="5315" w:type="dxa"/>
                  <w:shd w:val="clear" w:color="auto" w:fill="auto"/>
                  <w:noWrap w:val="0"/>
                  <w:vAlign w:val="center"/>
                </w:tcPr>
                <w:p w14:paraId="2BDAB6B9">
                  <w:pPr>
                    <w:pStyle w:val="41"/>
                    <w:rPr>
                      <w:rFonts w:hint="eastAsia"/>
                      <w:szCs w:val="21"/>
                    </w:rPr>
                  </w:pPr>
                  <w:r>
                    <w:t>重点防渗区</w:t>
                  </w:r>
                  <w:r>
                    <w:rPr>
                      <w:rFonts w:hint="eastAsia"/>
                    </w:rPr>
                    <w:t>包括危废暂存间</w:t>
                  </w:r>
                  <w:r>
                    <w:t>，</w:t>
                  </w:r>
                  <w:r>
                    <w:rPr>
                      <w:rFonts w:hint="eastAsia"/>
                    </w:rPr>
                    <w:t>危废暂存间按《危险废物贮存污染控制标准》（GB18597-2001）</w:t>
                  </w:r>
                  <w:r>
                    <w:t>中相关要求规范建设，要求防风、防雨、防晒、防渗漏，并按规定分类别存储危险废物。基础防渗可</w:t>
                  </w:r>
                  <w:r>
                    <w:rPr>
                      <w:rFonts w:hint="eastAsia"/>
                    </w:rPr>
                    <w:t>采用2mm厚高密度聚乙烯或至少2mm厚的其他人工材料，</w:t>
                  </w:r>
                  <w:r>
                    <w:t>渗透系数≤10</w:t>
                  </w:r>
                  <w:r>
                    <w:rPr>
                      <w:vertAlign w:val="superscript"/>
                    </w:rPr>
                    <w:t>-</w:t>
                  </w:r>
                  <w:r>
                    <w:rPr>
                      <w:rFonts w:hint="eastAsia"/>
                      <w:vertAlign w:val="superscript"/>
                    </w:rPr>
                    <w:t>10</w:t>
                  </w:r>
                  <w:r>
                    <w:t>cm/s。</w:t>
                  </w:r>
                </w:p>
              </w:tc>
              <w:tc>
                <w:tcPr>
                  <w:tcW w:w="692" w:type="dxa"/>
                  <w:shd w:val="clear" w:color="auto" w:fill="auto"/>
                  <w:noWrap w:val="0"/>
                  <w:vAlign w:val="center"/>
                </w:tcPr>
                <w:p w14:paraId="2EF33962">
                  <w:pPr>
                    <w:pStyle w:val="7"/>
                    <w:wordWrap w:val="0"/>
                    <w:snapToGrid/>
                    <w:spacing w:before="0" w:after="0" w:line="240" w:lineRule="auto"/>
                    <w:ind w:right="0"/>
                    <w:jc w:val="center"/>
                    <w:rPr>
                      <w:color w:val="000000"/>
                      <w:sz w:val="21"/>
                      <w:szCs w:val="21"/>
                    </w:rPr>
                  </w:pPr>
                  <w:r>
                    <w:rPr>
                      <w:rFonts w:hint="eastAsia"/>
                      <w:color w:val="000000"/>
                      <w:sz w:val="21"/>
                      <w:szCs w:val="21"/>
                    </w:rPr>
                    <w:t>环评提出，未建</w:t>
                  </w:r>
                </w:p>
              </w:tc>
            </w:tr>
            <w:tr w14:paraId="7562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53" w:type="dxa"/>
                  <w:vMerge w:val="continue"/>
                  <w:shd w:val="clear" w:color="auto" w:fill="auto"/>
                  <w:noWrap w:val="0"/>
                  <w:vAlign w:val="center"/>
                </w:tcPr>
                <w:p w14:paraId="298E7611">
                  <w:pPr>
                    <w:pStyle w:val="7"/>
                    <w:wordWrap w:val="0"/>
                    <w:snapToGrid/>
                    <w:spacing w:before="0" w:after="0" w:line="240" w:lineRule="auto"/>
                    <w:ind w:right="0"/>
                    <w:jc w:val="center"/>
                    <w:rPr>
                      <w:color w:val="000000"/>
                    </w:rPr>
                  </w:pPr>
                </w:p>
              </w:tc>
              <w:tc>
                <w:tcPr>
                  <w:tcW w:w="471" w:type="dxa"/>
                  <w:gridSpan w:val="2"/>
                  <w:vMerge w:val="continue"/>
                  <w:shd w:val="clear" w:color="auto" w:fill="auto"/>
                  <w:noWrap w:val="0"/>
                  <w:vAlign w:val="center"/>
                </w:tcPr>
                <w:p w14:paraId="32AE90AE">
                  <w:pPr>
                    <w:pStyle w:val="7"/>
                    <w:wordWrap w:val="0"/>
                    <w:snapToGrid/>
                    <w:spacing w:before="0" w:after="0" w:line="240" w:lineRule="auto"/>
                    <w:ind w:right="0"/>
                    <w:jc w:val="center"/>
                    <w:rPr>
                      <w:color w:val="000000"/>
                    </w:rPr>
                  </w:pPr>
                </w:p>
              </w:tc>
              <w:tc>
                <w:tcPr>
                  <w:tcW w:w="814" w:type="dxa"/>
                  <w:vMerge w:val="continue"/>
                  <w:shd w:val="clear" w:color="auto" w:fill="auto"/>
                  <w:noWrap w:val="0"/>
                  <w:vAlign w:val="center"/>
                </w:tcPr>
                <w:p w14:paraId="093391B6">
                  <w:pPr>
                    <w:pStyle w:val="7"/>
                    <w:wordWrap w:val="0"/>
                    <w:snapToGrid/>
                    <w:spacing w:before="0" w:after="0" w:line="240" w:lineRule="auto"/>
                    <w:ind w:right="0"/>
                    <w:jc w:val="center"/>
                    <w:rPr>
                      <w:color w:val="000000"/>
                    </w:rPr>
                  </w:pPr>
                </w:p>
              </w:tc>
              <w:tc>
                <w:tcPr>
                  <w:tcW w:w="5315" w:type="dxa"/>
                  <w:shd w:val="clear" w:color="auto" w:fill="auto"/>
                  <w:noWrap w:val="0"/>
                  <w:vAlign w:val="center"/>
                </w:tcPr>
                <w:p w14:paraId="5E1FF5B2">
                  <w:pPr>
                    <w:pStyle w:val="41"/>
                    <w:rPr>
                      <w:rFonts w:hint="eastAsia" w:ascii="宋体" w:hAnsi="宋体" w:cs="宋体"/>
                    </w:rPr>
                  </w:pPr>
                  <w:r>
                    <w:t>一般防渗区</w:t>
                  </w:r>
                  <w:r>
                    <w:rPr>
                      <w:rFonts w:hint="eastAsia"/>
                    </w:rPr>
                    <w:t>包括一般固废暂存间（未建</w:t>
                  </w:r>
                  <w:r>
                    <w:t>，参照《环境影响评价技术导则-地下水环境》（HJ610-2016）中一般防渗区的防渗要求进行防渗设计，防渗层可设置</w:t>
                  </w:r>
                  <w:r>
                    <w:rPr>
                      <w:rFonts w:hint="eastAsia"/>
                    </w:rPr>
                    <w:t>P6抗渗混凝土，厚度不小于100mm，</w:t>
                  </w:r>
                  <w:r>
                    <w:t>防渗性能应</w:t>
                  </w:r>
                  <w:r>
                    <w:rPr>
                      <w:rFonts w:hint="eastAsia"/>
                    </w:rPr>
                    <w:t>满足</w:t>
                  </w:r>
                  <w:r>
                    <w:t>等效</w:t>
                  </w:r>
                  <w:r>
                    <w:rPr>
                      <w:rFonts w:hint="eastAsia"/>
                    </w:rPr>
                    <w:t>黏土防渗层</w:t>
                  </w:r>
                  <w:r>
                    <w:t>厚度≥1.5m，渗透系数≤1.0×10</w:t>
                  </w:r>
                  <w:r>
                    <w:rPr>
                      <w:vertAlign w:val="superscript"/>
                    </w:rPr>
                    <w:t>-7</w:t>
                  </w:r>
                  <w:r>
                    <w:t>cm/s。</w:t>
                  </w:r>
                </w:p>
              </w:tc>
              <w:tc>
                <w:tcPr>
                  <w:tcW w:w="692" w:type="dxa"/>
                  <w:shd w:val="clear" w:color="auto" w:fill="auto"/>
                  <w:noWrap w:val="0"/>
                  <w:vAlign w:val="center"/>
                </w:tcPr>
                <w:p w14:paraId="188D6AEE">
                  <w:pPr>
                    <w:pStyle w:val="7"/>
                    <w:wordWrap w:val="0"/>
                    <w:snapToGrid/>
                    <w:spacing w:before="0" w:after="0" w:line="240" w:lineRule="auto"/>
                    <w:ind w:right="0"/>
                    <w:jc w:val="center"/>
                    <w:rPr>
                      <w:rFonts w:ascii="宋体" w:hAnsi="宋体" w:cs="宋体"/>
                      <w:color w:val="000000"/>
                    </w:rPr>
                  </w:pPr>
                  <w:r>
                    <w:rPr>
                      <w:rFonts w:hint="eastAsia"/>
                      <w:color w:val="000000"/>
                      <w:sz w:val="21"/>
                      <w:szCs w:val="21"/>
                    </w:rPr>
                    <w:t>环评提出，未建</w:t>
                  </w:r>
                </w:p>
              </w:tc>
            </w:tr>
            <w:tr w14:paraId="233B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53" w:type="dxa"/>
                  <w:vMerge w:val="continue"/>
                  <w:shd w:val="clear" w:color="auto" w:fill="auto"/>
                  <w:noWrap w:val="0"/>
                  <w:vAlign w:val="center"/>
                </w:tcPr>
                <w:p w14:paraId="03166EBD">
                  <w:pPr>
                    <w:pStyle w:val="7"/>
                    <w:wordWrap w:val="0"/>
                    <w:snapToGrid/>
                    <w:spacing w:before="0" w:after="0" w:line="240" w:lineRule="auto"/>
                    <w:ind w:right="0"/>
                    <w:jc w:val="center"/>
                    <w:rPr>
                      <w:rFonts w:hint="eastAsia" w:ascii="宋体" w:hAnsi="宋体" w:cs="宋体"/>
                      <w:color w:val="000000"/>
                    </w:rPr>
                  </w:pPr>
                </w:p>
              </w:tc>
              <w:tc>
                <w:tcPr>
                  <w:tcW w:w="471" w:type="dxa"/>
                  <w:gridSpan w:val="2"/>
                  <w:vMerge w:val="continue"/>
                  <w:shd w:val="clear" w:color="auto" w:fill="auto"/>
                  <w:noWrap w:val="0"/>
                  <w:vAlign w:val="center"/>
                </w:tcPr>
                <w:p w14:paraId="5105E40E">
                  <w:pPr>
                    <w:pStyle w:val="7"/>
                    <w:wordWrap w:val="0"/>
                    <w:snapToGrid/>
                    <w:spacing w:before="0" w:after="0" w:line="240" w:lineRule="auto"/>
                    <w:ind w:right="0"/>
                    <w:jc w:val="center"/>
                    <w:rPr>
                      <w:rFonts w:hint="eastAsia" w:ascii="宋体" w:hAnsi="宋体" w:cs="宋体"/>
                      <w:color w:val="000000"/>
                    </w:rPr>
                  </w:pPr>
                </w:p>
              </w:tc>
              <w:tc>
                <w:tcPr>
                  <w:tcW w:w="814" w:type="dxa"/>
                  <w:vMerge w:val="continue"/>
                  <w:shd w:val="clear" w:color="auto" w:fill="auto"/>
                  <w:noWrap w:val="0"/>
                  <w:vAlign w:val="center"/>
                </w:tcPr>
                <w:p w14:paraId="495BFA50">
                  <w:pPr>
                    <w:pStyle w:val="7"/>
                    <w:wordWrap w:val="0"/>
                    <w:snapToGrid/>
                    <w:spacing w:before="0" w:after="0" w:line="240" w:lineRule="auto"/>
                    <w:ind w:right="0"/>
                    <w:jc w:val="center"/>
                    <w:rPr>
                      <w:rFonts w:hint="eastAsia" w:ascii="宋体" w:hAnsi="宋体" w:cs="宋体"/>
                      <w:color w:val="000000"/>
                    </w:rPr>
                  </w:pPr>
                </w:p>
              </w:tc>
              <w:tc>
                <w:tcPr>
                  <w:tcW w:w="5315" w:type="dxa"/>
                  <w:shd w:val="clear" w:color="auto" w:fill="auto"/>
                  <w:noWrap w:val="0"/>
                  <w:vAlign w:val="center"/>
                </w:tcPr>
                <w:p w14:paraId="1E3E15C7">
                  <w:pPr>
                    <w:pStyle w:val="7"/>
                    <w:wordWrap w:val="0"/>
                    <w:snapToGrid/>
                    <w:spacing w:before="0" w:after="0" w:line="240" w:lineRule="auto"/>
                    <w:ind w:right="0"/>
                    <w:jc w:val="center"/>
                    <w:rPr>
                      <w:rFonts w:hint="eastAsia" w:ascii="宋体" w:hAnsi="宋体" w:cs="宋体"/>
                      <w:color w:val="000000"/>
                    </w:rPr>
                  </w:pPr>
                  <w:r>
                    <w:rPr>
                      <w:rFonts w:hint="eastAsia"/>
                      <w:snapToGrid w:val="0"/>
                      <w:color w:val="000000"/>
                      <w:sz w:val="21"/>
                      <w:szCs w:val="9"/>
                    </w:rPr>
                    <w:t>简单防渗区包括鲜花分拣车间、花材仓库、鲜花脱色车间、鲜花晾晒车间、鲜花染色晾晒干燥车间、鲜花吸收车间、门卫室、卫生间、宿舍、办公室展厅、场内道路区等非绿化区域，地面可采用混凝土硬化。</w:t>
                  </w:r>
                </w:p>
              </w:tc>
              <w:tc>
                <w:tcPr>
                  <w:tcW w:w="692" w:type="dxa"/>
                  <w:shd w:val="clear" w:color="auto" w:fill="auto"/>
                  <w:noWrap w:val="0"/>
                  <w:vAlign w:val="center"/>
                </w:tcPr>
                <w:p w14:paraId="4C2F321E">
                  <w:pPr>
                    <w:pStyle w:val="7"/>
                    <w:wordWrap w:val="0"/>
                    <w:snapToGrid/>
                    <w:spacing w:before="0" w:after="0" w:line="240" w:lineRule="auto"/>
                    <w:ind w:right="0"/>
                    <w:jc w:val="center"/>
                    <w:rPr>
                      <w:rFonts w:hint="eastAsia" w:ascii="宋体" w:hAnsi="宋体" w:cs="宋体"/>
                      <w:color w:val="000000"/>
                    </w:rPr>
                  </w:pPr>
                  <w:r>
                    <w:rPr>
                      <w:rFonts w:hint="eastAsia"/>
                      <w:color w:val="000000"/>
                      <w:sz w:val="21"/>
                      <w:szCs w:val="21"/>
                    </w:rPr>
                    <w:t>已建</w:t>
                  </w:r>
                </w:p>
              </w:tc>
            </w:tr>
          </w:tbl>
          <w:p w14:paraId="4EC3443A">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三</w:t>
            </w:r>
            <w:r>
              <w:rPr>
                <w:b/>
                <w:bCs/>
                <w:color w:val="000000"/>
                <w:sz w:val="24"/>
              </w:rPr>
              <w:t>、</w:t>
            </w:r>
            <w:r>
              <w:rPr>
                <w:rFonts w:hint="eastAsia"/>
                <w:b/>
                <w:bCs/>
                <w:color w:val="000000"/>
                <w:sz w:val="24"/>
              </w:rPr>
              <w:t>生产规模及产品方案</w:t>
            </w:r>
          </w:p>
          <w:p w14:paraId="536155D7">
            <w:pPr>
              <w:pStyle w:val="7"/>
              <w:wordWrap w:val="0"/>
              <w:snapToGrid/>
              <w:spacing w:before="0" w:after="0" w:line="360" w:lineRule="auto"/>
              <w:ind w:right="0" w:firstLine="480" w:firstLineChars="200"/>
              <w:rPr>
                <w:rFonts w:hint="eastAsia"/>
                <w:color w:val="000000"/>
                <w:kern w:val="2"/>
                <w:sz w:val="24"/>
                <w:szCs w:val="24"/>
              </w:rPr>
            </w:pPr>
            <w:r>
              <w:rPr>
                <w:rFonts w:hint="eastAsia"/>
                <w:color w:val="000000"/>
                <w:kern w:val="2"/>
                <w:sz w:val="24"/>
                <w:szCs w:val="24"/>
              </w:rPr>
              <w:t>项目产品主要为永生花，产品方案见下表。</w:t>
            </w:r>
          </w:p>
          <w:p w14:paraId="1F7C1E96">
            <w:pPr>
              <w:pStyle w:val="7"/>
              <w:wordWrap w:val="0"/>
              <w:snapToGrid/>
              <w:spacing w:before="0" w:after="0" w:line="360" w:lineRule="auto"/>
              <w:jc w:val="center"/>
              <w:rPr>
                <w:rFonts w:hint="eastAsia"/>
                <w:color w:val="000000"/>
                <w:sz w:val="24"/>
              </w:rPr>
            </w:pPr>
            <w:r>
              <w:rPr>
                <w:b/>
                <w:color w:val="000000"/>
                <w:sz w:val="21"/>
                <w:szCs w:val="21"/>
              </w:rPr>
              <w:t xml:space="preserve">表2-2  </w:t>
            </w:r>
            <w:r>
              <w:rPr>
                <w:rFonts w:hint="eastAsia"/>
                <w:b/>
                <w:color w:val="000000"/>
                <w:sz w:val="21"/>
                <w:szCs w:val="21"/>
              </w:rPr>
              <w:t>项目</w:t>
            </w:r>
            <w:r>
              <w:rPr>
                <w:b/>
                <w:color w:val="000000"/>
                <w:sz w:val="21"/>
                <w:szCs w:val="21"/>
              </w:rPr>
              <w:t>产品</w:t>
            </w:r>
            <w:r>
              <w:rPr>
                <w:rFonts w:hint="eastAsia"/>
                <w:b/>
                <w:color w:val="000000"/>
                <w:sz w:val="21"/>
                <w:szCs w:val="21"/>
              </w:rPr>
              <w:t>方案表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60"/>
              <w:gridCol w:w="2665"/>
              <w:gridCol w:w="1205"/>
            </w:tblGrid>
            <w:tr w14:paraId="547F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pct"/>
                  <w:noWrap w:val="0"/>
                  <w:vAlign w:val="center"/>
                </w:tcPr>
                <w:p w14:paraId="0927619B">
                  <w:pPr>
                    <w:pStyle w:val="7"/>
                    <w:wordWrap w:val="0"/>
                    <w:spacing w:before="0" w:after="0" w:line="240" w:lineRule="auto"/>
                    <w:ind w:right="0"/>
                    <w:jc w:val="center"/>
                    <w:rPr>
                      <w:rFonts w:hint="eastAsia"/>
                      <w:b/>
                      <w:color w:val="000000"/>
                      <w:sz w:val="21"/>
                      <w:szCs w:val="21"/>
                    </w:rPr>
                  </w:pPr>
                  <w:r>
                    <w:rPr>
                      <w:rFonts w:hint="eastAsia"/>
                      <w:b/>
                      <w:color w:val="000000"/>
                      <w:sz w:val="21"/>
                      <w:szCs w:val="21"/>
                    </w:rPr>
                    <w:t>序号</w:t>
                  </w:r>
                </w:p>
              </w:tc>
              <w:tc>
                <w:tcPr>
                  <w:tcW w:w="1802" w:type="pct"/>
                  <w:noWrap w:val="0"/>
                  <w:vAlign w:val="center"/>
                </w:tcPr>
                <w:p w14:paraId="1A3E5C07">
                  <w:pPr>
                    <w:pStyle w:val="7"/>
                    <w:wordWrap w:val="0"/>
                    <w:spacing w:before="0" w:after="0" w:line="240" w:lineRule="auto"/>
                    <w:ind w:right="0"/>
                    <w:jc w:val="center"/>
                    <w:rPr>
                      <w:rFonts w:hint="eastAsia"/>
                      <w:b/>
                      <w:color w:val="000000"/>
                      <w:sz w:val="21"/>
                      <w:szCs w:val="21"/>
                    </w:rPr>
                  </w:pPr>
                  <w:r>
                    <w:rPr>
                      <w:rFonts w:hint="eastAsia"/>
                      <w:b/>
                      <w:color w:val="000000"/>
                      <w:sz w:val="21"/>
                      <w:szCs w:val="21"/>
                    </w:rPr>
                    <w:t>产品</w:t>
                  </w:r>
                </w:p>
              </w:tc>
              <w:tc>
                <w:tcPr>
                  <w:tcW w:w="1679" w:type="pct"/>
                  <w:noWrap w:val="0"/>
                  <w:vAlign w:val="center"/>
                </w:tcPr>
                <w:p w14:paraId="07520009">
                  <w:pPr>
                    <w:pStyle w:val="7"/>
                    <w:wordWrap w:val="0"/>
                    <w:spacing w:before="0" w:after="0" w:line="240" w:lineRule="auto"/>
                    <w:ind w:right="0"/>
                    <w:jc w:val="center"/>
                    <w:rPr>
                      <w:rFonts w:hint="eastAsia"/>
                      <w:b/>
                      <w:color w:val="000000"/>
                      <w:sz w:val="21"/>
                      <w:szCs w:val="21"/>
                    </w:rPr>
                  </w:pPr>
                  <w:r>
                    <w:rPr>
                      <w:rFonts w:hint="eastAsia"/>
                      <w:b/>
                      <w:color w:val="000000"/>
                      <w:sz w:val="21"/>
                      <w:szCs w:val="21"/>
                    </w:rPr>
                    <w:t>产量（t/a）</w:t>
                  </w:r>
                </w:p>
              </w:tc>
              <w:tc>
                <w:tcPr>
                  <w:tcW w:w="759" w:type="pct"/>
                  <w:noWrap w:val="0"/>
                  <w:vAlign w:val="center"/>
                </w:tcPr>
                <w:p w14:paraId="55D783A2">
                  <w:pPr>
                    <w:pStyle w:val="7"/>
                    <w:wordWrap w:val="0"/>
                    <w:spacing w:before="0" w:after="0" w:line="240" w:lineRule="auto"/>
                    <w:ind w:right="0"/>
                    <w:jc w:val="center"/>
                    <w:rPr>
                      <w:rFonts w:hint="eastAsia"/>
                      <w:b/>
                      <w:color w:val="000000"/>
                      <w:sz w:val="21"/>
                      <w:szCs w:val="21"/>
                    </w:rPr>
                  </w:pPr>
                  <w:r>
                    <w:rPr>
                      <w:rFonts w:hint="eastAsia"/>
                      <w:b/>
                      <w:color w:val="000000"/>
                      <w:sz w:val="21"/>
                      <w:szCs w:val="21"/>
                    </w:rPr>
                    <w:t>备注</w:t>
                  </w:r>
                </w:p>
              </w:tc>
            </w:tr>
            <w:tr w14:paraId="511E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pct"/>
                  <w:noWrap w:val="0"/>
                  <w:vAlign w:val="center"/>
                </w:tcPr>
                <w:p w14:paraId="2C443B6F">
                  <w:pPr>
                    <w:pStyle w:val="7"/>
                    <w:wordWrap w:val="0"/>
                    <w:spacing w:before="0" w:after="0" w:line="240" w:lineRule="auto"/>
                    <w:ind w:right="0"/>
                    <w:jc w:val="center"/>
                    <w:rPr>
                      <w:rFonts w:hint="eastAsia"/>
                      <w:bCs/>
                      <w:color w:val="000000"/>
                      <w:sz w:val="21"/>
                      <w:szCs w:val="21"/>
                    </w:rPr>
                  </w:pPr>
                  <w:r>
                    <w:rPr>
                      <w:rFonts w:hint="eastAsia"/>
                      <w:bCs/>
                      <w:color w:val="000000"/>
                      <w:sz w:val="21"/>
                      <w:szCs w:val="21"/>
                    </w:rPr>
                    <w:t>1</w:t>
                  </w:r>
                </w:p>
              </w:tc>
              <w:tc>
                <w:tcPr>
                  <w:tcW w:w="1802" w:type="pct"/>
                  <w:noWrap w:val="0"/>
                  <w:vAlign w:val="center"/>
                </w:tcPr>
                <w:p w14:paraId="2E07477A">
                  <w:pPr>
                    <w:pStyle w:val="7"/>
                    <w:wordWrap w:val="0"/>
                    <w:spacing w:before="0" w:after="0" w:line="240" w:lineRule="auto"/>
                    <w:ind w:right="0"/>
                    <w:jc w:val="center"/>
                    <w:rPr>
                      <w:rFonts w:hint="eastAsia"/>
                      <w:bCs/>
                      <w:color w:val="000000"/>
                      <w:sz w:val="21"/>
                      <w:szCs w:val="21"/>
                    </w:rPr>
                  </w:pPr>
                  <w:r>
                    <w:rPr>
                      <w:rFonts w:hint="eastAsia"/>
                      <w:bCs/>
                      <w:color w:val="000000"/>
                      <w:sz w:val="21"/>
                      <w:szCs w:val="21"/>
                    </w:rPr>
                    <w:t>永生花</w:t>
                  </w:r>
                </w:p>
              </w:tc>
              <w:tc>
                <w:tcPr>
                  <w:tcW w:w="1679" w:type="pct"/>
                  <w:noWrap w:val="0"/>
                  <w:vAlign w:val="center"/>
                </w:tcPr>
                <w:p w14:paraId="65E0FEBC">
                  <w:pPr>
                    <w:pStyle w:val="7"/>
                    <w:wordWrap w:val="0"/>
                    <w:spacing w:before="0" w:after="0" w:line="240" w:lineRule="auto"/>
                    <w:ind w:right="0"/>
                    <w:jc w:val="center"/>
                    <w:rPr>
                      <w:rFonts w:hint="eastAsia"/>
                      <w:bCs/>
                      <w:color w:val="000000"/>
                      <w:sz w:val="21"/>
                      <w:szCs w:val="21"/>
                    </w:rPr>
                  </w:pPr>
                  <w:r>
                    <w:rPr>
                      <w:rFonts w:hint="eastAsia"/>
                      <w:bCs/>
                      <w:color w:val="000000"/>
                      <w:sz w:val="21"/>
                      <w:szCs w:val="21"/>
                    </w:rPr>
                    <w:t>（10吨/a）100万枝/a</w:t>
                  </w:r>
                </w:p>
              </w:tc>
              <w:tc>
                <w:tcPr>
                  <w:tcW w:w="759" w:type="pct"/>
                  <w:noWrap w:val="0"/>
                  <w:vAlign w:val="center"/>
                </w:tcPr>
                <w:p w14:paraId="70184B9E">
                  <w:pPr>
                    <w:pStyle w:val="7"/>
                    <w:wordWrap w:val="0"/>
                    <w:spacing w:before="0" w:after="0" w:line="240" w:lineRule="auto"/>
                    <w:ind w:right="0"/>
                    <w:jc w:val="center"/>
                    <w:rPr>
                      <w:rFonts w:hint="eastAsia"/>
                      <w:bCs/>
                      <w:color w:val="000000"/>
                      <w:sz w:val="21"/>
                      <w:szCs w:val="21"/>
                    </w:rPr>
                  </w:pPr>
                  <w:r>
                    <w:rPr>
                      <w:rFonts w:hint="eastAsia"/>
                      <w:bCs/>
                      <w:color w:val="000000"/>
                      <w:sz w:val="21"/>
                      <w:szCs w:val="21"/>
                    </w:rPr>
                    <w:t>-</w:t>
                  </w:r>
                </w:p>
              </w:tc>
            </w:tr>
          </w:tbl>
          <w:p w14:paraId="1A365AE7">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四、主要生产设备</w:t>
            </w:r>
          </w:p>
          <w:p w14:paraId="53E4FA22">
            <w:pPr>
              <w:adjustRightInd w:val="0"/>
              <w:snapToGrid w:val="0"/>
              <w:spacing w:line="360" w:lineRule="auto"/>
              <w:ind w:firstLine="480" w:firstLineChars="200"/>
              <w:rPr>
                <w:rFonts w:hint="eastAsia"/>
                <w:color w:val="000000"/>
                <w:sz w:val="24"/>
              </w:rPr>
            </w:pPr>
            <w:bookmarkStart w:id="4" w:name="_Toc22683"/>
            <w:r>
              <w:rPr>
                <w:color w:val="000000"/>
                <w:sz w:val="24"/>
              </w:rPr>
              <w:t>项目运营期主要设备详见</w:t>
            </w:r>
            <w:r>
              <w:rPr>
                <w:rFonts w:hint="eastAsia"/>
                <w:color w:val="000000"/>
                <w:sz w:val="24"/>
              </w:rPr>
              <w:t>下表</w:t>
            </w:r>
            <w:r>
              <w:rPr>
                <w:color w:val="000000"/>
                <w:sz w:val="24"/>
              </w:rPr>
              <w:t>。</w:t>
            </w:r>
            <w:bookmarkEnd w:id="4"/>
          </w:p>
          <w:p w14:paraId="368C30B7">
            <w:pPr>
              <w:pStyle w:val="7"/>
              <w:wordWrap w:val="0"/>
              <w:snapToGrid/>
              <w:spacing w:before="0" w:after="0" w:line="360" w:lineRule="auto"/>
              <w:jc w:val="center"/>
              <w:rPr>
                <w:b/>
                <w:color w:val="000000"/>
                <w:sz w:val="21"/>
                <w:szCs w:val="21"/>
              </w:rPr>
            </w:pPr>
            <w:r>
              <w:rPr>
                <w:b/>
                <w:color w:val="000000"/>
                <w:sz w:val="21"/>
                <w:szCs w:val="21"/>
              </w:rPr>
              <w:t>表2-</w:t>
            </w:r>
            <w:r>
              <w:rPr>
                <w:rFonts w:hint="eastAsia"/>
                <w:b/>
                <w:color w:val="000000"/>
                <w:sz w:val="21"/>
                <w:szCs w:val="21"/>
              </w:rPr>
              <w:t>3</w:t>
            </w:r>
            <w:r>
              <w:rPr>
                <w:b/>
                <w:color w:val="000000"/>
                <w:sz w:val="21"/>
                <w:szCs w:val="21"/>
              </w:rPr>
              <w:t xml:space="preserve">  </w:t>
            </w:r>
            <w:r>
              <w:rPr>
                <w:rFonts w:hint="eastAsia"/>
                <w:b/>
                <w:color w:val="000000"/>
                <w:sz w:val="21"/>
                <w:szCs w:val="21"/>
              </w:rPr>
              <w:t xml:space="preserve"> </w:t>
            </w:r>
            <w:r>
              <w:rPr>
                <w:b/>
                <w:color w:val="000000"/>
                <w:sz w:val="21"/>
                <w:szCs w:val="21"/>
              </w:rPr>
              <w:t>项目主要设备一览表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39"/>
              <w:gridCol w:w="1209"/>
              <w:gridCol w:w="2219"/>
              <w:gridCol w:w="2577"/>
            </w:tblGrid>
            <w:tr w14:paraId="02C6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2" w:hRule="atLeast"/>
                <w:jc w:val="center"/>
              </w:trPr>
              <w:tc>
                <w:tcPr>
                  <w:tcW w:w="498" w:type="pct"/>
                  <w:noWrap w:val="0"/>
                  <w:vAlign w:val="center"/>
                </w:tcPr>
                <w:p w14:paraId="0D8C6800">
                  <w:pPr>
                    <w:pStyle w:val="7"/>
                    <w:wordWrap w:val="0"/>
                    <w:spacing w:before="0" w:after="0" w:line="240" w:lineRule="auto"/>
                    <w:ind w:right="0"/>
                    <w:jc w:val="center"/>
                    <w:rPr>
                      <w:rFonts w:hint="eastAsia"/>
                      <w:b/>
                      <w:color w:val="000000"/>
                      <w:sz w:val="21"/>
                      <w:szCs w:val="21"/>
                    </w:rPr>
                  </w:pPr>
                  <w:r>
                    <w:rPr>
                      <w:rFonts w:hint="eastAsia"/>
                      <w:b/>
                      <w:color w:val="000000"/>
                      <w:sz w:val="21"/>
                      <w:szCs w:val="21"/>
                    </w:rPr>
                    <w:t>序号</w:t>
                  </w:r>
                </w:p>
              </w:tc>
              <w:tc>
                <w:tcPr>
                  <w:tcW w:w="718" w:type="pct"/>
                  <w:noWrap w:val="0"/>
                  <w:vAlign w:val="center"/>
                </w:tcPr>
                <w:p w14:paraId="620C52E6">
                  <w:pPr>
                    <w:pStyle w:val="7"/>
                    <w:wordWrap w:val="0"/>
                    <w:spacing w:before="0" w:after="0" w:line="240" w:lineRule="auto"/>
                    <w:ind w:right="0"/>
                    <w:jc w:val="center"/>
                    <w:rPr>
                      <w:rFonts w:hint="eastAsia"/>
                      <w:b/>
                      <w:color w:val="000000"/>
                      <w:sz w:val="21"/>
                      <w:szCs w:val="21"/>
                    </w:rPr>
                  </w:pPr>
                  <w:r>
                    <w:rPr>
                      <w:rFonts w:hint="eastAsia"/>
                      <w:b/>
                      <w:color w:val="000000"/>
                      <w:sz w:val="21"/>
                      <w:szCs w:val="21"/>
                    </w:rPr>
                    <w:t>设备名称</w:t>
                  </w:r>
                </w:p>
              </w:tc>
              <w:tc>
                <w:tcPr>
                  <w:tcW w:w="762" w:type="pct"/>
                  <w:noWrap w:val="0"/>
                  <w:vAlign w:val="center"/>
                </w:tcPr>
                <w:p w14:paraId="1EB8628D">
                  <w:pPr>
                    <w:pStyle w:val="7"/>
                    <w:wordWrap w:val="0"/>
                    <w:spacing w:before="0" w:after="0" w:line="240" w:lineRule="auto"/>
                    <w:ind w:right="0"/>
                    <w:jc w:val="center"/>
                    <w:rPr>
                      <w:rFonts w:hint="eastAsia"/>
                      <w:b/>
                      <w:color w:val="000000"/>
                      <w:sz w:val="21"/>
                      <w:szCs w:val="21"/>
                    </w:rPr>
                  </w:pPr>
                  <w:r>
                    <w:rPr>
                      <w:rFonts w:hint="eastAsia"/>
                      <w:b/>
                      <w:color w:val="000000"/>
                      <w:sz w:val="21"/>
                      <w:szCs w:val="21"/>
                    </w:rPr>
                    <w:t>数量</w:t>
                  </w:r>
                </w:p>
              </w:tc>
              <w:tc>
                <w:tcPr>
                  <w:tcW w:w="1398" w:type="pct"/>
                  <w:noWrap w:val="0"/>
                  <w:vAlign w:val="center"/>
                </w:tcPr>
                <w:p w14:paraId="4FEABF10">
                  <w:pPr>
                    <w:pStyle w:val="7"/>
                    <w:wordWrap w:val="0"/>
                    <w:spacing w:before="0" w:after="0" w:line="240" w:lineRule="auto"/>
                    <w:ind w:right="0"/>
                    <w:jc w:val="center"/>
                    <w:rPr>
                      <w:rFonts w:hint="eastAsia"/>
                      <w:b/>
                      <w:color w:val="000000"/>
                      <w:sz w:val="21"/>
                      <w:szCs w:val="21"/>
                    </w:rPr>
                  </w:pPr>
                  <w:r>
                    <w:rPr>
                      <w:rFonts w:hint="eastAsia"/>
                      <w:b/>
                      <w:color w:val="000000"/>
                      <w:sz w:val="21"/>
                      <w:szCs w:val="21"/>
                    </w:rPr>
                    <w:t>型号</w:t>
                  </w:r>
                </w:p>
              </w:tc>
              <w:tc>
                <w:tcPr>
                  <w:tcW w:w="1624" w:type="pct"/>
                  <w:noWrap w:val="0"/>
                  <w:vAlign w:val="center"/>
                </w:tcPr>
                <w:p w14:paraId="67981F3E">
                  <w:pPr>
                    <w:pStyle w:val="7"/>
                    <w:wordWrap w:val="0"/>
                    <w:spacing w:before="0" w:after="0" w:line="240" w:lineRule="auto"/>
                    <w:ind w:right="0"/>
                    <w:jc w:val="center"/>
                    <w:rPr>
                      <w:rFonts w:hint="eastAsia"/>
                      <w:b/>
                      <w:color w:val="000000"/>
                      <w:sz w:val="21"/>
                      <w:szCs w:val="21"/>
                    </w:rPr>
                  </w:pPr>
                  <w:r>
                    <w:rPr>
                      <w:rFonts w:hint="eastAsia"/>
                      <w:b/>
                      <w:color w:val="000000"/>
                      <w:sz w:val="21"/>
                      <w:szCs w:val="21"/>
                    </w:rPr>
                    <w:t>布置位置</w:t>
                  </w:r>
                </w:p>
              </w:tc>
            </w:tr>
            <w:tr w14:paraId="6837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498" w:type="pct"/>
                  <w:noWrap w:val="0"/>
                  <w:vAlign w:val="center"/>
                </w:tcPr>
                <w:p w14:paraId="73DB491F">
                  <w:pPr>
                    <w:snapToGrid w:val="0"/>
                    <w:jc w:val="center"/>
                    <w:rPr>
                      <w:rFonts w:hint="eastAsia"/>
                      <w:bCs/>
                      <w:color w:val="000000"/>
                      <w:kern w:val="0"/>
                      <w:szCs w:val="21"/>
                    </w:rPr>
                  </w:pPr>
                  <w:r>
                    <w:rPr>
                      <w:rFonts w:hint="eastAsia"/>
                      <w:bCs/>
                      <w:color w:val="000000"/>
                      <w:kern w:val="0"/>
                      <w:szCs w:val="21"/>
                    </w:rPr>
                    <w:t>1</w:t>
                  </w:r>
                </w:p>
              </w:tc>
              <w:tc>
                <w:tcPr>
                  <w:tcW w:w="718" w:type="pct"/>
                  <w:noWrap w:val="0"/>
                  <w:vAlign w:val="center"/>
                </w:tcPr>
                <w:p w14:paraId="628A8DD5">
                  <w:pPr>
                    <w:snapToGrid w:val="0"/>
                    <w:jc w:val="center"/>
                    <w:rPr>
                      <w:rFonts w:hint="eastAsia"/>
                      <w:bCs/>
                      <w:color w:val="000000"/>
                      <w:kern w:val="0"/>
                      <w:szCs w:val="21"/>
                    </w:rPr>
                  </w:pPr>
                  <w:r>
                    <w:rPr>
                      <w:rFonts w:hint="eastAsia"/>
                      <w:bCs/>
                      <w:color w:val="000000"/>
                      <w:kern w:val="0"/>
                      <w:szCs w:val="21"/>
                    </w:rPr>
                    <w:t>脱色桶</w:t>
                  </w:r>
                </w:p>
              </w:tc>
              <w:tc>
                <w:tcPr>
                  <w:tcW w:w="762" w:type="pct"/>
                  <w:noWrap w:val="0"/>
                  <w:vAlign w:val="center"/>
                </w:tcPr>
                <w:p w14:paraId="59E817ED">
                  <w:pPr>
                    <w:snapToGrid w:val="0"/>
                    <w:jc w:val="center"/>
                    <w:rPr>
                      <w:rFonts w:hint="eastAsia"/>
                      <w:bCs/>
                      <w:color w:val="000000"/>
                      <w:kern w:val="0"/>
                      <w:szCs w:val="21"/>
                    </w:rPr>
                  </w:pPr>
                  <w:r>
                    <w:rPr>
                      <w:rFonts w:hint="eastAsia"/>
                      <w:bCs/>
                      <w:color w:val="000000"/>
                      <w:kern w:val="0"/>
                      <w:szCs w:val="21"/>
                    </w:rPr>
                    <w:t>1</w:t>
                  </w:r>
                  <w:r>
                    <w:rPr>
                      <w:bCs/>
                      <w:color w:val="000000"/>
                      <w:kern w:val="0"/>
                      <w:szCs w:val="21"/>
                    </w:rPr>
                    <w:t>080</w:t>
                  </w:r>
                  <w:r>
                    <w:rPr>
                      <w:rFonts w:hint="eastAsia"/>
                      <w:bCs/>
                      <w:color w:val="000000"/>
                      <w:kern w:val="0"/>
                      <w:szCs w:val="21"/>
                    </w:rPr>
                    <w:t>个</w:t>
                  </w:r>
                </w:p>
              </w:tc>
              <w:tc>
                <w:tcPr>
                  <w:tcW w:w="1398" w:type="pct"/>
                  <w:noWrap w:val="0"/>
                  <w:vAlign w:val="center"/>
                </w:tcPr>
                <w:p w14:paraId="68F69FCE">
                  <w:pPr>
                    <w:snapToGrid w:val="0"/>
                    <w:jc w:val="center"/>
                    <w:rPr>
                      <w:bCs/>
                      <w:color w:val="000000"/>
                      <w:kern w:val="0"/>
                      <w:szCs w:val="21"/>
                    </w:rPr>
                  </w:pPr>
                  <w:r>
                    <w:rPr>
                      <w:rFonts w:hint="eastAsia"/>
                      <w:bCs/>
                      <w:color w:val="000000"/>
                      <w:kern w:val="0"/>
                      <w:szCs w:val="21"/>
                    </w:rPr>
                    <w:t>0.78m</w:t>
                  </w:r>
                  <w:r>
                    <w:rPr>
                      <w:bCs/>
                      <w:color w:val="000000"/>
                      <w:kern w:val="0"/>
                      <w:szCs w:val="21"/>
                    </w:rPr>
                    <w:t>×</w:t>
                  </w:r>
                  <w:r>
                    <w:rPr>
                      <w:rFonts w:hint="eastAsia"/>
                      <w:bCs/>
                      <w:color w:val="000000"/>
                      <w:kern w:val="0"/>
                      <w:szCs w:val="21"/>
                    </w:rPr>
                    <w:t>0.54m</w:t>
                  </w:r>
                  <w:r>
                    <w:rPr>
                      <w:bCs/>
                      <w:color w:val="000000"/>
                      <w:kern w:val="0"/>
                      <w:szCs w:val="21"/>
                    </w:rPr>
                    <w:t>×</w:t>
                  </w:r>
                  <w:r>
                    <w:rPr>
                      <w:rFonts w:hint="eastAsia"/>
                      <w:bCs/>
                      <w:color w:val="000000"/>
                      <w:kern w:val="0"/>
                      <w:szCs w:val="21"/>
                    </w:rPr>
                    <w:t>0.59m</w:t>
                  </w:r>
                </w:p>
              </w:tc>
              <w:tc>
                <w:tcPr>
                  <w:tcW w:w="1624" w:type="pct"/>
                  <w:noWrap w:val="0"/>
                  <w:vAlign w:val="center"/>
                </w:tcPr>
                <w:p w14:paraId="2BCADDAE">
                  <w:pPr>
                    <w:snapToGrid w:val="0"/>
                    <w:jc w:val="center"/>
                    <w:rPr>
                      <w:rFonts w:hint="eastAsia"/>
                      <w:bCs/>
                      <w:color w:val="000000"/>
                      <w:kern w:val="0"/>
                      <w:szCs w:val="21"/>
                    </w:rPr>
                  </w:pPr>
                  <w:r>
                    <w:rPr>
                      <w:rFonts w:hint="eastAsia"/>
                      <w:bCs/>
                      <w:color w:val="000000"/>
                      <w:kern w:val="0"/>
                      <w:szCs w:val="21"/>
                    </w:rPr>
                    <w:t>脱色车间</w:t>
                  </w:r>
                </w:p>
              </w:tc>
            </w:tr>
            <w:tr w14:paraId="37E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498" w:type="pct"/>
                  <w:noWrap w:val="0"/>
                  <w:vAlign w:val="center"/>
                </w:tcPr>
                <w:p w14:paraId="4A67201C">
                  <w:pPr>
                    <w:snapToGrid w:val="0"/>
                    <w:jc w:val="center"/>
                    <w:rPr>
                      <w:rFonts w:hint="eastAsia"/>
                      <w:bCs/>
                      <w:color w:val="000000"/>
                      <w:kern w:val="0"/>
                      <w:szCs w:val="21"/>
                    </w:rPr>
                  </w:pPr>
                  <w:r>
                    <w:rPr>
                      <w:rFonts w:hint="eastAsia"/>
                      <w:bCs/>
                      <w:color w:val="000000"/>
                      <w:kern w:val="0"/>
                      <w:szCs w:val="21"/>
                    </w:rPr>
                    <w:t>2</w:t>
                  </w:r>
                </w:p>
              </w:tc>
              <w:tc>
                <w:tcPr>
                  <w:tcW w:w="718" w:type="pct"/>
                  <w:noWrap w:val="0"/>
                  <w:vAlign w:val="center"/>
                </w:tcPr>
                <w:p w14:paraId="1CC3E99C">
                  <w:pPr>
                    <w:snapToGrid w:val="0"/>
                    <w:jc w:val="center"/>
                    <w:rPr>
                      <w:rFonts w:hint="eastAsia"/>
                      <w:bCs/>
                      <w:color w:val="000000"/>
                      <w:kern w:val="0"/>
                      <w:szCs w:val="21"/>
                    </w:rPr>
                  </w:pPr>
                  <w:r>
                    <w:rPr>
                      <w:rFonts w:hint="eastAsia"/>
                      <w:bCs/>
                      <w:color w:val="000000"/>
                      <w:kern w:val="0"/>
                      <w:szCs w:val="21"/>
                    </w:rPr>
                    <w:t>染色桶</w:t>
                  </w:r>
                </w:p>
              </w:tc>
              <w:tc>
                <w:tcPr>
                  <w:tcW w:w="762" w:type="pct"/>
                  <w:noWrap w:val="0"/>
                  <w:vAlign w:val="center"/>
                </w:tcPr>
                <w:p w14:paraId="1A6D5D5F">
                  <w:pPr>
                    <w:snapToGrid w:val="0"/>
                    <w:jc w:val="center"/>
                    <w:rPr>
                      <w:rFonts w:hint="eastAsia"/>
                      <w:bCs/>
                      <w:color w:val="000000"/>
                      <w:kern w:val="0"/>
                      <w:szCs w:val="21"/>
                    </w:rPr>
                  </w:pPr>
                  <w:r>
                    <w:rPr>
                      <w:bCs/>
                      <w:color w:val="000000"/>
                      <w:kern w:val="0"/>
                      <w:szCs w:val="21"/>
                    </w:rPr>
                    <w:t>30</w:t>
                  </w:r>
                  <w:r>
                    <w:rPr>
                      <w:rFonts w:hint="eastAsia"/>
                      <w:bCs/>
                      <w:color w:val="000000"/>
                      <w:kern w:val="0"/>
                      <w:szCs w:val="21"/>
                    </w:rPr>
                    <w:t>个</w:t>
                  </w:r>
                </w:p>
              </w:tc>
              <w:tc>
                <w:tcPr>
                  <w:tcW w:w="1398" w:type="pct"/>
                  <w:noWrap w:val="0"/>
                  <w:vAlign w:val="center"/>
                </w:tcPr>
                <w:p w14:paraId="5C128846">
                  <w:pPr>
                    <w:snapToGrid w:val="0"/>
                    <w:jc w:val="center"/>
                    <w:rPr>
                      <w:rFonts w:hint="eastAsia"/>
                      <w:bCs/>
                      <w:color w:val="000000"/>
                      <w:kern w:val="0"/>
                      <w:szCs w:val="21"/>
                    </w:rPr>
                  </w:pPr>
                  <w:r>
                    <w:rPr>
                      <w:rFonts w:hint="eastAsia"/>
                      <w:bCs/>
                      <w:color w:val="000000"/>
                      <w:kern w:val="0"/>
                      <w:szCs w:val="21"/>
                    </w:rPr>
                    <w:t>0.78m</w:t>
                  </w:r>
                  <w:r>
                    <w:rPr>
                      <w:bCs/>
                      <w:color w:val="000000"/>
                      <w:kern w:val="0"/>
                      <w:szCs w:val="21"/>
                    </w:rPr>
                    <w:t>×</w:t>
                  </w:r>
                  <w:r>
                    <w:rPr>
                      <w:rFonts w:hint="eastAsia"/>
                      <w:bCs/>
                      <w:color w:val="000000"/>
                      <w:kern w:val="0"/>
                      <w:szCs w:val="21"/>
                    </w:rPr>
                    <w:t>0.54m</w:t>
                  </w:r>
                  <w:r>
                    <w:rPr>
                      <w:bCs/>
                      <w:color w:val="000000"/>
                      <w:kern w:val="0"/>
                      <w:szCs w:val="21"/>
                    </w:rPr>
                    <w:t>×</w:t>
                  </w:r>
                  <w:r>
                    <w:rPr>
                      <w:rFonts w:hint="eastAsia"/>
                      <w:bCs/>
                      <w:color w:val="000000"/>
                      <w:kern w:val="0"/>
                      <w:szCs w:val="21"/>
                    </w:rPr>
                    <w:t>0.59m</w:t>
                  </w:r>
                </w:p>
              </w:tc>
              <w:tc>
                <w:tcPr>
                  <w:tcW w:w="1624" w:type="pct"/>
                  <w:noWrap w:val="0"/>
                  <w:vAlign w:val="center"/>
                </w:tcPr>
                <w:p w14:paraId="57BADCA0">
                  <w:pPr>
                    <w:snapToGrid w:val="0"/>
                    <w:jc w:val="center"/>
                    <w:rPr>
                      <w:rFonts w:hint="eastAsia"/>
                      <w:bCs/>
                      <w:color w:val="000000"/>
                      <w:kern w:val="0"/>
                      <w:szCs w:val="21"/>
                    </w:rPr>
                  </w:pPr>
                  <w:r>
                    <w:rPr>
                      <w:rFonts w:hint="eastAsia"/>
                      <w:bCs/>
                      <w:color w:val="000000"/>
                      <w:kern w:val="0"/>
                      <w:szCs w:val="21"/>
                    </w:rPr>
                    <w:t>染色车间</w:t>
                  </w:r>
                </w:p>
              </w:tc>
            </w:tr>
            <w:tr w14:paraId="0E1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498" w:type="pct"/>
                  <w:noWrap w:val="0"/>
                  <w:vAlign w:val="center"/>
                </w:tcPr>
                <w:p w14:paraId="421126A1">
                  <w:pPr>
                    <w:snapToGrid w:val="0"/>
                    <w:jc w:val="center"/>
                    <w:rPr>
                      <w:bCs/>
                      <w:color w:val="000000"/>
                      <w:kern w:val="0"/>
                      <w:szCs w:val="21"/>
                    </w:rPr>
                  </w:pPr>
                  <w:r>
                    <w:rPr>
                      <w:bCs/>
                      <w:color w:val="000000"/>
                      <w:kern w:val="0"/>
                      <w:szCs w:val="21"/>
                    </w:rPr>
                    <w:t>3</w:t>
                  </w:r>
                </w:p>
              </w:tc>
              <w:tc>
                <w:tcPr>
                  <w:tcW w:w="718" w:type="pct"/>
                  <w:noWrap w:val="0"/>
                  <w:vAlign w:val="center"/>
                </w:tcPr>
                <w:p w14:paraId="05704821">
                  <w:pPr>
                    <w:snapToGrid w:val="0"/>
                    <w:jc w:val="center"/>
                    <w:rPr>
                      <w:rFonts w:hint="eastAsia"/>
                      <w:bCs/>
                      <w:color w:val="000000"/>
                      <w:kern w:val="0"/>
                      <w:szCs w:val="21"/>
                    </w:rPr>
                  </w:pPr>
                  <w:r>
                    <w:rPr>
                      <w:color w:val="000000"/>
                      <w:szCs w:val="21"/>
                    </w:rPr>
                    <w:t>除湿机</w:t>
                  </w:r>
                </w:p>
              </w:tc>
              <w:tc>
                <w:tcPr>
                  <w:tcW w:w="762" w:type="pct"/>
                  <w:noWrap w:val="0"/>
                  <w:vAlign w:val="center"/>
                </w:tcPr>
                <w:p w14:paraId="5127A027">
                  <w:pPr>
                    <w:snapToGrid w:val="0"/>
                    <w:jc w:val="center"/>
                    <w:rPr>
                      <w:bCs/>
                      <w:color w:val="000000"/>
                      <w:kern w:val="0"/>
                      <w:szCs w:val="21"/>
                    </w:rPr>
                  </w:pPr>
                  <w:r>
                    <w:rPr>
                      <w:bCs/>
                      <w:color w:val="000000"/>
                      <w:kern w:val="0"/>
                      <w:szCs w:val="21"/>
                    </w:rPr>
                    <w:t>1</w:t>
                  </w:r>
                  <w:r>
                    <w:rPr>
                      <w:rFonts w:hint="eastAsia"/>
                      <w:bCs/>
                      <w:color w:val="000000"/>
                      <w:kern w:val="0"/>
                      <w:szCs w:val="21"/>
                    </w:rPr>
                    <w:t>台</w:t>
                  </w:r>
                </w:p>
              </w:tc>
              <w:tc>
                <w:tcPr>
                  <w:tcW w:w="1398" w:type="pct"/>
                  <w:noWrap w:val="0"/>
                  <w:vAlign w:val="center"/>
                </w:tcPr>
                <w:p w14:paraId="75F29717">
                  <w:pPr>
                    <w:snapToGrid w:val="0"/>
                    <w:jc w:val="center"/>
                    <w:rPr>
                      <w:rFonts w:hint="eastAsia"/>
                      <w:bCs/>
                      <w:color w:val="000000"/>
                      <w:kern w:val="0"/>
                      <w:szCs w:val="21"/>
                    </w:rPr>
                  </w:pPr>
                  <w:r>
                    <w:rPr>
                      <w:rFonts w:hint="eastAsia"/>
                      <w:bCs/>
                      <w:color w:val="000000"/>
                      <w:kern w:val="0"/>
                      <w:szCs w:val="21"/>
                    </w:rPr>
                    <w:t>-</w:t>
                  </w:r>
                </w:p>
              </w:tc>
              <w:tc>
                <w:tcPr>
                  <w:tcW w:w="1624" w:type="pct"/>
                  <w:noWrap w:val="0"/>
                  <w:vAlign w:val="center"/>
                </w:tcPr>
                <w:p w14:paraId="57C25AA9">
                  <w:pPr>
                    <w:snapToGrid w:val="0"/>
                    <w:jc w:val="center"/>
                    <w:rPr>
                      <w:rFonts w:hint="eastAsia"/>
                      <w:bCs/>
                      <w:color w:val="000000"/>
                      <w:kern w:val="0"/>
                      <w:szCs w:val="21"/>
                    </w:rPr>
                  </w:pPr>
                  <w:r>
                    <w:rPr>
                      <w:color w:val="000000"/>
                      <w:szCs w:val="21"/>
                    </w:rPr>
                    <w:t>除湿</w:t>
                  </w:r>
                  <w:r>
                    <w:rPr>
                      <w:rFonts w:hint="eastAsia"/>
                      <w:bCs/>
                      <w:color w:val="000000"/>
                      <w:kern w:val="0"/>
                      <w:szCs w:val="21"/>
                    </w:rPr>
                    <w:t>间</w:t>
                  </w:r>
                </w:p>
              </w:tc>
            </w:tr>
            <w:tr w14:paraId="5C82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498" w:type="pct"/>
                  <w:noWrap w:val="0"/>
                  <w:vAlign w:val="center"/>
                </w:tcPr>
                <w:p w14:paraId="0FFA5B65">
                  <w:pPr>
                    <w:snapToGrid w:val="0"/>
                    <w:jc w:val="center"/>
                    <w:rPr>
                      <w:bCs/>
                      <w:color w:val="000000"/>
                      <w:kern w:val="0"/>
                      <w:szCs w:val="21"/>
                    </w:rPr>
                  </w:pPr>
                  <w:r>
                    <w:rPr>
                      <w:bCs/>
                      <w:color w:val="000000"/>
                      <w:kern w:val="0"/>
                      <w:szCs w:val="21"/>
                    </w:rPr>
                    <w:t>4</w:t>
                  </w:r>
                </w:p>
              </w:tc>
              <w:tc>
                <w:tcPr>
                  <w:tcW w:w="718" w:type="pct"/>
                  <w:noWrap w:val="0"/>
                  <w:vAlign w:val="center"/>
                </w:tcPr>
                <w:p w14:paraId="58B7F9D7">
                  <w:pPr>
                    <w:snapToGrid w:val="0"/>
                    <w:jc w:val="center"/>
                    <w:rPr>
                      <w:rFonts w:hint="eastAsia"/>
                      <w:bCs/>
                      <w:color w:val="000000"/>
                      <w:kern w:val="0"/>
                      <w:szCs w:val="21"/>
                    </w:rPr>
                  </w:pPr>
                  <w:r>
                    <w:rPr>
                      <w:rFonts w:hint="eastAsia"/>
                      <w:bCs/>
                      <w:color w:val="000000"/>
                      <w:kern w:val="0"/>
                      <w:szCs w:val="21"/>
                    </w:rPr>
                    <w:t>风机</w:t>
                  </w:r>
                </w:p>
              </w:tc>
              <w:tc>
                <w:tcPr>
                  <w:tcW w:w="762" w:type="pct"/>
                  <w:noWrap w:val="0"/>
                  <w:vAlign w:val="center"/>
                </w:tcPr>
                <w:p w14:paraId="6BD0E7F7">
                  <w:pPr>
                    <w:snapToGrid w:val="0"/>
                    <w:jc w:val="center"/>
                    <w:rPr>
                      <w:bCs/>
                      <w:color w:val="000000"/>
                      <w:kern w:val="0"/>
                      <w:szCs w:val="21"/>
                    </w:rPr>
                  </w:pPr>
                  <w:r>
                    <w:rPr>
                      <w:bCs/>
                      <w:color w:val="000000"/>
                      <w:kern w:val="0"/>
                      <w:szCs w:val="21"/>
                    </w:rPr>
                    <w:t>1</w:t>
                  </w:r>
                  <w:r>
                    <w:rPr>
                      <w:rFonts w:hint="eastAsia"/>
                      <w:bCs/>
                      <w:color w:val="000000"/>
                      <w:kern w:val="0"/>
                      <w:szCs w:val="21"/>
                    </w:rPr>
                    <w:t>台</w:t>
                  </w:r>
                </w:p>
              </w:tc>
              <w:tc>
                <w:tcPr>
                  <w:tcW w:w="1398" w:type="pct"/>
                  <w:noWrap w:val="0"/>
                  <w:vAlign w:val="center"/>
                </w:tcPr>
                <w:p w14:paraId="790E9051">
                  <w:pPr>
                    <w:snapToGrid w:val="0"/>
                    <w:jc w:val="center"/>
                    <w:rPr>
                      <w:rFonts w:hint="eastAsia"/>
                      <w:bCs/>
                      <w:color w:val="000000"/>
                      <w:kern w:val="0"/>
                      <w:szCs w:val="21"/>
                    </w:rPr>
                  </w:pPr>
                  <w:r>
                    <w:rPr>
                      <w:rFonts w:hint="eastAsia"/>
                      <w:bCs/>
                      <w:color w:val="000000"/>
                      <w:kern w:val="0"/>
                      <w:szCs w:val="21"/>
                    </w:rPr>
                    <w:t>-</w:t>
                  </w:r>
                </w:p>
              </w:tc>
              <w:tc>
                <w:tcPr>
                  <w:tcW w:w="1624" w:type="pct"/>
                  <w:noWrap w:val="0"/>
                  <w:vAlign w:val="center"/>
                </w:tcPr>
                <w:p w14:paraId="0F60B4BF">
                  <w:pPr>
                    <w:snapToGrid w:val="0"/>
                    <w:jc w:val="center"/>
                    <w:rPr>
                      <w:rFonts w:hint="eastAsia"/>
                      <w:bCs/>
                      <w:color w:val="000000"/>
                      <w:kern w:val="0"/>
                      <w:szCs w:val="21"/>
                    </w:rPr>
                  </w:pPr>
                  <w:r>
                    <w:rPr>
                      <w:rFonts w:hint="eastAsia"/>
                      <w:bCs/>
                      <w:color w:val="000000"/>
                      <w:kern w:val="0"/>
                      <w:szCs w:val="21"/>
                    </w:rPr>
                    <w:t>脱色、染色车间</w:t>
                  </w:r>
                </w:p>
              </w:tc>
            </w:tr>
          </w:tbl>
          <w:p w14:paraId="305FCC1A">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五、原辅料及能源使用情况</w:t>
            </w:r>
          </w:p>
          <w:p w14:paraId="2B47D36B">
            <w:pPr>
              <w:pStyle w:val="7"/>
              <w:wordWrap w:val="0"/>
              <w:snapToGrid/>
              <w:spacing w:before="0" w:after="0" w:line="360" w:lineRule="auto"/>
              <w:ind w:right="0" w:firstLine="480" w:firstLineChars="200"/>
              <w:jc w:val="left"/>
              <w:rPr>
                <w:bCs/>
                <w:color w:val="000000"/>
                <w:sz w:val="24"/>
                <w:szCs w:val="24"/>
              </w:rPr>
            </w:pPr>
            <w:r>
              <w:rPr>
                <w:rFonts w:hint="eastAsia"/>
                <w:bCs/>
                <w:color w:val="000000"/>
                <w:sz w:val="24"/>
                <w:szCs w:val="24"/>
              </w:rPr>
              <w:t>（1）各类产品主要</w:t>
            </w:r>
            <w:r>
              <w:rPr>
                <w:bCs/>
                <w:color w:val="000000"/>
                <w:sz w:val="24"/>
                <w:szCs w:val="24"/>
              </w:rPr>
              <w:t>原辅料用量见</w:t>
            </w:r>
            <w:r>
              <w:rPr>
                <w:rFonts w:hint="eastAsia"/>
                <w:bCs/>
                <w:color w:val="000000"/>
                <w:sz w:val="24"/>
                <w:szCs w:val="24"/>
              </w:rPr>
              <w:t>下表</w:t>
            </w:r>
            <w:r>
              <w:rPr>
                <w:bCs/>
                <w:color w:val="000000"/>
                <w:sz w:val="24"/>
                <w:szCs w:val="24"/>
              </w:rPr>
              <w:t>。</w:t>
            </w:r>
          </w:p>
          <w:p w14:paraId="2BD08C48">
            <w:pPr>
              <w:pStyle w:val="7"/>
              <w:wordWrap w:val="0"/>
              <w:snapToGrid/>
              <w:spacing w:before="0" w:after="0" w:line="360" w:lineRule="auto"/>
              <w:jc w:val="center"/>
              <w:rPr>
                <w:b/>
                <w:color w:val="000000"/>
                <w:sz w:val="21"/>
                <w:szCs w:val="21"/>
              </w:rPr>
            </w:pPr>
            <w:r>
              <w:rPr>
                <w:b/>
                <w:color w:val="000000"/>
                <w:sz w:val="21"/>
                <w:szCs w:val="21"/>
              </w:rPr>
              <w:t>表2-</w:t>
            </w:r>
            <w:r>
              <w:rPr>
                <w:rFonts w:hint="eastAsia"/>
                <w:b/>
                <w:color w:val="000000"/>
                <w:sz w:val="21"/>
                <w:szCs w:val="21"/>
              </w:rPr>
              <w:t>4</w:t>
            </w:r>
            <w:r>
              <w:rPr>
                <w:b/>
                <w:color w:val="000000"/>
                <w:sz w:val="21"/>
                <w:szCs w:val="21"/>
              </w:rPr>
              <w:t xml:space="preserve">  </w:t>
            </w:r>
            <w:r>
              <w:rPr>
                <w:rFonts w:hint="eastAsia"/>
                <w:b/>
                <w:color w:val="000000"/>
                <w:sz w:val="21"/>
                <w:szCs w:val="21"/>
              </w:rPr>
              <w:t>各类产品</w:t>
            </w:r>
            <w:r>
              <w:rPr>
                <w:b/>
                <w:color w:val="000000"/>
                <w:sz w:val="21"/>
                <w:szCs w:val="21"/>
              </w:rPr>
              <w:t>原辅料用量一览表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420"/>
              <w:gridCol w:w="2823"/>
              <w:gridCol w:w="1103"/>
              <w:gridCol w:w="1503"/>
            </w:tblGrid>
            <w:tr w14:paraId="6B60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4A24F5F5">
                  <w:pPr>
                    <w:pStyle w:val="42"/>
                    <w:rPr>
                      <w:rFonts w:hint="eastAsia" w:eastAsia="宋体" w:cs="宋体"/>
                      <w:b/>
                      <w:bCs/>
                      <w:color w:val="000000"/>
                      <w:lang w:bidi="ar"/>
                    </w:rPr>
                  </w:pPr>
                  <w:bookmarkStart w:id="5" w:name="_Hlk129786839"/>
                  <w:r>
                    <w:rPr>
                      <w:rFonts w:hint="eastAsia" w:eastAsia="宋体" w:cs="宋体"/>
                      <w:b/>
                      <w:bCs/>
                      <w:color w:val="000000"/>
                      <w:lang w:bidi="ar"/>
                    </w:rPr>
                    <w:t>序号</w:t>
                  </w:r>
                </w:p>
              </w:tc>
              <w:tc>
                <w:tcPr>
                  <w:tcW w:w="894" w:type="pct"/>
                  <w:noWrap w:val="0"/>
                  <w:vAlign w:val="center"/>
                </w:tcPr>
                <w:p w14:paraId="600BA1D9">
                  <w:pPr>
                    <w:pStyle w:val="42"/>
                    <w:rPr>
                      <w:rFonts w:hint="eastAsia" w:eastAsia="宋体" w:cs="宋体"/>
                      <w:b/>
                      <w:bCs/>
                      <w:color w:val="000000"/>
                      <w:lang w:bidi="ar"/>
                    </w:rPr>
                  </w:pPr>
                  <w:r>
                    <w:rPr>
                      <w:rFonts w:hint="eastAsia" w:eastAsia="宋体" w:cs="宋体"/>
                      <w:b/>
                      <w:bCs/>
                      <w:color w:val="000000"/>
                      <w:lang w:bidi="ar"/>
                    </w:rPr>
                    <w:t>名称</w:t>
                  </w:r>
                </w:p>
              </w:tc>
              <w:tc>
                <w:tcPr>
                  <w:tcW w:w="1778" w:type="pct"/>
                  <w:noWrap w:val="0"/>
                  <w:vAlign w:val="center"/>
                </w:tcPr>
                <w:p w14:paraId="71208BC2">
                  <w:pPr>
                    <w:pStyle w:val="42"/>
                    <w:rPr>
                      <w:rFonts w:hint="eastAsia" w:eastAsia="宋体" w:cs="宋体"/>
                      <w:b/>
                      <w:bCs/>
                      <w:color w:val="000000"/>
                      <w:lang w:bidi="ar"/>
                    </w:rPr>
                  </w:pPr>
                  <w:r>
                    <w:rPr>
                      <w:rFonts w:hint="eastAsia" w:eastAsia="宋体" w:cs="宋体"/>
                      <w:b/>
                      <w:bCs/>
                      <w:color w:val="000000"/>
                      <w:lang w:bidi="ar"/>
                    </w:rPr>
                    <w:t>用量</w:t>
                  </w:r>
                </w:p>
              </w:tc>
              <w:tc>
                <w:tcPr>
                  <w:tcW w:w="695" w:type="pct"/>
                  <w:noWrap w:val="0"/>
                  <w:vAlign w:val="center"/>
                </w:tcPr>
                <w:p w14:paraId="60860891">
                  <w:pPr>
                    <w:pStyle w:val="42"/>
                    <w:rPr>
                      <w:rFonts w:hint="eastAsia" w:eastAsia="宋体" w:cs="宋体"/>
                      <w:b/>
                      <w:bCs/>
                      <w:color w:val="000000"/>
                      <w:lang w:bidi="ar"/>
                    </w:rPr>
                  </w:pPr>
                  <w:r>
                    <w:rPr>
                      <w:rFonts w:hint="eastAsia" w:eastAsia="宋体" w:cs="宋体"/>
                      <w:b/>
                      <w:bCs/>
                      <w:color w:val="000000"/>
                      <w:lang w:bidi="ar"/>
                    </w:rPr>
                    <w:t>来源</w:t>
                  </w:r>
                </w:p>
              </w:tc>
              <w:tc>
                <w:tcPr>
                  <w:tcW w:w="946" w:type="pct"/>
                  <w:noWrap w:val="0"/>
                  <w:vAlign w:val="center"/>
                </w:tcPr>
                <w:p w14:paraId="7321CED7">
                  <w:pPr>
                    <w:pStyle w:val="42"/>
                    <w:rPr>
                      <w:rFonts w:hint="eastAsia" w:eastAsia="宋体" w:cs="宋体"/>
                      <w:b/>
                      <w:bCs/>
                      <w:color w:val="000000"/>
                      <w:lang w:bidi="ar"/>
                    </w:rPr>
                  </w:pPr>
                  <w:r>
                    <w:rPr>
                      <w:rFonts w:hint="eastAsia" w:eastAsia="宋体" w:cs="宋体"/>
                      <w:b/>
                      <w:bCs/>
                      <w:color w:val="000000"/>
                      <w:lang w:bidi="ar"/>
                    </w:rPr>
                    <w:t>备注</w:t>
                  </w:r>
                </w:p>
              </w:tc>
            </w:tr>
            <w:tr w14:paraId="1C06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090A7472">
                  <w:pPr>
                    <w:pStyle w:val="42"/>
                    <w:rPr>
                      <w:rFonts w:hint="eastAsia" w:eastAsia="宋体" w:cs="宋体"/>
                      <w:color w:val="000000"/>
                    </w:rPr>
                  </w:pPr>
                  <w:r>
                    <w:rPr>
                      <w:rFonts w:hint="eastAsia" w:eastAsia="宋体" w:cs="宋体"/>
                      <w:color w:val="000000"/>
                    </w:rPr>
                    <w:t>1</w:t>
                  </w:r>
                </w:p>
              </w:tc>
              <w:tc>
                <w:tcPr>
                  <w:tcW w:w="894" w:type="pct"/>
                  <w:noWrap w:val="0"/>
                  <w:vAlign w:val="center"/>
                </w:tcPr>
                <w:p w14:paraId="1B8CE4DC">
                  <w:pPr>
                    <w:pStyle w:val="42"/>
                    <w:rPr>
                      <w:rFonts w:hint="eastAsia" w:eastAsia="宋体" w:cs="宋体"/>
                      <w:color w:val="000000"/>
                    </w:rPr>
                  </w:pPr>
                  <w:r>
                    <w:rPr>
                      <w:rFonts w:hint="eastAsia" w:eastAsia="宋体" w:cs="宋体"/>
                      <w:color w:val="000000"/>
                    </w:rPr>
                    <w:t>鲜花</w:t>
                  </w:r>
                </w:p>
              </w:tc>
              <w:tc>
                <w:tcPr>
                  <w:tcW w:w="1778" w:type="pct"/>
                  <w:noWrap w:val="0"/>
                  <w:vAlign w:val="center"/>
                </w:tcPr>
                <w:p w14:paraId="71245380">
                  <w:pPr>
                    <w:pStyle w:val="42"/>
                    <w:rPr>
                      <w:rFonts w:hint="eastAsia" w:eastAsia="宋体" w:cs="宋体"/>
                      <w:color w:val="000000"/>
                    </w:rPr>
                  </w:pPr>
                  <w:r>
                    <w:rPr>
                      <w:rFonts w:hint="eastAsia" w:eastAsia="宋体" w:cs="宋体"/>
                      <w:color w:val="000000"/>
                    </w:rPr>
                    <w:t>11吨（1000100枝/a）</w:t>
                  </w:r>
                </w:p>
              </w:tc>
              <w:tc>
                <w:tcPr>
                  <w:tcW w:w="695" w:type="pct"/>
                  <w:noWrap w:val="0"/>
                  <w:vAlign w:val="center"/>
                </w:tcPr>
                <w:p w14:paraId="4C430C81">
                  <w:pPr>
                    <w:pStyle w:val="42"/>
                    <w:rPr>
                      <w:rFonts w:hint="eastAsia" w:eastAsia="宋体" w:cs="宋体"/>
                      <w:color w:val="000000"/>
                    </w:rPr>
                  </w:pPr>
                  <w:r>
                    <w:rPr>
                      <w:rFonts w:hint="eastAsia" w:eastAsia="宋体" w:cs="宋体"/>
                      <w:color w:val="000000"/>
                    </w:rPr>
                    <w:t>外购</w:t>
                  </w:r>
                </w:p>
              </w:tc>
              <w:tc>
                <w:tcPr>
                  <w:tcW w:w="946" w:type="pct"/>
                  <w:noWrap w:val="0"/>
                  <w:vAlign w:val="center"/>
                </w:tcPr>
                <w:p w14:paraId="39993A50">
                  <w:pPr>
                    <w:pStyle w:val="42"/>
                    <w:rPr>
                      <w:rFonts w:hint="eastAsia" w:eastAsia="宋体" w:cs="宋体"/>
                      <w:color w:val="000000"/>
                    </w:rPr>
                  </w:pPr>
                  <w:r>
                    <w:rPr>
                      <w:rFonts w:hint="eastAsia" w:eastAsia="宋体" w:cs="宋体"/>
                      <w:color w:val="000000"/>
                    </w:rPr>
                    <w:t>-</w:t>
                  </w:r>
                </w:p>
              </w:tc>
            </w:tr>
            <w:tr w14:paraId="0C1C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0B0AD902">
                  <w:pPr>
                    <w:pStyle w:val="42"/>
                    <w:rPr>
                      <w:rFonts w:hint="eastAsia" w:eastAsia="宋体" w:cs="宋体"/>
                      <w:color w:val="000000"/>
                    </w:rPr>
                  </w:pPr>
                  <w:r>
                    <w:rPr>
                      <w:rFonts w:hint="eastAsia" w:eastAsia="宋体" w:cs="宋体"/>
                      <w:color w:val="000000"/>
                    </w:rPr>
                    <w:t>2</w:t>
                  </w:r>
                </w:p>
              </w:tc>
              <w:tc>
                <w:tcPr>
                  <w:tcW w:w="894" w:type="pct"/>
                  <w:noWrap w:val="0"/>
                  <w:vAlign w:val="center"/>
                </w:tcPr>
                <w:p w14:paraId="46EA7E4C">
                  <w:pPr>
                    <w:pStyle w:val="42"/>
                    <w:rPr>
                      <w:rFonts w:hint="eastAsia" w:eastAsia="宋体" w:cs="宋体"/>
                      <w:color w:val="000000"/>
                    </w:rPr>
                  </w:pPr>
                  <w:r>
                    <w:rPr>
                      <w:rFonts w:hint="eastAsia" w:eastAsia="宋体" w:cs="宋体"/>
                      <w:color w:val="000000"/>
                    </w:rPr>
                    <w:t>甘油</w:t>
                  </w:r>
                </w:p>
              </w:tc>
              <w:tc>
                <w:tcPr>
                  <w:tcW w:w="1778" w:type="pct"/>
                  <w:noWrap w:val="0"/>
                  <w:vAlign w:val="center"/>
                </w:tcPr>
                <w:p w14:paraId="71C847E2">
                  <w:pPr>
                    <w:pStyle w:val="42"/>
                    <w:rPr>
                      <w:rFonts w:hint="eastAsia" w:eastAsia="宋体" w:cs="宋体"/>
                      <w:color w:val="000000"/>
                    </w:rPr>
                  </w:pPr>
                  <w:r>
                    <w:rPr>
                      <w:rFonts w:hint="eastAsia" w:eastAsia="宋体" w:cs="宋体"/>
                      <w:color w:val="000000"/>
                    </w:rPr>
                    <w:t>0.7</w:t>
                  </w:r>
                  <w:r>
                    <w:rPr>
                      <w:rFonts w:eastAsia="宋体" w:cs="宋体"/>
                      <w:color w:val="000000"/>
                    </w:rPr>
                    <w:t>0</w:t>
                  </w:r>
                  <w:r>
                    <w:rPr>
                      <w:rFonts w:hint="eastAsia" w:eastAsia="宋体" w:cs="宋体"/>
                      <w:color w:val="000000"/>
                    </w:rPr>
                    <w:t>t/a</w:t>
                  </w:r>
                </w:p>
              </w:tc>
              <w:tc>
                <w:tcPr>
                  <w:tcW w:w="695" w:type="pct"/>
                  <w:noWrap w:val="0"/>
                  <w:vAlign w:val="center"/>
                </w:tcPr>
                <w:p w14:paraId="2927447A">
                  <w:pPr>
                    <w:pStyle w:val="42"/>
                    <w:rPr>
                      <w:rFonts w:hint="eastAsia" w:eastAsia="宋体" w:cs="宋体"/>
                      <w:color w:val="000000"/>
                    </w:rPr>
                  </w:pPr>
                  <w:r>
                    <w:rPr>
                      <w:rFonts w:hint="eastAsia" w:eastAsia="宋体" w:cs="宋体"/>
                      <w:color w:val="000000"/>
                    </w:rPr>
                    <w:t>外购</w:t>
                  </w:r>
                </w:p>
              </w:tc>
              <w:tc>
                <w:tcPr>
                  <w:tcW w:w="946" w:type="pct"/>
                  <w:noWrap w:val="0"/>
                  <w:vAlign w:val="center"/>
                </w:tcPr>
                <w:p w14:paraId="72C12C47">
                  <w:pPr>
                    <w:pStyle w:val="42"/>
                    <w:rPr>
                      <w:rFonts w:hint="eastAsia" w:eastAsia="宋体" w:cs="宋体"/>
                      <w:color w:val="000000"/>
                    </w:rPr>
                  </w:pPr>
                  <w:r>
                    <w:rPr>
                      <w:rFonts w:hint="eastAsia" w:eastAsia="宋体" w:cs="宋体"/>
                      <w:color w:val="000000"/>
                    </w:rPr>
                    <w:t>-</w:t>
                  </w:r>
                </w:p>
              </w:tc>
            </w:tr>
            <w:tr w14:paraId="25E5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04FFEB2E">
                  <w:pPr>
                    <w:pStyle w:val="42"/>
                    <w:rPr>
                      <w:rFonts w:hint="eastAsia" w:eastAsia="宋体" w:cs="宋体"/>
                      <w:color w:val="000000"/>
                    </w:rPr>
                  </w:pPr>
                  <w:r>
                    <w:rPr>
                      <w:rFonts w:hint="eastAsia" w:eastAsia="宋体" w:cs="宋体"/>
                      <w:color w:val="000000"/>
                    </w:rPr>
                    <w:t>3</w:t>
                  </w:r>
                </w:p>
              </w:tc>
              <w:tc>
                <w:tcPr>
                  <w:tcW w:w="894" w:type="pct"/>
                  <w:noWrap w:val="0"/>
                  <w:vAlign w:val="center"/>
                </w:tcPr>
                <w:p w14:paraId="6E77F61C">
                  <w:pPr>
                    <w:pStyle w:val="42"/>
                    <w:rPr>
                      <w:rFonts w:hint="eastAsia" w:eastAsia="宋体" w:cs="宋体"/>
                      <w:color w:val="000000"/>
                    </w:rPr>
                  </w:pPr>
                  <w:r>
                    <w:rPr>
                      <w:rFonts w:hint="eastAsia" w:eastAsia="宋体" w:cs="宋体"/>
                      <w:color w:val="000000"/>
                    </w:rPr>
                    <w:t>食用色素</w:t>
                  </w:r>
                </w:p>
              </w:tc>
              <w:tc>
                <w:tcPr>
                  <w:tcW w:w="1778" w:type="pct"/>
                  <w:noWrap w:val="0"/>
                  <w:vAlign w:val="center"/>
                </w:tcPr>
                <w:p w14:paraId="4A609A71">
                  <w:pPr>
                    <w:pStyle w:val="42"/>
                    <w:rPr>
                      <w:rFonts w:hint="eastAsia" w:eastAsia="宋体" w:cs="宋体"/>
                      <w:color w:val="000000"/>
                    </w:rPr>
                  </w:pPr>
                  <w:r>
                    <w:rPr>
                      <w:rFonts w:hint="eastAsia" w:eastAsia="宋体" w:cs="宋体"/>
                      <w:color w:val="000000"/>
                    </w:rPr>
                    <w:t>0.0</w:t>
                  </w:r>
                  <w:r>
                    <w:rPr>
                      <w:rFonts w:eastAsia="宋体" w:cs="宋体"/>
                      <w:color w:val="000000"/>
                    </w:rPr>
                    <w:t>6</w:t>
                  </w:r>
                  <w:r>
                    <w:rPr>
                      <w:rFonts w:hint="eastAsia" w:eastAsia="宋体" w:cs="宋体"/>
                      <w:color w:val="000000"/>
                    </w:rPr>
                    <w:t>t/a</w:t>
                  </w:r>
                </w:p>
              </w:tc>
              <w:tc>
                <w:tcPr>
                  <w:tcW w:w="695" w:type="pct"/>
                  <w:noWrap w:val="0"/>
                  <w:vAlign w:val="center"/>
                </w:tcPr>
                <w:p w14:paraId="56AB7B84">
                  <w:pPr>
                    <w:pStyle w:val="42"/>
                    <w:rPr>
                      <w:rFonts w:hint="eastAsia" w:eastAsia="宋体" w:cs="宋体"/>
                      <w:color w:val="000000"/>
                    </w:rPr>
                  </w:pPr>
                  <w:r>
                    <w:rPr>
                      <w:rFonts w:hint="eastAsia" w:eastAsia="宋体" w:cs="宋体"/>
                      <w:color w:val="000000"/>
                    </w:rPr>
                    <w:t>外购</w:t>
                  </w:r>
                </w:p>
              </w:tc>
              <w:tc>
                <w:tcPr>
                  <w:tcW w:w="946" w:type="pct"/>
                  <w:noWrap w:val="0"/>
                  <w:vAlign w:val="center"/>
                </w:tcPr>
                <w:p w14:paraId="0AC1963A">
                  <w:pPr>
                    <w:pStyle w:val="42"/>
                    <w:rPr>
                      <w:rFonts w:hint="eastAsia" w:eastAsia="宋体" w:cs="宋体"/>
                      <w:color w:val="000000"/>
                    </w:rPr>
                  </w:pPr>
                  <w:r>
                    <w:rPr>
                      <w:rFonts w:hint="eastAsia" w:eastAsia="宋体" w:cs="宋体"/>
                      <w:color w:val="000000"/>
                    </w:rPr>
                    <w:t>-</w:t>
                  </w:r>
                </w:p>
              </w:tc>
            </w:tr>
            <w:tr w14:paraId="5BF9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079ED63A">
                  <w:pPr>
                    <w:pStyle w:val="42"/>
                    <w:rPr>
                      <w:rFonts w:hint="eastAsia" w:eastAsia="宋体" w:cs="宋体"/>
                      <w:color w:val="000000"/>
                    </w:rPr>
                  </w:pPr>
                  <w:r>
                    <w:rPr>
                      <w:rFonts w:hint="eastAsia" w:eastAsia="宋体" w:cs="宋体"/>
                      <w:color w:val="000000"/>
                    </w:rPr>
                    <w:t>4</w:t>
                  </w:r>
                </w:p>
              </w:tc>
              <w:tc>
                <w:tcPr>
                  <w:tcW w:w="894" w:type="pct"/>
                  <w:noWrap w:val="0"/>
                  <w:vAlign w:val="center"/>
                </w:tcPr>
                <w:p w14:paraId="176C3682">
                  <w:pPr>
                    <w:pStyle w:val="42"/>
                    <w:rPr>
                      <w:rFonts w:hint="eastAsia" w:eastAsia="宋体" w:cs="宋体"/>
                      <w:color w:val="000000"/>
                    </w:rPr>
                  </w:pPr>
                  <w:r>
                    <w:rPr>
                      <w:rFonts w:hint="eastAsia" w:eastAsia="宋体" w:cs="宋体"/>
                      <w:color w:val="000000"/>
                    </w:rPr>
                    <w:t>甲醇</w:t>
                  </w:r>
                </w:p>
              </w:tc>
              <w:tc>
                <w:tcPr>
                  <w:tcW w:w="1778" w:type="pct"/>
                  <w:noWrap w:val="0"/>
                  <w:vAlign w:val="center"/>
                </w:tcPr>
                <w:p w14:paraId="34BD58F9">
                  <w:pPr>
                    <w:pStyle w:val="42"/>
                    <w:rPr>
                      <w:rFonts w:hint="eastAsia" w:eastAsia="宋体" w:cs="宋体"/>
                      <w:color w:val="000000"/>
                    </w:rPr>
                  </w:pPr>
                  <w:r>
                    <w:rPr>
                      <w:rFonts w:eastAsia="宋体" w:cs="宋体"/>
                      <w:color w:val="000000"/>
                    </w:rPr>
                    <w:t>1.046</w:t>
                  </w:r>
                  <w:r>
                    <w:rPr>
                      <w:rFonts w:hint="eastAsia" w:eastAsia="宋体" w:cs="宋体"/>
                      <w:color w:val="000000"/>
                    </w:rPr>
                    <w:t>t/a</w:t>
                  </w:r>
                </w:p>
              </w:tc>
              <w:tc>
                <w:tcPr>
                  <w:tcW w:w="695" w:type="pct"/>
                  <w:noWrap w:val="0"/>
                  <w:vAlign w:val="center"/>
                </w:tcPr>
                <w:p w14:paraId="0555B64A">
                  <w:pPr>
                    <w:pStyle w:val="42"/>
                    <w:rPr>
                      <w:rFonts w:hint="eastAsia" w:eastAsia="宋体" w:cs="宋体"/>
                      <w:color w:val="000000"/>
                    </w:rPr>
                  </w:pPr>
                  <w:r>
                    <w:rPr>
                      <w:rFonts w:hint="eastAsia" w:eastAsia="宋体" w:cs="宋体"/>
                      <w:color w:val="000000"/>
                    </w:rPr>
                    <w:t>外购</w:t>
                  </w:r>
                </w:p>
              </w:tc>
              <w:tc>
                <w:tcPr>
                  <w:tcW w:w="946" w:type="pct"/>
                  <w:noWrap w:val="0"/>
                  <w:vAlign w:val="center"/>
                </w:tcPr>
                <w:p w14:paraId="3B657F3C">
                  <w:pPr>
                    <w:pStyle w:val="42"/>
                    <w:rPr>
                      <w:rFonts w:hint="eastAsia" w:eastAsia="宋体" w:cs="宋体"/>
                      <w:color w:val="000000"/>
                    </w:rPr>
                  </w:pPr>
                  <w:r>
                    <w:rPr>
                      <w:rFonts w:hint="eastAsia" w:eastAsia="宋体" w:cs="宋体"/>
                      <w:color w:val="000000"/>
                    </w:rPr>
                    <w:t>补充量</w:t>
                  </w:r>
                </w:p>
              </w:tc>
            </w:tr>
            <w:tr w14:paraId="1AA1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pct"/>
                  <w:noWrap/>
                  <w:vAlign w:val="center"/>
                </w:tcPr>
                <w:p w14:paraId="00671499">
                  <w:pPr>
                    <w:pStyle w:val="42"/>
                    <w:rPr>
                      <w:rFonts w:hint="eastAsia" w:eastAsia="宋体" w:cs="宋体"/>
                      <w:color w:val="000000"/>
                    </w:rPr>
                  </w:pPr>
                  <w:r>
                    <w:rPr>
                      <w:rFonts w:hint="eastAsia" w:eastAsia="宋体" w:cs="宋体"/>
                      <w:color w:val="000000"/>
                    </w:rPr>
                    <w:t>5</w:t>
                  </w:r>
                </w:p>
              </w:tc>
              <w:tc>
                <w:tcPr>
                  <w:tcW w:w="894" w:type="pct"/>
                  <w:noWrap w:val="0"/>
                  <w:vAlign w:val="center"/>
                </w:tcPr>
                <w:p w14:paraId="6D3F6308">
                  <w:pPr>
                    <w:pStyle w:val="42"/>
                    <w:rPr>
                      <w:rFonts w:hint="eastAsia" w:eastAsia="宋体" w:cs="宋体"/>
                      <w:color w:val="000000"/>
                    </w:rPr>
                  </w:pPr>
                  <w:r>
                    <w:rPr>
                      <w:rFonts w:hint="eastAsia" w:eastAsia="宋体" w:cs="宋体"/>
                      <w:color w:val="000000"/>
                    </w:rPr>
                    <w:t>漂白剂</w:t>
                  </w:r>
                </w:p>
              </w:tc>
              <w:tc>
                <w:tcPr>
                  <w:tcW w:w="1778" w:type="pct"/>
                  <w:noWrap w:val="0"/>
                  <w:vAlign w:val="center"/>
                </w:tcPr>
                <w:p w14:paraId="20D910F6">
                  <w:pPr>
                    <w:pStyle w:val="42"/>
                    <w:rPr>
                      <w:rFonts w:hint="eastAsia" w:eastAsia="宋体" w:cs="宋体"/>
                      <w:color w:val="000000"/>
                    </w:rPr>
                  </w:pPr>
                  <w:r>
                    <w:rPr>
                      <w:rFonts w:eastAsia="宋体" w:cs="宋体"/>
                      <w:color w:val="000000"/>
                    </w:rPr>
                    <w:t>1.8</w:t>
                  </w:r>
                  <w:r>
                    <w:rPr>
                      <w:rFonts w:hint="eastAsia" w:eastAsia="宋体" w:cs="宋体"/>
                      <w:color w:val="000000"/>
                    </w:rPr>
                    <w:t>t/a</w:t>
                  </w:r>
                </w:p>
              </w:tc>
              <w:tc>
                <w:tcPr>
                  <w:tcW w:w="695" w:type="pct"/>
                  <w:noWrap w:val="0"/>
                  <w:vAlign w:val="center"/>
                </w:tcPr>
                <w:p w14:paraId="09481A62">
                  <w:pPr>
                    <w:pStyle w:val="42"/>
                    <w:rPr>
                      <w:rFonts w:hint="eastAsia" w:eastAsia="宋体" w:cs="宋体"/>
                      <w:color w:val="000000"/>
                    </w:rPr>
                  </w:pPr>
                  <w:r>
                    <w:rPr>
                      <w:rFonts w:hint="eastAsia" w:eastAsia="宋体" w:cs="宋体"/>
                      <w:color w:val="000000"/>
                    </w:rPr>
                    <w:t>外购</w:t>
                  </w:r>
                </w:p>
              </w:tc>
              <w:tc>
                <w:tcPr>
                  <w:tcW w:w="946" w:type="pct"/>
                  <w:noWrap w:val="0"/>
                  <w:vAlign w:val="center"/>
                </w:tcPr>
                <w:p w14:paraId="156C7569">
                  <w:pPr>
                    <w:pStyle w:val="42"/>
                    <w:rPr>
                      <w:rFonts w:hint="eastAsia" w:eastAsia="宋体" w:cs="宋体"/>
                      <w:color w:val="000000"/>
                    </w:rPr>
                  </w:pPr>
                  <w:r>
                    <w:rPr>
                      <w:rFonts w:hint="eastAsia" w:eastAsia="宋体" w:cs="宋体"/>
                      <w:color w:val="000000"/>
                    </w:rPr>
                    <w:t>NaClO</w:t>
                  </w:r>
                </w:p>
              </w:tc>
            </w:tr>
            <w:bookmarkEnd w:id="5"/>
          </w:tbl>
          <w:p w14:paraId="415FA280">
            <w:pPr>
              <w:pStyle w:val="7"/>
              <w:wordWrap w:val="0"/>
              <w:snapToGrid/>
              <w:spacing w:before="0" w:after="0" w:line="360" w:lineRule="auto"/>
              <w:ind w:right="0" w:firstLine="480" w:firstLineChars="200"/>
              <w:jc w:val="left"/>
              <w:rPr>
                <w:rFonts w:hint="eastAsia"/>
                <w:color w:val="000000"/>
                <w:kern w:val="2"/>
                <w:sz w:val="24"/>
                <w:szCs w:val="24"/>
              </w:rPr>
            </w:pPr>
            <w:r>
              <w:rPr>
                <w:rFonts w:hint="eastAsia"/>
                <w:color w:val="000000"/>
                <w:kern w:val="2"/>
                <w:sz w:val="24"/>
                <w:szCs w:val="24"/>
              </w:rPr>
              <w:t>（2）项目主要原辅料理化性质如下：</w:t>
            </w:r>
          </w:p>
          <w:p w14:paraId="7514A4E1">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1）甘油</w:t>
            </w:r>
          </w:p>
          <w:p w14:paraId="1B6ABFD0">
            <w:pPr>
              <w:autoSpaceDE w:val="0"/>
              <w:autoSpaceDN w:val="0"/>
              <w:adjustRightInd w:val="0"/>
              <w:snapToGrid w:val="0"/>
              <w:spacing w:line="360" w:lineRule="auto"/>
              <w:ind w:firstLine="480" w:firstLineChars="200"/>
              <w:rPr>
                <w:color w:val="000000"/>
                <w:sz w:val="24"/>
              </w:rPr>
            </w:pPr>
            <w:r>
              <w:rPr>
                <w:rFonts w:hint="eastAsia"/>
                <w:color w:val="000000"/>
                <w:sz w:val="24"/>
              </w:rPr>
              <w:t>为</w:t>
            </w:r>
            <w:r>
              <w:rPr>
                <w:color w:val="000000"/>
                <w:sz w:val="24"/>
              </w:rPr>
              <w:t>无色粘稠液体无气味，有暖甜味能吸潮。熔点20℃，沸点290.0℃</w:t>
            </w:r>
            <w:r>
              <w:rPr>
                <w:rFonts w:hint="eastAsia"/>
                <w:color w:val="000000"/>
                <w:sz w:val="24"/>
              </w:rPr>
              <w:t>，</w:t>
            </w:r>
            <w:r>
              <w:rPr>
                <w:color w:val="000000"/>
                <w:sz w:val="24"/>
              </w:rPr>
              <w:t>相对密度</w:t>
            </w:r>
            <w:r>
              <w:rPr>
                <w:rFonts w:hint="eastAsia"/>
                <w:color w:val="000000"/>
                <w:sz w:val="24"/>
              </w:rPr>
              <w:t>（</w:t>
            </w:r>
            <w:r>
              <w:rPr>
                <w:color w:val="000000"/>
                <w:sz w:val="24"/>
              </w:rPr>
              <w:t>水=1</w:t>
            </w:r>
            <w:r>
              <w:rPr>
                <w:rFonts w:hint="eastAsia"/>
                <w:color w:val="000000"/>
                <w:sz w:val="24"/>
              </w:rPr>
              <w:t>）</w:t>
            </w:r>
            <w:r>
              <w:rPr>
                <w:color w:val="000000"/>
                <w:sz w:val="24"/>
              </w:rPr>
              <w:t>1.2633</w:t>
            </w:r>
            <w:r>
              <w:rPr>
                <w:rFonts w:hint="eastAsia"/>
                <w:color w:val="000000"/>
                <w:sz w:val="24"/>
              </w:rPr>
              <w:t>，</w:t>
            </w:r>
            <w:r>
              <w:rPr>
                <w:color w:val="000000"/>
                <w:sz w:val="24"/>
              </w:rPr>
              <w:t>相对蒸气密度</w:t>
            </w:r>
            <w:r>
              <w:rPr>
                <w:rFonts w:hint="eastAsia"/>
                <w:color w:val="000000"/>
                <w:sz w:val="24"/>
              </w:rPr>
              <w:t>（</w:t>
            </w:r>
            <w:r>
              <w:rPr>
                <w:color w:val="000000"/>
                <w:sz w:val="24"/>
              </w:rPr>
              <w:t>空气=1</w:t>
            </w:r>
            <w:r>
              <w:rPr>
                <w:rFonts w:hint="eastAsia"/>
                <w:color w:val="000000"/>
                <w:sz w:val="24"/>
              </w:rPr>
              <w:t>）：</w:t>
            </w:r>
            <w:r>
              <w:rPr>
                <w:color w:val="000000"/>
                <w:sz w:val="24"/>
              </w:rPr>
              <w:t>3.1</w:t>
            </w:r>
            <w:r>
              <w:rPr>
                <w:rFonts w:hint="eastAsia"/>
                <w:color w:val="000000"/>
                <w:sz w:val="24"/>
              </w:rPr>
              <w:t>，</w:t>
            </w:r>
            <w:r>
              <w:rPr>
                <w:color w:val="000000"/>
                <w:sz w:val="24"/>
              </w:rPr>
              <w:t>引燃温度370℃</w:t>
            </w:r>
            <w:r>
              <w:rPr>
                <w:rFonts w:hint="eastAsia"/>
                <w:color w:val="000000"/>
                <w:sz w:val="24"/>
              </w:rPr>
              <w:t>，</w:t>
            </w:r>
            <w:r>
              <w:rPr>
                <w:color w:val="000000"/>
                <w:sz w:val="24"/>
              </w:rPr>
              <w:t>体积膨胀系数0.000615</w:t>
            </w:r>
            <w:r>
              <w:rPr>
                <w:rFonts w:hint="eastAsia"/>
                <w:color w:val="000000"/>
                <w:sz w:val="24"/>
              </w:rPr>
              <w:t>，</w:t>
            </w:r>
            <w:r>
              <w:rPr>
                <w:color w:val="000000"/>
                <w:sz w:val="24"/>
              </w:rPr>
              <w:t>可混溶于</w:t>
            </w:r>
            <w:r>
              <w:rPr>
                <w:color w:val="000000"/>
                <w:sz w:val="24"/>
              </w:rPr>
              <w:fldChar w:fldCharType="begin"/>
            </w:r>
            <w:r>
              <w:rPr>
                <w:color w:val="000000"/>
                <w:sz w:val="24"/>
              </w:rPr>
              <w:instrText xml:space="preserve"> HYPERLINK "https://baike.so.com/doc/3036121-3200992.html" \t "https://baike.so.com/doc/_blank" </w:instrText>
            </w:r>
            <w:r>
              <w:rPr>
                <w:color w:val="000000"/>
                <w:sz w:val="24"/>
              </w:rPr>
              <w:fldChar w:fldCharType="separate"/>
            </w:r>
            <w:r>
              <w:rPr>
                <w:color w:val="000000"/>
                <w:sz w:val="24"/>
              </w:rPr>
              <w:t>乙醇</w:t>
            </w:r>
            <w:r>
              <w:rPr>
                <w:color w:val="000000"/>
                <w:sz w:val="24"/>
              </w:rPr>
              <w:fldChar w:fldCharType="end"/>
            </w:r>
            <w:r>
              <w:rPr>
                <w:color w:val="000000"/>
                <w:sz w:val="24"/>
              </w:rPr>
              <w:t>，与水混溶，不溶于氯仿、</w:t>
            </w:r>
            <w:r>
              <w:rPr>
                <w:color w:val="000000"/>
                <w:sz w:val="24"/>
              </w:rPr>
              <w:fldChar w:fldCharType="begin"/>
            </w:r>
            <w:r>
              <w:rPr>
                <w:color w:val="000000"/>
                <w:sz w:val="24"/>
              </w:rPr>
              <w:instrText xml:space="preserve"> HYPERLINK "https://baike.so.com/doc/1396101-1475990.html" \t "https://baike.so.com/doc/_blank" </w:instrText>
            </w:r>
            <w:r>
              <w:rPr>
                <w:color w:val="000000"/>
                <w:sz w:val="24"/>
              </w:rPr>
              <w:fldChar w:fldCharType="separate"/>
            </w:r>
            <w:r>
              <w:rPr>
                <w:color w:val="000000"/>
                <w:sz w:val="24"/>
              </w:rPr>
              <w:t>醚</w:t>
            </w:r>
            <w:r>
              <w:rPr>
                <w:color w:val="000000"/>
                <w:sz w:val="24"/>
              </w:rPr>
              <w:fldChar w:fldCharType="end"/>
            </w:r>
            <w:r>
              <w:rPr>
                <w:color w:val="000000"/>
                <w:sz w:val="24"/>
              </w:rPr>
              <w:t>、</w:t>
            </w:r>
            <w:r>
              <w:rPr>
                <w:color w:val="000000"/>
                <w:sz w:val="24"/>
              </w:rPr>
              <w:fldChar w:fldCharType="begin"/>
            </w:r>
            <w:r>
              <w:rPr>
                <w:color w:val="000000"/>
                <w:sz w:val="24"/>
              </w:rPr>
              <w:instrText xml:space="preserve"> HYPERLINK "https://baike.so.com/doc/3452665-3633155.html" \t "https://baike.so.com/doc/_blank" </w:instrText>
            </w:r>
            <w:r>
              <w:rPr>
                <w:color w:val="000000"/>
                <w:sz w:val="24"/>
              </w:rPr>
              <w:fldChar w:fldCharType="separate"/>
            </w:r>
            <w:r>
              <w:rPr>
                <w:color w:val="000000"/>
                <w:sz w:val="24"/>
              </w:rPr>
              <w:t>二硫化碳</w:t>
            </w:r>
            <w:r>
              <w:rPr>
                <w:color w:val="000000"/>
                <w:sz w:val="24"/>
              </w:rPr>
              <w:fldChar w:fldCharType="end"/>
            </w:r>
            <w:r>
              <w:rPr>
                <w:color w:val="000000"/>
                <w:sz w:val="24"/>
              </w:rPr>
              <w:t>，</w:t>
            </w:r>
            <w:r>
              <w:rPr>
                <w:color w:val="000000"/>
                <w:sz w:val="24"/>
              </w:rPr>
              <w:fldChar w:fldCharType="begin"/>
            </w:r>
            <w:r>
              <w:rPr>
                <w:color w:val="000000"/>
                <w:sz w:val="24"/>
              </w:rPr>
              <w:instrText xml:space="preserve"> HYPERLINK "https://baike.so.com/doc/3194557-3366490.html" \t "https://baike.so.com/doc/_blank" </w:instrText>
            </w:r>
            <w:r>
              <w:rPr>
                <w:color w:val="000000"/>
                <w:sz w:val="24"/>
              </w:rPr>
              <w:fldChar w:fldCharType="separate"/>
            </w:r>
            <w:r>
              <w:rPr>
                <w:color w:val="000000"/>
                <w:sz w:val="24"/>
              </w:rPr>
              <w:t>苯</w:t>
            </w:r>
            <w:r>
              <w:rPr>
                <w:color w:val="000000"/>
                <w:sz w:val="24"/>
              </w:rPr>
              <w:fldChar w:fldCharType="end"/>
            </w:r>
            <w:r>
              <w:rPr>
                <w:color w:val="000000"/>
                <w:sz w:val="24"/>
              </w:rPr>
              <w:t>，油类。可溶解某些</w:t>
            </w:r>
            <w:r>
              <w:rPr>
                <w:color w:val="000000"/>
                <w:sz w:val="24"/>
              </w:rPr>
              <w:fldChar w:fldCharType="begin"/>
            </w:r>
            <w:r>
              <w:rPr>
                <w:color w:val="000000"/>
                <w:sz w:val="24"/>
              </w:rPr>
              <w:instrText xml:space="preserve"> HYPERLINK "https://baike.so.com/doc/4688054-4901976.html" \t "https://baike.so.com/doc/_blank" </w:instrText>
            </w:r>
            <w:r>
              <w:rPr>
                <w:color w:val="000000"/>
                <w:sz w:val="24"/>
              </w:rPr>
              <w:fldChar w:fldCharType="separate"/>
            </w:r>
            <w:r>
              <w:rPr>
                <w:color w:val="000000"/>
                <w:sz w:val="24"/>
              </w:rPr>
              <w:t>无机物</w:t>
            </w:r>
            <w:r>
              <w:rPr>
                <w:color w:val="000000"/>
                <w:sz w:val="24"/>
              </w:rPr>
              <w:fldChar w:fldCharType="end"/>
            </w:r>
            <w:r>
              <w:rPr>
                <w:color w:val="000000"/>
                <w:sz w:val="24"/>
              </w:rPr>
              <w:t>。</w:t>
            </w:r>
          </w:p>
          <w:p w14:paraId="7D97B7F2">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2）食用色素</w:t>
            </w:r>
          </w:p>
          <w:p w14:paraId="37AB99BD">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红褐色或暗红褐色均匀粉末或颗粒，无臭，耐光、耐热性（105℃）强，对柠檬酸、酒石酸稳定，在碱液中则变为暗红色。易溶于水，呈带蓝光的红色溶液，可溶于甘油，微溶于乙醇，不溶于油脂。本品遇铜、铁易褪色，易被细菌分解，耐氧化、还原性差，不适于发酵食品应用，系装饰用。</w:t>
            </w:r>
          </w:p>
          <w:p w14:paraId="306EBDEF">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3）甲醇</w:t>
            </w:r>
          </w:p>
          <w:p w14:paraId="37D5E5BB">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甲醇系结构最为简单的饱和一元醇，分子量32，沸点64.7℃。又称“木醇”或“木精”。是无色有酒精气味易挥发的液体。人口服中毒最低剂量约为100mg/kg体重，经口摄入0.3～1g/kg可致死。用于制造甲醛和农药等，并用作有机物的萃取剂和酒精的变性剂等。通常由一氧化碳与氢气反应制得。</w:t>
            </w:r>
          </w:p>
          <w:p w14:paraId="28469122">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4）漂白剂</w:t>
            </w:r>
          </w:p>
          <w:p w14:paraId="69EA1312">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漂白剂成分主要为NaClO，微黄色溶液，有似氯气的气味，用于水的净化，消毒剂，纸浆漂白等，易溶于水，受高热分解产生有毒的腐蚀性烟气，具有腐蚀性。</w:t>
            </w:r>
          </w:p>
          <w:p w14:paraId="7552901F">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六、劳动定员及工作制度</w:t>
            </w:r>
          </w:p>
          <w:p w14:paraId="0E47444D">
            <w:pPr>
              <w:autoSpaceDE w:val="0"/>
              <w:autoSpaceDN w:val="0"/>
              <w:adjustRightInd w:val="0"/>
              <w:snapToGrid w:val="0"/>
              <w:spacing w:line="360" w:lineRule="auto"/>
              <w:ind w:firstLine="480" w:firstLineChars="200"/>
              <w:rPr>
                <w:rFonts w:hint="eastAsia"/>
                <w:color w:val="000000"/>
                <w:sz w:val="24"/>
              </w:rPr>
            </w:pPr>
            <w:r>
              <w:rPr>
                <w:color w:val="000000"/>
                <w:sz w:val="24"/>
              </w:rPr>
              <w:t>本项目劳动定员为20人，全部员工</w:t>
            </w:r>
            <w:r>
              <w:rPr>
                <w:rFonts w:hint="eastAsia"/>
                <w:color w:val="000000"/>
                <w:sz w:val="24"/>
              </w:rPr>
              <w:t>在厂区用餐，其中3人在项目区住宿；</w:t>
            </w:r>
            <w:r>
              <w:rPr>
                <w:color w:val="000000"/>
                <w:sz w:val="24"/>
              </w:rPr>
              <w:t>年工作300天，其中，脱色、染色工序工作时间为</w:t>
            </w:r>
            <w:r>
              <w:rPr>
                <w:rFonts w:hint="eastAsia"/>
                <w:color w:val="000000"/>
                <w:sz w:val="24"/>
              </w:rPr>
              <w:t>12</w:t>
            </w:r>
            <w:r>
              <w:rPr>
                <w:color w:val="000000"/>
                <w:sz w:val="24"/>
              </w:rPr>
              <w:t>0</w:t>
            </w:r>
            <w:r>
              <w:rPr>
                <w:rFonts w:hint="eastAsia"/>
                <w:color w:val="000000"/>
                <w:sz w:val="24"/>
              </w:rPr>
              <w:t>天，每天24小时；除湿间80天，每天工作</w:t>
            </w:r>
            <w:r>
              <w:rPr>
                <w:color w:val="000000"/>
                <w:sz w:val="24"/>
              </w:rPr>
              <w:t>8小时</w:t>
            </w:r>
            <w:r>
              <w:rPr>
                <w:rFonts w:hint="eastAsia"/>
                <w:color w:val="000000"/>
                <w:sz w:val="24"/>
              </w:rPr>
              <w:t>。</w:t>
            </w:r>
          </w:p>
          <w:p w14:paraId="30DDCCA6">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七、总平面布置</w:t>
            </w:r>
          </w:p>
          <w:p w14:paraId="365F53E2">
            <w:pPr>
              <w:autoSpaceDE w:val="0"/>
              <w:autoSpaceDN w:val="0"/>
              <w:adjustRightInd w:val="0"/>
              <w:snapToGrid w:val="0"/>
              <w:spacing w:line="360" w:lineRule="auto"/>
              <w:ind w:firstLine="480" w:firstLineChars="200"/>
              <w:rPr>
                <w:color w:val="000000"/>
                <w:sz w:val="24"/>
              </w:rPr>
            </w:pPr>
            <w:r>
              <w:rPr>
                <w:rFonts w:hint="eastAsia"/>
                <w:color w:val="000000"/>
                <w:sz w:val="24"/>
              </w:rPr>
              <w:t>项目位于石林县板桥街道板桥社区碧落甸村，项目建设内容包括主体工程，辅助工程，公用工程和环保工程，其中主体工程为：鲜花分拣车间，花材仓库，脱色车间，脱色车间，染色车间，除湿车间。辅助工程为：门卫室、卫生间、宿舍、办公室展厅。卫生间、宿舍、办公室展厅位于项目区东南侧，花材仓库位于项目区东北侧，除湿车间位于项目区北侧，染色车间、脱色车间位于项目区中北部，项目进场道路及入口位于项目区东侧。项目总平面布置示意图详见附图3。</w:t>
            </w:r>
          </w:p>
          <w:p w14:paraId="170919D3">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八、项目周边环境概况</w:t>
            </w:r>
          </w:p>
          <w:p w14:paraId="079B5492">
            <w:pPr>
              <w:spacing w:line="360" w:lineRule="auto"/>
              <w:ind w:firstLine="480" w:firstLineChars="200"/>
              <w:rPr>
                <w:rFonts w:hint="eastAsia"/>
                <w:bCs/>
                <w:color w:val="000000"/>
                <w:sz w:val="24"/>
              </w:rPr>
            </w:pPr>
            <w:r>
              <w:rPr>
                <w:rFonts w:hint="eastAsia"/>
                <w:color w:val="000000"/>
                <w:sz w:val="24"/>
              </w:rPr>
              <w:t>项目位于石林县板桥街道板桥社区碧落甸村，大可河位于项目区东侧175m处，</w:t>
            </w:r>
            <w:r>
              <w:rPr>
                <w:rFonts w:hint="eastAsia"/>
                <w:bCs/>
                <w:color w:val="000000"/>
                <w:sz w:val="24"/>
              </w:rPr>
              <w:t>厂址外内500m范围内没有风景名胜、文物古迹，无特殊森林景观和其它自然景观资源，无国家重点保护的珍稀和濒危动植物。拟建项目地理位置图见附图1，周边关系图见附图4。</w:t>
            </w:r>
          </w:p>
          <w:p w14:paraId="35D0642F">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九、施工进度</w:t>
            </w:r>
          </w:p>
          <w:p w14:paraId="4D665B0C">
            <w:pPr>
              <w:spacing w:line="360" w:lineRule="auto"/>
              <w:ind w:firstLine="480" w:firstLineChars="200"/>
              <w:rPr>
                <w:rFonts w:hint="eastAsia"/>
                <w:color w:val="000000"/>
                <w:sz w:val="24"/>
              </w:rPr>
            </w:pPr>
            <w:r>
              <w:rPr>
                <w:rFonts w:hint="eastAsia"/>
                <w:color w:val="000000"/>
                <w:sz w:val="24"/>
              </w:rPr>
              <w:t>项目已建设完成主体工程、辅助工程、公用工程和部分环保工程，根据现场踏勘，项目厂房为租赁厂房，目前鲜花分拣车间、花材仓库、鲜花脱色车间、鲜花晾晒车间、鲜花染色晾晒干燥车间、鲜花吸收车间、门卫室、卫生间、宿舍、办公室展厅、化粪池、均已基本建设完成，本次建设施工需进行有机废气环保设施安装、隔油池、一般固废暂存间、危废暂存间的建设。</w:t>
            </w:r>
          </w:p>
          <w:p w14:paraId="4FA5EFC3">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十、水平衡</w:t>
            </w:r>
          </w:p>
          <w:p w14:paraId="35103047">
            <w:pPr>
              <w:spacing w:line="360" w:lineRule="auto"/>
              <w:ind w:firstLine="480" w:firstLineChars="200"/>
              <w:rPr>
                <w:rFonts w:hint="eastAsia"/>
                <w:color w:val="000000"/>
                <w:sz w:val="24"/>
              </w:rPr>
            </w:pPr>
            <w:r>
              <w:rPr>
                <w:rFonts w:hint="eastAsia"/>
                <w:color w:val="000000"/>
                <w:sz w:val="24"/>
              </w:rPr>
              <w:t>本项目主要用水环节为生产用水（生产用水为脱色染色工序配置溶液用水），以及生活用水和绿化用水，项目用水量核算如下：</w:t>
            </w:r>
          </w:p>
          <w:p w14:paraId="0E81A980">
            <w:pPr>
              <w:autoSpaceDE w:val="0"/>
              <w:autoSpaceDN w:val="0"/>
              <w:adjustRightInd w:val="0"/>
              <w:snapToGrid w:val="0"/>
              <w:spacing w:line="360" w:lineRule="auto"/>
              <w:ind w:firstLine="480" w:firstLineChars="200"/>
              <w:rPr>
                <w:color w:val="000000"/>
                <w:sz w:val="24"/>
              </w:rPr>
            </w:pPr>
            <w:r>
              <w:rPr>
                <w:rFonts w:hint="eastAsia"/>
                <w:color w:val="000000"/>
                <w:sz w:val="24"/>
              </w:rPr>
              <w:t>1、生产用水</w:t>
            </w:r>
          </w:p>
          <w:p w14:paraId="528BEC34">
            <w:pPr>
              <w:autoSpaceDE w:val="0"/>
              <w:autoSpaceDN w:val="0"/>
              <w:adjustRightInd w:val="0"/>
              <w:snapToGrid w:val="0"/>
              <w:spacing w:line="360" w:lineRule="auto"/>
              <w:ind w:firstLine="480" w:firstLineChars="200"/>
              <w:rPr>
                <w:color w:val="000000"/>
                <w:sz w:val="24"/>
              </w:rPr>
            </w:pPr>
            <w:r>
              <w:rPr>
                <w:rFonts w:hint="eastAsia"/>
                <w:color w:val="000000"/>
                <w:sz w:val="24"/>
              </w:rPr>
              <w:t>（1）脱色用水</w:t>
            </w:r>
          </w:p>
          <w:p w14:paraId="6CF89532">
            <w:pPr>
              <w:autoSpaceDE w:val="0"/>
              <w:autoSpaceDN w:val="0"/>
              <w:adjustRightInd w:val="0"/>
              <w:snapToGrid w:val="0"/>
              <w:spacing w:line="360" w:lineRule="auto"/>
              <w:ind w:firstLine="480" w:firstLineChars="200"/>
              <w:rPr>
                <w:color w:val="000000"/>
                <w:sz w:val="24"/>
              </w:rPr>
            </w:pPr>
            <w:r>
              <w:rPr>
                <w:rFonts w:hint="eastAsia"/>
                <w:color w:val="000000"/>
                <w:sz w:val="24"/>
              </w:rPr>
              <w:t>项目脱色用水参照《云南省地方标准用水定额》（DB53/T168-2013）中漂白化学非木（麦草、芦苇、甘蔗渣）浆，用水为130m</w:t>
            </w:r>
            <w:r>
              <w:rPr>
                <w:rFonts w:hint="eastAsia"/>
                <w:color w:val="000000"/>
                <w:sz w:val="24"/>
                <w:vertAlign w:val="superscript"/>
              </w:rPr>
              <w:t>3</w:t>
            </w:r>
            <w:r>
              <w:rPr>
                <w:rFonts w:hint="eastAsia"/>
                <w:color w:val="000000"/>
                <w:sz w:val="24"/>
              </w:rPr>
              <w:t>/t-原料，项目漂白鲜花10t/a，则漂白用水量为</w:t>
            </w:r>
            <w:r>
              <w:rPr>
                <w:color w:val="000000"/>
                <w:sz w:val="24"/>
              </w:rPr>
              <w:t>10.8m</w:t>
            </w:r>
            <w:r>
              <w:rPr>
                <w:color w:val="000000"/>
                <w:sz w:val="24"/>
                <w:vertAlign w:val="superscript"/>
              </w:rPr>
              <w:t>3</w:t>
            </w:r>
            <w:r>
              <w:rPr>
                <w:color w:val="000000"/>
                <w:sz w:val="24"/>
              </w:rPr>
              <w:t>/d</w:t>
            </w:r>
            <w:r>
              <w:rPr>
                <w:rFonts w:hint="eastAsia"/>
                <w:color w:val="000000"/>
                <w:sz w:val="24"/>
              </w:rPr>
              <w:t>，1300</w:t>
            </w:r>
            <w:r>
              <w:rPr>
                <w:color w:val="000000"/>
                <w:sz w:val="24"/>
              </w:rPr>
              <w:t>m</w:t>
            </w:r>
            <w:r>
              <w:rPr>
                <w:color w:val="000000"/>
                <w:sz w:val="24"/>
                <w:vertAlign w:val="superscript"/>
              </w:rPr>
              <w:t>3</w:t>
            </w:r>
            <w:r>
              <w:rPr>
                <w:color w:val="000000"/>
                <w:sz w:val="24"/>
              </w:rPr>
              <w:t>/</w:t>
            </w:r>
            <w:r>
              <w:rPr>
                <w:rFonts w:hint="eastAsia"/>
                <w:color w:val="000000"/>
                <w:sz w:val="24"/>
              </w:rPr>
              <w:t>a，项目漂白工序在桶内进行，并用防火布覆盖，漂白溶液在漂白桶内循环使用，不产生废水。生产新鲜水补充量约为</w:t>
            </w:r>
            <w:r>
              <w:rPr>
                <w:color w:val="000000"/>
                <w:sz w:val="24"/>
              </w:rPr>
              <w:t>1.08m</w:t>
            </w:r>
            <w:r>
              <w:rPr>
                <w:color w:val="000000"/>
                <w:sz w:val="24"/>
                <w:vertAlign w:val="superscript"/>
              </w:rPr>
              <w:t>3</w:t>
            </w:r>
            <w:r>
              <w:rPr>
                <w:color w:val="000000"/>
                <w:sz w:val="24"/>
              </w:rPr>
              <w:t>/d</w:t>
            </w:r>
            <w:r>
              <w:rPr>
                <w:rFonts w:hint="eastAsia"/>
                <w:color w:val="000000"/>
                <w:sz w:val="24"/>
              </w:rPr>
              <w:t>，年用水量</w:t>
            </w:r>
            <w:r>
              <w:rPr>
                <w:color w:val="000000"/>
                <w:sz w:val="24"/>
              </w:rPr>
              <w:t>129.6m</w:t>
            </w:r>
            <w:r>
              <w:rPr>
                <w:color w:val="000000"/>
                <w:sz w:val="24"/>
                <w:vertAlign w:val="superscript"/>
              </w:rPr>
              <w:t>3</w:t>
            </w:r>
            <w:r>
              <w:rPr>
                <w:color w:val="000000"/>
                <w:sz w:val="24"/>
              </w:rPr>
              <w:t>/</w:t>
            </w:r>
            <w:r>
              <w:rPr>
                <w:rFonts w:hint="eastAsia"/>
                <w:color w:val="000000"/>
                <w:sz w:val="24"/>
              </w:rPr>
              <w:t>a。</w:t>
            </w:r>
          </w:p>
          <w:p w14:paraId="0F95286B">
            <w:pPr>
              <w:autoSpaceDE w:val="0"/>
              <w:autoSpaceDN w:val="0"/>
              <w:adjustRightInd w:val="0"/>
              <w:snapToGrid w:val="0"/>
              <w:spacing w:line="360" w:lineRule="auto"/>
              <w:ind w:firstLine="480" w:firstLineChars="200"/>
              <w:rPr>
                <w:color w:val="000000"/>
                <w:sz w:val="24"/>
              </w:rPr>
            </w:pPr>
            <w:r>
              <w:rPr>
                <w:rFonts w:hint="eastAsia"/>
                <w:color w:val="000000"/>
                <w:sz w:val="24"/>
              </w:rPr>
              <w:t>（2）染色用水</w:t>
            </w:r>
          </w:p>
          <w:p w14:paraId="7D372451">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脱色完成后进行染色，通过在PE桶内添加甲醇、甘油、色素和水混合后调至成溶液染色鲜花，PE桶采用防火布密闭覆盖，染色溶液在染色桶内循环使用，不产生废水。用水量、损耗量和脱色工序一致，则染色用水量为10.8</w:t>
            </w:r>
            <w:r>
              <w:rPr>
                <w:color w:val="000000"/>
                <w:sz w:val="24"/>
              </w:rPr>
              <w:t>m</w:t>
            </w:r>
            <w:r>
              <w:rPr>
                <w:color w:val="000000"/>
                <w:sz w:val="24"/>
                <w:vertAlign w:val="superscript"/>
              </w:rPr>
              <w:t>3</w:t>
            </w:r>
            <w:r>
              <w:rPr>
                <w:color w:val="000000"/>
                <w:sz w:val="24"/>
              </w:rPr>
              <w:t>/d</w:t>
            </w:r>
            <w:r>
              <w:rPr>
                <w:rFonts w:hint="eastAsia"/>
                <w:color w:val="000000"/>
                <w:sz w:val="24"/>
              </w:rPr>
              <w:t>，1300</w:t>
            </w:r>
            <w:r>
              <w:rPr>
                <w:color w:val="000000"/>
                <w:sz w:val="24"/>
              </w:rPr>
              <w:t>m</w:t>
            </w:r>
            <w:r>
              <w:rPr>
                <w:color w:val="000000"/>
                <w:sz w:val="24"/>
                <w:vertAlign w:val="superscript"/>
              </w:rPr>
              <w:t>3</w:t>
            </w:r>
            <w:r>
              <w:rPr>
                <w:color w:val="000000"/>
                <w:sz w:val="24"/>
              </w:rPr>
              <w:t>/</w:t>
            </w:r>
            <w:r>
              <w:rPr>
                <w:rFonts w:hint="eastAsia"/>
                <w:color w:val="000000"/>
                <w:sz w:val="24"/>
              </w:rPr>
              <w:t>a；损耗量为1.08</w:t>
            </w:r>
            <w:r>
              <w:rPr>
                <w:color w:val="000000"/>
                <w:sz w:val="24"/>
              </w:rPr>
              <w:t>m</w:t>
            </w:r>
            <w:r>
              <w:rPr>
                <w:color w:val="000000"/>
                <w:sz w:val="24"/>
                <w:vertAlign w:val="superscript"/>
              </w:rPr>
              <w:t>3</w:t>
            </w:r>
            <w:r>
              <w:rPr>
                <w:color w:val="000000"/>
                <w:sz w:val="24"/>
              </w:rPr>
              <w:t>/d</w:t>
            </w:r>
            <w:r>
              <w:rPr>
                <w:rFonts w:hint="eastAsia"/>
                <w:color w:val="000000"/>
                <w:sz w:val="24"/>
              </w:rPr>
              <w:t>，129.6</w:t>
            </w:r>
            <w:r>
              <w:rPr>
                <w:color w:val="000000"/>
                <w:sz w:val="24"/>
              </w:rPr>
              <w:t>m</w:t>
            </w:r>
            <w:r>
              <w:rPr>
                <w:color w:val="000000"/>
                <w:sz w:val="24"/>
                <w:vertAlign w:val="superscript"/>
              </w:rPr>
              <w:t>3</w:t>
            </w:r>
            <w:r>
              <w:rPr>
                <w:color w:val="000000"/>
                <w:sz w:val="24"/>
              </w:rPr>
              <w:t>/</w:t>
            </w:r>
            <w:r>
              <w:rPr>
                <w:rFonts w:hint="eastAsia"/>
                <w:color w:val="000000"/>
                <w:sz w:val="24"/>
              </w:rPr>
              <w:t>a；新鲜水补充量约为1.08</w:t>
            </w:r>
            <w:r>
              <w:rPr>
                <w:color w:val="000000"/>
                <w:sz w:val="24"/>
              </w:rPr>
              <w:t>m</w:t>
            </w:r>
            <w:r>
              <w:rPr>
                <w:color w:val="000000"/>
                <w:sz w:val="24"/>
                <w:vertAlign w:val="superscript"/>
              </w:rPr>
              <w:t>3</w:t>
            </w:r>
            <w:r>
              <w:rPr>
                <w:color w:val="000000"/>
                <w:sz w:val="24"/>
              </w:rPr>
              <w:t>/d</w:t>
            </w:r>
            <w:r>
              <w:rPr>
                <w:rFonts w:hint="eastAsia"/>
                <w:color w:val="000000"/>
                <w:sz w:val="24"/>
              </w:rPr>
              <w:t>，年用水量129.6</w:t>
            </w:r>
            <w:r>
              <w:rPr>
                <w:color w:val="000000"/>
                <w:sz w:val="24"/>
              </w:rPr>
              <w:t>m</w:t>
            </w:r>
            <w:r>
              <w:rPr>
                <w:color w:val="000000"/>
                <w:sz w:val="24"/>
                <w:vertAlign w:val="superscript"/>
              </w:rPr>
              <w:t>3</w:t>
            </w:r>
            <w:r>
              <w:rPr>
                <w:color w:val="000000"/>
                <w:sz w:val="24"/>
              </w:rPr>
              <w:t>/</w:t>
            </w:r>
            <w:r>
              <w:rPr>
                <w:rFonts w:hint="eastAsia"/>
                <w:color w:val="000000"/>
                <w:sz w:val="24"/>
              </w:rPr>
              <w:t>a。</w:t>
            </w:r>
          </w:p>
          <w:p w14:paraId="2ECDA0DD">
            <w:pPr>
              <w:autoSpaceDE w:val="0"/>
              <w:autoSpaceDN w:val="0"/>
              <w:adjustRightInd w:val="0"/>
              <w:snapToGrid w:val="0"/>
              <w:spacing w:line="360" w:lineRule="auto"/>
              <w:ind w:firstLine="480" w:firstLineChars="200"/>
              <w:rPr>
                <w:color w:val="000000"/>
                <w:sz w:val="24"/>
              </w:rPr>
            </w:pPr>
            <w:r>
              <w:rPr>
                <w:color w:val="000000"/>
                <w:sz w:val="24"/>
              </w:rPr>
              <w:t>2</w:t>
            </w:r>
            <w:r>
              <w:rPr>
                <w:rFonts w:hint="eastAsia"/>
                <w:color w:val="000000"/>
                <w:sz w:val="24"/>
              </w:rPr>
              <w:t>、生活用水</w:t>
            </w:r>
          </w:p>
          <w:p w14:paraId="49833E99">
            <w:pPr>
              <w:wordWrap w:val="0"/>
              <w:spacing w:line="360" w:lineRule="auto"/>
              <w:ind w:firstLine="480" w:firstLineChars="200"/>
              <w:rPr>
                <w:rFonts w:hint="eastAsia"/>
                <w:color w:val="000000"/>
                <w:sz w:val="24"/>
              </w:rPr>
            </w:pPr>
            <w:r>
              <w:rPr>
                <w:rFonts w:hint="eastAsia"/>
                <w:color w:val="000000"/>
                <w:sz w:val="24"/>
              </w:rPr>
              <w:t>全厂</w:t>
            </w:r>
            <w:r>
              <w:rPr>
                <w:color w:val="000000"/>
                <w:sz w:val="24"/>
              </w:rPr>
              <w:t>共有员工</w:t>
            </w:r>
            <w:r>
              <w:rPr>
                <w:rFonts w:hint="eastAsia"/>
                <w:color w:val="000000"/>
                <w:sz w:val="24"/>
              </w:rPr>
              <w:t>2</w:t>
            </w:r>
            <w:r>
              <w:rPr>
                <w:color w:val="000000"/>
                <w:sz w:val="24"/>
              </w:rPr>
              <w:t>0人，</w:t>
            </w:r>
            <w:r>
              <w:rPr>
                <w:rFonts w:hint="eastAsia"/>
                <w:color w:val="000000"/>
                <w:sz w:val="24"/>
              </w:rPr>
              <w:t>其中3人在项目区住宿，其余人员为周围村民，在项目吃饭，不在项目区住宿。</w:t>
            </w:r>
          </w:p>
          <w:p w14:paraId="375EF2D5">
            <w:pPr>
              <w:wordWrap w:val="0"/>
              <w:spacing w:line="360" w:lineRule="auto"/>
              <w:ind w:firstLine="480" w:firstLineChars="200"/>
              <w:rPr>
                <w:rFonts w:hint="eastAsia"/>
                <w:color w:val="000000"/>
                <w:sz w:val="24"/>
              </w:rPr>
            </w:pPr>
            <w:r>
              <w:rPr>
                <w:rFonts w:hint="eastAsia"/>
                <w:color w:val="000000"/>
                <w:sz w:val="24"/>
              </w:rPr>
              <w:t>厂内食宿的员工根据《云南省地方标准用水定额》（DB53/T168-2013）中城镇用水定额的规定，以100L/（人·天）计，则在厂内食宿的3人用水量为0.3m</w:t>
            </w:r>
            <w:r>
              <w:rPr>
                <w:rFonts w:hint="eastAsia"/>
                <w:color w:val="000000"/>
                <w:sz w:val="24"/>
                <w:vertAlign w:val="superscript"/>
              </w:rPr>
              <w:t>3</w:t>
            </w:r>
            <w:r>
              <w:rPr>
                <w:rFonts w:hint="eastAsia"/>
                <w:color w:val="000000"/>
                <w:sz w:val="24"/>
              </w:rPr>
              <w:t>/d，90</w:t>
            </w:r>
            <w:r>
              <w:rPr>
                <w:color w:val="000000"/>
                <w:sz w:val="24"/>
              </w:rPr>
              <w:t>m</w:t>
            </w:r>
            <w:r>
              <w:rPr>
                <w:color w:val="000000"/>
                <w:sz w:val="24"/>
                <w:vertAlign w:val="superscript"/>
              </w:rPr>
              <w:t>3</w:t>
            </w:r>
            <w:r>
              <w:rPr>
                <w:color w:val="000000"/>
                <w:sz w:val="24"/>
              </w:rPr>
              <w:t>/</w:t>
            </w:r>
            <w:r>
              <w:rPr>
                <w:rFonts w:hint="eastAsia"/>
                <w:color w:val="000000"/>
                <w:sz w:val="24"/>
              </w:rPr>
              <w:t>a，排放系数按80%计算，则生活污水产生量为0.24m</w:t>
            </w:r>
            <w:r>
              <w:rPr>
                <w:rFonts w:hint="eastAsia"/>
                <w:color w:val="000000"/>
                <w:sz w:val="24"/>
                <w:vertAlign w:val="superscript"/>
              </w:rPr>
              <w:t>3</w:t>
            </w:r>
            <w:r>
              <w:rPr>
                <w:rFonts w:hint="eastAsia"/>
                <w:color w:val="000000"/>
                <w:sz w:val="24"/>
              </w:rPr>
              <w:t>/d，72</w:t>
            </w:r>
            <w:r>
              <w:rPr>
                <w:color w:val="000000"/>
                <w:sz w:val="24"/>
              </w:rPr>
              <w:t>m</w:t>
            </w:r>
            <w:r>
              <w:rPr>
                <w:color w:val="000000"/>
                <w:sz w:val="24"/>
                <w:vertAlign w:val="superscript"/>
              </w:rPr>
              <w:t>3</w:t>
            </w:r>
            <w:r>
              <w:rPr>
                <w:color w:val="000000"/>
                <w:sz w:val="24"/>
              </w:rPr>
              <w:t>/</w:t>
            </w:r>
            <w:r>
              <w:rPr>
                <w:rFonts w:hint="eastAsia"/>
                <w:color w:val="000000"/>
                <w:sz w:val="24"/>
              </w:rPr>
              <w:t>a。</w:t>
            </w:r>
          </w:p>
          <w:p w14:paraId="69AF58E2">
            <w:pPr>
              <w:wordWrap w:val="0"/>
              <w:spacing w:line="360" w:lineRule="auto"/>
              <w:ind w:firstLine="480" w:firstLineChars="200"/>
              <w:rPr>
                <w:rFonts w:hint="eastAsia"/>
                <w:color w:val="000000"/>
                <w:sz w:val="24"/>
              </w:rPr>
            </w:pPr>
            <w:r>
              <w:rPr>
                <w:rFonts w:hint="eastAsia"/>
                <w:color w:val="000000"/>
                <w:sz w:val="24"/>
              </w:rPr>
              <w:t>不在厂内住宿员工1</w:t>
            </w:r>
            <w:r>
              <w:rPr>
                <w:color w:val="000000"/>
                <w:sz w:val="24"/>
              </w:rPr>
              <w:t>7</w:t>
            </w:r>
            <w:r>
              <w:rPr>
                <w:rFonts w:hint="eastAsia"/>
                <w:color w:val="000000"/>
                <w:sz w:val="24"/>
              </w:rPr>
              <w:t>人生活用水主要为洗手、冲厕用水、食堂废水，根据《云南省地方标准用水定额》（DB53/T168-2013）参照办公写字楼用水定额（有食堂），用水量按每人50L/d计，则工作人员用水约0.</w:t>
            </w:r>
            <w:r>
              <w:rPr>
                <w:color w:val="000000"/>
                <w:sz w:val="24"/>
              </w:rPr>
              <w:t>85</w:t>
            </w:r>
            <w:r>
              <w:rPr>
                <w:rFonts w:hint="eastAsia"/>
                <w:color w:val="000000"/>
                <w:sz w:val="24"/>
              </w:rPr>
              <w:t>m</w:t>
            </w:r>
            <w:r>
              <w:rPr>
                <w:rFonts w:hint="eastAsia"/>
                <w:color w:val="000000"/>
                <w:sz w:val="24"/>
                <w:vertAlign w:val="superscript"/>
              </w:rPr>
              <w:t>3</w:t>
            </w:r>
            <w:r>
              <w:rPr>
                <w:rFonts w:hint="eastAsia"/>
                <w:color w:val="000000"/>
                <w:sz w:val="24"/>
              </w:rPr>
              <w:t>/d，2</w:t>
            </w:r>
            <w:r>
              <w:rPr>
                <w:color w:val="000000"/>
                <w:sz w:val="24"/>
              </w:rPr>
              <w:t>55m</w:t>
            </w:r>
            <w:r>
              <w:rPr>
                <w:color w:val="000000"/>
                <w:sz w:val="24"/>
                <w:vertAlign w:val="superscript"/>
              </w:rPr>
              <w:t>3</w:t>
            </w:r>
            <w:r>
              <w:rPr>
                <w:color w:val="000000"/>
                <w:sz w:val="24"/>
              </w:rPr>
              <w:t>/</w:t>
            </w:r>
            <w:r>
              <w:rPr>
                <w:rFonts w:hint="eastAsia"/>
                <w:color w:val="000000"/>
                <w:sz w:val="24"/>
              </w:rPr>
              <w:t>a，废水产生量按用水量的80%计，则办公废水量约0.</w:t>
            </w:r>
            <w:r>
              <w:rPr>
                <w:color w:val="000000"/>
                <w:sz w:val="24"/>
              </w:rPr>
              <w:t>68</w:t>
            </w:r>
            <w:r>
              <w:rPr>
                <w:rFonts w:hint="eastAsia"/>
                <w:color w:val="000000"/>
                <w:sz w:val="24"/>
              </w:rPr>
              <w:t>m</w:t>
            </w:r>
            <w:r>
              <w:rPr>
                <w:rFonts w:hint="eastAsia"/>
                <w:color w:val="000000"/>
                <w:sz w:val="24"/>
                <w:vertAlign w:val="superscript"/>
              </w:rPr>
              <w:t>3</w:t>
            </w:r>
            <w:r>
              <w:rPr>
                <w:rFonts w:hint="eastAsia"/>
                <w:color w:val="000000"/>
                <w:sz w:val="24"/>
              </w:rPr>
              <w:t>/d，2</w:t>
            </w:r>
            <w:r>
              <w:rPr>
                <w:color w:val="000000"/>
                <w:sz w:val="24"/>
              </w:rPr>
              <w:t>04m</w:t>
            </w:r>
            <w:r>
              <w:rPr>
                <w:color w:val="000000"/>
                <w:sz w:val="24"/>
                <w:vertAlign w:val="superscript"/>
              </w:rPr>
              <w:t>3</w:t>
            </w:r>
            <w:r>
              <w:rPr>
                <w:color w:val="000000"/>
                <w:sz w:val="24"/>
              </w:rPr>
              <w:t>/</w:t>
            </w:r>
            <w:r>
              <w:rPr>
                <w:rFonts w:hint="eastAsia"/>
                <w:color w:val="000000"/>
                <w:sz w:val="24"/>
              </w:rPr>
              <w:t>a。卫生间用水使用新鲜水。</w:t>
            </w:r>
          </w:p>
          <w:p w14:paraId="33BEF3AD">
            <w:pPr>
              <w:wordWrap w:val="0"/>
              <w:spacing w:line="360" w:lineRule="auto"/>
              <w:ind w:firstLine="480" w:firstLineChars="200"/>
              <w:rPr>
                <w:color w:val="000000"/>
                <w:sz w:val="24"/>
              </w:rPr>
            </w:pPr>
            <w:r>
              <w:rPr>
                <w:rFonts w:hint="eastAsia"/>
                <w:color w:val="000000"/>
                <w:sz w:val="24"/>
              </w:rPr>
              <w:t>综上，项目生活用水量</w:t>
            </w:r>
            <w:r>
              <w:rPr>
                <w:color w:val="000000"/>
                <w:sz w:val="24"/>
              </w:rPr>
              <w:t>1.15m</w:t>
            </w:r>
            <w:r>
              <w:rPr>
                <w:color w:val="000000"/>
                <w:sz w:val="24"/>
                <w:vertAlign w:val="superscript"/>
              </w:rPr>
              <w:t>3</w:t>
            </w:r>
            <w:r>
              <w:rPr>
                <w:color w:val="000000"/>
                <w:sz w:val="24"/>
              </w:rPr>
              <w:t>/d</w:t>
            </w:r>
            <w:r>
              <w:rPr>
                <w:rFonts w:hint="eastAsia"/>
                <w:color w:val="000000"/>
                <w:sz w:val="24"/>
              </w:rPr>
              <w:t>，3</w:t>
            </w:r>
            <w:r>
              <w:rPr>
                <w:color w:val="000000"/>
                <w:sz w:val="24"/>
              </w:rPr>
              <w:t>45m</w:t>
            </w:r>
            <w:r>
              <w:rPr>
                <w:color w:val="000000"/>
                <w:sz w:val="24"/>
                <w:vertAlign w:val="superscript"/>
              </w:rPr>
              <w:t>3</w:t>
            </w:r>
            <w:r>
              <w:rPr>
                <w:color w:val="000000"/>
                <w:sz w:val="24"/>
              </w:rPr>
              <w:t>/</w:t>
            </w:r>
            <w:r>
              <w:rPr>
                <w:rFonts w:hint="eastAsia"/>
                <w:color w:val="000000"/>
                <w:sz w:val="24"/>
              </w:rPr>
              <w:t>a；生活污水产生量为0.9</w:t>
            </w:r>
            <w:r>
              <w:rPr>
                <w:color w:val="000000"/>
                <w:sz w:val="24"/>
              </w:rPr>
              <w:t>2</w:t>
            </w:r>
            <w:r>
              <w:rPr>
                <w:rFonts w:hint="eastAsia"/>
                <w:color w:val="000000"/>
                <w:sz w:val="24"/>
              </w:rPr>
              <w:t>m</w:t>
            </w:r>
            <w:r>
              <w:rPr>
                <w:rFonts w:hint="eastAsia"/>
                <w:color w:val="000000"/>
                <w:sz w:val="24"/>
                <w:vertAlign w:val="superscript"/>
              </w:rPr>
              <w:t>3</w:t>
            </w:r>
            <w:r>
              <w:rPr>
                <w:rFonts w:hint="eastAsia"/>
                <w:color w:val="000000"/>
                <w:sz w:val="24"/>
              </w:rPr>
              <w:t>/d，2</w:t>
            </w:r>
            <w:r>
              <w:rPr>
                <w:color w:val="000000"/>
                <w:sz w:val="24"/>
              </w:rPr>
              <w:t>76m</w:t>
            </w:r>
            <w:r>
              <w:rPr>
                <w:color w:val="000000"/>
                <w:sz w:val="24"/>
                <w:vertAlign w:val="superscript"/>
              </w:rPr>
              <w:t>3</w:t>
            </w:r>
            <w:r>
              <w:rPr>
                <w:color w:val="000000"/>
                <w:sz w:val="24"/>
              </w:rPr>
              <w:t>/</w:t>
            </w:r>
            <w:r>
              <w:rPr>
                <w:rFonts w:hint="eastAsia"/>
                <w:color w:val="000000"/>
                <w:sz w:val="24"/>
              </w:rPr>
              <w:t>a，其中食堂用水量按30L/d计为0.6</w:t>
            </w:r>
            <w:r>
              <w:rPr>
                <w:color w:val="000000"/>
                <w:sz w:val="24"/>
              </w:rPr>
              <w:t>m</w:t>
            </w:r>
            <w:r>
              <w:rPr>
                <w:color w:val="000000"/>
                <w:sz w:val="24"/>
                <w:vertAlign w:val="superscript"/>
              </w:rPr>
              <w:t>3</w:t>
            </w:r>
            <w:r>
              <w:rPr>
                <w:color w:val="000000"/>
                <w:sz w:val="24"/>
              </w:rPr>
              <w:t>/d</w:t>
            </w:r>
            <w:r>
              <w:rPr>
                <w:rFonts w:hint="eastAsia"/>
                <w:color w:val="000000"/>
                <w:sz w:val="24"/>
              </w:rPr>
              <w:t>，18</w:t>
            </w:r>
            <w:r>
              <w:rPr>
                <w:color w:val="000000"/>
                <w:sz w:val="24"/>
              </w:rPr>
              <w:t>0m</w:t>
            </w:r>
            <w:r>
              <w:rPr>
                <w:color w:val="000000"/>
                <w:sz w:val="24"/>
                <w:vertAlign w:val="superscript"/>
              </w:rPr>
              <w:t>3</w:t>
            </w:r>
            <w:r>
              <w:rPr>
                <w:color w:val="000000"/>
                <w:sz w:val="24"/>
              </w:rPr>
              <w:t>/</w:t>
            </w:r>
            <w:r>
              <w:rPr>
                <w:rFonts w:hint="eastAsia"/>
                <w:color w:val="000000"/>
                <w:sz w:val="24"/>
              </w:rPr>
              <w:t>a，食堂废</w:t>
            </w:r>
            <w:r>
              <w:rPr>
                <w:color w:val="000000"/>
                <w:sz w:val="24"/>
              </w:rPr>
              <w:t>水</w:t>
            </w:r>
            <w:r>
              <w:rPr>
                <w:rFonts w:hint="eastAsia"/>
                <w:color w:val="000000"/>
                <w:sz w:val="24"/>
              </w:rPr>
              <w:t>产生</w:t>
            </w:r>
            <w:r>
              <w:rPr>
                <w:color w:val="000000"/>
                <w:sz w:val="24"/>
              </w:rPr>
              <w:t>量为</w:t>
            </w:r>
            <w:r>
              <w:rPr>
                <w:rFonts w:hint="eastAsia"/>
                <w:color w:val="000000"/>
                <w:sz w:val="24"/>
              </w:rPr>
              <w:t>0.</w:t>
            </w:r>
            <w:r>
              <w:rPr>
                <w:color w:val="000000"/>
                <w:sz w:val="24"/>
              </w:rPr>
              <w:t>48m</w:t>
            </w:r>
            <w:r>
              <w:rPr>
                <w:color w:val="000000"/>
                <w:sz w:val="24"/>
                <w:vertAlign w:val="superscript"/>
              </w:rPr>
              <w:t>3</w:t>
            </w:r>
            <w:r>
              <w:rPr>
                <w:color w:val="000000"/>
                <w:sz w:val="24"/>
              </w:rPr>
              <w:t>/d。</w:t>
            </w:r>
            <w:r>
              <w:rPr>
                <w:rFonts w:hint="eastAsia"/>
                <w:color w:val="000000"/>
                <w:sz w:val="24"/>
              </w:rPr>
              <w:t>食堂废水经0.5m</w:t>
            </w:r>
            <w:r>
              <w:rPr>
                <w:rFonts w:hint="eastAsia"/>
                <w:color w:val="000000"/>
                <w:sz w:val="24"/>
                <w:vertAlign w:val="superscript"/>
              </w:rPr>
              <w:t>3</w:t>
            </w:r>
            <w:r>
              <w:rPr>
                <w:rFonts w:hint="eastAsia"/>
                <w:color w:val="000000"/>
                <w:sz w:val="24"/>
              </w:rPr>
              <w:t>隔油池预处理后排入化粪池，其余办公生活污水通过化粪池（</w:t>
            </w:r>
            <w:r>
              <w:rPr>
                <w:color w:val="000000"/>
                <w:sz w:val="24"/>
              </w:rPr>
              <w:t>2</w:t>
            </w:r>
            <w:r>
              <w:rPr>
                <w:rFonts w:hint="eastAsia"/>
                <w:color w:val="000000"/>
                <w:sz w:val="24"/>
              </w:rPr>
              <w:t>0m</w:t>
            </w:r>
            <w:r>
              <w:rPr>
                <w:rFonts w:hint="eastAsia"/>
                <w:color w:val="000000"/>
                <w:sz w:val="24"/>
                <w:vertAlign w:val="superscript"/>
              </w:rPr>
              <w:t>3</w:t>
            </w:r>
            <w:r>
              <w:rPr>
                <w:rFonts w:hint="eastAsia"/>
                <w:color w:val="000000"/>
                <w:sz w:val="24"/>
              </w:rPr>
              <w:t>）处理，处理后的生活污水和粪便用于周边旱地施肥。</w:t>
            </w:r>
          </w:p>
          <w:p w14:paraId="13585CAC">
            <w:pPr>
              <w:spacing w:line="360" w:lineRule="auto"/>
              <w:ind w:firstLine="480" w:firstLineChars="200"/>
              <w:rPr>
                <w:color w:val="000000"/>
                <w:sz w:val="24"/>
              </w:rPr>
            </w:pPr>
            <w:r>
              <w:rPr>
                <w:color w:val="000000"/>
                <w:sz w:val="24"/>
              </w:rPr>
              <w:t>项目运营期用水情况及废水产生情况见表2-5。</w:t>
            </w:r>
          </w:p>
          <w:p w14:paraId="663740EE">
            <w:pPr>
              <w:pStyle w:val="31"/>
              <w:ind w:firstLine="422"/>
              <w:rPr>
                <w:color w:val="000000"/>
                <w:szCs w:val="21"/>
              </w:rPr>
            </w:pPr>
            <w:r>
              <w:rPr>
                <w:color w:val="000000"/>
                <w:szCs w:val="21"/>
              </w:rPr>
              <w:t>表2-</w:t>
            </w:r>
            <w:r>
              <w:rPr>
                <w:rFonts w:hint="eastAsia"/>
                <w:color w:val="000000"/>
                <w:szCs w:val="21"/>
              </w:rPr>
              <w:t>6</w:t>
            </w:r>
            <w:r>
              <w:rPr>
                <w:color w:val="000000"/>
                <w:szCs w:val="21"/>
              </w:rPr>
              <w:t xml:space="preserve"> </w:t>
            </w:r>
            <w:r>
              <w:rPr>
                <w:rFonts w:hint="eastAsia"/>
                <w:color w:val="000000"/>
                <w:szCs w:val="21"/>
              </w:rPr>
              <w:t xml:space="preserve"> </w:t>
            </w:r>
            <w:r>
              <w:rPr>
                <w:color w:val="000000"/>
                <w:szCs w:val="21"/>
              </w:rPr>
              <w:t>项目给排水情况汇总表</w:t>
            </w:r>
            <w:r>
              <w:rPr>
                <w:rFonts w:hint="eastAsia"/>
                <w:color w:val="000000"/>
                <w:szCs w:val="21"/>
              </w:rPr>
              <w:t xml:space="preserve">  单位：</w:t>
            </w:r>
            <w:r>
              <w:rPr>
                <w:color w:val="000000"/>
                <w:szCs w:val="21"/>
              </w:rPr>
              <w:t>m</w:t>
            </w:r>
            <w:r>
              <w:rPr>
                <w:color w:val="000000"/>
                <w:szCs w:val="21"/>
                <w:vertAlign w:val="superscript"/>
              </w:rPr>
              <w:t>3</w:t>
            </w:r>
            <w:r>
              <w:rPr>
                <w:color w:val="000000"/>
                <w:szCs w:val="21"/>
              </w:rPr>
              <w:t>/d</w:t>
            </w:r>
          </w:p>
          <w:tbl>
            <w:tblPr>
              <w:tblStyle w:val="20"/>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91"/>
              <w:gridCol w:w="1757"/>
              <w:gridCol w:w="1559"/>
              <w:gridCol w:w="993"/>
              <w:gridCol w:w="1134"/>
              <w:gridCol w:w="746"/>
            </w:tblGrid>
            <w:tr w14:paraId="3CFA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1" w:hRule="atLeast"/>
                <w:tblHeader/>
                <w:jc w:val="center"/>
              </w:trPr>
              <w:tc>
                <w:tcPr>
                  <w:tcW w:w="677" w:type="dxa"/>
                  <w:noWrap w:val="0"/>
                  <w:vAlign w:val="center"/>
                </w:tcPr>
                <w:p w14:paraId="627B55E3">
                  <w:pPr>
                    <w:jc w:val="center"/>
                    <w:rPr>
                      <w:rFonts w:hint="eastAsia"/>
                      <w:color w:val="000000"/>
                      <w:szCs w:val="21"/>
                    </w:rPr>
                  </w:pPr>
                  <w:r>
                    <w:rPr>
                      <w:rFonts w:hint="eastAsia"/>
                      <w:color w:val="000000"/>
                      <w:szCs w:val="21"/>
                    </w:rPr>
                    <w:t>序号</w:t>
                  </w:r>
                </w:p>
              </w:tc>
              <w:tc>
                <w:tcPr>
                  <w:tcW w:w="1091" w:type="dxa"/>
                  <w:noWrap w:val="0"/>
                  <w:vAlign w:val="center"/>
                </w:tcPr>
                <w:p w14:paraId="2A6A7CE5">
                  <w:pPr>
                    <w:jc w:val="center"/>
                    <w:rPr>
                      <w:rFonts w:hint="eastAsia"/>
                      <w:color w:val="000000"/>
                      <w:szCs w:val="21"/>
                    </w:rPr>
                  </w:pPr>
                  <w:r>
                    <w:rPr>
                      <w:rFonts w:hint="eastAsia"/>
                      <w:color w:val="000000"/>
                      <w:szCs w:val="21"/>
                    </w:rPr>
                    <w:t>用水对象</w:t>
                  </w:r>
                </w:p>
              </w:tc>
              <w:tc>
                <w:tcPr>
                  <w:tcW w:w="1757" w:type="dxa"/>
                  <w:noWrap w:val="0"/>
                  <w:vAlign w:val="center"/>
                </w:tcPr>
                <w:p w14:paraId="384676CC">
                  <w:pPr>
                    <w:jc w:val="center"/>
                    <w:rPr>
                      <w:rFonts w:hint="eastAsia"/>
                      <w:color w:val="000000"/>
                      <w:szCs w:val="21"/>
                    </w:rPr>
                  </w:pPr>
                  <w:r>
                    <w:rPr>
                      <w:rFonts w:hint="eastAsia"/>
                      <w:color w:val="000000"/>
                      <w:szCs w:val="21"/>
                    </w:rPr>
                    <w:t>新鲜水用量</w:t>
                  </w:r>
                </w:p>
              </w:tc>
              <w:tc>
                <w:tcPr>
                  <w:tcW w:w="1559" w:type="dxa"/>
                  <w:noWrap w:val="0"/>
                  <w:vAlign w:val="center"/>
                </w:tcPr>
                <w:p w14:paraId="315E8151">
                  <w:pPr>
                    <w:jc w:val="center"/>
                    <w:rPr>
                      <w:rFonts w:hint="eastAsia"/>
                      <w:color w:val="000000"/>
                      <w:szCs w:val="21"/>
                    </w:rPr>
                  </w:pPr>
                  <w:r>
                    <w:rPr>
                      <w:rFonts w:hint="eastAsia"/>
                      <w:color w:val="000000"/>
                      <w:szCs w:val="21"/>
                    </w:rPr>
                    <w:t>再生水用量</w:t>
                  </w:r>
                </w:p>
              </w:tc>
              <w:tc>
                <w:tcPr>
                  <w:tcW w:w="993" w:type="dxa"/>
                  <w:noWrap w:val="0"/>
                  <w:vAlign w:val="center"/>
                </w:tcPr>
                <w:p w14:paraId="4BBD93FD">
                  <w:pPr>
                    <w:jc w:val="center"/>
                    <w:rPr>
                      <w:rFonts w:hint="eastAsia"/>
                      <w:color w:val="000000"/>
                      <w:szCs w:val="21"/>
                    </w:rPr>
                  </w:pPr>
                  <w:r>
                    <w:rPr>
                      <w:rFonts w:hint="eastAsia"/>
                      <w:color w:val="000000"/>
                      <w:szCs w:val="21"/>
                    </w:rPr>
                    <w:t>废水量</w:t>
                  </w:r>
                </w:p>
              </w:tc>
              <w:tc>
                <w:tcPr>
                  <w:tcW w:w="1134" w:type="dxa"/>
                  <w:noWrap w:val="0"/>
                  <w:vAlign w:val="center"/>
                </w:tcPr>
                <w:p w14:paraId="34024851">
                  <w:pPr>
                    <w:jc w:val="center"/>
                    <w:rPr>
                      <w:rFonts w:hint="eastAsia"/>
                      <w:color w:val="000000"/>
                      <w:szCs w:val="21"/>
                    </w:rPr>
                  </w:pPr>
                  <w:r>
                    <w:rPr>
                      <w:rFonts w:hint="eastAsia"/>
                      <w:color w:val="000000"/>
                      <w:szCs w:val="21"/>
                    </w:rPr>
                    <w:t>循环水量</w:t>
                  </w:r>
                </w:p>
              </w:tc>
              <w:tc>
                <w:tcPr>
                  <w:tcW w:w="746" w:type="dxa"/>
                  <w:noWrap w:val="0"/>
                  <w:vAlign w:val="center"/>
                </w:tcPr>
                <w:p w14:paraId="212B89E9">
                  <w:pPr>
                    <w:jc w:val="center"/>
                    <w:rPr>
                      <w:rFonts w:hint="eastAsia"/>
                      <w:color w:val="000000"/>
                      <w:szCs w:val="21"/>
                    </w:rPr>
                  </w:pPr>
                  <w:r>
                    <w:rPr>
                      <w:rFonts w:hint="eastAsia"/>
                      <w:color w:val="000000"/>
                      <w:szCs w:val="21"/>
                    </w:rPr>
                    <w:t>损耗水量</w:t>
                  </w:r>
                </w:p>
              </w:tc>
            </w:tr>
            <w:tr w14:paraId="221A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7" w:hRule="atLeast"/>
                <w:jc w:val="center"/>
              </w:trPr>
              <w:tc>
                <w:tcPr>
                  <w:tcW w:w="677" w:type="dxa"/>
                  <w:vMerge w:val="restart"/>
                  <w:noWrap w:val="0"/>
                  <w:vAlign w:val="center"/>
                </w:tcPr>
                <w:p w14:paraId="05BBB1A8">
                  <w:pPr>
                    <w:jc w:val="center"/>
                    <w:rPr>
                      <w:rFonts w:hint="eastAsia"/>
                      <w:color w:val="000000"/>
                      <w:szCs w:val="21"/>
                    </w:rPr>
                  </w:pPr>
                  <w:r>
                    <w:rPr>
                      <w:rFonts w:hint="eastAsia"/>
                      <w:color w:val="000000"/>
                      <w:szCs w:val="21"/>
                    </w:rPr>
                    <w:t>1</w:t>
                  </w:r>
                </w:p>
              </w:tc>
              <w:tc>
                <w:tcPr>
                  <w:tcW w:w="1091" w:type="dxa"/>
                  <w:noWrap w:val="0"/>
                  <w:vAlign w:val="center"/>
                </w:tcPr>
                <w:p w14:paraId="7DFB19D9">
                  <w:pPr>
                    <w:jc w:val="center"/>
                    <w:rPr>
                      <w:color w:val="000000"/>
                      <w:szCs w:val="21"/>
                    </w:rPr>
                  </w:pPr>
                  <w:r>
                    <w:rPr>
                      <w:rFonts w:hint="eastAsia"/>
                      <w:color w:val="000000"/>
                      <w:szCs w:val="21"/>
                    </w:rPr>
                    <w:t>脱色用水</w:t>
                  </w:r>
                </w:p>
              </w:tc>
              <w:tc>
                <w:tcPr>
                  <w:tcW w:w="1757" w:type="dxa"/>
                  <w:noWrap w:val="0"/>
                  <w:vAlign w:val="center"/>
                </w:tcPr>
                <w:p w14:paraId="649549BB">
                  <w:pPr>
                    <w:jc w:val="center"/>
                    <w:rPr>
                      <w:color w:val="000000"/>
                      <w:szCs w:val="21"/>
                    </w:rPr>
                  </w:pPr>
                  <w:r>
                    <w:rPr>
                      <w:rFonts w:hint="eastAsia"/>
                      <w:color w:val="000000"/>
                    </w:rPr>
                    <w:t>1.08</w:t>
                  </w:r>
                </w:p>
              </w:tc>
              <w:tc>
                <w:tcPr>
                  <w:tcW w:w="1559" w:type="dxa"/>
                  <w:noWrap w:val="0"/>
                  <w:vAlign w:val="center"/>
                </w:tcPr>
                <w:p w14:paraId="0ECC8F66">
                  <w:pPr>
                    <w:jc w:val="center"/>
                    <w:rPr>
                      <w:color w:val="000000"/>
                      <w:szCs w:val="21"/>
                    </w:rPr>
                  </w:pPr>
                  <w:r>
                    <w:rPr>
                      <w:rFonts w:hint="eastAsia"/>
                      <w:color w:val="000000"/>
                      <w:szCs w:val="21"/>
                    </w:rPr>
                    <w:t>0</w:t>
                  </w:r>
                </w:p>
              </w:tc>
              <w:tc>
                <w:tcPr>
                  <w:tcW w:w="993" w:type="dxa"/>
                  <w:noWrap w:val="0"/>
                  <w:vAlign w:val="center"/>
                </w:tcPr>
                <w:p w14:paraId="05FE3710">
                  <w:pPr>
                    <w:jc w:val="center"/>
                    <w:rPr>
                      <w:color w:val="000000"/>
                      <w:szCs w:val="21"/>
                    </w:rPr>
                  </w:pPr>
                  <w:r>
                    <w:rPr>
                      <w:rFonts w:hint="eastAsia"/>
                      <w:color w:val="000000"/>
                      <w:szCs w:val="21"/>
                    </w:rPr>
                    <w:t>0</w:t>
                  </w:r>
                </w:p>
              </w:tc>
              <w:tc>
                <w:tcPr>
                  <w:tcW w:w="1134" w:type="dxa"/>
                  <w:noWrap w:val="0"/>
                  <w:vAlign w:val="center"/>
                </w:tcPr>
                <w:p w14:paraId="4127217D">
                  <w:pPr>
                    <w:jc w:val="center"/>
                    <w:rPr>
                      <w:color w:val="000000"/>
                      <w:szCs w:val="21"/>
                    </w:rPr>
                  </w:pPr>
                  <w:r>
                    <w:rPr>
                      <w:rFonts w:hint="eastAsia"/>
                      <w:color w:val="000000"/>
                      <w:szCs w:val="21"/>
                    </w:rPr>
                    <w:t>9.72</w:t>
                  </w:r>
                </w:p>
              </w:tc>
              <w:tc>
                <w:tcPr>
                  <w:tcW w:w="746" w:type="dxa"/>
                  <w:noWrap w:val="0"/>
                  <w:vAlign w:val="center"/>
                </w:tcPr>
                <w:p w14:paraId="09DC78EE">
                  <w:pPr>
                    <w:jc w:val="center"/>
                    <w:rPr>
                      <w:color w:val="000000"/>
                      <w:szCs w:val="21"/>
                    </w:rPr>
                  </w:pPr>
                  <w:r>
                    <w:rPr>
                      <w:rFonts w:hint="eastAsia"/>
                      <w:color w:val="000000"/>
                      <w:szCs w:val="21"/>
                    </w:rPr>
                    <w:t>1.08</w:t>
                  </w:r>
                </w:p>
              </w:tc>
            </w:tr>
            <w:tr w14:paraId="2223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7" w:hRule="atLeast"/>
                <w:jc w:val="center"/>
              </w:trPr>
              <w:tc>
                <w:tcPr>
                  <w:tcW w:w="677" w:type="dxa"/>
                  <w:vMerge w:val="continue"/>
                  <w:noWrap w:val="0"/>
                  <w:vAlign w:val="center"/>
                </w:tcPr>
                <w:p w14:paraId="5F6AB3DD">
                  <w:pPr>
                    <w:jc w:val="center"/>
                    <w:rPr>
                      <w:rFonts w:hint="eastAsia"/>
                      <w:color w:val="000000"/>
                      <w:szCs w:val="21"/>
                    </w:rPr>
                  </w:pPr>
                </w:p>
              </w:tc>
              <w:tc>
                <w:tcPr>
                  <w:tcW w:w="1091" w:type="dxa"/>
                  <w:noWrap w:val="0"/>
                  <w:vAlign w:val="center"/>
                </w:tcPr>
                <w:p w14:paraId="0CA14710">
                  <w:pPr>
                    <w:jc w:val="center"/>
                    <w:rPr>
                      <w:color w:val="000000"/>
                      <w:szCs w:val="21"/>
                    </w:rPr>
                  </w:pPr>
                  <w:r>
                    <w:rPr>
                      <w:rFonts w:hint="eastAsia"/>
                      <w:color w:val="000000"/>
                      <w:szCs w:val="21"/>
                    </w:rPr>
                    <w:t>染色用水</w:t>
                  </w:r>
                </w:p>
              </w:tc>
              <w:tc>
                <w:tcPr>
                  <w:tcW w:w="1757" w:type="dxa"/>
                  <w:noWrap w:val="0"/>
                  <w:vAlign w:val="center"/>
                </w:tcPr>
                <w:p w14:paraId="627679A2">
                  <w:pPr>
                    <w:jc w:val="center"/>
                    <w:rPr>
                      <w:color w:val="000000"/>
                      <w:szCs w:val="21"/>
                    </w:rPr>
                  </w:pPr>
                  <w:r>
                    <w:rPr>
                      <w:rFonts w:hint="eastAsia"/>
                      <w:color w:val="000000"/>
                      <w:szCs w:val="21"/>
                    </w:rPr>
                    <w:t>1.08</w:t>
                  </w:r>
                </w:p>
              </w:tc>
              <w:tc>
                <w:tcPr>
                  <w:tcW w:w="1559" w:type="dxa"/>
                  <w:noWrap w:val="0"/>
                  <w:vAlign w:val="center"/>
                </w:tcPr>
                <w:p w14:paraId="72E78FA4">
                  <w:pPr>
                    <w:jc w:val="center"/>
                    <w:rPr>
                      <w:color w:val="000000"/>
                      <w:szCs w:val="21"/>
                    </w:rPr>
                  </w:pPr>
                  <w:r>
                    <w:rPr>
                      <w:rFonts w:hint="eastAsia"/>
                      <w:color w:val="000000"/>
                      <w:szCs w:val="21"/>
                    </w:rPr>
                    <w:t>0</w:t>
                  </w:r>
                </w:p>
              </w:tc>
              <w:tc>
                <w:tcPr>
                  <w:tcW w:w="993" w:type="dxa"/>
                  <w:noWrap w:val="0"/>
                  <w:vAlign w:val="center"/>
                </w:tcPr>
                <w:p w14:paraId="70F74328">
                  <w:pPr>
                    <w:jc w:val="center"/>
                    <w:rPr>
                      <w:color w:val="000000"/>
                      <w:szCs w:val="21"/>
                    </w:rPr>
                  </w:pPr>
                  <w:r>
                    <w:rPr>
                      <w:rFonts w:hint="eastAsia"/>
                      <w:color w:val="000000"/>
                      <w:szCs w:val="21"/>
                    </w:rPr>
                    <w:t>0</w:t>
                  </w:r>
                </w:p>
              </w:tc>
              <w:tc>
                <w:tcPr>
                  <w:tcW w:w="1134" w:type="dxa"/>
                  <w:noWrap w:val="0"/>
                  <w:vAlign w:val="center"/>
                </w:tcPr>
                <w:p w14:paraId="1C028CCA">
                  <w:pPr>
                    <w:jc w:val="center"/>
                    <w:rPr>
                      <w:rFonts w:hint="eastAsia"/>
                      <w:color w:val="000000"/>
                      <w:szCs w:val="21"/>
                    </w:rPr>
                  </w:pPr>
                  <w:r>
                    <w:rPr>
                      <w:rFonts w:hint="eastAsia"/>
                      <w:color w:val="000000"/>
                      <w:szCs w:val="21"/>
                    </w:rPr>
                    <w:t>9.72</w:t>
                  </w:r>
                </w:p>
              </w:tc>
              <w:tc>
                <w:tcPr>
                  <w:tcW w:w="746" w:type="dxa"/>
                  <w:noWrap w:val="0"/>
                  <w:vAlign w:val="center"/>
                </w:tcPr>
                <w:p w14:paraId="41E17C68">
                  <w:pPr>
                    <w:jc w:val="center"/>
                    <w:rPr>
                      <w:color w:val="000000"/>
                      <w:szCs w:val="21"/>
                    </w:rPr>
                  </w:pPr>
                  <w:r>
                    <w:rPr>
                      <w:rFonts w:hint="eastAsia"/>
                      <w:color w:val="000000"/>
                      <w:szCs w:val="21"/>
                    </w:rPr>
                    <w:t>1.08</w:t>
                  </w:r>
                </w:p>
              </w:tc>
            </w:tr>
            <w:tr w14:paraId="7E95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1" w:hRule="atLeast"/>
                <w:jc w:val="center"/>
              </w:trPr>
              <w:tc>
                <w:tcPr>
                  <w:tcW w:w="677" w:type="dxa"/>
                  <w:noWrap w:val="0"/>
                  <w:vAlign w:val="center"/>
                </w:tcPr>
                <w:p w14:paraId="739F50CE">
                  <w:pPr>
                    <w:jc w:val="center"/>
                    <w:rPr>
                      <w:color w:val="000000"/>
                      <w:szCs w:val="21"/>
                    </w:rPr>
                  </w:pPr>
                  <w:r>
                    <w:rPr>
                      <w:rFonts w:hint="eastAsia"/>
                      <w:color w:val="000000"/>
                      <w:szCs w:val="21"/>
                    </w:rPr>
                    <w:t>3</w:t>
                  </w:r>
                </w:p>
              </w:tc>
              <w:tc>
                <w:tcPr>
                  <w:tcW w:w="1091" w:type="dxa"/>
                  <w:noWrap w:val="0"/>
                  <w:vAlign w:val="center"/>
                </w:tcPr>
                <w:p w14:paraId="34BBA03C">
                  <w:pPr>
                    <w:jc w:val="center"/>
                    <w:rPr>
                      <w:color w:val="000000"/>
                      <w:szCs w:val="21"/>
                    </w:rPr>
                  </w:pPr>
                  <w:r>
                    <w:rPr>
                      <w:rFonts w:hint="eastAsia"/>
                      <w:color w:val="000000"/>
                      <w:szCs w:val="21"/>
                    </w:rPr>
                    <w:t>生活用水</w:t>
                  </w:r>
                </w:p>
              </w:tc>
              <w:tc>
                <w:tcPr>
                  <w:tcW w:w="1757" w:type="dxa"/>
                  <w:noWrap w:val="0"/>
                  <w:vAlign w:val="center"/>
                </w:tcPr>
                <w:p w14:paraId="19B452FE">
                  <w:pPr>
                    <w:jc w:val="center"/>
                    <w:rPr>
                      <w:color w:val="000000"/>
                      <w:szCs w:val="21"/>
                    </w:rPr>
                  </w:pPr>
                  <w:r>
                    <w:rPr>
                      <w:color w:val="000000"/>
                      <w:szCs w:val="21"/>
                    </w:rPr>
                    <w:t>1.15</w:t>
                  </w:r>
                </w:p>
              </w:tc>
              <w:tc>
                <w:tcPr>
                  <w:tcW w:w="1559" w:type="dxa"/>
                  <w:noWrap w:val="0"/>
                  <w:vAlign w:val="center"/>
                </w:tcPr>
                <w:p w14:paraId="4DC38395">
                  <w:pPr>
                    <w:jc w:val="center"/>
                    <w:rPr>
                      <w:color w:val="000000"/>
                      <w:szCs w:val="21"/>
                    </w:rPr>
                  </w:pPr>
                  <w:r>
                    <w:rPr>
                      <w:rFonts w:hint="eastAsia"/>
                      <w:color w:val="000000"/>
                      <w:szCs w:val="21"/>
                    </w:rPr>
                    <w:t>0</w:t>
                  </w:r>
                </w:p>
              </w:tc>
              <w:tc>
                <w:tcPr>
                  <w:tcW w:w="993" w:type="dxa"/>
                  <w:noWrap w:val="0"/>
                  <w:vAlign w:val="center"/>
                </w:tcPr>
                <w:p w14:paraId="4ABF6A6D">
                  <w:pPr>
                    <w:jc w:val="center"/>
                    <w:rPr>
                      <w:color w:val="000000"/>
                      <w:szCs w:val="21"/>
                    </w:rPr>
                  </w:pPr>
                  <w:r>
                    <w:rPr>
                      <w:rFonts w:hint="eastAsia"/>
                      <w:color w:val="000000"/>
                      <w:szCs w:val="21"/>
                    </w:rPr>
                    <w:t>0.</w:t>
                  </w:r>
                  <w:r>
                    <w:rPr>
                      <w:color w:val="000000"/>
                      <w:szCs w:val="21"/>
                    </w:rPr>
                    <w:t>92</w:t>
                  </w:r>
                </w:p>
              </w:tc>
              <w:tc>
                <w:tcPr>
                  <w:tcW w:w="1134" w:type="dxa"/>
                  <w:noWrap w:val="0"/>
                  <w:vAlign w:val="center"/>
                </w:tcPr>
                <w:p w14:paraId="3F385436">
                  <w:pPr>
                    <w:jc w:val="center"/>
                    <w:rPr>
                      <w:color w:val="000000"/>
                      <w:szCs w:val="21"/>
                    </w:rPr>
                  </w:pPr>
                  <w:r>
                    <w:rPr>
                      <w:rFonts w:hint="eastAsia"/>
                      <w:color w:val="000000"/>
                      <w:szCs w:val="21"/>
                    </w:rPr>
                    <w:t>0</w:t>
                  </w:r>
                </w:p>
              </w:tc>
              <w:tc>
                <w:tcPr>
                  <w:tcW w:w="746" w:type="dxa"/>
                  <w:noWrap w:val="0"/>
                  <w:vAlign w:val="center"/>
                </w:tcPr>
                <w:p w14:paraId="132839CF">
                  <w:pPr>
                    <w:jc w:val="center"/>
                    <w:rPr>
                      <w:color w:val="000000"/>
                      <w:szCs w:val="21"/>
                    </w:rPr>
                  </w:pPr>
                  <w:r>
                    <w:rPr>
                      <w:rFonts w:hint="eastAsia"/>
                      <w:color w:val="000000"/>
                      <w:szCs w:val="21"/>
                    </w:rPr>
                    <w:t>0.2</w:t>
                  </w:r>
                  <w:r>
                    <w:rPr>
                      <w:color w:val="000000"/>
                      <w:szCs w:val="21"/>
                    </w:rPr>
                    <w:t>3</w:t>
                  </w:r>
                </w:p>
              </w:tc>
            </w:tr>
            <w:tr w14:paraId="5466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9" w:hRule="atLeast"/>
                <w:jc w:val="center"/>
              </w:trPr>
              <w:tc>
                <w:tcPr>
                  <w:tcW w:w="1768" w:type="dxa"/>
                  <w:gridSpan w:val="2"/>
                  <w:noWrap w:val="0"/>
                  <w:vAlign w:val="center"/>
                </w:tcPr>
                <w:p w14:paraId="6C076D1E">
                  <w:pPr>
                    <w:pStyle w:val="29"/>
                    <w:rPr>
                      <w:rFonts w:hint="eastAsia"/>
                      <w:color w:val="000000"/>
                      <w:szCs w:val="21"/>
                    </w:rPr>
                  </w:pPr>
                  <w:r>
                    <w:rPr>
                      <w:rFonts w:hint="eastAsia"/>
                      <w:color w:val="000000"/>
                      <w:szCs w:val="21"/>
                    </w:rPr>
                    <w:t>合计</w:t>
                  </w:r>
                </w:p>
              </w:tc>
              <w:tc>
                <w:tcPr>
                  <w:tcW w:w="1757" w:type="dxa"/>
                  <w:noWrap w:val="0"/>
                  <w:vAlign w:val="center"/>
                </w:tcPr>
                <w:p w14:paraId="43CF1B40">
                  <w:pPr>
                    <w:jc w:val="center"/>
                    <w:rPr>
                      <w:rFonts w:hint="eastAsia"/>
                      <w:color w:val="000000"/>
                      <w:kern w:val="0"/>
                      <w:szCs w:val="21"/>
                    </w:rPr>
                  </w:pPr>
                  <w:r>
                    <w:rPr>
                      <w:color w:val="000000"/>
                      <w:kern w:val="0"/>
                      <w:szCs w:val="21"/>
                    </w:rPr>
                    <w:t>3.31</w:t>
                  </w:r>
                </w:p>
              </w:tc>
              <w:tc>
                <w:tcPr>
                  <w:tcW w:w="1559" w:type="dxa"/>
                  <w:noWrap w:val="0"/>
                  <w:vAlign w:val="center"/>
                </w:tcPr>
                <w:p w14:paraId="655092FE">
                  <w:pPr>
                    <w:jc w:val="center"/>
                    <w:rPr>
                      <w:color w:val="000000"/>
                      <w:szCs w:val="21"/>
                    </w:rPr>
                  </w:pPr>
                  <w:r>
                    <w:rPr>
                      <w:color w:val="000000"/>
                      <w:szCs w:val="21"/>
                    </w:rPr>
                    <w:t>0</w:t>
                  </w:r>
                </w:p>
              </w:tc>
              <w:tc>
                <w:tcPr>
                  <w:tcW w:w="993" w:type="dxa"/>
                  <w:noWrap w:val="0"/>
                  <w:vAlign w:val="center"/>
                </w:tcPr>
                <w:p w14:paraId="0F1322B9">
                  <w:pPr>
                    <w:jc w:val="center"/>
                    <w:rPr>
                      <w:color w:val="000000"/>
                      <w:szCs w:val="21"/>
                    </w:rPr>
                  </w:pPr>
                  <w:r>
                    <w:rPr>
                      <w:color w:val="000000"/>
                      <w:szCs w:val="21"/>
                    </w:rPr>
                    <w:t>0.92</w:t>
                  </w:r>
                </w:p>
              </w:tc>
              <w:tc>
                <w:tcPr>
                  <w:tcW w:w="1134" w:type="dxa"/>
                  <w:noWrap w:val="0"/>
                  <w:vAlign w:val="center"/>
                </w:tcPr>
                <w:p w14:paraId="683B08C6">
                  <w:pPr>
                    <w:jc w:val="center"/>
                    <w:rPr>
                      <w:color w:val="000000"/>
                      <w:szCs w:val="21"/>
                    </w:rPr>
                  </w:pPr>
                  <w:r>
                    <w:rPr>
                      <w:color w:val="000000"/>
                      <w:szCs w:val="21"/>
                    </w:rPr>
                    <w:t>19.44</w:t>
                  </w:r>
                </w:p>
              </w:tc>
              <w:tc>
                <w:tcPr>
                  <w:tcW w:w="746" w:type="dxa"/>
                  <w:noWrap w:val="0"/>
                  <w:vAlign w:val="center"/>
                </w:tcPr>
                <w:p w14:paraId="322214B0">
                  <w:pPr>
                    <w:jc w:val="center"/>
                    <w:rPr>
                      <w:color w:val="000000"/>
                      <w:szCs w:val="21"/>
                    </w:rPr>
                  </w:pPr>
                  <w:r>
                    <w:rPr>
                      <w:color w:val="000000"/>
                      <w:szCs w:val="21"/>
                    </w:rPr>
                    <w:t>2.39</w:t>
                  </w:r>
                </w:p>
              </w:tc>
            </w:tr>
          </w:tbl>
          <w:p w14:paraId="3D0A8058">
            <w:pPr>
              <w:spacing w:line="360" w:lineRule="auto"/>
              <w:ind w:firstLine="480" w:firstLineChars="200"/>
              <w:rPr>
                <w:rFonts w:hint="eastAsia"/>
                <w:color w:val="000000"/>
                <w:sz w:val="24"/>
              </w:rPr>
            </w:pPr>
            <w:r>
              <w:rPr>
                <w:rFonts w:hint="eastAsia"/>
                <w:color w:val="000000"/>
                <w:sz w:val="24"/>
              </w:rPr>
              <w:t>综上，项目运营后，项目用水量</w:t>
            </w:r>
            <w:r>
              <w:rPr>
                <w:color w:val="000000"/>
                <w:sz w:val="24"/>
              </w:rPr>
              <w:t>3.31m</w:t>
            </w:r>
            <w:r>
              <w:rPr>
                <w:color w:val="000000"/>
                <w:sz w:val="24"/>
                <w:vertAlign w:val="superscript"/>
              </w:rPr>
              <w:t>3</w:t>
            </w:r>
            <w:r>
              <w:rPr>
                <w:color w:val="000000"/>
                <w:sz w:val="24"/>
              </w:rPr>
              <w:t>/d</w:t>
            </w:r>
            <w:r>
              <w:rPr>
                <w:rFonts w:hint="eastAsia"/>
                <w:color w:val="000000"/>
                <w:sz w:val="24"/>
              </w:rPr>
              <w:t>，则年用水量为</w:t>
            </w:r>
            <w:r>
              <w:rPr>
                <w:color w:val="000000"/>
                <w:sz w:val="24"/>
              </w:rPr>
              <w:t>604.2m</w:t>
            </w:r>
            <w:r>
              <w:rPr>
                <w:color w:val="000000"/>
                <w:sz w:val="24"/>
                <w:vertAlign w:val="superscript"/>
              </w:rPr>
              <w:t>3</w:t>
            </w:r>
            <w:r>
              <w:rPr>
                <w:color w:val="000000"/>
                <w:sz w:val="24"/>
              </w:rPr>
              <w:t>/</w:t>
            </w:r>
            <w:r>
              <w:rPr>
                <w:rFonts w:hint="eastAsia"/>
                <w:color w:val="000000"/>
                <w:sz w:val="24"/>
              </w:rPr>
              <w:t>a。</w:t>
            </w:r>
          </w:p>
          <w:p w14:paraId="02C4E7FB">
            <w:pPr>
              <w:spacing w:line="360" w:lineRule="auto"/>
              <w:ind w:firstLine="480" w:firstLineChars="200"/>
              <w:rPr>
                <w:rFonts w:hint="eastAsia"/>
                <w:color w:val="000000"/>
                <w:sz w:val="24"/>
              </w:rPr>
            </w:pPr>
            <w:r>
              <w:rPr>
                <w:rFonts w:hint="eastAsia"/>
                <w:color w:val="000000"/>
                <w:sz w:val="24"/>
              </w:rPr>
              <w:t>5、水平衡</w:t>
            </w:r>
          </w:p>
          <w:p w14:paraId="66C9ADA5">
            <w:pPr>
              <w:spacing w:line="360" w:lineRule="auto"/>
              <w:ind w:firstLine="480" w:firstLineChars="200"/>
              <w:rPr>
                <w:rFonts w:hint="eastAsia"/>
                <w:color w:val="000000"/>
                <w:sz w:val="24"/>
              </w:rPr>
            </w:pPr>
            <w:r>
              <w:rPr>
                <w:color w:val="000000"/>
                <w:sz w:val="24"/>
              </w:rPr>
              <w:t>项目水量平衡图见</w:t>
            </w:r>
            <w:r>
              <w:rPr>
                <w:rFonts w:hint="eastAsia"/>
                <w:color w:val="000000"/>
                <w:sz w:val="24"/>
              </w:rPr>
              <w:t>下</w:t>
            </w:r>
            <w:r>
              <w:rPr>
                <w:color w:val="000000"/>
                <w:sz w:val="24"/>
              </w:rPr>
              <w:t>图</w:t>
            </w:r>
            <w:r>
              <w:rPr>
                <w:rFonts w:hint="eastAsia"/>
                <w:color w:val="000000"/>
                <w:sz w:val="24"/>
              </w:rPr>
              <w:t>：</w:t>
            </w:r>
          </w:p>
          <w:p w14:paraId="419AB183">
            <w:pPr>
              <w:tabs>
                <w:tab w:val="left" w:pos="5820"/>
              </w:tabs>
              <w:spacing w:line="360" w:lineRule="auto"/>
              <w:jc w:val="center"/>
              <w:rPr>
                <w:rFonts w:hint="eastAsia"/>
                <w:b/>
                <w:color w:val="000000"/>
              </w:rPr>
            </w:pPr>
            <w:r>
              <w:rPr>
                <w:color w:val="000000"/>
              </w:rPr>
              <w:object>
                <v:shape id="_x0000_i1025" o:spt="75" type="#_x0000_t75" style="height:223.55pt;width:394.8pt;" o:ole="t" filled="f" o:preferrelative="t" stroked="f" coordsize="21600,21600">
                  <v:path/>
                  <v:fill on="f" alignshape="1" focussize="0,0"/>
                  <v:stroke on="f"/>
                  <v:imagedata r:id="rId7" grayscale="f" bilevel="f" o:title=""/>
                  <o:lock v:ext="edit" aspectratio="t"/>
                  <w10:wrap type="none"/>
                  <w10:anchorlock/>
                </v:shape>
                <o:OLEObject Type="Embed" ProgID="Visio.Drawing.11" ShapeID="_x0000_i1025" DrawAspect="Content" ObjectID="_1468075725" r:id="rId6">
                  <o:LockedField>false</o:LockedField>
                </o:OLEObject>
              </w:object>
            </w:r>
            <w:r>
              <w:rPr>
                <w:b/>
                <w:color w:val="000000"/>
              </w:rPr>
              <w:t>图2-</w:t>
            </w:r>
            <w:r>
              <w:rPr>
                <w:rFonts w:hint="eastAsia"/>
                <w:b/>
                <w:color w:val="000000"/>
              </w:rPr>
              <w:t>1</w:t>
            </w:r>
            <w:r>
              <w:rPr>
                <w:b/>
                <w:color w:val="000000"/>
              </w:rPr>
              <w:t xml:space="preserve">  项目水量平衡图</w:t>
            </w:r>
            <w:r>
              <w:rPr>
                <w:rFonts w:hint="eastAsia"/>
                <w:b/>
                <w:color w:val="000000"/>
              </w:rPr>
              <w:t xml:space="preserve">    </w:t>
            </w:r>
            <w:r>
              <w:rPr>
                <w:b/>
                <w:color w:val="000000"/>
              </w:rPr>
              <w:t>单位：m</w:t>
            </w:r>
            <w:r>
              <w:rPr>
                <w:b/>
                <w:color w:val="000000"/>
                <w:vertAlign w:val="superscript"/>
              </w:rPr>
              <w:t>3</w:t>
            </w:r>
            <w:r>
              <w:rPr>
                <w:b/>
                <w:color w:val="000000"/>
              </w:rPr>
              <w:t>/</w:t>
            </w:r>
            <w:r>
              <w:rPr>
                <w:rFonts w:hint="eastAsia"/>
                <w:b/>
                <w:color w:val="000000"/>
              </w:rPr>
              <w:t>d</w:t>
            </w:r>
          </w:p>
          <w:p w14:paraId="349730AF">
            <w:pPr>
              <w:pStyle w:val="2"/>
              <w:rPr>
                <w:color w:val="000000"/>
              </w:rPr>
            </w:pPr>
          </w:p>
          <w:p w14:paraId="5EE26B45">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十、物料平衡</w:t>
            </w:r>
          </w:p>
          <w:p w14:paraId="69D273BD">
            <w:pPr>
              <w:spacing w:line="360" w:lineRule="auto"/>
              <w:jc w:val="center"/>
              <w:rPr>
                <w:b/>
                <w:bCs/>
                <w:color w:val="000000"/>
                <w:kern w:val="0"/>
                <w:szCs w:val="21"/>
              </w:rPr>
            </w:pPr>
            <w:r>
              <w:rPr>
                <w:b/>
                <w:bCs/>
                <w:color w:val="000000"/>
                <w:kern w:val="0"/>
                <w:szCs w:val="21"/>
              </w:rPr>
              <w:t>表2-</w:t>
            </w:r>
            <w:r>
              <w:rPr>
                <w:rFonts w:hint="eastAsia"/>
                <w:b/>
                <w:bCs/>
                <w:color w:val="000000"/>
                <w:kern w:val="0"/>
                <w:szCs w:val="21"/>
              </w:rPr>
              <w:t>7</w:t>
            </w:r>
            <w:r>
              <w:rPr>
                <w:b/>
                <w:bCs/>
                <w:color w:val="000000"/>
                <w:kern w:val="0"/>
                <w:szCs w:val="21"/>
              </w:rPr>
              <w:t xml:space="preserve"> </w:t>
            </w:r>
            <w:r>
              <w:rPr>
                <w:rFonts w:hint="eastAsia"/>
                <w:b/>
                <w:bCs/>
                <w:color w:val="000000"/>
                <w:kern w:val="0"/>
                <w:szCs w:val="21"/>
              </w:rPr>
              <w:t xml:space="preserve"> </w:t>
            </w:r>
            <w:r>
              <w:rPr>
                <w:b/>
                <w:bCs/>
                <w:color w:val="000000"/>
                <w:kern w:val="0"/>
                <w:szCs w:val="21"/>
              </w:rPr>
              <w:t>项目</w:t>
            </w:r>
            <w:r>
              <w:rPr>
                <w:rFonts w:hint="eastAsia"/>
                <w:b/>
                <w:bCs/>
                <w:color w:val="000000"/>
                <w:kern w:val="0"/>
                <w:szCs w:val="21"/>
              </w:rPr>
              <w:t>物料平衡</w:t>
            </w:r>
            <w:r>
              <w:rPr>
                <w:b/>
                <w:bCs/>
                <w:color w:val="000000"/>
                <w:kern w:val="0"/>
                <w:szCs w:val="21"/>
              </w:rPr>
              <w:t>表</w:t>
            </w:r>
          </w:p>
          <w:tbl>
            <w:tblPr>
              <w:tblStyle w:val="20"/>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950"/>
              <w:gridCol w:w="880"/>
              <w:gridCol w:w="2450"/>
              <w:gridCol w:w="975"/>
              <w:gridCol w:w="714"/>
            </w:tblGrid>
            <w:tr w14:paraId="7EB8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6" w:type="dxa"/>
                  <w:gridSpan w:val="3"/>
                  <w:shd w:val="clear" w:color="auto" w:fill="auto"/>
                  <w:noWrap w:val="0"/>
                  <w:vAlign w:val="top"/>
                </w:tcPr>
                <w:p w14:paraId="7A613761">
                  <w:pPr>
                    <w:widowControl/>
                    <w:jc w:val="center"/>
                    <w:rPr>
                      <w:rFonts w:hint="eastAsia"/>
                      <w:color w:val="000000"/>
                      <w:szCs w:val="21"/>
                    </w:rPr>
                  </w:pPr>
                  <w:r>
                    <w:rPr>
                      <w:rFonts w:hint="eastAsia"/>
                      <w:color w:val="000000"/>
                      <w:szCs w:val="21"/>
                    </w:rPr>
                    <w:t>输入</w:t>
                  </w:r>
                </w:p>
              </w:tc>
              <w:tc>
                <w:tcPr>
                  <w:tcW w:w="4139" w:type="dxa"/>
                  <w:gridSpan w:val="3"/>
                  <w:shd w:val="clear" w:color="auto" w:fill="auto"/>
                  <w:noWrap w:val="0"/>
                  <w:vAlign w:val="top"/>
                </w:tcPr>
                <w:p w14:paraId="40726901">
                  <w:pPr>
                    <w:widowControl/>
                    <w:jc w:val="center"/>
                    <w:rPr>
                      <w:rFonts w:hint="eastAsia"/>
                      <w:color w:val="000000"/>
                      <w:szCs w:val="21"/>
                    </w:rPr>
                  </w:pPr>
                  <w:r>
                    <w:rPr>
                      <w:rFonts w:hint="eastAsia"/>
                      <w:color w:val="000000"/>
                      <w:szCs w:val="21"/>
                    </w:rPr>
                    <w:t>输出</w:t>
                  </w:r>
                </w:p>
              </w:tc>
            </w:tr>
            <w:tr w14:paraId="7CC9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uto"/>
                  <w:noWrap w:val="0"/>
                  <w:vAlign w:val="center"/>
                </w:tcPr>
                <w:p w14:paraId="77C981D5">
                  <w:pPr>
                    <w:widowControl/>
                    <w:jc w:val="center"/>
                    <w:rPr>
                      <w:color w:val="000000"/>
                      <w:szCs w:val="21"/>
                    </w:rPr>
                  </w:pPr>
                  <w:r>
                    <w:rPr>
                      <w:rFonts w:hint="eastAsia"/>
                      <w:color w:val="000000"/>
                      <w:szCs w:val="21"/>
                    </w:rPr>
                    <w:t>名称</w:t>
                  </w:r>
                </w:p>
              </w:tc>
              <w:tc>
                <w:tcPr>
                  <w:tcW w:w="950" w:type="dxa"/>
                  <w:shd w:val="clear" w:color="auto" w:fill="auto"/>
                  <w:noWrap w:val="0"/>
                  <w:vAlign w:val="center"/>
                </w:tcPr>
                <w:p w14:paraId="6B98BD97">
                  <w:pPr>
                    <w:widowControl/>
                    <w:jc w:val="center"/>
                    <w:rPr>
                      <w:rFonts w:hint="eastAsia"/>
                      <w:color w:val="000000"/>
                      <w:szCs w:val="21"/>
                    </w:rPr>
                  </w:pPr>
                  <w:r>
                    <w:rPr>
                      <w:rFonts w:hint="eastAsia"/>
                      <w:color w:val="000000"/>
                      <w:szCs w:val="21"/>
                    </w:rPr>
                    <w:t>吨/a</w:t>
                  </w:r>
                </w:p>
              </w:tc>
              <w:tc>
                <w:tcPr>
                  <w:tcW w:w="880" w:type="dxa"/>
                  <w:shd w:val="clear" w:color="auto" w:fill="auto"/>
                  <w:noWrap w:val="0"/>
                  <w:vAlign w:val="center"/>
                </w:tcPr>
                <w:p w14:paraId="53897C43">
                  <w:pPr>
                    <w:widowControl/>
                    <w:jc w:val="center"/>
                    <w:rPr>
                      <w:color w:val="000000"/>
                      <w:szCs w:val="21"/>
                    </w:rPr>
                  </w:pPr>
                  <w:r>
                    <w:rPr>
                      <w:rFonts w:hint="eastAsia"/>
                      <w:color w:val="000000"/>
                      <w:szCs w:val="21"/>
                    </w:rPr>
                    <w:t>占比%</w:t>
                  </w:r>
                </w:p>
              </w:tc>
              <w:tc>
                <w:tcPr>
                  <w:tcW w:w="2450" w:type="dxa"/>
                  <w:shd w:val="clear" w:color="auto" w:fill="auto"/>
                  <w:noWrap w:val="0"/>
                  <w:vAlign w:val="center"/>
                </w:tcPr>
                <w:p w14:paraId="75EB4AE7">
                  <w:pPr>
                    <w:widowControl/>
                    <w:jc w:val="center"/>
                    <w:rPr>
                      <w:rFonts w:hint="eastAsia"/>
                      <w:color w:val="000000"/>
                      <w:szCs w:val="21"/>
                    </w:rPr>
                  </w:pPr>
                  <w:r>
                    <w:rPr>
                      <w:rFonts w:hint="eastAsia"/>
                      <w:color w:val="000000"/>
                      <w:szCs w:val="21"/>
                    </w:rPr>
                    <w:t>名称</w:t>
                  </w:r>
                </w:p>
              </w:tc>
              <w:tc>
                <w:tcPr>
                  <w:tcW w:w="975" w:type="dxa"/>
                  <w:shd w:val="clear" w:color="auto" w:fill="auto"/>
                  <w:noWrap w:val="0"/>
                  <w:vAlign w:val="center"/>
                </w:tcPr>
                <w:p w14:paraId="536B75B4">
                  <w:pPr>
                    <w:widowControl/>
                    <w:jc w:val="center"/>
                    <w:rPr>
                      <w:rFonts w:hint="eastAsia"/>
                      <w:color w:val="000000"/>
                      <w:szCs w:val="21"/>
                    </w:rPr>
                  </w:pPr>
                  <w:r>
                    <w:rPr>
                      <w:rFonts w:hint="eastAsia"/>
                      <w:color w:val="000000"/>
                      <w:szCs w:val="21"/>
                    </w:rPr>
                    <w:t>吨/a</w:t>
                  </w:r>
                </w:p>
              </w:tc>
              <w:tc>
                <w:tcPr>
                  <w:tcW w:w="714" w:type="dxa"/>
                  <w:shd w:val="clear" w:color="auto" w:fill="auto"/>
                  <w:noWrap w:val="0"/>
                  <w:vAlign w:val="center"/>
                </w:tcPr>
                <w:p w14:paraId="17B1E65F">
                  <w:pPr>
                    <w:widowControl/>
                    <w:jc w:val="center"/>
                    <w:rPr>
                      <w:rFonts w:hint="eastAsia"/>
                      <w:color w:val="000000"/>
                      <w:szCs w:val="21"/>
                    </w:rPr>
                  </w:pPr>
                  <w:r>
                    <w:rPr>
                      <w:rFonts w:hint="eastAsia"/>
                      <w:color w:val="000000"/>
                      <w:szCs w:val="21"/>
                    </w:rPr>
                    <w:t>占比%</w:t>
                  </w:r>
                </w:p>
              </w:tc>
            </w:tr>
            <w:tr w14:paraId="7F55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uto"/>
                  <w:noWrap w:val="0"/>
                  <w:vAlign w:val="center"/>
                </w:tcPr>
                <w:p w14:paraId="7D6A9A5C">
                  <w:pPr>
                    <w:widowControl/>
                    <w:jc w:val="center"/>
                    <w:rPr>
                      <w:color w:val="000000"/>
                      <w:szCs w:val="21"/>
                    </w:rPr>
                  </w:pPr>
                  <w:r>
                    <w:rPr>
                      <w:rFonts w:hint="eastAsia"/>
                      <w:color w:val="000000"/>
                      <w:szCs w:val="21"/>
                    </w:rPr>
                    <w:t>鲜花</w:t>
                  </w:r>
                </w:p>
              </w:tc>
              <w:tc>
                <w:tcPr>
                  <w:tcW w:w="950" w:type="dxa"/>
                  <w:shd w:val="clear" w:color="auto" w:fill="auto"/>
                  <w:noWrap w:val="0"/>
                  <w:vAlign w:val="center"/>
                </w:tcPr>
                <w:p w14:paraId="3F1CE153">
                  <w:pPr>
                    <w:widowControl/>
                    <w:jc w:val="center"/>
                    <w:rPr>
                      <w:color w:val="000000"/>
                      <w:szCs w:val="21"/>
                    </w:rPr>
                  </w:pPr>
                  <w:r>
                    <w:rPr>
                      <w:rFonts w:hint="eastAsia"/>
                      <w:color w:val="000000"/>
                      <w:szCs w:val="21"/>
                    </w:rPr>
                    <w:t>11</w:t>
                  </w:r>
                </w:p>
              </w:tc>
              <w:tc>
                <w:tcPr>
                  <w:tcW w:w="880" w:type="dxa"/>
                  <w:shd w:val="clear" w:color="auto" w:fill="auto"/>
                  <w:noWrap w:val="0"/>
                  <w:vAlign w:val="center"/>
                </w:tcPr>
                <w:p w14:paraId="3F97C868">
                  <w:pPr>
                    <w:widowControl/>
                    <w:jc w:val="center"/>
                    <w:rPr>
                      <w:color w:val="000000"/>
                      <w:szCs w:val="21"/>
                    </w:rPr>
                  </w:pPr>
                  <w:r>
                    <w:rPr>
                      <w:rFonts w:hint="eastAsia"/>
                      <w:color w:val="000000"/>
                      <w:szCs w:val="21"/>
                    </w:rPr>
                    <w:t>100</w:t>
                  </w:r>
                </w:p>
              </w:tc>
              <w:tc>
                <w:tcPr>
                  <w:tcW w:w="2450" w:type="dxa"/>
                  <w:shd w:val="clear" w:color="auto" w:fill="auto"/>
                  <w:noWrap w:val="0"/>
                  <w:vAlign w:val="center"/>
                </w:tcPr>
                <w:p w14:paraId="00BEE9F2">
                  <w:pPr>
                    <w:widowControl/>
                    <w:jc w:val="center"/>
                    <w:rPr>
                      <w:color w:val="000000"/>
                      <w:szCs w:val="21"/>
                    </w:rPr>
                  </w:pPr>
                  <w:r>
                    <w:rPr>
                      <w:rFonts w:hint="eastAsia"/>
                      <w:color w:val="000000"/>
                      <w:szCs w:val="21"/>
                    </w:rPr>
                    <w:t>永生花</w:t>
                  </w:r>
                </w:p>
              </w:tc>
              <w:tc>
                <w:tcPr>
                  <w:tcW w:w="975" w:type="dxa"/>
                  <w:shd w:val="clear" w:color="auto" w:fill="auto"/>
                  <w:noWrap w:val="0"/>
                  <w:vAlign w:val="center"/>
                </w:tcPr>
                <w:p w14:paraId="4BDE4106">
                  <w:pPr>
                    <w:widowControl/>
                    <w:jc w:val="center"/>
                    <w:rPr>
                      <w:color w:val="000000"/>
                      <w:szCs w:val="21"/>
                    </w:rPr>
                  </w:pPr>
                  <w:r>
                    <w:rPr>
                      <w:rFonts w:hint="eastAsia"/>
                      <w:color w:val="000000"/>
                      <w:szCs w:val="21"/>
                    </w:rPr>
                    <w:t>10</w:t>
                  </w:r>
                </w:p>
              </w:tc>
              <w:tc>
                <w:tcPr>
                  <w:tcW w:w="714" w:type="dxa"/>
                  <w:shd w:val="clear" w:color="auto" w:fill="auto"/>
                  <w:noWrap w:val="0"/>
                  <w:vAlign w:val="center"/>
                </w:tcPr>
                <w:p w14:paraId="38298F81">
                  <w:pPr>
                    <w:widowControl/>
                    <w:jc w:val="center"/>
                    <w:rPr>
                      <w:color w:val="000000"/>
                      <w:szCs w:val="21"/>
                    </w:rPr>
                  </w:pPr>
                  <w:r>
                    <w:rPr>
                      <w:rFonts w:hint="eastAsia"/>
                      <w:color w:val="000000"/>
                      <w:szCs w:val="21"/>
                    </w:rPr>
                    <w:t>91</w:t>
                  </w:r>
                </w:p>
              </w:tc>
            </w:tr>
            <w:tr w14:paraId="7D75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uto"/>
                  <w:noWrap w:val="0"/>
                  <w:vAlign w:val="center"/>
                </w:tcPr>
                <w:p w14:paraId="39974174">
                  <w:pPr>
                    <w:widowControl/>
                    <w:jc w:val="center"/>
                    <w:rPr>
                      <w:rFonts w:hint="eastAsia"/>
                      <w:color w:val="000000"/>
                      <w:szCs w:val="21"/>
                    </w:rPr>
                  </w:pPr>
                </w:p>
              </w:tc>
              <w:tc>
                <w:tcPr>
                  <w:tcW w:w="950" w:type="dxa"/>
                  <w:shd w:val="clear" w:color="auto" w:fill="auto"/>
                  <w:noWrap w:val="0"/>
                  <w:vAlign w:val="center"/>
                </w:tcPr>
                <w:p w14:paraId="7F4FCFB6">
                  <w:pPr>
                    <w:widowControl/>
                    <w:jc w:val="center"/>
                    <w:rPr>
                      <w:rFonts w:hint="eastAsia"/>
                      <w:color w:val="000000"/>
                      <w:szCs w:val="21"/>
                    </w:rPr>
                  </w:pPr>
                </w:p>
              </w:tc>
              <w:tc>
                <w:tcPr>
                  <w:tcW w:w="880" w:type="dxa"/>
                  <w:shd w:val="clear" w:color="auto" w:fill="auto"/>
                  <w:noWrap w:val="0"/>
                  <w:vAlign w:val="center"/>
                </w:tcPr>
                <w:p w14:paraId="38219620">
                  <w:pPr>
                    <w:widowControl/>
                    <w:jc w:val="center"/>
                    <w:rPr>
                      <w:rFonts w:hint="eastAsia"/>
                      <w:color w:val="000000"/>
                      <w:szCs w:val="21"/>
                    </w:rPr>
                  </w:pPr>
                </w:p>
              </w:tc>
              <w:tc>
                <w:tcPr>
                  <w:tcW w:w="2450" w:type="dxa"/>
                  <w:shd w:val="clear" w:color="auto" w:fill="auto"/>
                  <w:noWrap w:val="0"/>
                  <w:vAlign w:val="center"/>
                </w:tcPr>
                <w:p w14:paraId="6C4B69D9">
                  <w:pPr>
                    <w:widowControl/>
                    <w:jc w:val="center"/>
                    <w:rPr>
                      <w:color w:val="000000"/>
                      <w:szCs w:val="21"/>
                    </w:rPr>
                  </w:pPr>
                  <w:r>
                    <w:rPr>
                      <w:rFonts w:hint="eastAsia"/>
                      <w:color w:val="000000"/>
                      <w:szCs w:val="21"/>
                    </w:rPr>
                    <w:t>鲜花残枝叶、破损次品</w:t>
                  </w:r>
                </w:p>
              </w:tc>
              <w:tc>
                <w:tcPr>
                  <w:tcW w:w="975" w:type="dxa"/>
                  <w:shd w:val="clear" w:color="auto" w:fill="auto"/>
                  <w:noWrap w:val="0"/>
                  <w:vAlign w:val="center"/>
                </w:tcPr>
                <w:p w14:paraId="01EEB148">
                  <w:pPr>
                    <w:widowControl/>
                    <w:jc w:val="center"/>
                    <w:rPr>
                      <w:color w:val="000000"/>
                      <w:szCs w:val="21"/>
                    </w:rPr>
                  </w:pPr>
                  <w:r>
                    <w:rPr>
                      <w:rFonts w:hint="eastAsia"/>
                      <w:color w:val="000000"/>
                      <w:szCs w:val="21"/>
                    </w:rPr>
                    <w:t>1</w:t>
                  </w:r>
                </w:p>
              </w:tc>
              <w:tc>
                <w:tcPr>
                  <w:tcW w:w="714" w:type="dxa"/>
                  <w:shd w:val="clear" w:color="auto" w:fill="auto"/>
                  <w:noWrap w:val="0"/>
                  <w:vAlign w:val="center"/>
                </w:tcPr>
                <w:p w14:paraId="3CB97BEF">
                  <w:pPr>
                    <w:widowControl/>
                    <w:jc w:val="center"/>
                    <w:rPr>
                      <w:color w:val="000000"/>
                      <w:szCs w:val="21"/>
                    </w:rPr>
                  </w:pPr>
                  <w:r>
                    <w:rPr>
                      <w:rFonts w:hint="eastAsia"/>
                      <w:color w:val="000000"/>
                      <w:szCs w:val="21"/>
                    </w:rPr>
                    <w:t>9</w:t>
                  </w:r>
                </w:p>
              </w:tc>
            </w:tr>
            <w:tr w14:paraId="12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uto"/>
                  <w:noWrap w:val="0"/>
                  <w:vAlign w:val="center"/>
                </w:tcPr>
                <w:p w14:paraId="4D12ED8B">
                  <w:pPr>
                    <w:widowControl/>
                    <w:jc w:val="center"/>
                    <w:rPr>
                      <w:color w:val="000000"/>
                      <w:szCs w:val="21"/>
                    </w:rPr>
                  </w:pPr>
                  <w:r>
                    <w:rPr>
                      <w:rFonts w:hint="eastAsia"/>
                      <w:color w:val="000000"/>
                      <w:szCs w:val="21"/>
                    </w:rPr>
                    <w:t>合计</w:t>
                  </w:r>
                </w:p>
              </w:tc>
              <w:tc>
                <w:tcPr>
                  <w:tcW w:w="950" w:type="dxa"/>
                  <w:shd w:val="clear" w:color="auto" w:fill="auto"/>
                  <w:noWrap w:val="0"/>
                  <w:vAlign w:val="center"/>
                </w:tcPr>
                <w:p w14:paraId="426F207E">
                  <w:pPr>
                    <w:widowControl/>
                    <w:jc w:val="center"/>
                    <w:rPr>
                      <w:color w:val="000000"/>
                      <w:szCs w:val="21"/>
                    </w:rPr>
                  </w:pPr>
                  <w:r>
                    <w:rPr>
                      <w:rFonts w:hint="eastAsia"/>
                      <w:color w:val="000000"/>
                      <w:szCs w:val="21"/>
                    </w:rPr>
                    <w:t>1</w:t>
                  </w:r>
                  <w:r>
                    <w:rPr>
                      <w:color w:val="000000"/>
                      <w:szCs w:val="21"/>
                    </w:rPr>
                    <w:t>1</w:t>
                  </w:r>
                </w:p>
              </w:tc>
              <w:tc>
                <w:tcPr>
                  <w:tcW w:w="880" w:type="dxa"/>
                  <w:shd w:val="clear" w:color="auto" w:fill="auto"/>
                  <w:noWrap w:val="0"/>
                  <w:vAlign w:val="center"/>
                </w:tcPr>
                <w:p w14:paraId="3EC8DA23">
                  <w:pPr>
                    <w:widowControl/>
                    <w:jc w:val="center"/>
                    <w:rPr>
                      <w:rFonts w:hint="eastAsia"/>
                      <w:color w:val="000000"/>
                      <w:szCs w:val="21"/>
                    </w:rPr>
                  </w:pPr>
                  <w:r>
                    <w:rPr>
                      <w:rFonts w:hint="eastAsia"/>
                      <w:color w:val="000000"/>
                      <w:szCs w:val="21"/>
                    </w:rPr>
                    <w:t>100</w:t>
                  </w:r>
                </w:p>
              </w:tc>
              <w:tc>
                <w:tcPr>
                  <w:tcW w:w="2450" w:type="dxa"/>
                  <w:shd w:val="clear" w:color="auto" w:fill="auto"/>
                  <w:noWrap w:val="0"/>
                  <w:vAlign w:val="center"/>
                </w:tcPr>
                <w:p w14:paraId="3752D716">
                  <w:pPr>
                    <w:widowControl/>
                    <w:jc w:val="center"/>
                    <w:rPr>
                      <w:color w:val="000000"/>
                      <w:szCs w:val="21"/>
                    </w:rPr>
                  </w:pPr>
                  <w:r>
                    <w:rPr>
                      <w:rFonts w:hint="eastAsia"/>
                      <w:color w:val="000000"/>
                      <w:szCs w:val="21"/>
                    </w:rPr>
                    <w:t>-</w:t>
                  </w:r>
                </w:p>
              </w:tc>
              <w:tc>
                <w:tcPr>
                  <w:tcW w:w="975" w:type="dxa"/>
                  <w:shd w:val="clear" w:color="auto" w:fill="auto"/>
                  <w:noWrap w:val="0"/>
                  <w:vAlign w:val="center"/>
                </w:tcPr>
                <w:p w14:paraId="4394CC34">
                  <w:pPr>
                    <w:widowControl/>
                    <w:jc w:val="center"/>
                    <w:rPr>
                      <w:rFonts w:hint="eastAsia"/>
                      <w:color w:val="000000"/>
                      <w:szCs w:val="21"/>
                    </w:rPr>
                  </w:pPr>
                  <w:r>
                    <w:rPr>
                      <w:rFonts w:hint="eastAsia"/>
                      <w:color w:val="000000"/>
                      <w:szCs w:val="21"/>
                    </w:rPr>
                    <w:t>11</w:t>
                  </w:r>
                </w:p>
              </w:tc>
              <w:tc>
                <w:tcPr>
                  <w:tcW w:w="714" w:type="dxa"/>
                  <w:shd w:val="clear" w:color="auto" w:fill="auto"/>
                  <w:noWrap w:val="0"/>
                  <w:vAlign w:val="center"/>
                </w:tcPr>
                <w:p w14:paraId="1068CAFB">
                  <w:pPr>
                    <w:widowControl/>
                    <w:jc w:val="center"/>
                    <w:rPr>
                      <w:rFonts w:hint="eastAsia"/>
                      <w:color w:val="000000"/>
                      <w:szCs w:val="21"/>
                    </w:rPr>
                  </w:pPr>
                  <w:r>
                    <w:rPr>
                      <w:rFonts w:hint="eastAsia"/>
                      <w:color w:val="000000"/>
                      <w:szCs w:val="21"/>
                    </w:rPr>
                    <w:t>100</w:t>
                  </w:r>
                </w:p>
              </w:tc>
            </w:tr>
          </w:tbl>
          <w:p w14:paraId="1257D4C0">
            <w:pPr>
              <w:autoSpaceDE w:val="0"/>
              <w:autoSpaceDN w:val="0"/>
              <w:adjustRightInd w:val="0"/>
              <w:snapToGrid w:val="0"/>
              <w:spacing w:line="360" w:lineRule="auto"/>
              <w:ind w:firstLine="482" w:firstLineChars="200"/>
              <w:rPr>
                <w:b/>
                <w:bCs/>
                <w:color w:val="000000"/>
                <w:sz w:val="24"/>
              </w:rPr>
            </w:pPr>
            <w:r>
              <w:rPr>
                <w:b/>
                <w:bCs/>
                <w:color w:val="000000"/>
                <w:sz w:val="24"/>
              </w:rPr>
              <w:t>十一、甲醇平衡</w:t>
            </w:r>
          </w:p>
          <w:p w14:paraId="5D6553BC">
            <w:pPr>
              <w:pStyle w:val="2"/>
              <w:rPr>
                <w:rFonts w:hint="eastAsia"/>
                <w:color w:val="000000"/>
              </w:rPr>
            </w:pPr>
            <w:r>
              <w:rPr>
                <w:color w:val="000000"/>
              </w:rPr>
              <mc:AlternateContent>
                <mc:Choice Requires="wpc">
                  <w:drawing>
                    <wp:inline distT="0" distB="0" distL="114300" distR="114300">
                      <wp:extent cx="5059680" cy="2770505"/>
                      <wp:effectExtent l="0" t="0" r="0" b="0"/>
                      <wp:docPr id="1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4"/>
                              <wps:cNvSpPr/>
                              <wps:spPr>
                                <a:xfrm>
                                  <a:off x="408305" y="1007745"/>
                                  <a:ext cx="947420" cy="3295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D6444E">
                                    <w:r>
                                      <w:t>脱色桶（2.5</w:t>
                                    </w:r>
                                    <w:r>
                                      <w:rPr>
                                        <w:rFonts w:hint="eastAsia"/>
                                      </w:rPr>
                                      <w:t>t</w:t>
                                    </w:r>
                                    <w:r>
                                      <w:t>）</w:t>
                                    </w:r>
                                  </w:p>
                                </w:txbxContent>
                              </wps:txbx>
                              <wps:bodyPr wrap="square" upright="1"/>
                            </wps:wsp>
                            <wps:wsp>
                              <wps:cNvPr id="2" name="矩形 5"/>
                              <wps:cNvSpPr/>
                              <wps:spPr>
                                <a:xfrm>
                                  <a:off x="1742440" y="1011555"/>
                                  <a:ext cx="1000760" cy="328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2858A9">
                                    <w:r>
                                      <w:t>染色桶（1.5</w:t>
                                    </w:r>
                                    <w:r>
                                      <w:rPr>
                                        <w:rFonts w:hint="eastAsia"/>
                                      </w:rPr>
                                      <w:t>t</w:t>
                                    </w:r>
                                    <w:r>
                                      <w:t>）</w:t>
                                    </w:r>
                                  </w:p>
                                </w:txbxContent>
                              </wps:txbx>
                              <wps:bodyPr wrap="square" upright="1"/>
                            </wps:wsp>
                            <wps:wsp>
                              <wps:cNvPr id="3" name="矩形 6"/>
                              <wps:cNvSpPr/>
                              <wps:spPr>
                                <a:xfrm>
                                  <a:off x="1083310" y="1833245"/>
                                  <a:ext cx="947420" cy="3289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61AF36">
                                    <w:r>
                                      <w:t>除湿间</w:t>
                                    </w:r>
                                    <w:r>
                                      <w:rPr>
                                        <w:rFonts w:hint="eastAsia"/>
                                      </w:rPr>
                                      <w:t>（1t）</w:t>
                                    </w:r>
                                  </w:p>
                                </w:txbxContent>
                              </wps:txbx>
                              <wps:bodyPr wrap="square" upright="1"/>
                            </wps:wsp>
                            <wps:wsp>
                              <wps:cNvPr id="4" name="自选图形 7"/>
                              <wps:cNvCnPr/>
                              <wps:spPr>
                                <a:xfrm>
                                  <a:off x="1355725" y="1172210"/>
                                  <a:ext cx="386715" cy="1270"/>
                                </a:xfrm>
                                <a:prstGeom prst="straightConnector1">
                                  <a:avLst/>
                                </a:prstGeom>
                                <a:ln w="9525" cap="flat" cmpd="sng">
                                  <a:solidFill>
                                    <a:srgbClr val="000000"/>
                                  </a:solidFill>
                                  <a:prstDash val="solid"/>
                                  <a:headEnd type="none" w="med" len="med"/>
                                  <a:tailEnd type="none" w="med" len="med"/>
                                </a:ln>
                              </wps:spPr>
                              <wps:bodyPr/>
                            </wps:wsp>
                            <wps:wsp>
                              <wps:cNvPr id="5" name="自选图形 8"/>
                              <wps:cNvCnPr/>
                              <wps:spPr>
                                <a:xfrm flipV="1">
                                  <a:off x="1156335" y="784860"/>
                                  <a:ext cx="635" cy="222885"/>
                                </a:xfrm>
                                <a:prstGeom prst="straightConnector1">
                                  <a:avLst/>
                                </a:prstGeom>
                                <a:ln w="9525" cap="flat" cmpd="sng">
                                  <a:solidFill>
                                    <a:srgbClr val="000000"/>
                                  </a:solidFill>
                                  <a:prstDash val="solid"/>
                                  <a:headEnd type="none" w="med" len="med"/>
                                  <a:tailEnd type="triangle" w="med" len="med"/>
                                </a:ln>
                              </wps:spPr>
                              <wps:bodyPr/>
                            </wps:wsp>
                            <wps:wsp>
                              <wps:cNvPr id="6" name="矩形 9"/>
                              <wps:cNvSpPr/>
                              <wps:spPr>
                                <a:xfrm>
                                  <a:off x="3159125" y="620395"/>
                                  <a:ext cx="947420" cy="32893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CC0B3C">
                                    <w:r>
                                      <w:rPr>
                                        <w:rFonts w:hint="eastAsia"/>
                                      </w:rPr>
                                      <w:t>挥发0.046</w:t>
                                    </w:r>
                                    <w:r>
                                      <w:t>t</w:t>
                                    </w:r>
                                  </w:p>
                                </w:txbxContent>
                              </wps:txbx>
                              <wps:bodyPr wrap="square" upright="1"/>
                            </wps:wsp>
                            <wps:wsp>
                              <wps:cNvPr id="7" name="自选图形 10"/>
                              <wps:cNvCnPr/>
                              <wps:spPr>
                                <a:xfrm>
                                  <a:off x="2038985" y="1995170"/>
                                  <a:ext cx="354330" cy="635"/>
                                </a:xfrm>
                                <a:prstGeom prst="straightConnector1">
                                  <a:avLst/>
                                </a:prstGeom>
                                <a:ln w="9525" cap="flat" cmpd="sng">
                                  <a:solidFill>
                                    <a:srgbClr val="000000"/>
                                  </a:solidFill>
                                  <a:prstDash val="dash"/>
                                  <a:headEnd type="none" w="med" len="med"/>
                                  <a:tailEnd type="triangle" w="med" len="med"/>
                                </a:ln>
                              </wps:spPr>
                              <wps:bodyPr/>
                            </wps:wsp>
                            <wps:wsp>
                              <wps:cNvPr id="8" name="矩形 11"/>
                              <wps:cNvSpPr/>
                              <wps:spPr>
                                <a:xfrm>
                                  <a:off x="2385060" y="1832610"/>
                                  <a:ext cx="946785" cy="32829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60479F5">
                                    <w:r>
                                      <w:rPr>
                                        <w:rFonts w:hint="eastAsia"/>
                                      </w:rPr>
                                      <w:t>挥发</w:t>
                                    </w:r>
                                    <w:r>
                                      <w:t>1.0t</w:t>
                                    </w:r>
                                  </w:p>
                                </w:txbxContent>
                              </wps:txbx>
                              <wps:bodyPr wrap="square" upright="1"/>
                            </wps:wsp>
                            <wps:wsp>
                              <wps:cNvPr id="9" name="自选图形 12"/>
                              <wps:cNvCnPr/>
                              <wps:spPr>
                                <a:xfrm>
                                  <a:off x="1556385" y="1172210"/>
                                  <a:ext cx="635" cy="661035"/>
                                </a:xfrm>
                                <a:prstGeom prst="straightConnector1">
                                  <a:avLst/>
                                </a:prstGeom>
                                <a:ln w="9525" cap="flat" cmpd="sng">
                                  <a:solidFill>
                                    <a:srgbClr val="000000"/>
                                  </a:solidFill>
                                  <a:prstDash val="solid"/>
                                  <a:headEnd type="none" w="med" len="med"/>
                                  <a:tailEnd type="triangle" w="med" len="med"/>
                                </a:ln>
                              </wps:spPr>
                              <wps:bodyPr/>
                            </wps:wsp>
                            <wps:wsp>
                              <wps:cNvPr id="10" name="自选图形 13"/>
                              <wps:cNvCnPr/>
                              <wps:spPr>
                                <a:xfrm flipV="1">
                                  <a:off x="2450465" y="784860"/>
                                  <a:ext cx="635" cy="222885"/>
                                </a:xfrm>
                                <a:prstGeom prst="straightConnector1">
                                  <a:avLst/>
                                </a:prstGeom>
                                <a:ln w="9525" cap="flat" cmpd="sng">
                                  <a:solidFill>
                                    <a:srgbClr val="000000"/>
                                  </a:solidFill>
                                  <a:prstDash val="solid"/>
                                  <a:headEnd type="none" w="med" len="med"/>
                                  <a:tailEnd type="triangle" w="med" len="med"/>
                                </a:ln>
                              </wps:spPr>
                              <wps:bodyPr/>
                            </wps:wsp>
                            <wps:wsp>
                              <wps:cNvPr id="11" name="自选图形 14"/>
                              <wps:cNvCnPr/>
                              <wps:spPr>
                                <a:xfrm>
                                  <a:off x="1156970" y="784225"/>
                                  <a:ext cx="2002155" cy="635"/>
                                </a:xfrm>
                                <a:prstGeom prst="straightConnector1">
                                  <a:avLst/>
                                </a:prstGeom>
                                <a:ln w="9525" cap="flat" cmpd="sng">
                                  <a:solidFill>
                                    <a:srgbClr val="000000"/>
                                  </a:solidFill>
                                  <a:prstDash val="dash"/>
                                  <a:headEnd type="none" w="med" len="med"/>
                                  <a:tailEnd type="triangle" w="med" len="med"/>
                                </a:ln>
                              </wps:spPr>
                              <wps:bodyPr/>
                            </wps:wsp>
                            <wps:wsp>
                              <wps:cNvPr id="12" name="自选图形 15"/>
                              <wps:cNvCnPr/>
                              <wps:spPr>
                                <a:xfrm>
                                  <a:off x="881380" y="579120"/>
                                  <a:ext cx="635" cy="428625"/>
                                </a:xfrm>
                                <a:prstGeom prst="straightConnector1">
                                  <a:avLst/>
                                </a:prstGeom>
                                <a:ln w="9525" cap="flat" cmpd="sng">
                                  <a:solidFill>
                                    <a:srgbClr val="000000"/>
                                  </a:solidFill>
                                  <a:prstDash val="solid"/>
                                  <a:headEnd type="none" w="med" len="med"/>
                                  <a:tailEnd type="triangle" w="med" len="med"/>
                                </a:ln>
                              </wps:spPr>
                              <wps:bodyPr/>
                            </wps:wsp>
                            <wps:wsp>
                              <wps:cNvPr id="13" name="自选图形 16"/>
                              <wps:cNvCnPr/>
                              <wps:spPr>
                                <a:xfrm>
                                  <a:off x="2162175" y="582930"/>
                                  <a:ext cx="635" cy="428625"/>
                                </a:xfrm>
                                <a:prstGeom prst="straightConnector1">
                                  <a:avLst/>
                                </a:prstGeom>
                                <a:ln w="9525" cap="flat" cmpd="sng">
                                  <a:solidFill>
                                    <a:srgbClr val="000000"/>
                                  </a:solidFill>
                                  <a:prstDash val="solid"/>
                                  <a:headEnd type="none" w="med" len="med"/>
                                  <a:tailEnd type="triangle" w="med" len="med"/>
                                </a:ln>
                              </wps:spPr>
                              <wps:bodyPr/>
                            </wps:wsp>
                            <wps:wsp>
                              <wps:cNvPr id="14" name="自选图形 17"/>
                              <wps:cNvCnPr/>
                              <wps:spPr>
                                <a:xfrm>
                                  <a:off x="882015" y="579120"/>
                                  <a:ext cx="1280795" cy="635"/>
                                </a:xfrm>
                                <a:prstGeom prst="straightConnector1">
                                  <a:avLst/>
                                </a:prstGeom>
                                <a:ln w="9525" cap="flat" cmpd="sng">
                                  <a:solidFill>
                                    <a:srgbClr val="000000"/>
                                  </a:solidFill>
                                  <a:prstDash val="solid"/>
                                  <a:headEnd type="none" w="med" len="med"/>
                                  <a:tailEnd type="none" w="med" len="med"/>
                                </a:ln>
                              </wps:spPr>
                              <wps:bodyPr/>
                            </wps:wsp>
                            <wps:wsp>
                              <wps:cNvPr id="15" name="自选图形 18"/>
                              <wps:cNvCnPr/>
                              <wps:spPr>
                                <a:xfrm>
                                  <a:off x="1470025" y="315595"/>
                                  <a:ext cx="0" cy="263525"/>
                                </a:xfrm>
                                <a:prstGeom prst="straightConnector1">
                                  <a:avLst/>
                                </a:prstGeom>
                                <a:ln w="9525" cap="flat" cmpd="sng">
                                  <a:solidFill>
                                    <a:srgbClr val="000000"/>
                                  </a:solidFill>
                                  <a:prstDash val="solid"/>
                                  <a:headEnd type="none" w="med" len="med"/>
                                  <a:tailEnd type="triangle" w="med" len="med"/>
                                </a:ln>
                              </wps:spPr>
                              <wps:bodyPr/>
                            </wps:wsp>
                            <wps:wsp>
                              <wps:cNvPr id="16" name="矩形 19"/>
                              <wps:cNvSpPr/>
                              <wps:spPr>
                                <a:xfrm>
                                  <a:off x="959485" y="49530"/>
                                  <a:ext cx="1021080" cy="328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AAB1A1">
                                    <w:r>
                                      <w:t>补充（1.046</w:t>
                                    </w:r>
                                    <w:r>
                                      <w:rPr>
                                        <w:rFonts w:hint="eastAsia"/>
                                      </w:rPr>
                                      <w:t>t</w:t>
                                    </w:r>
                                    <w:r>
                                      <w:t>）</w:t>
                                    </w:r>
                                  </w:p>
                                </w:txbxContent>
                              </wps:txbx>
                              <wps:bodyPr wrap="square" upright="1"/>
                            </wps:wsp>
                            <wps:wsp>
                              <wps:cNvPr id="17" name="矩形 20"/>
                              <wps:cNvSpPr/>
                              <wps:spPr>
                                <a:xfrm>
                                  <a:off x="1470025" y="2313305"/>
                                  <a:ext cx="2454275" cy="328295"/>
                                </a:xfrm>
                                <a:prstGeom prst="rect">
                                  <a:avLst/>
                                </a:prstGeom>
                                <a:solidFill>
                                  <a:srgbClr val="FFFFFF"/>
                                </a:solidFill>
                                <a:ln>
                                  <a:noFill/>
                                </a:ln>
                              </wps:spPr>
                              <wps:txbx>
                                <w:txbxContent>
                                  <w:p w14:paraId="0F0C3AE5">
                                    <w:pPr>
                                      <w:jc w:val="center"/>
                                      <w:rPr>
                                        <w:b/>
                                        <w:color w:val="000000"/>
                                      </w:rPr>
                                    </w:pPr>
                                    <w:r>
                                      <w:rPr>
                                        <w:b/>
                                        <w:color w:val="000000"/>
                                      </w:rPr>
                                      <w:t>图</w:t>
                                    </w:r>
                                    <w:r>
                                      <w:rPr>
                                        <w:rFonts w:hint="eastAsia"/>
                                        <w:b/>
                                        <w:color w:val="000000"/>
                                      </w:rPr>
                                      <w:t>2-3  甲醇元素平衡图</w:t>
                                    </w:r>
                                  </w:p>
                                </w:txbxContent>
                              </wps:txbx>
                              <wps:bodyPr wrap="square" upright="1"/>
                            </wps:wsp>
                          </wpc:wpc>
                        </a:graphicData>
                      </a:graphic>
                    </wp:inline>
                  </w:drawing>
                </mc:Choice>
                <mc:Fallback>
                  <w:pict>
                    <v:group id="画布 2" o:spid="_x0000_s1026" o:spt="203" style="height:218.15pt;width:398.4pt;" coordsize="5059680,2770505" editas="canvas" o:gfxdata="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TY92qdgAAAAFAQAADwAAAAAAAAABACAA&#10;AAAiAAAAZHJzL2Rvd25yZXYueG1sUEsBAhQAFAAAAAgAh07iQODHksBkBQAA+icAAA4AAAAAAAAA&#10;AQAgAAAAJwEAAGRycy9lMm9Eb2MueG1sUEsFBgAAAAAGAAYAWQEAAP0IAAAAAA==&#10;">
                      <o:lock v:ext="edit" aspectratio="f"/>
                      <v:rect id="画布 2" o:spid="_x0000_s1026" o:spt="1" style="position:absolute;left:0;top:0;height:2770505;width:5059680;" filled="f" stroked="f" coordsize="21600,21600" o:gfxdata="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E2PdqnYAAAABQEAAA8AAAAAAAAAAQAgAAAAIgAAAGRycy9kb3ducmV2LnhtbFBLAQIU&#10;ABQAAAAIAIdO4kA/4JQ+EQUAAHYnAAAOAAAAAAAAAAEAIAAAACcBAABkcnMvZTJvRG9jLnhtbFBL&#10;BQYAAAAABgAGAFkBAACqCAAAAAA=&#10;">
                        <v:fill on="f" focussize="0,0"/>
                        <v:stroke on="f"/>
                        <v:imagedata o:title=""/>
                        <o:lock v:ext="edit" rotation="t" text="t" aspectratio="t"/>
                      </v:rect>
                      <v:rect id="矩形 4" o:spid="_x0000_s1026" o:spt="1" style="position:absolute;left:408305;top:1007745;height:329565;width:947420;" fillcolor="#FFFFFF" filled="t" stroked="t" coordsize="21600,21600" o:gfxdata="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jvbHzVAAAABQEAAA8AAAAA&#10;AAAAAQAgAAAAIgAAAGRycy9kb3ducmV2LnhtbFBLAQIUABQAAAAIAIdO4kCF/IsyFwIAAEEEAAAO&#10;AAAAAAAAAAEAIAAAACQBAABkcnMvZTJvRG9jLnhtbFBLBQYAAAAABgAGAFkBAACtBQAAAAA=&#10;">
                        <v:fill on="t" focussize="0,0"/>
                        <v:stroke color="#000000" joinstyle="miter"/>
                        <v:imagedata o:title=""/>
                        <o:lock v:ext="edit" aspectratio="f"/>
                        <v:textbox>
                          <w:txbxContent>
                            <w:p w14:paraId="2CD6444E">
                              <w:r>
                                <w:t>脱色桶（2.5</w:t>
                              </w:r>
                              <w:r>
                                <w:rPr>
                                  <w:rFonts w:hint="eastAsia"/>
                                </w:rPr>
                                <w:t>t</w:t>
                              </w:r>
                              <w:r>
                                <w:t>）</w:t>
                              </w:r>
                            </w:p>
                          </w:txbxContent>
                        </v:textbox>
                      </v:rect>
                      <v:rect id="矩形 5" o:spid="_x0000_s1026" o:spt="1" style="position:absolute;left:1742440;top:1011555;height:328295;width:1000760;" fillcolor="#FFFFFF" filled="t" stroked="t" coordsize="21600,21600" o:gfxdata="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I72x81QAAAAUBAAAPAAAA&#10;AAAAAAEAIAAAACIAAABkcnMvZG93bnJldi54bWxQSwECFAAUAAAACACHTuJADInxpRgCAABDBAAA&#10;DgAAAAAAAAABACAAAAAkAQAAZHJzL2Uyb0RvYy54bWxQSwUGAAAAAAYABgBZAQAArgUAAAAA&#10;">
                        <v:fill on="t" focussize="0,0"/>
                        <v:stroke color="#000000" joinstyle="miter"/>
                        <v:imagedata o:title=""/>
                        <o:lock v:ext="edit" aspectratio="f"/>
                        <v:textbox>
                          <w:txbxContent>
                            <w:p w14:paraId="4B2858A9">
                              <w:r>
                                <w:t>染色桶（1.5</w:t>
                              </w:r>
                              <w:r>
                                <w:rPr>
                                  <w:rFonts w:hint="eastAsia"/>
                                </w:rPr>
                                <w:t>t</w:t>
                              </w:r>
                              <w:r>
                                <w:t>）</w:t>
                              </w:r>
                            </w:p>
                          </w:txbxContent>
                        </v:textbox>
                      </v:rect>
                      <v:rect id="矩形 6" o:spid="_x0000_s1026" o:spt="1" style="position:absolute;left:1083310;top:1833245;height:328930;width:947420;" fillcolor="#FFFFFF" filled="t" stroked="t" coordsize="21600,21600" o:gfxdata="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O9sfNUAAAAFAQAADwAAAAAA&#10;AAABACAAAAAiAAAAZHJzL2Rvd25yZXYueG1sUEsBAhQAFAAAAAgAh07iQEhBLhEWAgAAQgQAAA4A&#10;AAAAAAAAAQAgAAAAJAEAAGRycy9lMm9Eb2MueG1sUEsFBgAAAAAGAAYAWQEAAKwFAAAAAA==&#10;">
                        <v:fill on="t" focussize="0,0"/>
                        <v:stroke color="#000000" joinstyle="miter"/>
                        <v:imagedata o:title=""/>
                        <o:lock v:ext="edit" aspectratio="f"/>
                        <v:textbox>
                          <w:txbxContent>
                            <w:p w14:paraId="2A61AF36">
                              <w:r>
                                <w:t>除湿间</w:t>
                              </w:r>
                              <w:r>
                                <w:rPr>
                                  <w:rFonts w:hint="eastAsia"/>
                                </w:rPr>
                                <w:t>（1t）</w:t>
                              </w:r>
                            </w:p>
                          </w:txbxContent>
                        </v:textbox>
                      </v:rect>
                      <v:shape id="自选图形 7" o:spid="_x0000_s1026" o:spt="32" type="#_x0000_t32" style="position:absolute;left:1355725;top:1172210;height:1270;width:386715;" filled="f" stroked="t" coordsize="21600,21600" o:gfxdata="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lf7ANYAAAAFAQAADwAAAAAAAAABACAAAAAiAAAAZHJzL2Rv&#10;d25yZXYueG1sUEsBAhQAFAAAAAgAh07iQNOSDQ4DAgAA8QMAAA4AAAAAAAAAAQAgAAAAJQEAAGRy&#10;cy9lMm9Eb2MueG1sUEsFBgAAAAAGAAYAWQEAAJoFAAAAAA==&#10;">
                        <v:fill on="f" focussize="0,0"/>
                        <v:stroke color="#000000" joinstyle="round"/>
                        <v:imagedata o:title=""/>
                        <o:lock v:ext="edit" aspectratio="f"/>
                      </v:shape>
                      <v:shape id="自选图形 8" o:spid="_x0000_s1026" o:spt="32" type="#_x0000_t32" style="position:absolute;left:1156335;top:784860;flip:y;height:222885;width:635;" filled="f" stroked="t" coordsize="21600,21600" o:gfxdata="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D7my1wAAAAUBAAAPAAAAAAAAAAEAIAAA&#10;ACIAAABkcnMvZG93bnJldi54bWxQSwECFAAUAAAACACHTuJAD6m6Dg0CAAD9AwAADgAAAAAAAAAB&#10;ACAAAAAmAQAAZHJzL2Uyb0RvYy54bWxQSwUGAAAAAAYABgBZAQAApQUAAAAA&#10;">
                        <v:fill on="f" focussize="0,0"/>
                        <v:stroke color="#000000" joinstyle="round" endarrow="block"/>
                        <v:imagedata o:title=""/>
                        <o:lock v:ext="edit" aspectratio="f"/>
                      </v:shape>
                      <v:rect id="矩形 9" o:spid="_x0000_s1026" o:spt="1" style="position:absolute;left:3159125;top:620395;height:328930;width:947420;" fillcolor="#FFFFFF" filled="t" stroked="t" coordsize="21600,21600" o:gfxdata="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6VxPK1gAAAAUBAAAPAAAA&#10;AAAAAAEAIAAAACIAAABkcnMvZG93bnJldi54bWxQSwECFAAUAAAACACHTuJAJQQ2RhcCAABABAAA&#10;DgAAAAAAAAABACAAAAAlAQAAZHJzL2Uyb0RvYy54bWxQSwUGAAAAAAYABgBZAQAArgUAAAAA&#10;">
                        <v:fill on="t" focussize="0,0"/>
                        <v:stroke color="#000000" joinstyle="miter" dashstyle="dash"/>
                        <v:imagedata o:title=""/>
                        <o:lock v:ext="edit" aspectratio="f"/>
                        <v:textbox>
                          <w:txbxContent>
                            <w:p w14:paraId="51CC0B3C">
                              <w:r>
                                <w:rPr>
                                  <w:rFonts w:hint="eastAsia"/>
                                </w:rPr>
                                <w:t>挥发0.046</w:t>
                              </w:r>
                              <w:r>
                                <w:t>t</w:t>
                              </w:r>
                            </w:p>
                          </w:txbxContent>
                        </v:textbox>
                      </v:rect>
                      <v:shape id="自选图形 10" o:spid="_x0000_s1026" o:spt="32" type="#_x0000_t32" style="position:absolute;left:2038985;top:1995170;height:635;width:354330;" filled="f" stroked="t" coordsize="21600,21600" o:gfxdata="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1MojfTAAAABQEAAA8AAAAAAAAAAQAgAAAAIgAAAGRy&#10;cy9kb3ducmV2LnhtbFBLAQIUABQAAAAIAIdO4kD4sC5vCgIAAPQDAAAOAAAAAAAAAAEAIAAAACIB&#10;AABkcnMvZTJvRG9jLnhtbFBLBQYAAAAABgAGAFkBAACeBQAAAAA=&#10;">
                        <v:fill on="f" focussize="0,0"/>
                        <v:stroke color="#000000" joinstyle="round" dashstyle="dash" endarrow="block"/>
                        <v:imagedata o:title=""/>
                        <o:lock v:ext="edit" aspectratio="f"/>
                      </v:shape>
                      <v:rect id="矩形 11" o:spid="_x0000_s1026" o:spt="1" style="position:absolute;left:2385060;top:1832610;height:328295;width:946785;" fillcolor="#FFFFFF" filled="t" stroked="t" coordsize="21600,21600" o:gfxdata="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lcTytYAAAAFAQAADwAAAAAA&#10;AAABACAAAAAiAAAAZHJzL2Rvd25yZXYueG1sUEsBAhQAFAAAAAgAh07iQOsV0zgVAgAAQgQAAA4A&#10;AAAAAAAAAQAgAAAAJQEAAGRycy9lMm9Eb2MueG1sUEsFBgAAAAAGAAYAWQEAAKwFAAAAAA==&#10;">
                        <v:fill on="t" focussize="0,0"/>
                        <v:stroke color="#000000" joinstyle="miter" dashstyle="dash"/>
                        <v:imagedata o:title=""/>
                        <o:lock v:ext="edit" aspectratio="f"/>
                        <v:textbox>
                          <w:txbxContent>
                            <w:p w14:paraId="660479F5">
                              <w:r>
                                <w:rPr>
                                  <w:rFonts w:hint="eastAsia"/>
                                </w:rPr>
                                <w:t>挥发</w:t>
                              </w:r>
                              <w:r>
                                <w:t>1.0t</w:t>
                              </w:r>
                            </w:p>
                          </w:txbxContent>
                        </v:textbox>
                      </v:rect>
                      <v:shape id="自选图形 12" o:spid="_x0000_s1026" o:spt="32" type="#_x0000_t32" style="position:absolute;left:1556385;top:1172210;height:661035;width:635;" filled="f" stroked="t" coordsize="21600,21600" o:gfxdata="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pORzNYAAAAFAQAADwAAAAAAAAABACAAAAAiAAAAZHJz&#10;L2Rvd25yZXYueG1sUEsBAhQAFAAAAAgAh07iQLUiOd8GAgAA9QMAAA4AAAAAAAAAAQAgAAAAJQEA&#10;AGRycy9lMm9Eb2MueG1sUEsFBgAAAAAGAAYAWQEAAJ0FAAAAAA==&#10;">
                        <v:fill on="f" focussize="0,0"/>
                        <v:stroke color="#000000" joinstyle="round" endarrow="block"/>
                        <v:imagedata o:title=""/>
                        <o:lock v:ext="edit" aspectratio="f"/>
                      </v:shape>
                      <v:shape id="自选图形 13" o:spid="_x0000_s1026" o:spt="32" type="#_x0000_t32" style="position:absolute;left:2450465;top:784860;flip:y;height:222885;width:635;" filled="f" stroked="t" coordsize="21600,21600" o:gfxdata="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D7my1wAAAAUBAAAPAAAAAAAAAAEA&#10;IAAAACIAAABkcnMvZG93bnJldi54bWxQSwECFAAUAAAACACHTuJA204bLBACAAD/AwAADgAAAAAA&#10;AAABACAAAAAmAQAAZHJzL2Uyb0RvYy54bWxQSwUGAAAAAAYABgBZAQAAqAUAAAAA&#10;">
                        <v:fill on="f" focussize="0,0"/>
                        <v:stroke color="#000000" joinstyle="round" endarrow="block"/>
                        <v:imagedata o:title=""/>
                        <o:lock v:ext="edit" aspectratio="f"/>
                      </v:shape>
                      <v:shape id="自选图形 14" o:spid="_x0000_s1026" o:spt="32" type="#_x0000_t32" style="position:absolute;left:1156970;top:784225;height:635;width:2002155;" filled="f" stroked="t" coordsize="21600,21600" o:gfxdata="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1MojfTAAAABQEAAA8AAAAAAAAAAQAgAAAAIgAA&#10;AGRycy9kb3ducmV2LnhtbFBLAQIUABQAAAAIAIdO4kAsj/csDQIAAPUDAAAOAAAAAAAAAAEAIAAA&#10;ACIBAABkcnMvZTJvRG9jLnhtbFBLBQYAAAAABgAGAFkBAAChBQAAAAA=&#10;">
                        <v:fill on="f" focussize="0,0"/>
                        <v:stroke color="#000000" joinstyle="round" dashstyle="dash" endarrow="block"/>
                        <v:imagedata o:title=""/>
                        <o:lock v:ext="edit" aspectratio="f"/>
                      </v:shape>
                      <v:shape id="自选图形 15" o:spid="_x0000_s1026" o:spt="32" type="#_x0000_t32" style="position:absolute;left:881380;top:579120;height:428625;width:635;" filled="f" stroked="t" coordsize="21600,21600" o:gfxdata="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6k5HM1gAAAAUBAAAPAAAAAAAAAAEAIAAAACIA&#10;AABkcnMvZG93bnJldi54bWxQSwECFAAUAAAACACHTuJAZDjbNQsCAAD0AwAADgAAAAAAAAABACAA&#10;AAAlAQAAZHJzL2Uyb0RvYy54bWxQSwUGAAAAAAYABgBZAQAAogUAAAAA&#10;">
                        <v:fill on="f" focussize="0,0"/>
                        <v:stroke color="#000000" joinstyle="round" endarrow="block"/>
                        <v:imagedata o:title=""/>
                        <o:lock v:ext="edit" aspectratio="f"/>
                      </v:shape>
                      <v:shape id="自选图形 16" o:spid="_x0000_s1026" o:spt="32" type="#_x0000_t32" style="position:absolute;left:2162175;top:582930;height:428625;width:635;" filled="f" stroked="t" coordsize="21600,21600" o:gfxdata="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TkczWAAAABQEAAA8AAAAAAAAAAQAgAAAAIgAA&#10;AGRycy9kb3ducmV2LnhtbFBLAQIUABQAAAAIAIdO4kDZEZULCgIAAPUDAAAOAAAAAAAAAAEAIAAA&#10;ACUBAABkcnMvZTJvRG9jLnhtbFBLBQYAAAAABgAGAFkBAAChBQAAAAA=&#10;">
                        <v:fill on="f" focussize="0,0"/>
                        <v:stroke color="#000000" joinstyle="round" endarrow="block"/>
                        <v:imagedata o:title=""/>
                        <o:lock v:ext="edit" aspectratio="f"/>
                      </v:shape>
                      <v:shape id="自选图形 17" o:spid="_x0000_s1026" o:spt="32" type="#_x0000_t32" style="position:absolute;left:882015;top:579120;height:635;width:1280795;" filled="f" stroked="t" coordsize="21600,21600" o:gfxdata="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V/sA1gAAAAUBAAAPAAAAAAAAAAEAIAAAACIAAABkcnMvZG93&#10;bnJldi54bWxQSwECFAAUAAAACACHTuJAB12pcgICAADxAwAADgAAAAAAAAABACAAAAAlAQAAZHJz&#10;L2Uyb0RvYy54bWxQSwUGAAAAAAYABgBZAQAAmQUAAAAA&#10;">
                        <v:fill on="f" focussize="0,0"/>
                        <v:stroke color="#000000" joinstyle="round"/>
                        <v:imagedata o:title=""/>
                        <o:lock v:ext="edit" aspectratio="f"/>
                      </v:shape>
                      <v:shape id="自选图形 18" o:spid="_x0000_s1026" o:spt="32" type="#_x0000_t32" style="position:absolute;left:1470025;top:315595;height:263525;width:0;" filled="f" stroked="t" coordsize="21600,21600" o:gfxdata="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qTkczWAAAABQEAAA8AAAAAAAAAAQAgAAAAIgAAAGRy&#10;cy9kb3ducmV2LnhtbFBLAQIUABQAAAAIAIdO4kCksq+PBwIAAPMDAAAOAAAAAAAAAAEAIAAAACUB&#10;AABkcnMvZTJvRG9jLnhtbFBLBQYAAAAABgAGAFkBAACeBQAAAAA=&#10;">
                        <v:fill on="f" focussize="0,0"/>
                        <v:stroke color="#000000" joinstyle="round" endarrow="block"/>
                        <v:imagedata o:title=""/>
                        <o:lock v:ext="edit" aspectratio="f"/>
                      </v:shape>
                      <v:rect id="矩形 19" o:spid="_x0000_s1026" o:spt="1" style="position:absolute;left:959485;top:49529;height:328295;width:1021080;" fillcolor="#FFFFFF" filled="t" stroked="t" coordsize="21600,21600" o:gfxdata="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72x81QAAAAUBAAAPAAAAAAAA&#10;AAEAIAAAACIAAABkcnMvZG93bnJldi54bWxQSwECFAAUAAAACACHTuJA3M1TCRUCAABCBAAADgAA&#10;AAAAAAABACAAAAAkAQAAZHJzL2Uyb0RvYy54bWxQSwUGAAAAAAYABgBZAQAAqwUAAAAA&#10;">
                        <v:fill on="t" focussize="0,0"/>
                        <v:stroke color="#000000" joinstyle="miter"/>
                        <v:imagedata o:title=""/>
                        <o:lock v:ext="edit" aspectratio="f"/>
                        <v:textbox>
                          <w:txbxContent>
                            <w:p w14:paraId="22AAB1A1">
                              <w:r>
                                <w:t>补充（1.046</w:t>
                              </w:r>
                              <w:r>
                                <w:rPr>
                                  <w:rFonts w:hint="eastAsia"/>
                                </w:rPr>
                                <w:t>t</w:t>
                              </w:r>
                              <w:r>
                                <w:t>）</w:t>
                              </w:r>
                            </w:p>
                          </w:txbxContent>
                        </v:textbox>
                      </v:rect>
                      <v:rect id="矩形 20" o:spid="_x0000_s1026" o:spt="1" style="position:absolute;left:1470025;top:2313305;height:328295;width:2454275;" fillcolor="#FFFFFF" filled="t" stroked="f" coordsize="21600,21600" o:gfxdata="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IWoyLUAAAABQEAAA8AAAAAAAAAAQAgAAAAIgAAAGRy&#10;cy9kb3ducmV2LnhtbFBLAQIUABQAAAAIAIdO4kDsnv8l0AEAAIYDAAAOAAAAAAAAAAEAIAAAACMB&#10;AABkcnMvZTJvRG9jLnhtbFBLBQYAAAAABgAGAFkBAABlBQAAAAA=&#10;">
                        <v:fill on="t" focussize="0,0"/>
                        <v:stroke on="f"/>
                        <v:imagedata o:title=""/>
                        <o:lock v:ext="edit" aspectratio="f"/>
                        <v:textbox>
                          <w:txbxContent>
                            <w:p w14:paraId="0F0C3AE5">
                              <w:pPr>
                                <w:jc w:val="center"/>
                                <w:rPr>
                                  <w:b/>
                                  <w:color w:val="000000"/>
                                </w:rPr>
                              </w:pPr>
                              <w:r>
                                <w:rPr>
                                  <w:b/>
                                  <w:color w:val="000000"/>
                                </w:rPr>
                                <w:t>图</w:t>
                              </w:r>
                              <w:r>
                                <w:rPr>
                                  <w:rFonts w:hint="eastAsia"/>
                                  <w:b/>
                                  <w:color w:val="000000"/>
                                </w:rPr>
                                <w:t>2-3  甲醇元素平衡图</w:t>
                              </w:r>
                            </w:p>
                          </w:txbxContent>
                        </v:textbox>
                      </v:rect>
                      <w10:wrap type="none"/>
                      <w10:anchorlock/>
                    </v:group>
                  </w:pict>
                </mc:Fallback>
              </mc:AlternateContent>
            </w:r>
          </w:p>
          <w:p w14:paraId="2D2222E7">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十二、环保投资</w:t>
            </w:r>
          </w:p>
          <w:p w14:paraId="040EB610">
            <w:pPr>
              <w:adjustRightInd w:val="0"/>
              <w:snapToGrid w:val="0"/>
              <w:spacing w:line="360" w:lineRule="auto"/>
              <w:ind w:firstLine="480" w:firstLineChars="200"/>
              <w:rPr>
                <w:b/>
                <w:bCs/>
                <w:color w:val="000000"/>
              </w:rPr>
            </w:pPr>
            <w:r>
              <w:rPr>
                <w:color w:val="000000"/>
                <w:sz w:val="24"/>
              </w:rPr>
              <w:t>项目总投入资金为1320万元，其中用于环保投资68</w:t>
            </w:r>
            <w:r>
              <w:rPr>
                <w:rFonts w:hint="eastAsia"/>
                <w:color w:val="000000"/>
                <w:sz w:val="24"/>
              </w:rPr>
              <w:t>.5</w:t>
            </w:r>
            <w:r>
              <w:rPr>
                <w:color w:val="000000"/>
                <w:sz w:val="24"/>
              </w:rPr>
              <w:t>万元，占总投资的5.19%。环保投资分项估算见</w:t>
            </w:r>
            <w:r>
              <w:rPr>
                <w:rFonts w:hint="eastAsia"/>
                <w:color w:val="000000"/>
                <w:sz w:val="24"/>
              </w:rPr>
              <w:t>下表</w:t>
            </w:r>
            <w:r>
              <w:rPr>
                <w:color w:val="000000"/>
                <w:sz w:val="24"/>
              </w:rPr>
              <w:t>。</w:t>
            </w:r>
          </w:p>
          <w:p w14:paraId="22765239">
            <w:pPr>
              <w:spacing w:line="360" w:lineRule="auto"/>
              <w:jc w:val="center"/>
              <w:rPr>
                <w:b/>
                <w:bCs/>
                <w:color w:val="000000"/>
                <w:kern w:val="0"/>
                <w:szCs w:val="21"/>
              </w:rPr>
            </w:pPr>
            <w:r>
              <w:rPr>
                <w:b/>
                <w:bCs/>
                <w:color w:val="000000"/>
                <w:kern w:val="0"/>
                <w:szCs w:val="21"/>
              </w:rPr>
              <w:t>表2-</w:t>
            </w:r>
            <w:r>
              <w:rPr>
                <w:rFonts w:hint="eastAsia"/>
                <w:b/>
                <w:bCs/>
                <w:color w:val="000000"/>
                <w:kern w:val="0"/>
                <w:szCs w:val="21"/>
              </w:rPr>
              <w:t xml:space="preserve">8  </w:t>
            </w:r>
            <w:r>
              <w:rPr>
                <w:b/>
                <w:bCs/>
                <w:color w:val="000000"/>
                <w:kern w:val="0"/>
                <w:szCs w:val="21"/>
              </w:rPr>
              <w:t>项目环保投资估算表  单位：万元</w:t>
            </w:r>
          </w:p>
          <w:tbl>
            <w:tblPr>
              <w:tblStyle w:val="20"/>
              <w:tblW w:w="48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1"/>
              <w:gridCol w:w="951"/>
              <w:gridCol w:w="753"/>
              <w:gridCol w:w="3117"/>
              <w:gridCol w:w="935"/>
              <w:gridCol w:w="1201"/>
            </w:tblGrid>
            <w:tr w14:paraId="1985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80" w:hRule="atLeast"/>
              </w:trPr>
              <w:tc>
                <w:tcPr>
                  <w:tcW w:w="434" w:type="pct"/>
                  <w:noWrap w:val="0"/>
                  <w:vAlign w:val="center"/>
                </w:tcPr>
                <w:p w14:paraId="22633D61">
                  <w:pPr>
                    <w:jc w:val="center"/>
                    <w:rPr>
                      <w:b/>
                      <w:bCs/>
                      <w:color w:val="000000"/>
                    </w:rPr>
                  </w:pPr>
                  <w:r>
                    <w:rPr>
                      <w:b/>
                      <w:bCs/>
                      <w:color w:val="000000"/>
                    </w:rPr>
                    <w:t>类别</w:t>
                  </w:r>
                </w:p>
              </w:tc>
              <w:tc>
                <w:tcPr>
                  <w:tcW w:w="624" w:type="pct"/>
                  <w:noWrap w:val="0"/>
                  <w:vAlign w:val="center"/>
                </w:tcPr>
                <w:p w14:paraId="26F0E5BA">
                  <w:pPr>
                    <w:jc w:val="center"/>
                    <w:rPr>
                      <w:b/>
                      <w:bCs/>
                      <w:color w:val="000000"/>
                    </w:rPr>
                  </w:pPr>
                  <w:r>
                    <w:rPr>
                      <w:b/>
                      <w:bCs/>
                      <w:color w:val="000000"/>
                    </w:rPr>
                    <w:t>保护对象</w:t>
                  </w:r>
                </w:p>
              </w:tc>
              <w:tc>
                <w:tcPr>
                  <w:tcW w:w="2540" w:type="pct"/>
                  <w:gridSpan w:val="2"/>
                  <w:noWrap w:val="0"/>
                  <w:vAlign w:val="center"/>
                </w:tcPr>
                <w:p w14:paraId="21CABE95">
                  <w:pPr>
                    <w:jc w:val="center"/>
                    <w:rPr>
                      <w:b/>
                      <w:bCs/>
                      <w:color w:val="000000"/>
                    </w:rPr>
                  </w:pPr>
                  <w:r>
                    <w:rPr>
                      <w:b/>
                      <w:bCs/>
                      <w:color w:val="000000"/>
                    </w:rPr>
                    <w:t>环保措施</w:t>
                  </w:r>
                </w:p>
              </w:tc>
              <w:tc>
                <w:tcPr>
                  <w:tcW w:w="614" w:type="pct"/>
                  <w:noWrap w:val="0"/>
                  <w:vAlign w:val="center"/>
                </w:tcPr>
                <w:p w14:paraId="6AFFA041">
                  <w:pPr>
                    <w:jc w:val="center"/>
                    <w:rPr>
                      <w:b/>
                      <w:bCs/>
                      <w:color w:val="000000"/>
                    </w:rPr>
                  </w:pPr>
                  <w:r>
                    <w:rPr>
                      <w:b/>
                      <w:bCs/>
                      <w:color w:val="000000"/>
                    </w:rPr>
                    <w:t>投资估算</w:t>
                  </w:r>
                </w:p>
              </w:tc>
              <w:tc>
                <w:tcPr>
                  <w:tcW w:w="788" w:type="pct"/>
                  <w:noWrap w:val="0"/>
                  <w:vAlign w:val="center"/>
                </w:tcPr>
                <w:p w14:paraId="12AB3178">
                  <w:pPr>
                    <w:jc w:val="center"/>
                    <w:rPr>
                      <w:rFonts w:hint="eastAsia"/>
                      <w:b/>
                      <w:bCs/>
                      <w:color w:val="000000"/>
                    </w:rPr>
                  </w:pPr>
                  <w:r>
                    <w:rPr>
                      <w:rFonts w:hint="eastAsia"/>
                      <w:b/>
                      <w:bCs/>
                      <w:color w:val="000000"/>
                    </w:rPr>
                    <w:t>备注</w:t>
                  </w:r>
                </w:p>
              </w:tc>
            </w:tr>
            <w:tr w14:paraId="5113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33" w:hRule="atLeast"/>
              </w:trPr>
              <w:tc>
                <w:tcPr>
                  <w:tcW w:w="434" w:type="pct"/>
                  <w:vMerge w:val="restart"/>
                  <w:noWrap w:val="0"/>
                  <w:vAlign w:val="center"/>
                </w:tcPr>
                <w:p w14:paraId="4244D2BA">
                  <w:pPr>
                    <w:jc w:val="center"/>
                    <w:rPr>
                      <w:color w:val="000000"/>
                    </w:rPr>
                  </w:pPr>
                  <w:r>
                    <w:rPr>
                      <w:color w:val="000000"/>
                    </w:rPr>
                    <w:t>施工期</w:t>
                  </w:r>
                </w:p>
              </w:tc>
              <w:tc>
                <w:tcPr>
                  <w:tcW w:w="624" w:type="pct"/>
                  <w:noWrap w:val="0"/>
                  <w:vAlign w:val="center"/>
                </w:tcPr>
                <w:p w14:paraId="6F82C723">
                  <w:pPr>
                    <w:jc w:val="center"/>
                    <w:rPr>
                      <w:color w:val="000000"/>
                    </w:rPr>
                  </w:pPr>
                  <w:r>
                    <w:rPr>
                      <w:color w:val="000000"/>
                    </w:rPr>
                    <w:t>大气环境</w:t>
                  </w:r>
                </w:p>
              </w:tc>
              <w:tc>
                <w:tcPr>
                  <w:tcW w:w="2540" w:type="pct"/>
                  <w:gridSpan w:val="2"/>
                  <w:noWrap w:val="0"/>
                  <w:vAlign w:val="center"/>
                </w:tcPr>
                <w:p w14:paraId="7899C763">
                  <w:pPr>
                    <w:jc w:val="center"/>
                    <w:rPr>
                      <w:color w:val="000000"/>
                    </w:rPr>
                  </w:pPr>
                  <w:r>
                    <w:rPr>
                      <w:rFonts w:hint="eastAsia"/>
                      <w:color w:val="000000"/>
                    </w:rPr>
                    <w:t>洒水抑尘设施</w:t>
                  </w:r>
                </w:p>
              </w:tc>
              <w:tc>
                <w:tcPr>
                  <w:tcW w:w="614" w:type="pct"/>
                  <w:noWrap w:val="0"/>
                  <w:vAlign w:val="center"/>
                </w:tcPr>
                <w:p w14:paraId="0003EE67">
                  <w:pPr>
                    <w:jc w:val="center"/>
                    <w:rPr>
                      <w:rFonts w:hint="eastAsia"/>
                      <w:color w:val="000000"/>
                    </w:rPr>
                  </w:pPr>
                  <w:r>
                    <w:rPr>
                      <w:rFonts w:hint="eastAsia"/>
                      <w:color w:val="000000"/>
                    </w:rPr>
                    <w:t>0.5</w:t>
                  </w:r>
                </w:p>
              </w:tc>
              <w:tc>
                <w:tcPr>
                  <w:tcW w:w="788" w:type="pct"/>
                  <w:noWrap w:val="0"/>
                  <w:vAlign w:val="center"/>
                </w:tcPr>
                <w:p w14:paraId="2BB2908B">
                  <w:pPr>
                    <w:jc w:val="center"/>
                    <w:rPr>
                      <w:color w:val="000000"/>
                    </w:rPr>
                  </w:pPr>
                  <w:r>
                    <w:rPr>
                      <w:bCs/>
                      <w:color w:val="000000"/>
                    </w:rPr>
                    <w:t>环评提出</w:t>
                  </w:r>
                </w:p>
              </w:tc>
            </w:tr>
            <w:tr w14:paraId="459EB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133" w:hRule="atLeast"/>
              </w:trPr>
              <w:tc>
                <w:tcPr>
                  <w:tcW w:w="434" w:type="pct"/>
                  <w:vMerge w:val="continue"/>
                  <w:tcBorders>
                    <w:top w:val="nil"/>
                  </w:tcBorders>
                  <w:noWrap w:val="0"/>
                  <w:vAlign w:val="center"/>
                </w:tcPr>
                <w:p w14:paraId="3BCC9928">
                  <w:pPr>
                    <w:jc w:val="center"/>
                    <w:rPr>
                      <w:color w:val="000000"/>
                    </w:rPr>
                  </w:pPr>
                </w:p>
              </w:tc>
              <w:tc>
                <w:tcPr>
                  <w:tcW w:w="624" w:type="pct"/>
                  <w:noWrap w:val="0"/>
                  <w:vAlign w:val="center"/>
                </w:tcPr>
                <w:p w14:paraId="599839C4">
                  <w:pPr>
                    <w:jc w:val="center"/>
                    <w:rPr>
                      <w:color w:val="000000"/>
                    </w:rPr>
                  </w:pPr>
                  <w:r>
                    <w:rPr>
                      <w:color w:val="000000"/>
                    </w:rPr>
                    <w:t>水环境</w:t>
                  </w:r>
                </w:p>
              </w:tc>
              <w:tc>
                <w:tcPr>
                  <w:tcW w:w="2540" w:type="pct"/>
                  <w:gridSpan w:val="2"/>
                  <w:noWrap w:val="0"/>
                  <w:vAlign w:val="center"/>
                </w:tcPr>
                <w:p w14:paraId="33203F27">
                  <w:pPr>
                    <w:jc w:val="center"/>
                    <w:rPr>
                      <w:color w:val="000000"/>
                    </w:rPr>
                  </w:pPr>
                  <w:r>
                    <w:rPr>
                      <w:rFonts w:hint="eastAsia"/>
                      <w:color w:val="000000"/>
                    </w:rPr>
                    <w:t>临时沉淀池</w:t>
                  </w:r>
                </w:p>
              </w:tc>
              <w:tc>
                <w:tcPr>
                  <w:tcW w:w="614" w:type="pct"/>
                  <w:noWrap w:val="0"/>
                  <w:vAlign w:val="center"/>
                </w:tcPr>
                <w:p w14:paraId="5425B877">
                  <w:pPr>
                    <w:jc w:val="center"/>
                    <w:rPr>
                      <w:rFonts w:hint="eastAsia"/>
                      <w:color w:val="000000"/>
                    </w:rPr>
                  </w:pPr>
                  <w:r>
                    <w:rPr>
                      <w:rFonts w:hint="eastAsia"/>
                      <w:color w:val="000000"/>
                    </w:rPr>
                    <w:t>0.2</w:t>
                  </w:r>
                </w:p>
              </w:tc>
              <w:tc>
                <w:tcPr>
                  <w:tcW w:w="788" w:type="pct"/>
                  <w:noWrap w:val="0"/>
                  <w:vAlign w:val="center"/>
                </w:tcPr>
                <w:p w14:paraId="73D592E6">
                  <w:pPr>
                    <w:jc w:val="center"/>
                    <w:rPr>
                      <w:color w:val="000000"/>
                    </w:rPr>
                  </w:pPr>
                  <w:r>
                    <w:rPr>
                      <w:bCs/>
                      <w:color w:val="000000"/>
                    </w:rPr>
                    <w:t>环评提出</w:t>
                  </w:r>
                </w:p>
              </w:tc>
            </w:tr>
            <w:tr w14:paraId="0FD4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180" w:hRule="atLeast"/>
              </w:trPr>
              <w:tc>
                <w:tcPr>
                  <w:tcW w:w="434" w:type="pct"/>
                  <w:vMerge w:val="continue"/>
                  <w:tcBorders>
                    <w:top w:val="nil"/>
                  </w:tcBorders>
                  <w:noWrap w:val="0"/>
                  <w:vAlign w:val="center"/>
                </w:tcPr>
                <w:p w14:paraId="3862FA90">
                  <w:pPr>
                    <w:jc w:val="center"/>
                    <w:rPr>
                      <w:color w:val="000000"/>
                    </w:rPr>
                  </w:pPr>
                </w:p>
              </w:tc>
              <w:tc>
                <w:tcPr>
                  <w:tcW w:w="624" w:type="pct"/>
                  <w:noWrap w:val="0"/>
                  <w:vAlign w:val="center"/>
                </w:tcPr>
                <w:p w14:paraId="0BC1FA9F">
                  <w:pPr>
                    <w:jc w:val="center"/>
                    <w:rPr>
                      <w:color w:val="000000"/>
                    </w:rPr>
                  </w:pPr>
                  <w:r>
                    <w:rPr>
                      <w:color w:val="000000"/>
                    </w:rPr>
                    <w:t>声环境</w:t>
                  </w:r>
                </w:p>
              </w:tc>
              <w:tc>
                <w:tcPr>
                  <w:tcW w:w="2540" w:type="pct"/>
                  <w:gridSpan w:val="2"/>
                  <w:noWrap w:val="0"/>
                  <w:vAlign w:val="center"/>
                </w:tcPr>
                <w:p w14:paraId="62DBE350">
                  <w:pPr>
                    <w:jc w:val="center"/>
                    <w:rPr>
                      <w:color w:val="000000"/>
                    </w:rPr>
                  </w:pPr>
                  <w:r>
                    <w:rPr>
                      <w:rFonts w:hint="eastAsia"/>
                      <w:color w:val="000000"/>
                    </w:rPr>
                    <w:t>减震措施</w:t>
                  </w:r>
                </w:p>
              </w:tc>
              <w:tc>
                <w:tcPr>
                  <w:tcW w:w="614" w:type="pct"/>
                  <w:noWrap w:val="0"/>
                  <w:vAlign w:val="center"/>
                </w:tcPr>
                <w:p w14:paraId="55F7F40E">
                  <w:pPr>
                    <w:jc w:val="center"/>
                    <w:rPr>
                      <w:color w:val="000000"/>
                    </w:rPr>
                  </w:pPr>
                  <w:r>
                    <w:rPr>
                      <w:rFonts w:hint="eastAsia"/>
                      <w:color w:val="000000"/>
                    </w:rPr>
                    <w:t>0.2</w:t>
                  </w:r>
                </w:p>
              </w:tc>
              <w:tc>
                <w:tcPr>
                  <w:tcW w:w="788" w:type="pct"/>
                  <w:noWrap w:val="0"/>
                  <w:vAlign w:val="center"/>
                </w:tcPr>
                <w:p w14:paraId="46F7DD50">
                  <w:pPr>
                    <w:jc w:val="center"/>
                    <w:rPr>
                      <w:color w:val="000000"/>
                    </w:rPr>
                  </w:pPr>
                  <w:r>
                    <w:rPr>
                      <w:bCs/>
                      <w:color w:val="000000"/>
                    </w:rPr>
                    <w:t>环评提出</w:t>
                  </w:r>
                </w:p>
              </w:tc>
            </w:tr>
            <w:tr w14:paraId="6BF1D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30" w:hRule="atLeast"/>
              </w:trPr>
              <w:tc>
                <w:tcPr>
                  <w:tcW w:w="434" w:type="pct"/>
                  <w:vMerge w:val="continue"/>
                  <w:tcBorders>
                    <w:top w:val="nil"/>
                  </w:tcBorders>
                  <w:noWrap w:val="0"/>
                  <w:vAlign w:val="center"/>
                </w:tcPr>
                <w:p w14:paraId="37842B5B">
                  <w:pPr>
                    <w:jc w:val="center"/>
                    <w:rPr>
                      <w:color w:val="000000"/>
                    </w:rPr>
                  </w:pPr>
                </w:p>
              </w:tc>
              <w:tc>
                <w:tcPr>
                  <w:tcW w:w="624" w:type="pct"/>
                  <w:tcBorders>
                    <w:top w:val="nil"/>
                  </w:tcBorders>
                  <w:noWrap w:val="0"/>
                  <w:vAlign w:val="center"/>
                </w:tcPr>
                <w:p w14:paraId="0490B8C4">
                  <w:pPr>
                    <w:jc w:val="center"/>
                    <w:rPr>
                      <w:rFonts w:hint="eastAsia"/>
                      <w:color w:val="000000"/>
                    </w:rPr>
                  </w:pPr>
                  <w:r>
                    <w:rPr>
                      <w:rFonts w:hint="eastAsia"/>
                      <w:color w:val="000000"/>
                    </w:rPr>
                    <w:t>固废</w:t>
                  </w:r>
                </w:p>
              </w:tc>
              <w:tc>
                <w:tcPr>
                  <w:tcW w:w="2540" w:type="pct"/>
                  <w:gridSpan w:val="2"/>
                  <w:noWrap w:val="0"/>
                  <w:vAlign w:val="center"/>
                </w:tcPr>
                <w:p w14:paraId="5E0BDE2A">
                  <w:pPr>
                    <w:jc w:val="center"/>
                    <w:rPr>
                      <w:color w:val="000000"/>
                    </w:rPr>
                  </w:pPr>
                  <w:r>
                    <w:rPr>
                      <w:color w:val="000000"/>
                    </w:rPr>
                    <w:t>建筑垃圾清运</w:t>
                  </w:r>
                </w:p>
              </w:tc>
              <w:tc>
                <w:tcPr>
                  <w:tcW w:w="614" w:type="pct"/>
                  <w:noWrap w:val="0"/>
                  <w:vAlign w:val="center"/>
                </w:tcPr>
                <w:p w14:paraId="43DB9E8A">
                  <w:pPr>
                    <w:jc w:val="center"/>
                    <w:rPr>
                      <w:color w:val="000000"/>
                    </w:rPr>
                  </w:pPr>
                  <w:r>
                    <w:rPr>
                      <w:rFonts w:hint="eastAsia"/>
                      <w:color w:val="000000"/>
                    </w:rPr>
                    <w:t>0.1</w:t>
                  </w:r>
                </w:p>
              </w:tc>
              <w:tc>
                <w:tcPr>
                  <w:tcW w:w="788" w:type="pct"/>
                  <w:noWrap w:val="0"/>
                  <w:vAlign w:val="center"/>
                </w:tcPr>
                <w:p w14:paraId="3E7CA24E">
                  <w:pPr>
                    <w:jc w:val="center"/>
                    <w:rPr>
                      <w:rFonts w:hint="eastAsia"/>
                      <w:color w:val="000000"/>
                    </w:rPr>
                  </w:pPr>
                  <w:r>
                    <w:rPr>
                      <w:rFonts w:hint="eastAsia"/>
                      <w:bCs/>
                      <w:color w:val="000000"/>
                    </w:rPr>
                    <w:t>环评提出</w:t>
                  </w:r>
                </w:p>
              </w:tc>
            </w:tr>
            <w:tr w14:paraId="5361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17" w:hRule="atLeast"/>
              </w:trPr>
              <w:tc>
                <w:tcPr>
                  <w:tcW w:w="434" w:type="pct"/>
                  <w:vMerge w:val="restart"/>
                  <w:noWrap w:val="0"/>
                  <w:vAlign w:val="center"/>
                </w:tcPr>
                <w:p w14:paraId="322BB167">
                  <w:pPr>
                    <w:jc w:val="center"/>
                    <w:rPr>
                      <w:color w:val="000000"/>
                    </w:rPr>
                  </w:pPr>
                  <w:r>
                    <w:rPr>
                      <w:color w:val="000000"/>
                    </w:rPr>
                    <w:t>运营期</w:t>
                  </w:r>
                </w:p>
              </w:tc>
              <w:tc>
                <w:tcPr>
                  <w:tcW w:w="624" w:type="pct"/>
                  <w:vMerge w:val="restart"/>
                  <w:noWrap w:val="0"/>
                  <w:vAlign w:val="center"/>
                </w:tcPr>
                <w:p w14:paraId="0B614054">
                  <w:pPr>
                    <w:jc w:val="center"/>
                    <w:rPr>
                      <w:color w:val="000000"/>
                    </w:rPr>
                  </w:pPr>
                  <w:r>
                    <w:rPr>
                      <w:color w:val="000000"/>
                    </w:rPr>
                    <w:t>大气环境</w:t>
                  </w:r>
                </w:p>
              </w:tc>
              <w:tc>
                <w:tcPr>
                  <w:tcW w:w="2540" w:type="pct"/>
                  <w:gridSpan w:val="2"/>
                  <w:noWrap w:val="0"/>
                  <w:vAlign w:val="center"/>
                </w:tcPr>
                <w:p w14:paraId="5261EF86">
                  <w:pPr>
                    <w:jc w:val="center"/>
                    <w:rPr>
                      <w:color w:val="000000"/>
                    </w:rPr>
                  </w:pPr>
                  <w:r>
                    <w:rPr>
                      <w:rFonts w:hint="eastAsia"/>
                      <w:color w:val="000000"/>
                    </w:rPr>
                    <w:t>“三级活性炭吸附”装置</w:t>
                  </w:r>
                </w:p>
              </w:tc>
              <w:tc>
                <w:tcPr>
                  <w:tcW w:w="614" w:type="pct"/>
                  <w:noWrap w:val="0"/>
                  <w:vAlign w:val="center"/>
                </w:tcPr>
                <w:p w14:paraId="23BF37F1">
                  <w:pPr>
                    <w:jc w:val="center"/>
                    <w:rPr>
                      <w:color w:val="000000"/>
                    </w:rPr>
                  </w:pPr>
                  <w:r>
                    <w:rPr>
                      <w:rFonts w:hint="eastAsia"/>
                      <w:color w:val="000000"/>
                    </w:rPr>
                    <w:t>32</w:t>
                  </w:r>
                </w:p>
              </w:tc>
              <w:tc>
                <w:tcPr>
                  <w:tcW w:w="788" w:type="pct"/>
                  <w:noWrap w:val="0"/>
                  <w:vAlign w:val="center"/>
                </w:tcPr>
                <w:p w14:paraId="64E6ACAD">
                  <w:pPr>
                    <w:jc w:val="center"/>
                    <w:rPr>
                      <w:color w:val="000000"/>
                    </w:rPr>
                  </w:pPr>
                  <w:r>
                    <w:rPr>
                      <w:rFonts w:hint="eastAsia"/>
                      <w:bCs/>
                      <w:color w:val="000000"/>
                    </w:rPr>
                    <w:t>环评提出</w:t>
                  </w:r>
                </w:p>
              </w:tc>
            </w:tr>
            <w:tr w14:paraId="123FD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62" w:hRule="atLeast"/>
              </w:trPr>
              <w:tc>
                <w:tcPr>
                  <w:tcW w:w="434" w:type="pct"/>
                  <w:vMerge w:val="continue"/>
                  <w:noWrap w:val="0"/>
                  <w:vAlign w:val="center"/>
                </w:tcPr>
                <w:p w14:paraId="0975DEFE">
                  <w:pPr>
                    <w:jc w:val="center"/>
                    <w:rPr>
                      <w:color w:val="000000"/>
                    </w:rPr>
                  </w:pPr>
                </w:p>
              </w:tc>
              <w:tc>
                <w:tcPr>
                  <w:tcW w:w="624" w:type="pct"/>
                  <w:vMerge w:val="continue"/>
                  <w:noWrap w:val="0"/>
                  <w:vAlign w:val="center"/>
                </w:tcPr>
                <w:p w14:paraId="7770948A">
                  <w:pPr>
                    <w:jc w:val="center"/>
                    <w:rPr>
                      <w:color w:val="000000"/>
                    </w:rPr>
                  </w:pPr>
                </w:p>
              </w:tc>
              <w:tc>
                <w:tcPr>
                  <w:tcW w:w="2540" w:type="pct"/>
                  <w:gridSpan w:val="2"/>
                  <w:noWrap w:val="0"/>
                  <w:vAlign w:val="center"/>
                </w:tcPr>
                <w:p w14:paraId="212A88D2">
                  <w:pPr>
                    <w:jc w:val="center"/>
                    <w:rPr>
                      <w:rFonts w:hint="eastAsia"/>
                      <w:bCs/>
                      <w:color w:val="000000"/>
                    </w:rPr>
                  </w:pPr>
                  <w:r>
                    <w:rPr>
                      <w:rFonts w:hint="eastAsia"/>
                      <w:bCs/>
                      <w:color w:val="000000"/>
                    </w:rPr>
                    <w:t>1个15m排气筒</w:t>
                  </w:r>
                </w:p>
              </w:tc>
              <w:tc>
                <w:tcPr>
                  <w:tcW w:w="614" w:type="pct"/>
                  <w:noWrap w:val="0"/>
                  <w:vAlign w:val="center"/>
                </w:tcPr>
                <w:p w14:paraId="5401CE78">
                  <w:pPr>
                    <w:jc w:val="center"/>
                    <w:rPr>
                      <w:color w:val="000000"/>
                    </w:rPr>
                  </w:pPr>
                  <w:r>
                    <w:rPr>
                      <w:rFonts w:hint="eastAsia"/>
                      <w:color w:val="000000"/>
                    </w:rPr>
                    <w:t>2</w:t>
                  </w:r>
                </w:p>
              </w:tc>
              <w:tc>
                <w:tcPr>
                  <w:tcW w:w="788" w:type="pct"/>
                  <w:noWrap w:val="0"/>
                  <w:vAlign w:val="center"/>
                </w:tcPr>
                <w:p w14:paraId="06875492">
                  <w:pPr>
                    <w:jc w:val="center"/>
                    <w:rPr>
                      <w:rFonts w:hint="eastAsia"/>
                      <w:color w:val="000000"/>
                    </w:rPr>
                  </w:pPr>
                  <w:r>
                    <w:rPr>
                      <w:rFonts w:hint="eastAsia"/>
                      <w:color w:val="000000"/>
                    </w:rPr>
                    <w:t>环评提出</w:t>
                  </w:r>
                </w:p>
              </w:tc>
            </w:tr>
            <w:tr w14:paraId="3D3C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62" w:hRule="atLeast"/>
              </w:trPr>
              <w:tc>
                <w:tcPr>
                  <w:tcW w:w="434" w:type="pct"/>
                  <w:vMerge w:val="continue"/>
                  <w:noWrap w:val="0"/>
                  <w:vAlign w:val="center"/>
                </w:tcPr>
                <w:p w14:paraId="02E796A8">
                  <w:pPr>
                    <w:jc w:val="center"/>
                    <w:rPr>
                      <w:color w:val="000000"/>
                    </w:rPr>
                  </w:pPr>
                </w:p>
              </w:tc>
              <w:tc>
                <w:tcPr>
                  <w:tcW w:w="624" w:type="pct"/>
                  <w:vMerge w:val="continue"/>
                  <w:tcBorders>
                    <w:bottom w:val="single" w:color="auto" w:sz="4" w:space="0"/>
                  </w:tcBorders>
                  <w:noWrap w:val="0"/>
                  <w:vAlign w:val="center"/>
                </w:tcPr>
                <w:p w14:paraId="5E7AC0E0">
                  <w:pPr>
                    <w:jc w:val="center"/>
                    <w:rPr>
                      <w:color w:val="000000"/>
                    </w:rPr>
                  </w:pPr>
                </w:p>
              </w:tc>
              <w:tc>
                <w:tcPr>
                  <w:tcW w:w="2540" w:type="pct"/>
                  <w:gridSpan w:val="2"/>
                  <w:noWrap w:val="0"/>
                  <w:vAlign w:val="center"/>
                </w:tcPr>
                <w:p w14:paraId="3A1958DF">
                  <w:pPr>
                    <w:jc w:val="center"/>
                    <w:rPr>
                      <w:rFonts w:hint="eastAsia"/>
                      <w:bCs/>
                      <w:color w:val="000000"/>
                    </w:rPr>
                  </w:pPr>
                  <w:r>
                    <w:rPr>
                      <w:rFonts w:hint="eastAsia"/>
                      <w:bCs/>
                      <w:color w:val="000000"/>
                    </w:rPr>
                    <w:t>油烟净化器1套</w:t>
                  </w:r>
                </w:p>
              </w:tc>
              <w:tc>
                <w:tcPr>
                  <w:tcW w:w="614" w:type="pct"/>
                  <w:noWrap w:val="0"/>
                  <w:vAlign w:val="center"/>
                </w:tcPr>
                <w:p w14:paraId="20C676BC">
                  <w:pPr>
                    <w:jc w:val="center"/>
                    <w:rPr>
                      <w:rFonts w:hint="eastAsia"/>
                      <w:color w:val="000000"/>
                    </w:rPr>
                  </w:pPr>
                  <w:r>
                    <w:rPr>
                      <w:rFonts w:hint="eastAsia"/>
                      <w:color w:val="000000"/>
                    </w:rPr>
                    <w:t>5</w:t>
                  </w:r>
                </w:p>
              </w:tc>
              <w:tc>
                <w:tcPr>
                  <w:tcW w:w="788" w:type="pct"/>
                  <w:noWrap w:val="0"/>
                  <w:vAlign w:val="center"/>
                </w:tcPr>
                <w:p w14:paraId="47122C89">
                  <w:pPr>
                    <w:jc w:val="center"/>
                    <w:rPr>
                      <w:rFonts w:hint="eastAsia"/>
                      <w:color w:val="000000"/>
                    </w:rPr>
                  </w:pPr>
                  <w:r>
                    <w:rPr>
                      <w:rFonts w:hint="eastAsia"/>
                      <w:bCs/>
                      <w:color w:val="000000"/>
                    </w:rPr>
                    <w:t>已建</w:t>
                  </w:r>
                </w:p>
              </w:tc>
            </w:tr>
            <w:tr w14:paraId="3A80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30" w:hRule="atLeast"/>
              </w:trPr>
              <w:tc>
                <w:tcPr>
                  <w:tcW w:w="434" w:type="pct"/>
                  <w:vMerge w:val="continue"/>
                  <w:noWrap w:val="0"/>
                  <w:vAlign w:val="center"/>
                </w:tcPr>
                <w:p w14:paraId="230F5322">
                  <w:pPr>
                    <w:jc w:val="center"/>
                    <w:rPr>
                      <w:color w:val="000000"/>
                    </w:rPr>
                  </w:pPr>
                </w:p>
              </w:tc>
              <w:tc>
                <w:tcPr>
                  <w:tcW w:w="624" w:type="pct"/>
                  <w:vMerge w:val="restart"/>
                  <w:tcBorders>
                    <w:top w:val="single" w:color="auto" w:sz="4" w:space="0"/>
                  </w:tcBorders>
                  <w:noWrap w:val="0"/>
                  <w:vAlign w:val="center"/>
                </w:tcPr>
                <w:p w14:paraId="0591C580">
                  <w:pPr>
                    <w:jc w:val="center"/>
                    <w:rPr>
                      <w:color w:val="000000"/>
                    </w:rPr>
                  </w:pPr>
                  <w:r>
                    <w:rPr>
                      <w:rFonts w:hint="eastAsia"/>
                      <w:color w:val="000000"/>
                    </w:rPr>
                    <w:t>水环境</w:t>
                  </w:r>
                </w:p>
              </w:tc>
              <w:tc>
                <w:tcPr>
                  <w:tcW w:w="2540" w:type="pct"/>
                  <w:gridSpan w:val="2"/>
                  <w:noWrap w:val="0"/>
                  <w:vAlign w:val="center"/>
                </w:tcPr>
                <w:p w14:paraId="367CBA63">
                  <w:pPr>
                    <w:jc w:val="center"/>
                    <w:rPr>
                      <w:rFonts w:hint="eastAsia"/>
                      <w:color w:val="000000"/>
                      <w:spacing w:val="2"/>
                    </w:rPr>
                  </w:pPr>
                  <w:r>
                    <w:rPr>
                      <w:rFonts w:hint="eastAsia"/>
                      <w:color w:val="000000"/>
                      <w:spacing w:val="2"/>
                    </w:rPr>
                    <w:t>1座化粪池，总</w:t>
                  </w:r>
                  <w:r>
                    <w:rPr>
                      <w:color w:val="000000"/>
                      <w:spacing w:val="2"/>
                    </w:rPr>
                    <w:t>容积为2</w:t>
                  </w:r>
                  <w:r>
                    <w:rPr>
                      <w:rFonts w:hint="eastAsia"/>
                      <w:color w:val="000000"/>
                      <w:spacing w:val="2"/>
                    </w:rPr>
                    <w:t>0</w:t>
                  </w:r>
                  <w:r>
                    <w:rPr>
                      <w:color w:val="000000"/>
                      <w:spacing w:val="2"/>
                    </w:rPr>
                    <w:t>m</w:t>
                  </w:r>
                  <w:r>
                    <w:rPr>
                      <w:color w:val="000000"/>
                      <w:spacing w:val="2"/>
                      <w:vertAlign w:val="superscript"/>
                    </w:rPr>
                    <w:t>3</w:t>
                  </w:r>
                </w:p>
              </w:tc>
              <w:tc>
                <w:tcPr>
                  <w:tcW w:w="614" w:type="pct"/>
                  <w:noWrap w:val="0"/>
                  <w:vAlign w:val="center"/>
                </w:tcPr>
                <w:p w14:paraId="7770E64E">
                  <w:pPr>
                    <w:jc w:val="center"/>
                    <w:rPr>
                      <w:rFonts w:hint="eastAsia"/>
                      <w:color w:val="000000"/>
                    </w:rPr>
                  </w:pPr>
                  <w:r>
                    <w:rPr>
                      <w:rFonts w:hint="eastAsia"/>
                      <w:color w:val="000000"/>
                    </w:rPr>
                    <w:t>5</w:t>
                  </w:r>
                </w:p>
              </w:tc>
              <w:tc>
                <w:tcPr>
                  <w:tcW w:w="788" w:type="pct"/>
                  <w:noWrap w:val="0"/>
                  <w:vAlign w:val="center"/>
                </w:tcPr>
                <w:p w14:paraId="4CB62568">
                  <w:pPr>
                    <w:jc w:val="center"/>
                    <w:rPr>
                      <w:rFonts w:hint="eastAsia"/>
                      <w:color w:val="000000"/>
                    </w:rPr>
                  </w:pPr>
                  <w:r>
                    <w:rPr>
                      <w:rFonts w:hint="eastAsia"/>
                      <w:bCs/>
                      <w:color w:val="000000"/>
                    </w:rPr>
                    <w:t>已建</w:t>
                  </w:r>
                </w:p>
              </w:tc>
            </w:tr>
            <w:tr w14:paraId="6EB3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30" w:hRule="atLeast"/>
              </w:trPr>
              <w:tc>
                <w:tcPr>
                  <w:tcW w:w="434" w:type="pct"/>
                  <w:vMerge w:val="continue"/>
                  <w:noWrap w:val="0"/>
                  <w:vAlign w:val="center"/>
                </w:tcPr>
                <w:p w14:paraId="1FEC39B6">
                  <w:pPr>
                    <w:jc w:val="center"/>
                    <w:rPr>
                      <w:color w:val="000000"/>
                    </w:rPr>
                  </w:pPr>
                </w:p>
              </w:tc>
              <w:tc>
                <w:tcPr>
                  <w:tcW w:w="624" w:type="pct"/>
                  <w:vMerge w:val="continue"/>
                  <w:tcBorders>
                    <w:top w:val="single" w:color="auto" w:sz="4" w:space="0"/>
                  </w:tcBorders>
                  <w:noWrap w:val="0"/>
                  <w:vAlign w:val="center"/>
                </w:tcPr>
                <w:p w14:paraId="15FEFE80">
                  <w:pPr>
                    <w:jc w:val="center"/>
                    <w:rPr>
                      <w:rFonts w:hint="eastAsia"/>
                      <w:color w:val="000000"/>
                    </w:rPr>
                  </w:pPr>
                </w:p>
              </w:tc>
              <w:tc>
                <w:tcPr>
                  <w:tcW w:w="2540" w:type="pct"/>
                  <w:gridSpan w:val="2"/>
                  <w:noWrap w:val="0"/>
                  <w:vAlign w:val="center"/>
                </w:tcPr>
                <w:p w14:paraId="7ED01483">
                  <w:pPr>
                    <w:jc w:val="center"/>
                    <w:rPr>
                      <w:rFonts w:hint="eastAsia"/>
                      <w:color w:val="000000"/>
                      <w:spacing w:val="2"/>
                    </w:rPr>
                  </w:pPr>
                  <w:r>
                    <w:rPr>
                      <w:rFonts w:hint="eastAsia"/>
                      <w:color w:val="000000"/>
                      <w:spacing w:val="2"/>
                    </w:rPr>
                    <w:t>1座食堂隔油池，容积0.5</w:t>
                  </w:r>
                  <w:r>
                    <w:rPr>
                      <w:rFonts w:hint="eastAsia"/>
                      <w:bCs/>
                      <w:color w:val="000000"/>
                    </w:rPr>
                    <w:t>m</w:t>
                  </w:r>
                  <w:r>
                    <w:rPr>
                      <w:rFonts w:hint="eastAsia"/>
                      <w:bCs/>
                      <w:color w:val="000000"/>
                      <w:vertAlign w:val="superscript"/>
                    </w:rPr>
                    <w:t>3</w:t>
                  </w:r>
                </w:p>
              </w:tc>
              <w:tc>
                <w:tcPr>
                  <w:tcW w:w="614" w:type="pct"/>
                  <w:noWrap w:val="0"/>
                  <w:vAlign w:val="center"/>
                </w:tcPr>
                <w:p w14:paraId="2B8BE526">
                  <w:pPr>
                    <w:jc w:val="center"/>
                    <w:rPr>
                      <w:color w:val="000000"/>
                    </w:rPr>
                  </w:pPr>
                  <w:r>
                    <w:rPr>
                      <w:rFonts w:hint="eastAsia"/>
                      <w:color w:val="000000"/>
                    </w:rPr>
                    <w:t>0.5</w:t>
                  </w:r>
                </w:p>
              </w:tc>
              <w:tc>
                <w:tcPr>
                  <w:tcW w:w="788" w:type="pct"/>
                  <w:noWrap w:val="0"/>
                  <w:vAlign w:val="center"/>
                </w:tcPr>
                <w:p w14:paraId="51AE9E77">
                  <w:pPr>
                    <w:jc w:val="center"/>
                    <w:rPr>
                      <w:rFonts w:hint="eastAsia"/>
                      <w:color w:val="000000"/>
                    </w:rPr>
                  </w:pPr>
                  <w:r>
                    <w:rPr>
                      <w:rFonts w:hint="eastAsia"/>
                      <w:color w:val="000000"/>
                    </w:rPr>
                    <w:t>环评提出</w:t>
                  </w:r>
                </w:p>
              </w:tc>
            </w:tr>
            <w:tr w14:paraId="6D6C0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187" w:hRule="atLeast"/>
              </w:trPr>
              <w:tc>
                <w:tcPr>
                  <w:tcW w:w="434" w:type="pct"/>
                  <w:vMerge w:val="continue"/>
                  <w:noWrap w:val="0"/>
                  <w:vAlign w:val="center"/>
                </w:tcPr>
                <w:p w14:paraId="0174E1AE">
                  <w:pPr>
                    <w:jc w:val="center"/>
                    <w:rPr>
                      <w:color w:val="000000"/>
                    </w:rPr>
                  </w:pPr>
                </w:p>
              </w:tc>
              <w:tc>
                <w:tcPr>
                  <w:tcW w:w="624" w:type="pct"/>
                  <w:noWrap w:val="0"/>
                  <w:vAlign w:val="center"/>
                </w:tcPr>
                <w:p w14:paraId="15B7F39C">
                  <w:pPr>
                    <w:jc w:val="center"/>
                    <w:rPr>
                      <w:color w:val="000000"/>
                    </w:rPr>
                  </w:pPr>
                  <w:r>
                    <w:rPr>
                      <w:color w:val="000000"/>
                    </w:rPr>
                    <w:t>声环境</w:t>
                  </w:r>
                </w:p>
              </w:tc>
              <w:tc>
                <w:tcPr>
                  <w:tcW w:w="2540" w:type="pct"/>
                  <w:gridSpan w:val="2"/>
                  <w:noWrap w:val="0"/>
                  <w:vAlign w:val="center"/>
                </w:tcPr>
                <w:p w14:paraId="17ACD24F">
                  <w:pPr>
                    <w:jc w:val="center"/>
                    <w:rPr>
                      <w:rFonts w:hint="eastAsia"/>
                      <w:color w:val="000000"/>
                    </w:rPr>
                  </w:pPr>
                  <w:r>
                    <w:rPr>
                      <w:color w:val="000000"/>
                    </w:rPr>
                    <w:t>选用低噪声设备，所有设备均设置在车间内；</w:t>
                  </w:r>
                  <w:r>
                    <w:rPr>
                      <w:rFonts w:hint="eastAsia"/>
                      <w:color w:val="000000"/>
                    </w:rPr>
                    <w:t>机修</w:t>
                  </w:r>
                  <w:r>
                    <w:rPr>
                      <w:color w:val="000000"/>
                    </w:rPr>
                    <w:t>设备设置减振设施；机械设备定期维护保养</w:t>
                  </w:r>
                </w:p>
              </w:tc>
              <w:tc>
                <w:tcPr>
                  <w:tcW w:w="614" w:type="pct"/>
                  <w:noWrap w:val="0"/>
                  <w:vAlign w:val="center"/>
                </w:tcPr>
                <w:p w14:paraId="63F863E0">
                  <w:pPr>
                    <w:jc w:val="center"/>
                    <w:rPr>
                      <w:rFonts w:hint="eastAsia"/>
                      <w:color w:val="000000"/>
                    </w:rPr>
                  </w:pPr>
                  <w:r>
                    <w:rPr>
                      <w:rFonts w:hint="eastAsia"/>
                      <w:color w:val="000000"/>
                    </w:rPr>
                    <w:t>5</w:t>
                  </w:r>
                </w:p>
              </w:tc>
              <w:tc>
                <w:tcPr>
                  <w:tcW w:w="788" w:type="pct"/>
                  <w:noWrap w:val="0"/>
                  <w:vAlign w:val="center"/>
                </w:tcPr>
                <w:p w14:paraId="03F4F253">
                  <w:pPr>
                    <w:jc w:val="center"/>
                    <w:rPr>
                      <w:rFonts w:hint="eastAsia"/>
                      <w:color w:val="000000"/>
                    </w:rPr>
                  </w:pPr>
                  <w:r>
                    <w:rPr>
                      <w:rFonts w:hint="eastAsia"/>
                      <w:color w:val="000000"/>
                    </w:rPr>
                    <w:t>环评提出</w:t>
                  </w:r>
                </w:p>
              </w:tc>
            </w:tr>
            <w:tr w14:paraId="7A33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04" w:hRule="atLeast"/>
              </w:trPr>
              <w:tc>
                <w:tcPr>
                  <w:tcW w:w="434" w:type="pct"/>
                  <w:vMerge w:val="continue"/>
                  <w:noWrap w:val="0"/>
                  <w:vAlign w:val="center"/>
                </w:tcPr>
                <w:p w14:paraId="6B828905">
                  <w:pPr>
                    <w:jc w:val="center"/>
                    <w:rPr>
                      <w:color w:val="000000"/>
                    </w:rPr>
                  </w:pPr>
                </w:p>
              </w:tc>
              <w:tc>
                <w:tcPr>
                  <w:tcW w:w="624" w:type="pct"/>
                  <w:vMerge w:val="restart"/>
                  <w:noWrap w:val="0"/>
                  <w:vAlign w:val="center"/>
                </w:tcPr>
                <w:p w14:paraId="0D367189">
                  <w:pPr>
                    <w:jc w:val="center"/>
                    <w:rPr>
                      <w:color w:val="000000"/>
                    </w:rPr>
                  </w:pPr>
                  <w:r>
                    <w:rPr>
                      <w:rFonts w:hint="eastAsia"/>
                      <w:color w:val="000000"/>
                    </w:rPr>
                    <w:t>固体废物</w:t>
                  </w:r>
                </w:p>
              </w:tc>
              <w:tc>
                <w:tcPr>
                  <w:tcW w:w="2540" w:type="pct"/>
                  <w:gridSpan w:val="2"/>
                  <w:noWrap w:val="0"/>
                  <w:vAlign w:val="center"/>
                </w:tcPr>
                <w:p w14:paraId="5942AB04">
                  <w:pPr>
                    <w:jc w:val="center"/>
                    <w:rPr>
                      <w:color w:val="000000"/>
                    </w:rPr>
                  </w:pPr>
                  <w:r>
                    <w:rPr>
                      <w:rFonts w:hint="eastAsia"/>
                      <w:color w:val="000000"/>
                    </w:rPr>
                    <w:t>1间</w:t>
                  </w:r>
                  <w:r>
                    <w:rPr>
                      <w:color w:val="000000"/>
                    </w:rPr>
                    <w:t>5</w:t>
                  </w:r>
                  <w:r>
                    <w:rPr>
                      <w:rFonts w:hint="eastAsia"/>
                      <w:color w:val="000000"/>
                    </w:rPr>
                    <w:t>m</w:t>
                  </w:r>
                  <w:r>
                    <w:rPr>
                      <w:rFonts w:hint="eastAsia"/>
                      <w:color w:val="000000"/>
                      <w:vertAlign w:val="superscript"/>
                    </w:rPr>
                    <w:t>2</w:t>
                  </w:r>
                  <w:r>
                    <w:rPr>
                      <w:rFonts w:hint="eastAsia"/>
                      <w:color w:val="000000"/>
                    </w:rPr>
                    <w:t>危险废物暂存间</w:t>
                  </w:r>
                </w:p>
              </w:tc>
              <w:tc>
                <w:tcPr>
                  <w:tcW w:w="614" w:type="pct"/>
                  <w:noWrap w:val="0"/>
                  <w:vAlign w:val="center"/>
                </w:tcPr>
                <w:p w14:paraId="2CAF8604">
                  <w:pPr>
                    <w:jc w:val="center"/>
                    <w:rPr>
                      <w:rFonts w:hint="eastAsia"/>
                      <w:color w:val="000000"/>
                    </w:rPr>
                  </w:pPr>
                  <w:r>
                    <w:rPr>
                      <w:color w:val="000000"/>
                    </w:rPr>
                    <w:t>2</w:t>
                  </w:r>
                </w:p>
              </w:tc>
              <w:tc>
                <w:tcPr>
                  <w:tcW w:w="788" w:type="pct"/>
                  <w:noWrap w:val="0"/>
                  <w:vAlign w:val="top"/>
                </w:tcPr>
                <w:p w14:paraId="43A8A8EE">
                  <w:pPr>
                    <w:jc w:val="center"/>
                    <w:rPr>
                      <w:color w:val="000000"/>
                    </w:rPr>
                  </w:pPr>
                  <w:r>
                    <w:rPr>
                      <w:rFonts w:hint="eastAsia"/>
                      <w:color w:val="000000"/>
                    </w:rPr>
                    <w:t>环评提出</w:t>
                  </w:r>
                </w:p>
              </w:tc>
            </w:tr>
            <w:tr w14:paraId="264AB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04" w:hRule="atLeast"/>
              </w:trPr>
              <w:tc>
                <w:tcPr>
                  <w:tcW w:w="434" w:type="pct"/>
                  <w:vMerge w:val="continue"/>
                  <w:noWrap w:val="0"/>
                  <w:vAlign w:val="center"/>
                </w:tcPr>
                <w:p w14:paraId="21A76290">
                  <w:pPr>
                    <w:jc w:val="center"/>
                    <w:rPr>
                      <w:color w:val="000000"/>
                    </w:rPr>
                  </w:pPr>
                </w:p>
              </w:tc>
              <w:tc>
                <w:tcPr>
                  <w:tcW w:w="624" w:type="pct"/>
                  <w:vMerge w:val="continue"/>
                  <w:noWrap w:val="0"/>
                  <w:vAlign w:val="center"/>
                </w:tcPr>
                <w:p w14:paraId="678349CC">
                  <w:pPr>
                    <w:jc w:val="center"/>
                    <w:rPr>
                      <w:rFonts w:hint="eastAsia"/>
                      <w:color w:val="000000"/>
                    </w:rPr>
                  </w:pPr>
                </w:p>
              </w:tc>
              <w:tc>
                <w:tcPr>
                  <w:tcW w:w="2540" w:type="pct"/>
                  <w:gridSpan w:val="2"/>
                  <w:noWrap w:val="0"/>
                  <w:vAlign w:val="center"/>
                </w:tcPr>
                <w:p w14:paraId="22E68CC6">
                  <w:pPr>
                    <w:jc w:val="center"/>
                    <w:rPr>
                      <w:rFonts w:hint="eastAsia"/>
                      <w:color w:val="000000"/>
                    </w:rPr>
                  </w:pPr>
                  <w:r>
                    <w:rPr>
                      <w:rFonts w:hint="eastAsia"/>
                      <w:color w:val="000000"/>
                    </w:rPr>
                    <w:t>1间10m</w:t>
                  </w:r>
                  <w:r>
                    <w:rPr>
                      <w:rFonts w:hint="eastAsia"/>
                      <w:color w:val="000000"/>
                      <w:vertAlign w:val="superscript"/>
                    </w:rPr>
                    <w:t>2</w:t>
                  </w:r>
                  <w:r>
                    <w:rPr>
                      <w:rFonts w:hint="eastAsia"/>
                      <w:color w:val="000000"/>
                    </w:rPr>
                    <w:t>一般固废暂存间</w:t>
                  </w:r>
                </w:p>
              </w:tc>
              <w:tc>
                <w:tcPr>
                  <w:tcW w:w="614" w:type="pct"/>
                  <w:noWrap w:val="0"/>
                  <w:vAlign w:val="center"/>
                </w:tcPr>
                <w:p w14:paraId="20B35AB3">
                  <w:pPr>
                    <w:jc w:val="center"/>
                    <w:rPr>
                      <w:rFonts w:hint="eastAsia"/>
                      <w:color w:val="000000"/>
                    </w:rPr>
                  </w:pPr>
                  <w:r>
                    <w:rPr>
                      <w:rFonts w:hint="eastAsia"/>
                      <w:color w:val="000000"/>
                    </w:rPr>
                    <w:t>2</w:t>
                  </w:r>
                </w:p>
              </w:tc>
              <w:tc>
                <w:tcPr>
                  <w:tcW w:w="788" w:type="pct"/>
                  <w:noWrap w:val="0"/>
                  <w:vAlign w:val="top"/>
                </w:tcPr>
                <w:p w14:paraId="455CA1F8">
                  <w:pPr>
                    <w:jc w:val="center"/>
                    <w:rPr>
                      <w:rFonts w:hint="eastAsia"/>
                      <w:color w:val="000000"/>
                    </w:rPr>
                  </w:pPr>
                  <w:r>
                    <w:rPr>
                      <w:rFonts w:hint="eastAsia"/>
                      <w:color w:val="000000"/>
                    </w:rPr>
                    <w:t>环评提出</w:t>
                  </w:r>
                </w:p>
              </w:tc>
            </w:tr>
            <w:tr w14:paraId="74DA0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48" w:hRule="atLeast"/>
              </w:trPr>
              <w:tc>
                <w:tcPr>
                  <w:tcW w:w="434" w:type="pct"/>
                  <w:vMerge w:val="continue"/>
                  <w:noWrap w:val="0"/>
                  <w:vAlign w:val="center"/>
                </w:tcPr>
                <w:p w14:paraId="31B326F3">
                  <w:pPr>
                    <w:jc w:val="center"/>
                    <w:rPr>
                      <w:color w:val="000000"/>
                    </w:rPr>
                  </w:pPr>
                </w:p>
              </w:tc>
              <w:tc>
                <w:tcPr>
                  <w:tcW w:w="624" w:type="pct"/>
                  <w:vMerge w:val="continue"/>
                  <w:noWrap w:val="0"/>
                  <w:vAlign w:val="center"/>
                </w:tcPr>
                <w:p w14:paraId="08C74435">
                  <w:pPr>
                    <w:jc w:val="center"/>
                    <w:rPr>
                      <w:color w:val="000000"/>
                    </w:rPr>
                  </w:pPr>
                </w:p>
              </w:tc>
              <w:tc>
                <w:tcPr>
                  <w:tcW w:w="2540" w:type="pct"/>
                  <w:gridSpan w:val="2"/>
                  <w:noWrap w:val="0"/>
                  <w:vAlign w:val="center"/>
                </w:tcPr>
                <w:p w14:paraId="79BFCFAC">
                  <w:pPr>
                    <w:jc w:val="center"/>
                    <w:rPr>
                      <w:rFonts w:hint="eastAsia"/>
                      <w:color w:val="000000"/>
                    </w:rPr>
                  </w:pPr>
                  <w:r>
                    <w:rPr>
                      <w:rFonts w:hint="eastAsia"/>
                      <w:color w:val="000000"/>
                    </w:rPr>
                    <w:t>生活</w:t>
                  </w:r>
                  <w:r>
                    <w:rPr>
                      <w:color w:val="000000"/>
                    </w:rPr>
                    <w:t>垃圾桶</w:t>
                  </w:r>
                  <w:r>
                    <w:rPr>
                      <w:rFonts w:hint="eastAsia"/>
                      <w:color w:val="000000"/>
                    </w:rPr>
                    <w:t>若干</w:t>
                  </w:r>
                </w:p>
              </w:tc>
              <w:tc>
                <w:tcPr>
                  <w:tcW w:w="614" w:type="pct"/>
                  <w:noWrap w:val="0"/>
                  <w:vAlign w:val="center"/>
                </w:tcPr>
                <w:p w14:paraId="645B3CAA">
                  <w:pPr>
                    <w:jc w:val="center"/>
                    <w:rPr>
                      <w:color w:val="000000"/>
                    </w:rPr>
                  </w:pPr>
                  <w:r>
                    <w:rPr>
                      <w:rFonts w:hint="eastAsia"/>
                      <w:color w:val="000000"/>
                    </w:rPr>
                    <w:t>0.5</w:t>
                  </w:r>
                </w:p>
              </w:tc>
              <w:tc>
                <w:tcPr>
                  <w:tcW w:w="788" w:type="pct"/>
                  <w:noWrap w:val="0"/>
                  <w:vAlign w:val="center"/>
                </w:tcPr>
                <w:p w14:paraId="3923FBFE">
                  <w:pPr>
                    <w:jc w:val="center"/>
                    <w:rPr>
                      <w:color w:val="000000"/>
                    </w:rPr>
                  </w:pPr>
                  <w:r>
                    <w:rPr>
                      <w:rFonts w:hint="eastAsia"/>
                      <w:color w:val="000000"/>
                    </w:rPr>
                    <w:t>环评提出</w:t>
                  </w:r>
                </w:p>
              </w:tc>
            </w:tr>
            <w:tr w14:paraId="398B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22" w:hRule="atLeast"/>
              </w:trPr>
              <w:tc>
                <w:tcPr>
                  <w:tcW w:w="434" w:type="pct"/>
                  <w:vMerge w:val="continue"/>
                  <w:noWrap w:val="0"/>
                  <w:vAlign w:val="center"/>
                </w:tcPr>
                <w:p w14:paraId="74F9E2B5">
                  <w:pPr>
                    <w:jc w:val="center"/>
                    <w:rPr>
                      <w:color w:val="000000"/>
                    </w:rPr>
                  </w:pPr>
                </w:p>
              </w:tc>
              <w:tc>
                <w:tcPr>
                  <w:tcW w:w="624" w:type="pct"/>
                  <w:vMerge w:val="restart"/>
                  <w:noWrap w:val="0"/>
                  <w:vAlign w:val="center"/>
                </w:tcPr>
                <w:p w14:paraId="67109261">
                  <w:pPr>
                    <w:jc w:val="center"/>
                    <w:rPr>
                      <w:color w:val="000000"/>
                    </w:rPr>
                  </w:pPr>
                  <w:r>
                    <w:rPr>
                      <w:color w:val="000000"/>
                    </w:rPr>
                    <w:t>地下水环境</w:t>
                  </w:r>
                </w:p>
              </w:tc>
              <w:tc>
                <w:tcPr>
                  <w:tcW w:w="494" w:type="pct"/>
                  <w:tcBorders>
                    <w:bottom w:val="single" w:color="auto" w:sz="4" w:space="0"/>
                    <w:right w:val="single" w:color="auto" w:sz="4" w:space="0"/>
                  </w:tcBorders>
                  <w:noWrap w:val="0"/>
                  <w:vAlign w:val="center"/>
                </w:tcPr>
                <w:p w14:paraId="7C729E28">
                  <w:pPr>
                    <w:jc w:val="center"/>
                    <w:rPr>
                      <w:color w:val="000000"/>
                    </w:rPr>
                  </w:pPr>
                  <w:r>
                    <w:rPr>
                      <w:color w:val="000000"/>
                    </w:rPr>
                    <w:t>重点防渗区</w:t>
                  </w:r>
                </w:p>
              </w:tc>
              <w:tc>
                <w:tcPr>
                  <w:tcW w:w="2046" w:type="pct"/>
                  <w:tcBorders>
                    <w:left w:val="single" w:color="auto" w:sz="4" w:space="0"/>
                    <w:bottom w:val="single" w:color="auto" w:sz="4" w:space="0"/>
                  </w:tcBorders>
                  <w:noWrap w:val="0"/>
                  <w:vAlign w:val="center"/>
                </w:tcPr>
                <w:p w14:paraId="0ED02F0C">
                  <w:pPr>
                    <w:jc w:val="center"/>
                    <w:rPr>
                      <w:color w:val="000000"/>
                    </w:rPr>
                  </w:pPr>
                  <w:r>
                    <w:rPr>
                      <w:rFonts w:hint="eastAsia"/>
                      <w:color w:val="000000"/>
                    </w:rPr>
                    <w:t>危废暂存间按《危险废物贮存污染控制标准》要求进行防渗，</w:t>
                  </w:r>
                  <w:r>
                    <w:rPr>
                      <w:color w:val="000000"/>
                    </w:rPr>
                    <w:t>防渗效果达到等效黏土防渗层Mb≥6.0m，K≤1×10</w:t>
                  </w:r>
                  <w:r>
                    <w:rPr>
                      <w:color w:val="000000"/>
                      <w:vertAlign w:val="superscript"/>
                    </w:rPr>
                    <w:t>-10</w:t>
                  </w:r>
                  <w:r>
                    <w:rPr>
                      <w:color w:val="000000"/>
                    </w:rPr>
                    <w:t>cm/s</w:t>
                  </w:r>
                </w:p>
              </w:tc>
              <w:tc>
                <w:tcPr>
                  <w:tcW w:w="614" w:type="pct"/>
                  <w:vMerge w:val="restart"/>
                  <w:noWrap w:val="0"/>
                  <w:vAlign w:val="center"/>
                </w:tcPr>
                <w:p w14:paraId="2911D14A">
                  <w:pPr>
                    <w:jc w:val="center"/>
                    <w:rPr>
                      <w:color w:val="000000"/>
                    </w:rPr>
                  </w:pPr>
                  <w:r>
                    <w:rPr>
                      <w:rFonts w:hint="eastAsia"/>
                      <w:color w:val="000000"/>
                    </w:rPr>
                    <w:t>8.0</w:t>
                  </w:r>
                </w:p>
              </w:tc>
              <w:tc>
                <w:tcPr>
                  <w:tcW w:w="788" w:type="pct"/>
                  <w:noWrap w:val="0"/>
                  <w:vAlign w:val="center"/>
                </w:tcPr>
                <w:p w14:paraId="5D7D590C">
                  <w:pPr>
                    <w:jc w:val="center"/>
                    <w:rPr>
                      <w:color w:val="000000"/>
                    </w:rPr>
                  </w:pPr>
                  <w:r>
                    <w:rPr>
                      <w:rFonts w:hint="eastAsia"/>
                      <w:color w:val="000000"/>
                    </w:rPr>
                    <w:t>环评提出</w:t>
                  </w:r>
                </w:p>
              </w:tc>
            </w:tr>
            <w:tr w14:paraId="5984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787" w:hRule="atLeast"/>
              </w:trPr>
              <w:tc>
                <w:tcPr>
                  <w:tcW w:w="434" w:type="pct"/>
                  <w:vMerge w:val="continue"/>
                  <w:noWrap w:val="0"/>
                  <w:vAlign w:val="center"/>
                </w:tcPr>
                <w:p w14:paraId="3FB24ABA">
                  <w:pPr>
                    <w:jc w:val="center"/>
                    <w:rPr>
                      <w:color w:val="000000"/>
                    </w:rPr>
                  </w:pPr>
                </w:p>
              </w:tc>
              <w:tc>
                <w:tcPr>
                  <w:tcW w:w="624" w:type="pct"/>
                  <w:vMerge w:val="continue"/>
                  <w:noWrap w:val="0"/>
                  <w:vAlign w:val="center"/>
                </w:tcPr>
                <w:p w14:paraId="63464DC5">
                  <w:pPr>
                    <w:jc w:val="center"/>
                    <w:rPr>
                      <w:color w:val="000000"/>
                    </w:rPr>
                  </w:pPr>
                </w:p>
              </w:tc>
              <w:tc>
                <w:tcPr>
                  <w:tcW w:w="494" w:type="pct"/>
                  <w:tcBorders>
                    <w:top w:val="single" w:color="auto" w:sz="4" w:space="0"/>
                    <w:right w:val="single" w:color="auto" w:sz="4" w:space="0"/>
                  </w:tcBorders>
                  <w:noWrap w:val="0"/>
                  <w:vAlign w:val="center"/>
                </w:tcPr>
                <w:p w14:paraId="69116661">
                  <w:pPr>
                    <w:jc w:val="center"/>
                    <w:rPr>
                      <w:color w:val="000000"/>
                    </w:rPr>
                  </w:pPr>
                  <w:r>
                    <w:rPr>
                      <w:color w:val="000000"/>
                    </w:rPr>
                    <w:t>一般防渗区</w:t>
                  </w:r>
                </w:p>
              </w:tc>
              <w:tc>
                <w:tcPr>
                  <w:tcW w:w="2046" w:type="pct"/>
                  <w:tcBorders>
                    <w:top w:val="single" w:color="auto" w:sz="4" w:space="0"/>
                    <w:left w:val="single" w:color="auto" w:sz="4" w:space="0"/>
                  </w:tcBorders>
                  <w:noWrap w:val="0"/>
                  <w:vAlign w:val="center"/>
                </w:tcPr>
                <w:p w14:paraId="67F9A7F1">
                  <w:pPr>
                    <w:adjustRightInd w:val="0"/>
                    <w:snapToGrid w:val="0"/>
                    <w:jc w:val="center"/>
                    <w:rPr>
                      <w:color w:val="000000"/>
                    </w:rPr>
                  </w:pPr>
                  <w:r>
                    <w:rPr>
                      <w:rFonts w:hint="eastAsia"/>
                      <w:color w:val="000000"/>
                    </w:rPr>
                    <w:t>一般固废暂存间等，</w:t>
                  </w:r>
                  <w:r>
                    <w:rPr>
                      <w:color w:val="000000"/>
                    </w:rPr>
                    <w:t>防渗措施为铺设防渗层，Mb≥1.5m，K≤1.0×10</w:t>
                  </w:r>
                  <w:r>
                    <w:rPr>
                      <w:color w:val="000000"/>
                      <w:vertAlign w:val="superscript"/>
                    </w:rPr>
                    <w:t>-7</w:t>
                  </w:r>
                  <w:r>
                    <w:rPr>
                      <w:color w:val="000000"/>
                    </w:rPr>
                    <w:t>cm/s</w:t>
                  </w:r>
                  <w:r>
                    <w:rPr>
                      <w:rFonts w:hint="eastAsia"/>
                      <w:color w:val="000000"/>
                    </w:rPr>
                    <w:t>。</w:t>
                  </w:r>
                </w:p>
              </w:tc>
              <w:tc>
                <w:tcPr>
                  <w:tcW w:w="614" w:type="pct"/>
                  <w:vMerge w:val="continue"/>
                  <w:noWrap w:val="0"/>
                  <w:vAlign w:val="center"/>
                </w:tcPr>
                <w:p w14:paraId="4FF898CF">
                  <w:pPr>
                    <w:jc w:val="center"/>
                    <w:rPr>
                      <w:color w:val="000000"/>
                    </w:rPr>
                  </w:pPr>
                </w:p>
              </w:tc>
              <w:tc>
                <w:tcPr>
                  <w:tcW w:w="788" w:type="pct"/>
                  <w:tcBorders>
                    <w:bottom w:val="single" w:color="auto" w:sz="4" w:space="0"/>
                  </w:tcBorders>
                  <w:noWrap w:val="0"/>
                  <w:vAlign w:val="center"/>
                </w:tcPr>
                <w:p w14:paraId="3E44E884">
                  <w:pPr>
                    <w:jc w:val="center"/>
                    <w:rPr>
                      <w:color w:val="000000"/>
                    </w:rPr>
                  </w:pPr>
                  <w:r>
                    <w:rPr>
                      <w:rFonts w:hint="eastAsia"/>
                      <w:color w:val="000000"/>
                    </w:rPr>
                    <w:t>环评提出</w:t>
                  </w:r>
                </w:p>
              </w:tc>
            </w:tr>
            <w:tr w14:paraId="62A8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18" w:hRule="atLeast"/>
              </w:trPr>
              <w:tc>
                <w:tcPr>
                  <w:tcW w:w="434" w:type="pct"/>
                  <w:vMerge w:val="continue"/>
                  <w:noWrap w:val="0"/>
                  <w:vAlign w:val="center"/>
                </w:tcPr>
                <w:p w14:paraId="04FE7F5C">
                  <w:pPr>
                    <w:jc w:val="center"/>
                    <w:rPr>
                      <w:color w:val="000000"/>
                    </w:rPr>
                  </w:pPr>
                </w:p>
              </w:tc>
              <w:tc>
                <w:tcPr>
                  <w:tcW w:w="624" w:type="pct"/>
                  <w:noWrap w:val="0"/>
                  <w:vAlign w:val="center"/>
                </w:tcPr>
                <w:p w14:paraId="5FD6C3F2">
                  <w:pPr>
                    <w:jc w:val="center"/>
                    <w:rPr>
                      <w:color w:val="000000"/>
                    </w:rPr>
                  </w:pPr>
                  <w:r>
                    <w:rPr>
                      <w:color w:val="000000"/>
                    </w:rPr>
                    <w:t>环境风险</w:t>
                  </w:r>
                </w:p>
              </w:tc>
              <w:tc>
                <w:tcPr>
                  <w:tcW w:w="2540" w:type="pct"/>
                  <w:gridSpan w:val="2"/>
                  <w:tcBorders>
                    <w:top w:val="single" w:color="auto" w:sz="4" w:space="0"/>
                    <w:bottom w:val="single" w:color="auto" w:sz="4" w:space="0"/>
                  </w:tcBorders>
                  <w:noWrap w:val="0"/>
                  <w:vAlign w:val="center"/>
                </w:tcPr>
                <w:p w14:paraId="09CE8B84">
                  <w:pPr>
                    <w:jc w:val="center"/>
                    <w:rPr>
                      <w:color w:val="000000"/>
                    </w:rPr>
                  </w:pPr>
                  <w:r>
                    <w:rPr>
                      <w:rFonts w:hint="eastAsia"/>
                      <w:color w:val="000000"/>
                    </w:rPr>
                    <w:t>危废间设围堰</w:t>
                  </w:r>
                </w:p>
              </w:tc>
              <w:tc>
                <w:tcPr>
                  <w:tcW w:w="614" w:type="pct"/>
                  <w:tcBorders>
                    <w:top w:val="single" w:color="auto" w:sz="4" w:space="0"/>
                    <w:bottom w:val="single" w:color="auto" w:sz="4" w:space="0"/>
                  </w:tcBorders>
                  <w:noWrap w:val="0"/>
                  <w:vAlign w:val="center"/>
                </w:tcPr>
                <w:p w14:paraId="099C0F70">
                  <w:pPr>
                    <w:jc w:val="center"/>
                    <w:rPr>
                      <w:color w:val="000000"/>
                    </w:rPr>
                  </w:pPr>
                  <w:r>
                    <w:rPr>
                      <w:rFonts w:hint="eastAsia"/>
                      <w:color w:val="000000"/>
                    </w:rPr>
                    <w:t>0.5</w:t>
                  </w:r>
                </w:p>
              </w:tc>
              <w:tc>
                <w:tcPr>
                  <w:tcW w:w="788" w:type="pct"/>
                  <w:tcBorders>
                    <w:top w:val="single" w:color="auto" w:sz="4" w:space="0"/>
                    <w:bottom w:val="single" w:color="auto" w:sz="4" w:space="0"/>
                  </w:tcBorders>
                  <w:noWrap w:val="0"/>
                  <w:vAlign w:val="center"/>
                </w:tcPr>
                <w:p w14:paraId="535D1D65">
                  <w:pPr>
                    <w:jc w:val="center"/>
                    <w:rPr>
                      <w:rFonts w:hint="eastAsia"/>
                      <w:color w:val="000000"/>
                    </w:rPr>
                  </w:pPr>
                  <w:r>
                    <w:rPr>
                      <w:rFonts w:hint="eastAsia"/>
                      <w:color w:val="000000"/>
                    </w:rPr>
                    <w:t>环评提出</w:t>
                  </w:r>
                </w:p>
              </w:tc>
            </w:tr>
            <w:tr w14:paraId="6792A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18" w:hRule="atLeast"/>
              </w:trPr>
              <w:tc>
                <w:tcPr>
                  <w:tcW w:w="434" w:type="pct"/>
                  <w:vMerge w:val="continue"/>
                  <w:noWrap w:val="0"/>
                  <w:vAlign w:val="center"/>
                </w:tcPr>
                <w:p w14:paraId="5E095068">
                  <w:pPr>
                    <w:jc w:val="center"/>
                    <w:rPr>
                      <w:color w:val="000000"/>
                    </w:rPr>
                  </w:pPr>
                </w:p>
              </w:tc>
              <w:tc>
                <w:tcPr>
                  <w:tcW w:w="624" w:type="pct"/>
                  <w:noWrap w:val="0"/>
                  <w:vAlign w:val="center"/>
                </w:tcPr>
                <w:p w14:paraId="62A4BA5B">
                  <w:pPr>
                    <w:jc w:val="center"/>
                    <w:rPr>
                      <w:rFonts w:hint="eastAsia"/>
                      <w:color w:val="000000"/>
                    </w:rPr>
                  </w:pPr>
                  <w:r>
                    <w:rPr>
                      <w:rFonts w:hint="eastAsia"/>
                      <w:color w:val="000000"/>
                    </w:rPr>
                    <w:t>其他</w:t>
                  </w:r>
                </w:p>
              </w:tc>
              <w:tc>
                <w:tcPr>
                  <w:tcW w:w="2540" w:type="pct"/>
                  <w:gridSpan w:val="2"/>
                  <w:tcBorders>
                    <w:top w:val="single" w:color="auto" w:sz="4" w:space="0"/>
                    <w:bottom w:val="single" w:color="auto" w:sz="4" w:space="0"/>
                  </w:tcBorders>
                  <w:noWrap w:val="0"/>
                  <w:vAlign w:val="center"/>
                </w:tcPr>
                <w:p w14:paraId="4A7CFD4A">
                  <w:pPr>
                    <w:jc w:val="center"/>
                    <w:rPr>
                      <w:color w:val="000000"/>
                    </w:rPr>
                  </w:pPr>
                  <w:r>
                    <w:rPr>
                      <w:color w:val="000000"/>
                    </w:rPr>
                    <w:t>环境管理、</w:t>
                  </w:r>
                  <w:r>
                    <w:rPr>
                      <w:rFonts w:hint="eastAsia"/>
                      <w:color w:val="000000"/>
                    </w:rPr>
                    <w:t>环境</w:t>
                  </w:r>
                  <w:r>
                    <w:rPr>
                      <w:color w:val="000000"/>
                    </w:rPr>
                    <w:t>监测</w:t>
                  </w:r>
                </w:p>
              </w:tc>
              <w:tc>
                <w:tcPr>
                  <w:tcW w:w="614" w:type="pct"/>
                  <w:tcBorders>
                    <w:top w:val="single" w:color="auto" w:sz="4" w:space="0"/>
                    <w:bottom w:val="single" w:color="auto" w:sz="4" w:space="0"/>
                  </w:tcBorders>
                  <w:noWrap w:val="0"/>
                  <w:vAlign w:val="center"/>
                </w:tcPr>
                <w:p w14:paraId="647D1D20">
                  <w:pPr>
                    <w:jc w:val="center"/>
                    <w:rPr>
                      <w:color w:val="000000"/>
                    </w:rPr>
                  </w:pPr>
                  <w:r>
                    <w:rPr>
                      <w:rFonts w:hint="eastAsia"/>
                      <w:color w:val="000000"/>
                    </w:rPr>
                    <w:t>5.0</w:t>
                  </w:r>
                </w:p>
              </w:tc>
              <w:tc>
                <w:tcPr>
                  <w:tcW w:w="788" w:type="pct"/>
                  <w:tcBorders>
                    <w:top w:val="single" w:color="auto" w:sz="4" w:space="0"/>
                    <w:bottom w:val="single" w:color="auto" w:sz="4" w:space="0"/>
                  </w:tcBorders>
                  <w:noWrap w:val="0"/>
                  <w:vAlign w:val="center"/>
                </w:tcPr>
                <w:p w14:paraId="7472F795">
                  <w:pPr>
                    <w:jc w:val="center"/>
                    <w:rPr>
                      <w:color w:val="000000"/>
                    </w:rPr>
                  </w:pPr>
                  <w:r>
                    <w:rPr>
                      <w:rFonts w:hint="eastAsia"/>
                      <w:color w:val="000000"/>
                    </w:rPr>
                    <w:t>环评提出</w:t>
                  </w:r>
                </w:p>
              </w:tc>
            </w:tr>
            <w:tr w14:paraId="1FB60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18" w:hRule="atLeast"/>
              </w:trPr>
              <w:tc>
                <w:tcPr>
                  <w:tcW w:w="3598" w:type="pct"/>
                  <w:gridSpan w:val="4"/>
                  <w:noWrap w:val="0"/>
                  <w:vAlign w:val="center"/>
                </w:tcPr>
                <w:p w14:paraId="669BA12F">
                  <w:pPr>
                    <w:jc w:val="center"/>
                    <w:rPr>
                      <w:color w:val="000000"/>
                    </w:rPr>
                  </w:pPr>
                  <w:r>
                    <w:rPr>
                      <w:rFonts w:hint="eastAsia"/>
                      <w:color w:val="000000"/>
                    </w:rPr>
                    <w:t>合计</w:t>
                  </w:r>
                </w:p>
              </w:tc>
              <w:tc>
                <w:tcPr>
                  <w:tcW w:w="614" w:type="pct"/>
                  <w:tcBorders>
                    <w:top w:val="single" w:color="auto" w:sz="4" w:space="0"/>
                  </w:tcBorders>
                  <w:noWrap w:val="0"/>
                  <w:vAlign w:val="center"/>
                </w:tcPr>
                <w:p w14:paraId="1AE1ED79">
                  <w:pPr>
                    <w:jc w:val="center"/>
                    <w:rPr>
                      <w:color w:val="000000"/>
                    </w:rPr>
                  </w:pPr>
                  <w:r>
                    <w:rPr>
                      <w:color w:val="000000"/>
                    </w:rPr>
                    <w:t>68</w:t>
                  </w:r>
                  <w:r>
                    <w:rPr>
                      <w:rFonts w:hint="eastAsia"/>
                      <w:color w:val="000000"/>
                    </w:rPr>
                    <w:t>.5</w:t>
                  </w:r>
                </w:p>
              </w:tc>
              <w:tc>
                <w:tcPr>
                  <w:tcW w:w="788" w:type="pct"/>
                  <w:tcBorders>
                    <w:top w:val="single" w:color="auto" w:sz="4" w:space="0"/>
                  </w:tcBorders>
                  <w:noWrap w:val="0"/>
                  <w:vAlign w:val="center"/>
                </w:tcPr>
                <w:p w14:paraId="742DEF83">
                  <w:pPr>
                    <w:jc w:val="center"/>
                    <w:rPr>
                      <w:rFonts w:hint="eastAsia"/>
                      <w:color w:val="000000"/>
                    </w:rPr>
                  </w:pPr>
                </w:p>
              </w:tc>
            </w:tr>
          </w:tbl>
          <w:p w14:paraId="08AAD810">
            <w:pPr>
              <w:spacing w:line="360" w:lineRule="auto"/>
              <w:rPr>
                <w:bCs/>
                <w:color w:val="000000"/>
                <w:szCs w:val="21"/>
              </w:rPr>
            </w:pPr>
          </w:p>
        </w:tc>
      </w:tr>
      <w:tr w14:paraId="315DCB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90" w:hRule="atLeast"/>
          <w:jc w:val="center"/>
        </w:trPr>
        <w:tc>
          <w:tcPr>
            <w:tcW w:w="823" w:type="dxa"/>
            <w:noWrap w:val="0"/>
            <w:vAlign w:val="center"/>
          </w:tcPr>
          <w:p w14:paraId="63DA1AAD">
            <w:pPr>
              <w:pStyle w:val="16"/>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Cs w:val="24"/>
              </w:rPr>
              <w:t>工艺流程和产排污环节</w:t>
            </w:r>
          </w:p>
        </w:tc>
        <w:tc>
          <w:tcPr>
            <w:tcW w:w="8161" w:type="dxa"/>
            <w:noWrap w:val="0"/>
            <w:vAlign w:val="top"/>
          </w:tcPr>
          <w:p w14:paraId="03871096">
            <w:pPr>
              <w:autoSpaceDE w:val="0"/>
              <w:autoSpaceDN w:val="0"/>
              <w:adjustRightInd w:val="0"/>
              <w:spacing w:line="360" w:lineRule="auto"/>
              <w:ind w:firstLine="482" w:firstLineChars="200"/>
              <w:jc w:val="left"/>
              <w:rPr>
                <w:b/>
                <w:bCs/>
                <w:color w:val="000000"/>
                <w:kern w:val="0"/>
                <w:sz w:val="24"/>
              </w:rPr>
            </w:pPr>
            <w:r>
              <w:rPr>
                <w:b/>
                <w:bCs/>
                <w:color w:val="000000"/>
                <w:kern w:val="0"/>
                <w:sz w:val="24"/>
              </w:rPr>
              <w:t>工艺流程和产排污环节：</w:t>
            </w:r>
          </w:p>
          <w:p w14:paraId="7ECB8F9E">
            <w:pPr>
              <w:autoSpaceDE w:val="0"/>
              <w:autoSpaceDN w:val="0"/>
              <w:adjustRightInd w:val="0"/>
              <w:spacing w:line="360" w:lineRule="auto"/>
              <w:ind w:firstLine="482" w:firstLineChars="200"/>
              <w:jc w:val="left"/>
              <w:rPr>
                <w:b/>
                <w:bCs/>
                <w:color w:val="000000"/>
                <w:kern w:val="0"/>
                <w:sz w:val="24"/>
              </w:rPr>
            </w:pPr>
            <w:r>
              <w:rPr>
                <w:b/>
                <w:bCs/>
                <w:color w:val="000000"/>
                <w:kern w:val="0"/>
                <w:sz w:val="24"/>
              </w:rPr>
              <w:t>一、施工期工艺流程及产污环节</w:t>
            </w:r>
          </w:p>
          <w:p w14:paraId="258E5E0F">
            <w:pPr>
              <w:adjustRightInd w:val="0"/>
              <w:snapToGrid w:val="0"/>
              <w:spacing w:line="360" w:lineRule="auto"/>
              <w:ind w:firstLine="480" w:firstLineChars="200"/>
              <w:rPr>
                <w:rFonts w:hint="eastAsia"/>
                <w:bCs/>
                <w:color w:val="000000"/>
                <w:sz w:val="24"/>
              </w:rPr>
            </w:pPr>
            <w:r>
              <w:rPr>
                <w:color w:val="000000"/>
                <w:sz w:val="24"/>
              </w:rPr>
              <w:t>项目租用项目租用</w:t>
            </w:r>
            <w:r>
              <w:rPr>
                <w:rFonts w:hint="eastAsia"/>
                <w:color w:val="000000"/>
                <w:sz w:val="24"/>
              </w:rPr>
              <w:t>大可村委会长麦地村民小组</w:t>
            </w:r>
            <w:r>
              <w:rPr>
                <w:color w:val="000000"/>
                <w:sz w:val="24"/>
              </w:rPr>
              <w:t>的闲置场地进行建设，</w:t>
            </w:r>
            <w:r>
              <w:rPr>
                <w:rFonts w:hint="eastAsia"/>
                <w:bCs/>
                <w:color w:val="000000"/>
                <w:sz w:val="24"/>
              </w:rPr>
              <w:t>目前项目区大部分工程已建设完工，施工期大部分工程已经结束，施工期未发生环境事件纠纷，未遗留任何环境问题，因此，本次环评不再对已建设施施工期产生的污染物及其污染影响进行详细分析，仅进行回顾性分析。项目已建设施施工过程中产生扬尘废气、机械尾气、施工噪声、施工废水和施工固废等。在一定时候内会对周围环境造成不良影响。但是施工期已经结束，随着施工期的结束和施工期采取相应措施后，这些污染影响随之消除，根据现场调查，本项目施工期没有遗留的环境问题，也未发生环境污染举报事件。</w:t>
            </w:r>
          </w:p>
          <w:p w14:paraId="4182A21C">
            <w:pPr>
              <w:adjustRightInd w:val="0"/>
              <w:snapToGrid w:val="0"/>
              <w:spacing w:line="360" w:lineRule="auto"/>
              <w:ind w:firstLine="480" w:firstLineChars="200"/>
              <w:rPr>
                <w:rFonts w:hint="eastAsia"/>
                <w:bCs/>
                <w:color w:val="000000"/>
                <w:sz w:val="24"/>
              </w:rPr>
            </w:pPr>
            <w:r>
              <w:rPr>
                <w:rFonts w:hint="eastAsia"/>
                <w:color w:val="000000"/>
                <w:sz w:val="24"/>
              </w:rPr>
              <w:t>本次建设施工过程较为简单，仅需进行有机废气环保设施安装、隔油池、一般固废暂存间、危废暂存间的建设。</w:t>
            </w:r>
            <w:r>
              <w:rPr>
                <w:rFonts w:hint="eastAsia"/>
                <w:bCs/>
                <w:color w:val="000000"/>
                <w:sz w:val="24"/>
              </w:rPr>
              <w:t>施工期产生的污染物为施工扬尘、施工机械噪声、施工废水、建筑垃圾、施工人员生活垃圾。</w:t>
            </w:r>
          </w:p>
          <w:p w14:paraId="2DC80D0A">
            <w:pPr>
              <w:adjustRightInd w:val="0"/>
              <w:snapToGrid w:val="0"/>
              <w:spacing w:line="360" w:lineRule="auto"/>
              <w:ind w:firstLine="480" w:firstLineChars="200"/>
              <w:rPr>
                <w:bCs/>
                <w:color w:val="000000"/>
                <w:sz w:val="24"/>
              </w:rPr>
            </w:pPr>
            <w:r>
              <w:rPr>
                <w:bCs/>
                <w:color w:val="000000"/>
                <w:kern w:val="21"/>
                <w:sz w:val="24"/>
              </w:rPr>
              <w:t>项目</w:t>
            </w:r>
            <w:r>
              <w:rPr>
                <w:rFonts w:hint="eastAsia"/>
                <w:bCs/>
                <w:color w:val="000000"/>
                <w:kern w:val="21"/>
                <w:sz w:val="24"/>
              </w:rPr>
              <w:t>剩余的未完成工程部分</w:t>
            </w:r>
            <w:r>
              <w:rPr>
                <w:bCs/>
                <w:color w:val="000000"/>
                <w:kern w:val="21"/>
                <w:sz w:val="24"/>
              </w:rPr>
              <w:t>预计202</w:t>
            </w:r>
            <w:r>
              <w:rPr>
                <w:rFonts w:hint="eastAsia"/>
                <w:bCs/>
                <w:color w:val="000000"/>
                <w:kern w:val="21"/>
                <w:sz w:val="24"/>
              </w:rPr>
              <w:t>3</w:t>
            </w:r>
            <w:r>
              <w:rPr>
                <w:bCs/>
                <w:color w:val="000000"/>
                <w:kern w:val="21"/>
                <w:sz w:val="24"/>
              </w:rPr>
              <w:t>年</w:t>
            </w:r>
            <w:r>
              <w:rPr>
                <w:rFonts w:hint="eastAsia"/>
                <w:bCs/>
                <w:color w:val="000000"/>
                <w:kern w:val="21"/>
                <w:sz w:val="24"/>
              </w:rPr>
              <w:t>3</w:t>
            </w:r>
            <w:r>
              <w:rPr>
                <w:bCs/>
                <w:color w:val="000000"/>
                <w:kern w:val="21"/>
                <w:sz w:val="24"/>
              </w:rPr>
              <w:t>月竣工投入运营，项目建设工期为</w:t>
            </w:r>
            <w:r>
              <w:rPr>
                <w:rFonts w:hint="eastAsia"/>
                <w:bCs/>
                <w:color w:val="000000"/>
                <w:kern w:val="21"/>
                <w:sz w:val="24"/>
              </w:rPr>
              <w:t>1</w:t>
            </w:r>
            <w:r>
              <w:rPr>
                <w:bCs/>
                <w:color w:val="000000"/>
                <w:kern w:val="21"/>
                <w:sz w:val="24"/>
              </w:rPr>
              <w:t>个月。</w:t>
            </w:r>
            <w:r>
              <w:rPr>
                <w:bCs/>
                <w:color w:val="000000"/>
                <w:sz w:val="24"/>
              </w:rPr>
              <w:t>施工期工艺流程及产污节点见图2-</w:t>
            </w:r>
            <w:r>
              <w:rPr>
                <w:rFonts w:hint="eastAsia"/>
                <w:bCs/>
                <w:color w:val="000000"/>
                <w:sz w:val="24"/>
              </w:rPr>
              <w:t>1</w:t>
            </w:r>
            <w:r>
              <w:rPr>
                <w:bCs/>
                <w:color w:val="000000"/>
                <w:sz w:val="24"/>
              </w:rPr>
              <w:t>。</w:t>
            </w:r>
          </w:p>
          <w:p w14:paraId="145C9CF0">
            <w:pPr>
              <w:pStyle w:val="7"/>
              <w:jc w:val="center"/>
              <w:rPr>
                <w:color w:val="000000"/>
              </w:rPr>
            </w:pPr>
            <w:r>
              <w:rPr>
                <w:rFonts w:hint="eastAsia"/>
                <w:bCs/>
                <w:color w:val="000000"/>
                <w:sz w:val="24"/>
              </w:rPr>
              <w:object>
                <v:shape id="_x0000_i1027" o:spt="75" type="#_x0000_t75" style="height:126.35pt;width:132.8pt;" o:ole="t" filled="f" o:preferrelative="t" stroked="f" coordsize="21600,21600">
                  <v:path/>
                  <v:fill on="f" focussize="0,0"/>
                  <v:stroke on="f"/>
                  <v:imagedata r:id="rId9" o:title=""/>
                  <o:lock v:ext="edit" aspectratio="t"/>
                  <w10:wrap type="none"/>
                  <w10:anchorlock/>
                </v:shape>
                <o:OLEObject Type="Embed" ProgID="" ShapeID="_x0000_i1027" DrawAspect="Content" ObjectID="_1468075726" r:id="rId8">
                  <o:LockedField>false</o:LockedField>
                </o:OLEObject>
              </w:object>
            </w:r>
          </w:p>
          <w:p w14:paraId="0F357518">
            <w:pPr>
              <w:adjustRightInd w:val="0"/>
              <w:snapToGrid w:val="0"/>
              <w:spacing w:line="360" w:lineRule="auto"/>
              <w:jc w:val="center"/>
              <w:rPr>
                <w:b/>
                <w:bCs/>
                <w:color w:val="000000"/>
                <w:szCs w:val="21"/>
              </w:rPr>
            </w:pPr>
            <w:r>
              <w:rPr>
                <w:b/>
                <w:bCs/>
                <w:color w:val="000000"/>
                <w:szCs w:val="21"/>
              </w:rPr>
              <w:t>图2-</w:t>
            </w:r>
            <w:r>
              <w:rPr>
                <w:rFonts w:hint="eastAsia"/>
                <w:b/>
                <w:bCs/>
                <w:color w:val="000000"/>
                <w:szCs w:val="21"/>
              </w:rPr>
              <w:t>1</w:t>
            </w:r>
            <w:r>
              <w:rPr>
                <w:b/>
                <w:bCs/>
                <w:color w:val="000000"/>
                <w:szCs w:val="21"/>
              </w:rPr>
              <w:t xml:space="preserve"> </w:t>
            </w:r>
            <w:r>
              <w:rPr>
                <w:rFonts w:hint="eastAsia"/>
                <w:b/>
                <w:bCs/>
                <w:color w:val="000000"/>
                <w:szCs w:val="21"/>
              </w:rPr>
              <w:t xml:space="preserve"> </w:t>
            </w:r>
            <w:r>
              <w:rPr>
                <w:b/>
                <w:bCs/>
                <w:color w:val="000000"/>
                <w:szCs w:val="21"/>
              </w:rPr>
              <w:t>施工期工艺流程及产污节点</w:t>
            </w:r>
          </w:p>
          <w:p w14:paraId="51658E74">
            <w:pPr>
              <w:autoSpaceDE w:val="0"/>
              <w:autoSpaceDN w:val="0"/>
              <w:adjustRightInd w:val="0"/>
              <w:spacing w:line="360" w:lineRule="auto"/>
              <w:ind w:firstLine="482" w:firstLineChars="200"/>
              <w:jc w:val="left"/>
              <w:rPr>
                <w:b/>
                <w:bCs/>
                <w:color w:val="000000"/>
                <w:kern w:val="0"/>
                <w:sz w:val="24"/>
              </w:rPr>
            </w:pPr>
            <w:r>
              <w:rPr>
                <w:b/>
                <w:bCs/>
                <w:color w:val="000000"/>
                <w:kern w:val="0"/>
                <w:sz w:val="24"/>
              </w:rPr>
              <w:t>二、运营期工艺流程及产污环节</w:t>
            </w:r>
          </w:p>
          <w:p w14:paraId="4BFBD3DA">
            <w:pPr>
              <w:spacing w:line="360" w:lineRule="auto"/>
              <w:ind w:firstLine="482" w:firstLineChars="200"/>
              <w:rPr>
                <w:color w:val="000000"/>
                <w:sz w:val="24"/>
                <w:szCs w:val="22"/>
              </w:rPr>
            </w:pPr>
            <w:r>
              <w:rPr>
                <w:b/>
                <w:color w:val="000000"/>
                <w:sz w:val="24"/>
              </w:rPr>
              <w:t>1、项目生产工艺及产污环节</w:t>
            </w:r>
          </w:p>
          <w:p w14:paraId="21EDBAB6">
            <w:pPr>
              <w:spacing w:line="360" w:lineRule="auto"/>
              <w:ind w:firstLine="480" w:firstLineChars="200"/>
              <w:rPr>
                <w:color w:val="000000"/>
                <w:sz w:val="24"/>
                <w:szCs w:val="22"/>
              </w:rPr>
            </w:pPr>
            <w:r>
              <w:rPr>
                <w:color w:val="000000"/>
                <w:sz w:val="24"/>
              </w:rPr>
              <w:t>项目通过收购石林县鲜花种植基地的鲜花，经过脱色-染色</w:t>
            </w:r>
            <w:r>
              <w:rPr>
                <w:rFonts w:hint="eastAsia"/>
                <w:color w:val="000000"/>
                <w:sz w:val="24"/>
              </w:rPr>
              <w:t>以方式</w:t>
            </w:r>
            <w:r>
              <w:rPr>
                <w:color w:val="000000"/>
                <w:sz w:val="24"/>
              </w:rPr>
              <w:t>生产永生花，</w:t>
            </w:r>
            <w:r>
              <w:rPr>
                <w:rFonts w:hint="eastAsia"/>
                <w:color w:val="000000"/>
                <w:sz w:val="24"/>
              </w:rPr>
              <w:t>产品外售。</w:t>
            </w:r>
            <w:r>
              <w:rPr>
                <w:color w:val="000000"/>
                <w:sz w:val="24"/>
                <w:szCs w:val="22"/>
              </w:rPr>
              <w:t>本项目具体工艺流程如下。</w:t>
            </w:r>
          </w:p>
          <w:p w14:paraId="09878785">
            <w:pPr>
              <w:autoSpaceDE w:val="0"/>
              <w:autoSpaceDN w:val="0"/>
              <w:adjustRightInd w:val="0"/>
              <w:spacing w:line="360" w:lineRule="auto"/>
              <w:ind w:firstLine="482" w:firstLineChars="200"/>
              <w:jc w:val="left"/>
              <w:rPr>
                <w:b/>
                <w:bCs/>
                <w:color w:val="000000"/>
                <w:kern w:val="0"/>
                <w:sz w:val="24"/>
              </w:rPr>
            </w:pPr>
            <w:r>
              <w:rPr>
                <w:rFonts w:hint="eastAsia"/>
                <w:b/>
                <w:bCs/>
                <w:color w:val="000000"/>
                <w:kern w:val="0"/>
                <w:sz w:val="24"/>
              </w:rPr>
              <w:t>（1）染色法</w:t>
            </w:r>
          </w:p>
          <w:p w14:paraId="34FCAF60">
            <w:pPr>
              <w:jc w:val="center"/>
              <w:rPr>
                <w:color w:val="000000"/>
              </w:rPr>
            </w:pPr>
            <w:bookmarkStart w:id="6" w:name="OLE_LINK2"/>
            <w:r>
              <w:rPr>
                <w:color w:val="000000"/>
              </w:rPr>
              <w:object>
                <v:shape id="_x0000_i1028" o:spt="75" type="#_x0000_t75" style="height:318.4pt;width:394.5pt;" o:ole="t" filled="f" o:preferrelative="t" stroked="f" coordsize="21600,21600">
                  <v:path/>
                  <v:fill on="f" alignshape="1" focussize="0,0"/>
                  <v:stroke on="f"/>
                  <v:imagedata r:id="rId11" grayscale="f" bilevel="f" o:title=""/>
                  <o:lock v:ext="edit" aspectratio="t"/>
                  <w10:wrap type="none"/>
                  <w10:anchorlock/>
                </v:shape>
                <o:OLEObject Type="Embed" ProgID="Visio.Drawing.11" ShapeID="_x0000_i1028" DrawAspect="Content" ObjectID="_1468075727" r:id="rId10">
                  <o:LockedField>false</o:LockedField>
                </o:OLEObject>
              </w:object>
            </w:r>
            <w:bookmarkEnd w:id="6"/>
          </w:p>
          <w:p w14:paraId="2468B980">
            <w:pPr>
              <w:spacing w:line="360" w:lineRule="auto"/>
              <w:jc w:val="center"/>
              <w:rPr>
                <w:rFonts w:hint="eastAsia"/>
                <w:color w:val="000000"/>
                <w:szCs w:val="21"/>
              </w:rPr>
            </w:pPr>
            <w:r>
              <w:rPr>
                <w:b/>
                <w:color w:val="000000"/>
                <w:szCs w:val="21"/>
              </w:rPr>
              <w:t>图2-</w:t>
            </w:r>
            <w:r>
              <w:rPr>
                <w:rFonts w:hint="eastAsia"/>
                <w:b/>
                <w:color w:val="000000"/>
                <w:szCs w:val="21"/>
              </w:rPr>
              <w:t>2</w:t>
            </w:r>
            <w:r>
              <w:rPr>
                <w:b/>
                <w:color w:val="000000"/>
                <w:szCs w:val="21"/>
              </w:rPr>
              <w:t xml:space="preserve">  项目生产工艺流程及产污环节示意图</w:t>
            </w:r>
          </w:p>
          <w:p w14:paraId="7A4A8A12">
            <w:pPr>
              <w:autoSpaceDE w:val="0"/>
              <w:autoSpaceDN w:val="0"/>
              <w:adjustRightInd w:val="0"/>
              <w:spacing w:line="360" w:lineRule="auto"/>
              <w:ind w:firstLine="482" w:firstLineChars="200"/>
              <w:jc w:val="left"/>
              <w:rPr>
                <w:b/>
                <w:bCs/>
                <w:color w:val="000000"/>
                <w:kern w:val="0"/>
                <w:sz w:val="24"/>
              </w:rPr>
            </w:pPr>
            <w:r>
              <w:rPr>
                <w:rFonts w:hint="eastAsia"/>
                <w:b/>
                <w:bCs/>
                <w:color w:val="000000"/>
                <w:kern w:val="0"/>
                <w:sz w:val="24"/>
              </w:rPr>
              <w:t>生产工序简述：</w:t>
            </w:r>
          </w:p>
          <w:p w14:paraId="7B802BFD">
            <w:pPr>
              <w:spacing w:line="360" w:lineRule="auto"/>
              <w:ind w:firstLine="480" w:firstLineChars="200"/>
              <w:rPr>
                <w:color w:val="000000"/>
                <w:sz w:val="24"/>
              </w:rPr>
            </w:pPr>
            <w:r>
              <w:rPr>
                <w:rFonts w:hint="eastAsia"/>
                <w:color w:val="000000"/>
                <w:sz w:val="24"/>
              </w:rPr>
              <w:t>1）原料准备</w:t>
            </w:r>
          </w:p>
          <w:p w14:paraId="4988E3B9">
            <w:pPr>
              <w:spacing w:line="360" w:lineRule="auto"/>
              <w:ind w:firstLine="480" w:firstLineChars="200"/>
              <w:rPr>
                <w:color w:val="000000"/>
                <w:sz w:val="24"/>
              </w:rPr>
            </w:pPr>
            <w:r>
              <w:rPr>
                <w:rFonts w:hint="eastAsia"/>
                <w:color w:val="000000"/>
                <w:sz w:val="24"/>
              </w:rPr>
              <w:t>项目使用的鲜花从石林县鲜花种植基地购买；食用色素、甘油、甲醇等从市场购买，甲醇通过汽车运输直接导入脱色桶内，食用色素、甘油在仓库内储存。</w:t>
            </w:r>
          </w:p>
          <w:p w14:paraId="03839E50">
            <w:pPr>
              <w:spacing w:line="360" w:lineRule="auto"/>
              <w:ind w:firstLine="480" w:firstLineChars="200"/>
              <w:rPr>
                <w:color w:val="000000"/>
                <w:sz w:val="24"/>
              </w:rPr>
            </w:pPr>
            <w:r>
              <w:rPr>
                <w:rFonts w:hint="eastAsia"/>
                <w:color w:val="000000"/>
                <w:sz w:val="24"/>
              </w:rPr>
              <w:t>2）预处理</w:t>
            </w:r>
          </w:p>
          <w:p w14:paraId="02AFC51F">
            <w:pPr>
              <w:spacing w:line="360" w:lineRule="auto"/>
              <w:ind w:firstLine="480" w:firstLineChars="200"/>
              <w:rPr>
                <w:rFonts w:hint="eastAsia"/>
                <w:color w:val="000000"/>
                <w:sz w:val="24"/>
              </w:rPr>
            </w:pPr>
            <w:r>
              <w:rPr>
                <w:rFonts w:hint="eastAsia"/>
                <w:color w:val="000000"/>
                <w:sz w:val="24"/>
              </w:rPr>
              <w:t>人工对各类鲜花进行分拣，剔除枝叶，一般保留花茎在2cm左右即可，去除破损次品。该工序产生固废。</w:t>
            </w:r>
          </w:p>
          <w:p w14:paraId="2637646A">
            <w:pPr>
              <w:spacing w:line="360" w:lineRule="auto"/>
              <w:ind w:firstLine="480" w:firstLineChars="200"/>
              <w:rPr>
                <w:color w:val="000000"/>
                <w:sz w:val="24"/>
              </w:rPr>
            </w:pPr>
            <w:r>
              <w:rPr>
                <w:rFonts w:hint="eastAsia"/>
                <w:color w:val="000000"/>
                <w:sz w:val="24"/>
              </w:rPr>
              <w:t>3）脱色</w:t>
            </w:r>
          </w:p>
          <w:p w14:paraId="1D0DFF6C">
            <w:pPr>
              <w:spacing w:line="360" w:lineRule="auto"/>
              <w:ind w:firstLine="480" w:firstLineChars="200"/>
              <w:rPr>
                <w:color w:val="000000"/>
                <w:sz w:val="24"/>
              </w:rPr>
            </w:pPr>
            <w:r>
              <w:rPr>
                <w:rFonts w:hint="eastAsia"/>
                <w:color w:val="000000"/>
                <w:sz w:val="24"/>
              </w:rPr>
              <w:t>配置脱色溶液：在塑料桶内加入3</w:t>
            </w:r>
            <w:r>
              <w:rPr>
                <w:color w:val="000000"/>
                <w:sz w:val="24"/>
              </w:rPr>
              <w:t>0</w:t>
            </w:r>
            <w:r>
              <w:rPr>
                <w:rFonts w:hint="eastAsia"/>
                <w:color w:val="000000"/>
                <w:sz w:val="24"/>
              </w:rPr>
              <w:t>-</w:t>
            </w:r>
            <w:r>
              <w:rPr>
                <w:color w:val="000000"/>
                <w:sz w:val="24"/>
              </w:rPr>
              <w:t>40</w:t>
            </w:r>
            <w:r>
              <w:rPr>
                <w:rFonts w:hint="eastAsia"/>
                <w:color w:val="000000"/>
                <w:sz w:val="24"/>
              </w:rPr>
              <w:t>％的甲醇和水混合，再加入漂白剂，使之充分溶解。将玫瑰、康乃馨等鲜花放入塑料桶内浸泡漂白，并用塑料布进行密封，在室内常温下浸泡3</w:t>
            </w:r>
            <w:r>
              <w:rPr>
                <w:color w:val="000000"/>
                <w:sz w:val="24"/>
              </w:rPr>
              <w:t>0</w:t>
            </w:r>
            <w:r>
              <w:rPr>
                <w:rFonts w:hint="eastAsia"/>
                <w:color w:val="000000"/>
                <w:sz w:val="24"/>
              </w:rPr>
              <w:t>天，去除鲜花内的色素，脱色完成后鲜花变为白色。该工序产生甲醇废气。</w:t>
            </w:r>
          </w:p>
          <w:p w14:paraId="7D0EB138">
            <w:pPr>
              <w:spacing w:line="360" w:lineRule="auto"/>
              <w:ind w:firstLine="480" w:firstLineChars="200"/>
              <w:rPr>
                <w:color w:val="000000"/>
                <w:sz w:val="24"/>
              </w:rPr>
            </w:pPr>
            <w:r>
              <w:rPr>
                <w:rFonts w:hint="eastAsia"/>
                <w:color w:val="000000"/>
                <w:sz w:val="24"/>
              </w:rPr>
              <w:t>4）染色</w:t>
            </w:r>
          </w:p>
          <w:p w14:paraId="7A4D4D8D">
            <w:pPr>
              <w:spacing w:line="360" w:lineRule="auto"/>
              <w:ind w:firstLine="480" w:firstLineChars="200"/>
              <w:rPr>
                <w:color w:val="000000"/>
                <w:sz w:val="24"/>
              </w:rPr>
            </w:pPr>
            <w:r>
              <w:rPr>
                <w:rFonts w:hint="eastAsia"/>
                <w:color w:val="000000"/>
                <w:sz w:val="24"/>
              </w:rPr>
              <w:t>配置染色溶液，在塑料桶内加入3</w:t>
            </w:r>
            <w:r>
              <w:rPr>
                <w:color w:val="000000"/>
                <w:sz w:val="24"/>
              </w:rPr>
              <w:t>0</w:t>
            </w:r>
            <w:r>
              <w:rPr>
                <w:rFonts w:hint="eastAsia"/>
                <w:color w:val="000000"/>
                <w:sz w:val="24"/>
              </w:rPr>
              <w:t>-</w:t>
            </w:r>
            <w:r>
              <w:rPr>
                <w:color w:val="000000"/>
                <w:sz w:val="24"/>
              </w:rPr>
              <w:t>40</w:t>
            </w:r>
            <w:r>
              <w:rPr>
                <w:rFonts w:hint="eastAsia"/>
                <w:color w:val="000000"/>
                <w:sz w:val="24"/>
              </w:rPr>
              <w:t>％的甲醇和水混合，加入1</w:t>
            </w:r>
            <w:r>
              <w:rPr>
                <w:color w:val="000000"/>
                <w:sz w:val="24"/>
              </w:rPr>
              <w:t>0</w:t>
            </w:r>
            <w:r>
              <w:rPr>
                <w:rFonts w:hint="eastAsia"/>
                <w:color w:val="000000"/>
                <w:sz w:val="24"/>
              </w:rPr>
              <w:t>％的甘油，1％的色素，使之充分溶解。将经漂白的鲜花转移至染色塑料桶内浸泡染色，并用防火布进行密封，在室内常温下浸泡1天完成染色。该工序产生甲醇废气。</w:t>
            </w:r>
          </w:p>
          <w:p w14:paraId="28CB6CDC">
            <w:pPr>
              <w:spacing w:line="360" w:lineRule="auto"/>
              <w:ind w:firstLine="480" w:firstLineChars="200"/>
              <w:rPr>
                <w:color w:val="000000"/>
                <w:sz w:val="24"/>
              </w:rPr>
            </w:pPr>
            <w:r>
              <w:rPr>
                <w:rFonts w:hint="eastAsia"/>
                <w:color w:val="000000"/>
                <w:sz w:val="24"/>
              </w:rPr>
              <w:t>5）风干</w:t>
            </w:r>
          </w:p>
          <w:p w14:paraId="753F6100">
            <w:pPr>
              <w:spacing w:line="360" w:lineRule="auto"/>
              <w:ind w:firstLine="480" w:firstLineChars="200"/>
              <w:rPr>
                <w:color w:val="000000"/>
                <w:sz w:val="24"/>
              </w:rPr>
            </w:pPr>
            <w:r>
              <w:rPr>
                <w:rFonts w:hint="eastAsia"/>
                <w:color w:val="000000"/>
                <w:sz w:val="24"/>
              </w:rPr>
              <w:t>经染色的鲜花转移至除湿间，在室温下采用除湿机通过循环风自然除湿风干。该工序产生甲醇废气、噪声。</w:t>
            </w:r>
          </w:p>
          <w:p w14:paraId="3C06CE17">
            <w:pPr>
              <w:spacing w:line="360" w:lineRule="auto"/>
              <w:ind w:firstLine="480" w:firstLineChars="200"/>
              <w:rPr>
                <w:color w:val="000000"/>
                <w:sz w:val="24"/>
              </w:rPr>
            </w:pPr>
            <w:r>
              <w:rPr>
                <w:rFonts w:hint="eastAsia"/>
                <w:color w:val="000000"/>
                <w:sz w:val="24"/>
              </w:rPr>
              <w:t>6）包装入库</w:t>
            </w:r>
          </w:p>
          <w:p w14:paraId="7FD5B5AB">
            <w:pPr>
              <w:spacing w:line="360" w:lineRule="auto"/>
              <w:ind w:firstLine="480" w:firstLineChars="200"/>
              <w:rPr>
                <w:color w:val="000000"/>
                <w:sz w:val="24"/>
              </w:rPr>
            </w:pPr>
            <w:r>
              <w:rPr>
                <w:rFonts w:hint="eastAsia"/>
                <w:color w:val="000000"/>
                <w:sz w:val="24"/>
              </w:rPr>
              <w:t>用纸盒将生产完成的永生花进行人工包装。包装完成后入库储存、外售。</w:t>
            </w:r>
          </w:p>
          <w:p w14:paraId="0D08C219">
            <w:pPr>
              <w:spacing w:line="360" w:lineRule="auto"/>
              <w:ind w:firstLine="482" w:firstLineChars="200"/>
              <w:jc w:val="left"/>
              <w:rPr>
                <w:b/>
                <w:bCs/>
                <w:color w:val="000000"/>
                <w:sz w:val="24"/>
                <w:szCs w:val="22"/>
              </w:rPr>
            </w:pPr>
            <w:r>
              <w:rPr>
                <w:b/>
                <w:bCs/>
                <w:color w:val="000000"/>
                <w:sz w:val="24"/>
                <w:szCs w:val="22"/>
              </w:rPr>
              <w:t>2、本项目产污环节见下表。</w:t>
            </w:r>
          </w:p>
          <w:p w14:paraId="429A903F">
            <w:pPr>
              <w:spacing w:line="360" w:lineRule="auto"/>
              <w:ind w:firstLine="480" w:firstLineChars="200"/>
              <w:jc w:val="left"/>
              <w:rPr>
                <w:color w:val="000000"/>
                <w:sz w:val="24"/>
                <w:szCs w:val="22"/>
              </w:rPr>
            </w:pPr>
            <w:r>
              <w:rPr>
                <w:color w:val="000000"/>
                <w:sz w:val="24"/>
                <w:szCs w:val="22"/>
              </w:rPr>
              <w:t>本项目产污环节见下表。</w:t>
            </w:r>
          </w:p>
          <w:p w14:paraId="22A5F964">
            <w:pPr>
              <w:jc w:val="center"/>
              <w:rPr>
                <w:b/>
                <w:bCs/>
                <w:color w:val="000000"/>
                <w:szCs w:val="21"/>
              </w:rPr>
            </w:pPr>
            <w:r>
              <w:rPr>
                <w:b/>
                <w:bCs/>
                <w:color w:val="000000"/>
                <w:szCs w:val="21"/>
              </w:rPr>
              <w:t>表2-</w:t>
            </w:r>
            <w:r>
              <w:rPr>
                <w:rFonts w:hint="eastAsia"/>
                <w:b/>
                <w:bCs/>
                <w:color w:val="000000"/>
                <w:szCs w:val="21"/>
              </w:rPr>
              <w:t>7</w:t>
            </w:r>
            <w:r>
              <w:rPr>
                <w:b/>
                <w:bCs/>
                <w:color w:val="000000"/>
                <w:szCs w:val="21"/>
              </w:rPr>
              <w:t xml:space="preserve"> </w:t>
            </w:r>
            <w:r>
              <w:rPr>
                <w:rFonts w:hint="eastAsia"/>
                <w:b/>
                <w:bCs/>
                <w:color w:val="000000"/>
                <w:szCs w:val="21"/>
              </w:rPr>
              <w:t xml:space="preserve"> </w:t>
            </w:r>
            <w:r>
              <w:rPr>
                <w:b/>
                <w:bCs/>
                <w:color w:val="000000"/>
                <w:szCs w:val="21"/>
              </w:rPr>
              <w:t>产污环节分析一览表</w:t>
            </w:r>
          </w:p>
          <w:tbl>
            <w:tblPr>
              <w:tblStyle w:val="20"/>
              <w:tblW w:w="7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32"/>
              <w:gridCol w:w="1886"/>
              <w:gridCol w:w="2404"/>
              <w:gridCol w:w="2211"/>
            </w:tblGrid>
            <w:tr w14:paraId="0843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4" w:type="dxa"/>
                  <w:noWrap w:val="0"/>
                  <w:vAlign w:val="center"/>
                </w:tcPr>
                <w:p w14:paraId="026FC6BE">
                  <w:pPr>
                    <w:jc w:val="center"/>
                    <w:rPr>
                      <w:rFonts w:hint="eastAsia" w:hAnsi="宋体"/>
                      <w:b/>
                      <w:bCs/>
                      <w:color w:val="000000"/>
                      <w:szCs w:val="21"/>
                    </w:rPr>
                  </w:pPr>
                  <w:r>
                    <w:rPr>
                      <w:rFonts w:hint="eastAsia" w:hAnsi="宋体"/>
                      <w:b/>
                      <w:bCs/>
                      <w:color w:val="000000"/>
                      <w:szCs w:val="21"/>
                    </w:rPr>
                    <w:t>序号</w:t>
                  </w:r>
                </w:p>
              </w:tc>
              <w:tc>
                <w:tcPr>
                  <w:tcW w:w="732" w:type="dxa"/>
                  <w:noWrap w:val="0"/>
                  <w:vAlign w:val="center"/>
                </w:tcPr>
                <w:p w14:paraId="0945BCEC">
                  <w:pPr>
                    <w:jc w:val="center"/>
                    <w:rPr>
                      <w:rFonts w:hint="eastAsia" w:hAnsi="宋体"/>
                      <w:b/>
                      <w:bCs/>
                      <w:color w:val="000000"/>
                      <w:szCs w:val="21"/>
                    </w:rPr>
                  </w:pPr>
                  <w:r>
                    <w:rPr>
                      <w:rFonts w:hint="eastAsia" w:hAnsi="宋体"/>
                      <w:b/>
                      <w:bCs/>
                      <w:color w:val="000000"/>
                      <w:szCs w:val="21"/>
                    </w:rPr>
                    <w:t>类别</w:t>
                  </w:r>
                </w:p>
              </w:tc>
              <w:tc>
                <w:tcPr>
                  <w:tcW w:w="1886" w:type="dxa"/>
                  <w:noWrap w:val="0"/>
                  <w:vAlign w:val="center"/>
                </w:tcPr>
                <w:p w14:paraId="22CA2AEC">
                  <w:pPr>
                    <w:jc w:val="center"/>
                    <w:rPr>
                      <w:rFonts w:hint="eastAsia" w:hAnsi="宋体"/>
                      <w:b/>
                      <w:bCs/>
                      <w:color w:val="000000"/>
                      <w:szCs w:val="21"/>
                    </w:rPr>
                  </w:pPr>
                  <w:r>
                    <w:rPr>
                      <w:rFonts w:hint="eastAsia" w:hAnsi="宋体"/>
                      <w:b/>
                      <w:bCs/>
                      <w:color w:val="000000"/>
                      <w:szCs w:val="21"/>
                    </w:rPr>
                    <w:t>污染工序</w:t>
                  </w:r>
                </w:p>
              </w:tc>
              <w:tc>
                <w:tcPr>
                  <w:tcW w:w="2404" w:type="dxa"/>
                  <w:noWrap w:val="0"/>
                  <w:vAlign w:val="center"/>
                </w:tcPr>
                <w:p w14:paraId="21C571D0">
                  <w:pPr>
                    <w:jc w:val="center"/>
                    <w:rPr>
                      <w:rFonts w:hint="eastAsia" w:hAnsi="宋体"/>
                      <w:b/>
                      <w:bCs/>
                      <w:color w:val="000000"/>
                      <w:szCs w:val="21"/>
                    </w:rPr>
                  </w:pPr>
                  <w:r>
                    <w:rPr>
                      <w:rFonts w:hint="eastAsia" w:hAnsi="宋体"/>
                      <w:b/>
                      <w:bCs/>
                      <w:color w:val="000000"/>
                      <w:szCs w:val="21"/>
                    </w:rPr>
                    <w:t>污染物</w:t>
                  </w:r>
                </w:p>
              </w:tc>
              <w:tc>
                <w:tcPr>
                  <w:tcW w:w="2211" w:type="dxa"/>
                  <w:noWrap w:val="0"/>
                  <w:vAlign w:val="center"/>
                </w:tcPr>
                <w:p w14:paraId="5BEDEA53">
                  <w:pPr>
                    <w:jc w:val="center"/>
                    <w:rPr>
                      <w:rFonts w:hint="eastAsia" w:hAnsi="宋体"/>
                      <w:b/>
                      <w:bCs/>
                      <w:color w:val="000000"/>
                      <w:szCs w:val="21"/>
                    </w:rPr>
                  </w:pPr>
                  <w:r>
                    <w:rPr>
                      <w:rFonts w:hint="eastAsia" w:hAnsi="宋体"/>
                      <w:b/>
                      <w:bCs/>
                      <w:color w:val="000000"/>
                      <w:szCs w:val="21"/>
                    </w:rPr>
                    <w:t>污染因子</w:t>
                  </w:r>
                </w:p>
              </w:tc>
            </w:tr>
            <w:tr w14:paraId="6CB6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4" w:type="dxa"/>
                  <w:noWrap w:val="0"/>
                  <w:vAlign w:val="center"/>
                </w:tcPr>
                <w:p w14:paraId="74E096D2">
                  <w:pPr>
                    <w:jc w:val="center"/>
                    <w:rPr>
                      <w:rFonts w:hint="eastAsia" w:hAnsi="宋体"/>
                      <w:color w:val="000000"/>
                      <w:szCs w:val="21"/>
                    </w:rPr>
                  </w:pPr>
                  <w:r>
                    <w:rPr>
                      <w:rFonts w:hint="eastAsia" w:hAnsi="宋体"/>
                      <w:color w:val="000000"/>
                      <w:szCs w:val="21"/>
                    </w:rPr>
                    <w:t>1</w:t>
                  </w:r>
                </w:p>
              </w:tc>
              <w:tc>
                <w:tcPr>
                  <w:tcW w:w="732" w:type="dxa"/>
                  <w:noWrap w:val="0"/>
                  <w:vAlign w:val="center"/>
                </w:tcPr>
                <w:p w14:paraId="7BD40C43">
                  <w:pPr>
                    <w:jc w:val="center"/>
                    <w:rPr>
                      <w:rFonts w:hint="eastAsia" w:hAnsi="宋体"/>
                      <w:color w:val="000000"/>
                      <w:szCs w:val="21"/>
                    </w:rPr>
                  </w:pPr>
                  <w:r>
                    <w:rPr>
                      <w:rFonts w:hint="eastAsia" w:hAnsi="宋体"/>
                      <w:color w:val="000000"/>
                      <w:szCs w:val="21"/>
                    </w:rPr>
                    <w:t>废气</w:t>
                  </w:r>
                </w:p>
              </w:tc>
              <w:tc>
                <w:tcPr>
                  <w:tcW w:w="1886" w:type="dxa"/>
                  <w:noWrap w:val="0"/>
                  <w:vAlign w:val="center"/>
                </w:tcPr>
                <w:p w14:paraId="42EB58C0">
                  <w:pPr>
                    <w:jc w:val="center"/>
                    <w:rPr>
                      <w:rFonts w:hAnsi="宋体"/>
                      <w:color w:val="000000"/>
                      <w:szCs w:val="21"/>
                    </w:rPr>
                  </w:pPr>
                  <w:r>
                    <w:rPr>
                      <w:rFonts w:hint="eastAsia" w:hAnsi="宋体"/>
                      <w:color w:val="000000"/>
                      <w:szCs w:val="21"/>
                    </w:rPr>
                    <w:t>脱色、染色</w:t>
                  </w:r>
                </w:p>
              </w:tc>
              <w:tc>
                <w:tcPr>
                  <w:tcW w:w="2404" w:type="dxa"/>
                  <w:noWrap w:val="0"/>
                  <w:vAlign w:val="center"/>
                </w:tcPr>
                <w:p w14:paraId="55C768E0">
                  <w:pPr>
                    <w:jc w:val="center"/>
                    <w:rPr>
                      <w:rFonts w:hint="eastAsia" w:hAnsi="宋体"/>
                      <w:color w:val="000000"/>
                      <w:szCs w:val="21"/>
                    </w:rPr>
                  </w:pPr>
                  <w:r>
                    <w:rPr>
                      <w:rFonts w:hint="eastAsia" w:hAnsi="宋体"/>
                      <w:color w:val="000000"/>
                      <w:szCs w:val="21"/>
                    </w:rPr>
                    <w:t>有机废气</w:t>
                  </w:r>
                </w:p>
              </w:tc>
              <w:tc>
                <w:tcPr>
                  <w:tcW w:w="2211" w:type="dxa"/>
                  <w:noWrap w:val="0"/>
                  <w:vAlign w:val="center"/>
                </w:tcPr>
                <w:p w14:paraId="5342C91D">
                  <w:pPr>
                    <w:jc w:val="center"/>
                    <w:rPr>
                      <w:rFonts w:hint="eastAsia" w:hAnsi="宋体"/>
                      <w:color w:val="000000"/>
                      <w:szCs w:val="21"/>
                    </w:rPr>
                  </w:pPr>
                  <w:r>
                    <w:rPr>
                      <w:rFonts w:hint="eastAsia" w:hAnsi="宋体"/>
                      <w:color w:val="000000"/>
                      <w:szCs w:val="21"/>
                    </w:rPr>
                    <w:t>甲醇</w:t>
                  </w:r>
                </w:p>
              </w:tc>
            </w:tr>
            <w:tr w14:paraId="2FBC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4" w:type="dxa"/>
                  <w:noWrap w:val="0"/>
                  <w:vAlign w:val="center"/>
                </w:tcPr>
                <w:p w14:paraId="5E499C6F">
                  <w:pPr>
                    <w:jc w:val="center"/>
                    <w:rPr>
                      <w:rFonts w:hint="eastAsia" w:hAnsi="宋体"/>
                      <w:color w:val="000000"/>
                      <w:szCs w:val="21"/>
                    </w:rPr>
                  </w:pPr>
                  <w:r>
                    <w:rPr>
                      <w:rFonts w:hint="eastAsia" w:hAnsi="宋体"/>
                      <w:color w:val="000000"/>
                      <w:szCs w:val="21"/>
                    </w:rPr>
                    <w:t>2</w:t>
                  </w:r>
                </w:p>
              </w:tc>
              <w:tc>
                <w:tcPr>
                  <w:tcW w:w="732" w:type="dxa"/>
                  <w:noWrap w:val="0"/>
                  <w:vAlign w:val="center"/>
                </w:tcPr>
                <w:p w14:paraId="388DFA7A">
                  <w:pPr>
                    <w:jc w:val="center"/>
                    <w:rPr>
                      <w:rFonts w:hint="eastAsia" w:hAnsi="宋体"/>
                      <w:color w:val="000000"/>
                      <w:szCs w:val="21"/>
                    </w:rPr>
                  </w:pPr>
                  <w:r>
                    <w:rPr>
                      <w:rFonts w:hint="eastAsia" w:hAnsi="宋体"/>
                      <w:color w:val="000000"/>
                      <w:szCs w:val="21"/>
                    </w:rPr>
                    <w:t>噪声</w:t>
                  </w:r>
                </w:p>
              </w:tc>
              <w:tc>
                <w:tcPr>
                  <w:tcW w:w="1886" w:type="dxa"/>
                  <w:noWrap w:val="0"/>
                  <w:vAlign w:val="center"/>
                </w:tcPr>
                <w:p w14:paraId="5B961C0A">
                  <w:pPr>
                    <w:jc w:val="center"/>
                    <w:rPr>
                      <w:rFonts w:hint="eastAsia" w:hAnsi="宋体"/>
                      <w:color w:val="000000"/>
                      <w:szCs w:val="21"/>
                    </w:rPr>
                  </w:pPr>
                  <w:r>
                    <w:rPr>
                      <w:rFonts w:hint="eastAsia" w:hAnsi="宋体"/>
                      <w:color w:val="000000"/>
                      <w:szCs w:val="21"/>
                    </w:rPr>
                    <w:t>设备</w:t>
                  </w:r>
                </w:p>
              </w:tc>
              <w:tc>
                <w:tcPr>
                  <w:tcW w:w="2404" w:type="dxa"/>
                  <w:noWrap w:val="0"/>
                  <w:vAlign w:val="center"/>
                </w:tcPr>
                <w:p w14:paraId="54633A61">
                  <w:pPr>
                    <w:jc w:val="center"/>
                    <w:rPr>
                      <w:rFonts w:hint="eastAsia" w:hAnsi="宋体"/>
                      <w:color w:val="000000"/>
                      <w:szCs w:val="21"/>
                    </w:rPr>
                  </w:pPr>
                  <w:r>
                    <w:rPr>
                      <w:rFonts w:hint="eastAsia" w:hAnsi="宋体"/>
                      <w:color w:val="000000"/>
                      <w:szCs w:val="21"/>
                    </w:rPr>
                    <w:t>机械噪声</w:t>
                  </w:r>
                </w:p>
              </w:tc>
              <w:tc>
                <w:tcPr>
                  <w:tcW w:w="2211" w:type="dxa"/>
                  <w:noWrap w:val="0"/>
                  <w:vAlign w:val="center"/>
                </w:tcPr>
                <w:p w14:paraId="30AE4540">
                  <w:pPr>
                    <w:jc w:val="center"/>
                    <w:rPr>
                      <w:rFonts w:hint="eastAsia" w:hAnsi="宋体"/>
                      <w:color w:val="000000"/>
                      <w:szCs w:val="21"/>
                    </w:rPr>
                  </w:pPr>
                  <w:r>
                    <w:rPr>
                      <w:rFonts w:hint="eastAsia" w:hAnsi="宋体"/>
                      <w:color w:val="000000"/>
                      <w:szCs w:val="21"/>
                    </w:rPr>
                    <w:t>噪声</w:t>
                  </w:r>
                </w:p>
              </w:tc>
            </w:tr>
            <w:tr w14:paraId="66C2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4" w:type="dxa"/>
                  <w:vMerge w:val="restart"/>
                  <w:noWrap w:val="0"/>
                  <w:vAlign w:val="center"/>
                </w:tcPr>
                <w:p w14:paraId="3859A87E">
                  <w:pPr>
                    <w:jc w:val="center"/>
                    <w:rPr>
                      <w:rFonts w:hint="eastAsia" w:hAnsi="宋体"/>
                      <w:color w:val="000000"/>
                      <w:szCs w:val="21"/>
                    </w:rPr>
                  </w:pPr>
                  <w:r>
                    <w:rPr>
                      <w:rFonts w:hint="eastAsia" w:hAnsi="宋体"/>
                      <w:color w:val="000000"/>
                      <w:szCs w:val="21"/>
                    </w:rPr>
                    <w:t>3</w:t>
                  </w:r>
                </w:p>
              </w:tc>
              <w:tc>
                <w:tcPr>
                  <w:tcW w:w="732" w:type="dxa"/>
                  <w:vMerge w:val="restart"/>
                  <w:noWrap w:val="0"/>
                  <w:vAlign w:val="center"/>
                </w:tcPr>
                <w:p w14:paraId="0B295FCC">
                  <w:pPr>
                    <w:jc w:val="center"/>
                    <w:rPr>
                      <w:rFonts w:hint="eastAsia" w:hAnsi="宋体"/>
                      <w:color w:val="000000"/>
                      <w:szCs w:val="21"/>
                    </w:rPr>
                  </w:pPr>
                  <w:r>
                    <w:rPr>
                      <w:rFonts w:hint="eastAsia" w:hAnsi="宋体"/>
                      <w:color w:val="000000"/>
                      <w:szCs w:val="21"/>
                    </w:rPr>
                    <w:t>固废</w:t>
                  </w:r>
                </w:p>
              </w:tc>
              <w:tc>
                <w:tcPr>
                  <w:tcW w:w="1886" w:type="dxa"/>
                  <w:noWrap w:val="0"/>
                  <w:vAlign w:val="center"/>
                </w:tcPr>
                <w:p w14:paraId="76492EAC">
                  <w:pPr>
                    <w:jc w:val="center"/>
                    <w:rPr>
                      <w:rFonts w:hint="eastAsia" w:hAnsi="宋体"/>
                      <w:color w:val="000000"/>
                      <w:szCs w:val="21"/>
                    </w:rPr>
                  </w:pPr>
                  <w:r>
                    <w:rPr>
                      <w:rFonts w:hint="eastAsia" w:hAnsi="宋体"/>
                      <w:color w:val="000000"/>
                      <w:szCs w:val="21"/>
                    </w:rPr>
                    <w:t>预处理</w:t>
                  </w:r>
                </w:p>
              </w:tc>
              <w:tc>
                <w:tcPr>
                  <w:tcW w:w="2404" w:type="dxa"/>
                  <w:noWrap w:val="0"/>
                  <w:vAlign w:val="center"/>
                </w:tcPr>
                <w:p w14:paraId="343134C6">
                  <w:pPr>
                    <w:jc w:val="center"/>
                    <w:rPr>
                      <w:rFonts w:hAnsi="宋体"/>
                      <w:color w:val="000000"/>
                      <w:szCs w:val="21"/>
                    </w:rPr>
                  </w:pPr>
                  <w:r>
                    <w:rPr>
                      <w:rFonts w:hint="eastAsia" w:hAnsi="宋体"/>
                      <w:color w:val="000000"/>
                      <w:szCs w:val="21"/>
                    </w:rPr>
                    <w:t>鲜花枝叶和破损次品</w:t>
                  </w:r>
                </w:p>
              </w:tc>
              <w:tc>
                <w:tcPr>
                  <w:tcW w:w="2211" w:type="dxa"/>
                  <w:noWrap w:val="0"/>
                  <w:vAlign w:val="center"/>
                </w:tcPr>
                <w:p w14:paraId="5FDB870F">
                  <w:pPr>
                    <w:jc w:val="center"/>
                    <w:rPr>
                      <w:rFonts w:hint="eastAsia" w:hAnsi="宋体"/>
                      <w:color w:val="000000"/>
                      <w:szCs w:val="21"/>
                    </w:rPr>
                  </w:pPr>
                  <w:r>
                    <w:rPr>
                      <w:rFonts w:hint="eastAsia" w:hAnsi="宋体"/>
                      <w:color w:val="000000"/>
                      <w:szCs w:val="21"/>
                    </w:rPr>
                    <w:t>鲜花枝叶和破损次品</w:t>
                  </w:r>
                </w:p>
              </w:tc>
            </w:tr>
            <w:tr w14:paraId="6581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4" w:type="dxa"/>
                  <w:vMerge w:val="continue"/>
                  <w:noWrap w:val="0"/>
                  <w:vAlign w:val="center"/>
                </w:tcPr>
                <w:p w14:paraId="3FF0FC19">
                  <w:pPr>
                    <w:jc w:val="center"/>
                    <w:rPr>
                      <w:rFonts w:hint="eastAsia" w:hAnsi="宋体"/>
                      <w:color w:val="000000"/>
                      <w:szCs w:val="21"/>
                    </w:rPr>
                  </w:pPr>
                </w:p>
              </w:tc>
              <w:tc>
                <w:tcPr>
                  <w:tcW w:w="732" w:type="dxa"/>
                  <w:vMerge w:val="continue"/>
                  <w:noWrap w:val="0"/>
                  <w:vAlign w:val="center"/>
                </w:tcPr>
                <w:p w14:paraId="39654814">
                  <w:pPr>
                    <w:jc w:val="center"/>
                    <w:rPr>
                      <w:rFonts w:hint="eastAsia" w:hAnsi="宋体"/>
                      <w:color w:val="000000"/>
                      <w:szCs w:val="21"/>
                    </w:rPr>
                  </w:pPr>
                </w:p>
              </w:tc>
              <w:tc>
                <w:tcPr>
                  <w:tcW w:w="1886" w:type="dxa"/>
                  <w:noWrap w:val="0"/>
                  <w:vAlign w:val="center"/>
                </w:tcPr>
                <w:p w14:paraId="4E82EB3B">
                  <w:pPr>
                    <w:jc w:val="center"/>
                    <w:rPr>
                      <w:rFonts w:hint="eastAsia" w:hAnsi="宋体"/>
                      <w:color w:val="000000"/>
                      <w:szCs w:val="21"/>
                    </w:rPr>
                  </w:pPr>
                  <w:r>
                    <w:rPr>
                      <w:rFonts w:hint="eastAsia" w:hAnsi="宋体"/>
                      <w:color w:val="000000"/>
                      <w:szCs w:val="21"/>
                    </w:rPr>
                    <w:t>染色、吸收</w:t>
                  </w:r>
                </w:p>
              </w:tc>
              <w:tc>
                <w:tcPr>
                  <w:tcW w:w="2404" w:type="dxa"/>
                  <w:noWrap w:val="0"/>
                  <w:vAlign w:val="center"/>
                </w:tcPr>
                <w:p w14:paraId="38526A00">
                  <w:pPr>
                    <w:jc w:val="center"/>
                    <w:rPr>
                      <w:rFonts w:hAnsi="宋体"/>
                      <w:color w:val="000000"/>
                      <w:szCs w:val="21"/>
                    </w:rPr>
                  </w:pPr>
                  <w:r>
                    <w:rPr>
                      <w:rFonts w:hint="eastAsia" w:hAnsi="宋体"/>
                      <w:color w:val="000000"/>
                      <w:szCs w:val="21"/>
                    </w:rPr>
                    <w:t>废包装箱/瓶</w:t>
                  </w:r>
                </w:p>
              </w:tc>
              <w:tc>
                <w:tcPr>
                  <w:tcW w:w="2211" w:type="dxa"/>
                  <w:noWrap w:val="0"/>
                  <w:vAlign w:val="center"/>
                </w:tcPr>
                <w:p w14:paraId="7FFE85DE">
                  <w:pPr>
                    <w:jc w:val="center"/>
                    <w:rPr>
                      <w:rFonts w:hint="eastAsia" w:hAnsi="宋体"/>
                      <w:color w:val="000000"/>
                      <w:szCs w:val="21"/>
                    </w:rPr>
                  </w:pPr>
                  <w:r>
                    <w:rPr>
                      <w:rFonts w:hint="eastAsia" w:hAnsi="宋体"/>
                      <w:color w:val="000000"/>
                      <w:szCs w:val="21"/>
                    </w:rPr>
                    <w:t>废包装箱/瓶</w:t>
                  </w:r>
                </w:p>
              </w:tc>
            </w:tr>
            <w:tr w14:paraId="582A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4" w:type="dxa"/>
                  <w:vMerge w:val="continue"/>
                  <w:noWrap w:val="0"/>
                  <w:vAlign w:val="center"/>
                </w:tcPr>
                <w:p w14:paraId="36473F00">
                  <w:pPr>
                    <w:jc w:val="center"/>
                    <w:rPr>
                      <w:rFonts w:hint="eastAsia" w:hAnsi="宋体"/>
                      <w:color w:val="000000"/>
                      <w:szCs w:val="21"/>
                    </w:rPr>
                  </w:pPr>
                </w:p>
              </w:tc>
              <w:tc>
                <w:tcPr>
                  <w:tcW w:w="732" w:type="dxa"/>
                  <w:vMerge w:val="continue"/>
                  <w:noWrap w:val="0"/>
                  <w:vAlign w:val="center"/>
                </w:tcPr>
                <w:p w14:paraId="29FD99FC">
                  <w:pPr>
                    <w:jc w:val="center"/>
                    <w:rPr>
                      <w:rFonts w:hint="eastAsia" w:hAnsi="宋体"/>
                      <w:color w:val="000000"/>
                      <w:szCs w:val="21"/>
                    </w:rPr>
                  </w:pPr>
                </w:p>
              </w:tc>
              <w:tc>
                <w:tcPr>
                  <w:tcW w:w="1886" w:type="dxa"/>
                  <w:noWrap w:val="0"/>
                  <w:vAlign w:val="center"/>
                </w:tcPr>
                <w:p w14:paraId="58793718">
                  <w:pPr>
                    <w:jc w:val="center"/>
                    <w:rPr>
                      <w:rFonts w:hint="eastAsia" w:hAnsi="宋体"/>
                      <w:color w:val="000000"/>
                      <w:szCs w:val="21"/>
                    </w:rPr>
                  </w:pPr>
                  <w:r>
                    <w:rPr>
                      <w:rFonts w:hint="eastAsia" w:hAnsi="宋体"/>
                      <w:color w:val="000000"/>
                      <w:szCs w:val="21"/>
                    </w:rPr>
                    <w:t>染色、吸收</w:t>
                  </w:r>
                </w:p>
              </w:tc>
              <w:tc>
                <w:tcPr>
                  <w:tcW w:w="2404" w:type="dxa"/>
                  <w:noWrap w:val="0"/>
                  <w:vAlign w:val="center"/>
                </w:tcPr>
                <w:p w14:paraId="0F01937A">
                  <w:pPr>
                    <w:jc w:val="center"/>
                    <w:rPr>
                      <w:rFonts w:hint="eastAsia" w:hAnsi="宋体"/>
                      <w:color w:val="000000"/>
                      <w:szCs w:val="21"/>
                    </w:rPr>
                  </w:pPr>
                  <w:r>
                    <w:rPr>
                      <w:rFonts w:hint="eastAsia" w:hAnsi="宋体"/>
                      <w:color w:val="000000"/>
                      <w:szCs w:val="21"/>
                    </w:rPr>
                    <w:t>废甘油桶</w:t>
                  </w:r>
                </w:p>
              </w:tc>
              <w:tc>
                <w:tcPr>
                  <w:tcW w:w="2211" w:type="dxa"/>
                  <w:noWrap w:val="0"/>
                  <w:vAlign w:val="center"/>
                </w:tcPr>
                <w:p w14:paraId="31EF7C5F">
                  <w:pPr>
                    <w:jc w:val="center"/>
                    <w:rPr>
                      <w:rFonts w:hint="eastAsia" w:hAnsi="宋体"/>
                      <w:color w:val="000000"/>
                      <w:szCs w:val="21"/>
                    </w:rPr>
                  </w:pPr>
                  <w:r>
                    <w:rPr>
                      <w:rFonts w:hint="eastAsia" w:hAnsi="宋体"/>
                      <w:color w:val="000000"/>
                      <w:szCs w:val="21"/>
                    </w:rPr>
                    <w:t>废甘油桶</w:t>
                  </w:r>
                </w:p>
              </w:tc>
            </w:tr>
            <w:tr w14:paraId="1F9B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4" w:type="dxa"/>
                  <w:vMerge w:val="continue"/>
                  <w:noWrap w:val="0"/>
                  <w:vAlign w:val="center"/>
                </w:tcPr>
                <w:p w14:paraId="13D7911A">
                  <w:pPr>
                    <w:jc w:val="center"/>
                    <w:rPr>
                      <w:rFonts w:hAnsi="宋体"/>
                      <w:color w:val="000000"/>
                      <w:szCs w:val="21"/>
                    </w:rPr>
                  </w:pPr>
                </w:p>
              </w:tc>
              <w:tc>
                <w:tcPr>
                  <w:tcW w:w="732" w:type="dxa"/>
                  <w:vMerge w:val="continue"/>
                  <w:noWrap w:val="0"/>
                  <w:vAlign w:val="center"/>
                </w:tcPr>
                <w:p w14:paraId="2E247884">
                  <w:pPr>
                    <w:jc w:val="center"/>
                    <w:rPr>
                      <w:rFonts w:hAnsi="宋体"/>
                      <w:color w:val="000000"/>
                      <w:szCs w:val="21"/>
                    </w:rPr>
                  </w:pPr>
                </w:p>
              </w:tc>
              <w:tc>
                <w:tcPr>
                  <w:tcW w:w="1886" w:type="dxa"/>
                  <w:noWrap w:val="0"/>
                  <w:vAlign w:val="center"/>
                </w:tcPr>
                <w:p w14:paraId="1394BE49">
                  <w:pPr>
                    <w:jc w:val="center"/>
                    <w:rPr>
                      <w:rFonts w:hint="eastAsia" w:hAnsi="宋体"/>
                      <w:color w:val="000000"/>
                      <w:szCs w:val="21"/>
                    </w:rPr>
                  </w:pPr>
                  <w:r>
                    <w:rPr>
                      <w:rFonts w:hint="eastAsia" w:hAnsi="宋体"/>
                      <w:color w:val="000000"/>
                      <w:szCs w:val="21"/>
                    </w:rPr>
                    <w:t>脱色、染色</w:t>
                  </w:r>
                </w:p>
              </w:tc>
              <w:tc>
                <w:tcPr>
                  <w:tcW w:w="2404" w:type="dxa"/>
                  <w:noWrap w:val="0"/>
                  <w:vAlign w:val="center"/>
                </w:tcPr>
                <w:p w14:paraId="0435F5D6">
                  <w:pPr>
                    <w:jc w:val="center"/>
                    <w:rPr>
                      <w:rFonts w:hAnsi="宋体"/>
                      <w:color w:val="000000"/>
                      <w:szCs w:val="21"/>
                    </w:rPr>
                  </w:pPr>
                  <w:r>
                    <w:rPr>
                      <w:rFonts w:hint="eastAsia" w:hAnsi="宋体"/>
                      <w:color w:val="000000"/>
                      <w:szCs w:val="21"/>
                    </w:rPr>
                    <w:t>活性炭</w:t>
                  </w:r>
                </w:p>
              </w:tc>
              <w:tc>
                <w:tcPr>
                  <w:tcW w:w="2211" w:type="dxa"/>
                  <w:noWrap w:val="0"/>
                  <w:vAlign w:val="center"/>
                </w:tcPr>
                <w:p w14:paraId="2ED0E258">
                  <w:pPr>
                    <w:jc w:val="center"/>
                    <w:rPr>
                      <w:rFonts w:hint="eastAsia" w:hAnsi="宋体"/>
                      <w:color w:val="000000"/>
                      <w:szCs w:val="21"/>
                    </w:rPr>
                  </w:pPr>
                  <w:r>
                    <w:rPr>
                      <w:rFonts w:hint="eastAsia" w:hAnsi="宋体"/>
                      <w:color w:val="000000"/>
                      <w:szCs w:val="21"/>
                    </w:rPr>
                    <w:t>活性炭</w:t>
                  </w:r>
                </w:p>
              </w:tc>
            </w:tr>
            <w:tr w14:paraId="087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4" w:type="dxa"/>
                  <w:vMerge w:val="continue"/>
                  <w:noWrap w:val="0"/>
                  <w:vAlign w:val="center"/>
                </w:tcPr>
                <w:p w14:paraId="1EBA0B2C">
                  <w:pPr>
                    <w:jc w:val="center"/>
                    <w:rPr>
                      <w:rFonts w:hAnsi="宋体"/>
                      <w:color w:val="000000"/>
                      <w:szCs w:val="21"/>
                    </w:rPr>
                  </w:pPr>
                </w:p>
              </w:tc>
              <w:tc>
                <w:tcPr>
                  <w:tcW w:w="732" w:type="dxa"/>
                  <w:vMerge w:val="continue"/>
                  <w:noWrap w:val="0"/>
                  <w:vAlign w:val="center"/>
                </w:tcPr>
                <w:p w14:paraId="551B991E">
                  <w:pPr>
                    <w:jc w:val="center"/>
                    <w:rPr>
                      <w:rFonts w:hAnsi="宋体"/>
                      <w:color w:val="000000"/>
                      <w:szCs w:val="21"/>
                    </w:rPr>
                  </w:pPr>
                </w:p>
              </w:tc>
              <w:tc>
                <w:tcPr>
                  <w:tcW w:w="1886" w:type="dxa"/>
                  <w:noWrap w:val="0"/>
                  <w:vAlign w:val="center"/>
                </w:tcPr>
                <w:p w14:paraId="15AEADDC">
                  <w:pPr>
                    <w:jc w:val="center"/>
                    <w:rPr>
                      <w:rFonts w:hint="eastAsia" w:hAnsi="宋体"/>
                      <w:color w:val="000000"/>
                      <w:szCs w:val="21"/>
                    </w:rPr>
                  </w:pPr>
                  <w:r>
                    <w:rPr>
                      <w:rFonts w:hint="eastAsia" w:hAnsi="宋体"/>
                      <w:color w:val="000000"/>
                      <w:szCs w:val="21"/>
                    </w:rPr>
                    <w:t>包装</w:t>
                  </w:r>
                </w:p>
              </w:tc>
              <w:tc>
                <w:tcPr>
                  <w:tcW w:w="2404" w:type="dxa"/>
                  <w:noWrap w:val="0"/>
                  <w:vAlign w:val="center"/>
                </w:tcPr>
                <w:p w14:paraId="04158949">
                  <w:pPr>
                    <w:jc w:val="center"/>
                    <w:rPr>
                      <w:rFonts w:hint="eastAsia" w:hAnsi="宋体"/>
                      <w:color w:val="000000"/>
                      <w:szCs w:val="21"/>
                    </w:rPr>
                  </w:pPr>
                  <w:r>
                    <w:rPr>
                      <w:rFonts w:hint="eastAsia" w:hAnsi="宋体"/>
                      <w:color w:val="000000"/>
                      <w:szCs w:val="21"/>
                    </w:rPr>
                    <w:t>废包装材料</w:t>
                  </w:r>
                </w:p>
              </w:tc>
              <w:tc>
                <w:tcPr>
                  <w:tcW w:w="2211" w:type="dxa"/>
                  <w:noWrap w:val="0"/>
                  <w:vAlign w:val="center"/>
                </w:tcPr>
                <w:p w14:paraId="5D8A4C3A">
                  <w:pPr>
                    <w:jc w:val="center"/>
                    <w:rPr>
                      <w:rFonts w:hint="eastAsia" w:hAnsi="宋体"/>
                      <w:color w:val="000000"/>
                      <w:szCs w:val="21"/>
                    </w:rPr>
                  </w:pPr>
                  <w:r>
                    <w:rPr>
                      <w:rFonts w:hint="eastAsia" w:hAnsi="宋体"/>
                      <w:color w:val="000000"/>
                      <w:szCs w:val="21"/>
                    </w:rPr>
                    <w:t>废包装材料</w:t>
                  </w:r>
                </w:p>
              </w:tc>
            </w:tr>
          </w:tbl>
          <w:p w14:paraId="59EF4CFA">
            <w:pPr>
              <w:jc w:val="center"/>
              <w:rPr>
                <w:b/>
                <w:bCs/>
                <w:color w:val="000000"/>
                <w:szCs w:val="21"/>
              </w:rPr>
            </w:pPr>
          </w:p>
          <w:p w14:paraId="6850CD05">
            <w:pPr>
              <w:pStyle w:val="7"/>
              <w:spacing w:before="0" w:after="0" w:line="360" w:lineRule="auto"/>
              <w:ind w:right="0"/>
              <w:rPr>
                <w:color w:val="000000"/>
              </w:rPr>
            </w:pPr>
          </w:p>
        </w:tc>
      </w:tr>
      <w:tr w14:paraId="129273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823" w:type="dxa"/>
            <w:noWrap w:val="0"/>
            <w:vAlign w:val="center"/>
          </w:tcPr>
          <w:p w14:paraId="76AA6312">
            <w:pPr>
              <w:pStyle w:val="16"/>
              <w:adjustRightInd w:val="0"/>
              <w:snapToGrid w:val="0"/>
              <w:spacing w:before="0" w:beforeAutospacing="0" w:after="0" w:afterAutospacing="0"/>
              <w:jc w:val="center"/>
              <w:rPr>
                <w:rFonts w:ascii="Times New Roman" w:hAnsi="Times New Roman"/>
                <w:color w:val="000000"/>
                <w:szCs w:val="24"/>
              </w:rPr>
            </w:pPr>
            <w:r>
              <w:rPr>
                <w:rFonts w:ascii="Times New Roman" w:hAnsi="Times New Roman"/>
                <w:bCs/>
                <w:color w:val="000000"/>
                <w:kern w:val="2"/>
                <w:szCs w:val="24"/>
              </w:rPr>
              <w:t>与项目有关的原有环境污染问题</w:t>
            </w:r>
          </w:p>
        </w:tc>
        <w:tc>
          <w:tcPr>
            <w:tcW w:w="8161" w:type="dxa"/>
            <w:noWrap w:val="0"/>
            <w:vAlign w:val="center"/>
          </w:tcPr>
          <w:p w14:paraId="6258B509">
            <w:pPr>
              <w:autoSpaceDE w:val="0"/>
              <w:autoSpaceDN w:val="0"/>
              <w:adjustRightInd w:val="0"/>
              <w:snapToGrid w:val="0"/>
              <w:spacing w:line="360" w:lineRule="auto"/>
              <w:ind w:firstLine="480" w:firstLineChars="200"/>
              <w:rPr>
                <w:rFonts w:hint="eastAsia"/>
                <w:bCs/>
                <w:color w:val="000000"/>
                <w:sz w:val="24"/>
              </w:rPr>
            </w:pPr>
            <w:r>
              <w:rPr>
                <w:color w:val="000000"/>
                <w:sz w:val="24"/>
              </w:rPr>
              <w:t>项目已</w:t>
            </w:r>
            <w:r>
              <w:rPr>
                <w:rFonts w:hint="eastAsia"/>
                <w:color w:val="000000"/>
                <w:sz w:val="24"/>
              </w:rPr>
              <w:t>建设完成主体工程、辅助工程、公用工程和部分环保工程。</w:t>
            </w:r>
            <w:r>
              <w:rPr>
                <w:bCs/>
                <w:color w:val="000000"/>
                <w:sz w:val="24"/>
              </w:rPr>
              <w:t>项目至今未办理过任何环保手续，未接到附近居民环保投诉。项目为已建项目，本次环评属于</w:t>
            </w:r>
            <w:r>
              <w:rPr>
                <w:rFonts w:hint="eastAsia"/>
                <w:bCs/>
                <w:color w:val="000000"/>
                <w:sz w:val="24"/>
              </w:rPr>
              <w:t>完善环保</w:t>
            </w:r>
            <w:r>
              <w:rPr>
                <w:bCs/>
                <w:color w:val="000000"/>
                <w:sz w:val="24"/>
              </w:rPr>
              <w:t>手续，根据结合项目实际及现场踏勘，项目主要存在的问题及整改措施如下</w:t>
            </w:r>
            <w:r>
              <w:rPr>
                <w:rFonts w:hint="eastAsia"/>
                <w:bCs/>
                <w:color w:val="000000"/>
                <w:sz w:val="24"/>
              </w:rPr>
              <w:t>：</w:t>
            </w:r>
          </w:p>
          <w:p w14:paraId="6E491FFE">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1、</w:t>
            </w:r>
            <w:r>
              <w:rPr>
                <w:color w:val="000000"/>
                <w:sz w:val="24"/>
              </w:rPr>
              <w:t>存在问题</w:t>
            </w:r>
          </w:p>
          <w:p w14:paraId="7ED89BB5">
            <w:pPr>
              <w:autoSpaceDE w:val="0"/>
              <w:autoSpaceDN w:val="0"/>
              <w:adjustRightInd w:val="0"/>
              <w:snapToGrid w:val="0"/>
              <w:spacing w:line="360" w:lineRule="auto"/>
              <w:ind w:firstLine="480" w:firstLineChars="200"/>
              <w:rPr>
                <w:rFonts w:hint="eastAsia"/>
                <w:color w:val="000000"/>
                <w:sz w:val="24"/>
              </w:rPr>
            </w:pPr>
            <w:r>
              <w:rPr>
                <w:rFonts w:hint="eastAsia"/>
                <w:color w:val="000000"/>
                <w:sz w:val="24"/>
              </w:rPr>
              <w:t>（1）</w:t>
            </w:r>
            <w:r>
              <w:rPr>
                <w:color w:val="000000"/>
                <w:sz w:val="24"/>
              </w:rPr>
              <w:t>项目区未设置</w:t>
            </w:r>
            <w:r>
              <w:rPr>
                <w:rFonts w:hint="eastAsia"/>
                <w:color w:val="000000"/>
                <w:sz w:val="24"/>
              </w:rPr>
              <w:t>一</w:t>
            </w:r>
            <w:r>
              <w:rPr>
                <w:color w:val="000000"/>
                <w:sz w:val="24"/>
              </w:rPr>
              <w:t>般固废存放间</w:t>
            </w:r>
            <w:r>
              <w:rPr>
                <w:rFonts w:hint="eastAsia"/>
                <w:color w:val="000000"/>
                <w:sz w:val="24"/>
              </w:rPr>
              <w:t>。</w:t>
            </w:r>
          </w:p>
          <w:p w14:paraId="419A03D4">
            <w:pPr>
              <w:autoSpaceDE w:val="0"/>
              <w:autoSpaceDN w:val="0"/>
              <w:adjustRightInd w:val="0"/>
              <w:snapToGrid w:val="0"/>
              <w:spacing w:line="360" w:lineRule="auto"/>
              <w:ind w:firstLine="480" w:firstLineChars="200"/>
              <w:rPr>
                <w:color w:val="000000"/>
                <w:sz w:val="24"/>
              </w:rPr>
            </w:pPr>
            <w:r>
              <w:rPr>
                <w:rFonts w:hint="eastAsia"/>
                <w:color w:val="000000"/>
                <w:sz w:val="24"/>
              </w:rPr>
              <w:t>（2）</w:t>
            </w:r>
            <w:r>
              <w:rPr>
                <w:color w:val="000000"/>
                <w:sz w:val="24"/>
              </w:rPr>
              <w:t>项目区未设置危废暂存间</w:t>
            </w:r>
            <w:r>
              <w:rPr>
                <w:rFonts w:hint="eastAsia"/>
                <w:color w:val="000000"/>
                <w:sz w:val="24"/>
              </w:rPr>
              <w:t>。</w:t>
            </w:r>
          </w:p>
          <w:p w14:paraId="46A869FC">
            <w:pPr>
              <w:autoSpaceDE w:val="0"/>
              <w:autoSpaceDN w:val="0"/>
              <w:adjustRightInd w:val="0"/>
              <w:snapToGrid w:val="0"/>
              <w:spacing w:line="360" w:lineRule="auto"/>
              <w:ind w:firstLine="480" w:firstLineChars="200"/>
              <w:rPr>
                <w:color w:val="000000"/>
                <w:sz w:val="24"/>
              </w:rPr>
            </w:pPr>
            <w:r>
              <w:rPr>
                <w:rFonts w:hint="eastAsia"/>
                <w:color w:val="000000"/>
                <w:sz w:val="24"/>
              </w:rPr>
              <w:t>（3）项目食堂未设置隔油池。</w:t>
            </w:r>
          </w:p>
          <w:p w14:paraId="008AC24B">
            <w:pPr>
              <w:autoSpaceDE w:val="0"/>
              <w:autoSpaceDN w:val="0"/>
              <w:adjustRightInd w:val="0"/>
              <w:snapToGrid w:val="0"/>
              <w:spacing w:line="360" w:lineRule="auto"/>
              <w:ind w:firstLine="480" w:firstLineChars="200"/>
              <w:rPr>
                <w:color w:val="000000"/>
                <w:sz w:val="24"/>
              </w:rPr>
            </w:pPr>
            <w:r>
              <w:rPr>
                <w:rFonts w:hint="eastAsia"/>
                <w:color w:val="000000"/>
                <w:sz w:val="24"/>
              </w:rPr>
              <w:t>（</w:t>
            </w:r>
            <w:r>
              <w:rPr>
                <w:color w:val="000000"/>
                <w:sz w:val="24"/>
              </w:rPr>
              <w:t>4</w:t>
            </w:r>
            <w:r>
              <w:rPr>
                <w:rFonts w:hint="eastAsia"/>
                <w:color w:val="000000"/>
                <w:sz w:val="24"/>
              </w:rPr>
              <w:t>）</w:t>
            </w:r>
            <w:r>
              <w:rPr>
                <w:color w:val="000000"/>
                <w:sz w:val="24"/>
              </w:rPr>
              <w:t>项目区除湿过程中产生的</w:t>
            </w:r>
            <w:r>
              <w:rPr>
                <w:rFonts w:hint="eastAsia"/>
                <w:color w:val="000000"/>
                <w:sz w:val="24"/>
              </w:rPr>
              <w:t>甲醇</w:t>
            </w:r>
            <w:r>
              <w:rPr>
                <w:color w:val="000000"/>
                <w:sz w:val="24"/>
              </w:rPr>
              <w:t>未经处理呈无组织排放。</w:t>
            </w:r>
          </w:p>
          <w:p w14:paraId="5A5A6D78">
            <w:pPr>
              <w:autoSpaceDE w:val="0"/>
              <w:autoSpaceDN w:val="0"/>
              <w:spacing w:line="360" w:lineRule="auto"/>
              <w:ind w:firstLine="480" w:firstLineChars="200"/>
              <w:rPr>
                <w:rFonts w:hint="eastAsia"/>
                <w:bCs/>
                <w:color w:val="000000"/>
                <w:sz w:val="24"/>
              </w:rPr>
            </w:pPr>
            <w:r>
              <w:rPr>
                <w:bCs/>
                <w:color w:val="000000"/>
                <w:sz w:val="24"/>
              </w:rPr>
              <w:t>2、整改措施</w:t>
            </w:r>
            <w:r>
              <w:rPr>
                <w:rFonts w:hint="eastAsia"/>
                <w:bCs/>
                <w:color w:val="000000"/>
                <w:sz w:val="24"/>
              </w:rPr>
              <w:t>：</w:t>
            </w:r>
          </w:p>
          <w:p w14:paraId="5F68123B">
            <w:pPr>
              <w:autoSpaceDE w:val="0"/>
              <w:autoSpaceDN w:val="0"/>
              <w:spacing w:line="360" w:lineRule="auto"/>
              <w:ind w:firstLine="480" w:firstLineChars="200"/>
              <w:rPr>
                <w:rFonts w:hint="eastAsia"/>
                <w:bCs/>
                <w:color w:val="000000"/>
                <w:sz w:val="24"/>
              </w:rPr>
            </w:pPr>
            <w:r>
              <w:rPr>
                <w:rFonts w:hint="eastAsia"/>
                <w:bCs/>
                <w:color w:val="000000"/>
                <w:sz w:val="24"/>
              </w:rPr>
              <w:t>（1）</w:t>
            </w:r>
            <w:r>
              <w:rPr>
                <w:bCs/>
                <w:color w:val="000000"/>
                <w:sz w:val="24"/>
              </w:rPr>
              <w:t>项目区设置</w:t>
            </w:r>
            <w:r>
              <w:rPr>
                <w:rFonts w:hint="eastAsia"/>
                <w:bCs/>
                <w:color w:val="000000"/>
                <w:sz w:val="24"/>
              </w:rPr>
              <w:t>1间10m</w:t>
            </w:r>
            <w:r>
              <w:rPr>
                <w:rFonts w:hint="eastAsia"/>
                <w:bCs/>
                <w:color w:val="000000"/>
                <w:sz w:val="24"/>
                <w:vertAlign w:val="superscript"/>
              </w:rPr>
              <w:t>2</w:t>
            </w:r>
            <w:r>
              <w:rPr>
                <w:rFonts w:hint="eastAsia"/>
                <w:bCs/>
                <w:color w:val="000000"/>
                <w:sz w:val="24"/>
              </w:rPr>
              <w:t>的</w:t>
            </w:r>
            <w:r>
              <w:rPr>
                <w:bCs/>
                <w:color w:val="000000"/>
                <w:sz w:val="24"/>
              </w:rPr>
              <w:t>一般固废存放间</w:t>
            </w:r>
            <w:r>
              <w:rPr>
                <w:rFonts w:hint="eastAsia"/>
                <w:bCs/>
                <w:color w:val="000000"/>
                <w:sz w:val="24"/>
              </w:rPr>
              <w:t>。</w:t>
            </w:r>
          </w:p>
          <w:p w14:paraId="3850AA8D">
            <w:pPr>
              <w:autoSpaceDE w:val="0"/>
              <w:autoSpaceDN w:val="0"/>
              <w:spacing w:line="360" w:lineRule="auto"/>
              <w:ind w:firstLine="480" w:firstLineChars="200"/>
              <w:rPr>
                <w:bCs/>
                <w:color w:val="000000"/>
                <w:sz w:val="24"/>
              </w:rPr>
            </w:pPr>
            <w:r>
              <w:rPr>
                <w:rFonts w:hint="eastAsia"/>
                <w:bCs/>
                <w:color w:val="000000"/>
                <w:sz w:val="24"/>
              </w:rPr>
              <w:t>（2）</w:t>
            </w:r>
            <w:r>
              <w:rPr>
                <w:bCs/>
                <w:color w:val="000000"/>
                <w:sz w:val="24"/>
              </w:rPr>
              <w:t>项目区设置</w:t>
            </w:r>
            <w:r>
              <w:rPr>
                <w:rFonts w:hint="eastAsia"/>
                <w:bCs/>
                <w:color w:val="000000"/>
                <w:sz w:val="24"/>
              </w:rPr>
              <w:t>1间</w:t>
            </w:r>
            <w:r>
              <w:rPr>
                <w:bCs/>
                <w:color w:val="000000"/>
                <w:sz w:val="24"/>
              </w:rPr>
              <w:t>5</w:t>
            </w:r>
            <w:r>
              <w:rPr>
                <w:rFonts w:hint="eastAsia"/>
                <w:bCs/>
                <w:color w:val="000000"/>
                <w:sz w:val="24"/>
              </w:rPr>
              <w:t>m</w:t>
            </w:r>
            <w:r>
              <w:rPr>
                <w:rFonts w:hint="eastAsia"/>
                <w:bCs/>
                <w:color w:val="000000"/>
                <w:sz w:val="24"/>
                <w:vertAlign w:val="superscript"/>
              </w:rPr>
              <w:t>2</w:t>
            </w:r>
            <w:r>
              <w:rPr>
                <w:rFonts w:hint="eastAsia"/>
                <w:bCs/>
                <w:color w:val="000000"/>
                <w:sz w:val="24"/>
              </w:rPr>
              <w:t>的</w:t>
            </w:r>
            <w:r>
              <w:rPr>
                <w:bCs/>
                <w:color w:val="000000"/>
                <w:sz w:val="24"/>
              </w:rPr>
              <w:t>危废暂存间</w:t>
            </w:r>
            <w:r>
              <w:rPr>
                <w:rFonts w:hint="eastAsia"/>
                <w:bCs/>
                <w:color w:val="000000"/>
                <w:sz w:val="24"/>
              </w:rPr>
              <w:t>，</w:t>
            </w:r>
            <w:r>
              <w:rPr>
                <w:bCs/>
                <w:color w:val="000000"/>
                <w:sz w:val="24"/>
              </w:rPr>
              <w:t>按照《危险废物贮存污染控制标准》</w:t>
            </w:r>
            <w:r>
              <w:rPr>
                <w:rFonts w:hint="eastAsia"/>
                <w:bCs/>
                <w:color w:val="000000"/>
                <w:sz w:val="24"/>
              </w:rPr>
              <w:t>（</w:t>
            </w:r>
            <w:r>
              <w:rPr>
                <w:bCs/>
                <w:color w:val="000000"/>
                <w:sz w:val="24"/>
              </w:rPr>
              <w:t>GB18597-2001</w:t>
            </w:r>
            <w:r>
              <w:rPr>
                <w:rFonts w:hint="eastAsia"/>
                <w:bCs/>
                <w:color w:val="000000"/>
                <w:sz w:val="24"/>
              </w:rPr>
              <w:t>）</w:t>
            </w:r>
            <w:r>
              <w:rPr>
                <w:bCs/>
                <w:color w:val="000000"/>
                <w:sz w:val="24"/>
              </w:rPr>
              <w:t>要求建设危废暂存间</w:t>
            </w:r>
            <w:r>
              <w:rPr>
                <w:rFonts w:hint="eastAsia"/>
                <w:bCs/>
                <w:color w:val="000000"/>
                <w:sz w:val="24"/>
              </w:rPr>
              <w:t>。</w:t>
            </w:r>
          </w:p>
          <w:p w14:paraId="6ECCD879">
            <w:pPr>
              <w:autoSpaceDE w:val="0"/>
              <w:autoSpaceDN w:val="0"/>
              <w:spacing w:line="360" w:lineRule="auto"/>
              <w:ind w:firstLine="480" w:firstLineChars="200"/>
              <w:rPr>
                <w:bCs/>
                <w:color w:val="000000"/>
                <w:sz w:val="24"/>
              </w:rPr>
            </w:pPr>
            <w:r>
              <w:rPr>
                <w:rFonts w:hint="eastAsia"/>
                <w:bCs/>
                <w:color w:val="000000"/>
                <w:sz w:val="24"/>
              </w:rPr>
              <w:t>（3）食堂设置0.5m</w:t>
            </w:r>
            <w:r>
              <w:rPr>
                <w:rFonts w:hint="eastAsia"/>
                <w:bCs/>
                <w:color w:val="000000"/>
                <w:sz w:val="24"/>
                <w:vertAlign w:val="superscript"/>
              </w:rPr>
              <w:t>3</w:t>
            </w:r>
            <w:r>
              <w:rPr>
                <w:rFonts w:hint="eastAsia"/>
                <w:bCs/>
                <w:color w:val="000000"/>
                <w:sz w:val="24"/>
              </w:rPr>
              <w:t>的隔油池处理食堂废水。</w:t>
            </w:r>
          </w:p>
          <w:p w14:paraId="51E18681">
            <w:pPr>
              <w:autoSpaceDE w:val="0"/>
              <w:autoSpaceDN w:val="0"/>
              <w:spacing w:line="360" w:lineRule="auto"/>
              <w:ind w:firstLine="480" w:firstLineChars="200"/>
              <w:rPr>
                <w:rFonts w:hint="eastAsia"/>
                <w:bCs/>
                <w:color w:val="000000"/>
                <w:sz w:val="24"/>
              </w:rPr>
            </w:pPr>
            <w:r>
              <w:rPr>
                <w:rFonts w:hint="eastAsia"/>
                <w:bCs/>
                <w:color w:val="000000"/>
                <w:sz w:val="24"/>
              </w:rPr>
              <w:t>（</w:t>
            </w:r>
            <w:r>
              <w:rPr>
                <w:bCs/>
                <w:color w:val="000000"/>
                <w:sz w:val="24"/>
              </w:rPr>
              <w:t>4</w:t>
            </w:r>
            <w:r>
              <w:rPr>
                <w:rFonts w:hint="eastAsia"/>
                <w:bCs/>
                <w:color w:val="000000"/>
                <w:sz w:val="24"/>
              </w:rPr>
              <w:t>）</w:t>
            </w:r>
            <w:r>
              <w:rPr>
                <w:bCs/>
                <w:color w:val="000000"/>
                <w:sz w:val="24"/>
              </w:rPr>
              <w:t>项目除湿过程中产生的</w:t>
            </w:r>
            <w:r>
              <w:rPr>
                <w:rFonts w:hint="eastAsia"/>
                <w:bCs/>
                <w:color w:val="000000"/>
                <w:sz w:val="24"/>
              </w:rPr>
              <w:t>甲醇废气在负压状态经过管道收集后进入三级活性炭吸附系统处理后经1根15米高的排气筒排放。</w:t>
            </w:r>
          </w:p>
          <w:p w14:paraId="716A7600">
            <w:pPr>
              <w:rPr>
                <w:rFonts w:hint="eastAsia"/>
                <w:bCs/>
                <w:color w:val="000000"/>
                <w:sz w:val="24"/>
              </w:rPr>
            </w:pPr>
          </w:p>
          <w:p w14:paraId="0F6A5075">
            <w:pPr>
              <w:pStyle w:val="2"/>
              <w:rPr>
                <w:color w:val="000000"/>
              </w:rPr>
            </w:pPr>
          </w:p>
          <w:p w14:paraId="4D90C851">
            <w:pPr>
              <w:pStyle w:val="7"/>
              <w:spacing w:before="0" w:after="0" w:line="360" w:lineRule="auto"/>
              <w:rPr>
                <w:color w:val="000000"/>
              </w:rPr>
            </w:pPr>
          </w:p>
        </w:tc>
      </w:tr>
    </w:tbl>
    <w:p w14:paraId="684B37BE">
      <w:pPr>
        <w:pStyle w:val="16"/>
        <w:jc w:val="center"/>
        <w:outlineLvl w:val="0"/>
        <w:rPr>
          <w:rFonts w:ascii="黑体" w:hAnsi="黑体" w:eastAsia="黑体"/>
          <w:snapToGrid w:val="0"/>
          <w:color w:val="000000"/>
          <w:kern w:val="21"/>
          <w:sz w:val="30"/>
          <w:szCs w:val="30"/>
        </w:rPr>
      </w:pPr>
      <w:r>
        <w:rPr>
          <w:rFonts w:ascii="黑体" w:hAnsi="黑体" w:eastAsia="黑体"/>
          <w:snapToGrid w:val="0"/>
          <w:color w:val="000000"/>
          <w:kern w:val="21"/>
          <w:sz w:val="30"/>
          <w:szCs w:val="30"/>
        </w:rPr>
        <w:br w:type="page"/>
      </w:r>
      <w:bookmarkStart w:id="7" w:name="_Toc5826"/>
      <w:r>
        <w:rPr>
          <w:rFonts w:ascii="黑体" w:hAnsi="黑体" w:eastAsia="黑体"/>
          <w:snapToGrid w:val="0"/>
          <w:color w:val="000000"/>
          <w:kern w:val="21"/>
          <w:sz w:val="30"/>
          <w:szCs w:val="30"/>
        </w:rPr>
        <w:t>三、区域环境质量现状、环境保护目标及评价标准</w:t>
      </w:r>
      <w:bookmarkEnd w:id="7"/>
    </w:p>
    <w:tbl>
      <w:tblPr>
        <w:tblStyle w:val="20"/>
        <w:tblW w:w="89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56"/>
        <w:gridCol w:w="8574"/>
      </w:tblGrid>
      <w:tr w14:paraId="58F1A3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22" w:hRule="atLeast"/>
          <w:jc w:val="center"/>
        </w:trPr>
        <w:tc>
          <w:tcPr>
            <w:tcW w:w="558" w:type="dxa"/>
            <w:noWrap w:val="0"/>
            <w:vAlign w:val="center"/>
          </w:tcPr>
          <w:p w14:paraId="3EEA2E62">
            <w:pPr>
              <w:adjustRightInd w:val="0"/>
              <w:snapToGrid w:val="0"/>
              <w:jc w:val="center"/>
              <w:rPr>
                <w:color w:val="000000"/>
                <w:kern w:val="0"/>
                <w:sz w:val="24"/>
              </w:rPr>
            </w:pPr>
            <w:r>
              <w:rPr>
                <w:color w:val="000000"/>
                <w:kern w:val="0"/>
                <w:sz w:val="24"/>
              </w:rPr>
              <w:t>区域</w:t>
            </w:r>
          </w:p>
          <w:p w14:paraId="21ADB060">
            <w:pPr>
              <w:adjustRightInd w:val="0"/>
              <w:snapToGrid w:val="0"/>
              <w:jc w:val="center"/>
              <w:rPr>
                <w:color w:val="000000"/>
                <w:kern w:val="0"/>
                <w:sz w:val="24"/>
              </w:rPr>
            </w:pPr>
            <w:r>
              <w:rPr>
                <w:color w:val="000000"/>
                <w:kern w:val="0"/>
                <w:sz w:val="24"/>
              </w:rPr>
              <w:t>环境</w:t>
            </w:r>
          </w:p>
          <w:p w14:paraId="6F91E230">
            <w:pPr>
              <w:adjustRightInd w:val="0"/>
              <w:snapToGrid w:val="0"/>
              <w:jc w:val="center"/>
              <w:rPr>
                <w:color w:val="000000"/>
                <w:kern w:val="0"/>
                <w:sz w:val="24"/>
              </w:rPr>
            </w:pPr>
            <w:r>
              <w:rPr>
                <w:color w:val="000000"/>
                <w:kern w:val="0"/>
                <w:sz w:val="24"/>
              </w:rPr>
              <w:t>质量</w:t>
            </w:r>
          </w:p>
          <w:p w14:paraId="328A1D1C">
            <w:pPr>
              <w:pStyle w:val="16"/>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Cs w:val="24"/>
              </w:rPr>
              <w:t>现状</w:t>
            </w:r>
          </w:p>
        </w:tc>
        <w:tc>
          <w:tcPr>
            <w:tcW w:w="8426" w:type="dxa"/>
            <w:noWrap w:val="0"/>
            <w:vAlign w:val="top"/>
          </w:tcPr>
          <w:p w14:paraId="6CE69004">
            <w:pPr>
              <w:spacing w:line="360" w:lineRule="auto"/>
              <w:ind w:firstLine="482" w:firstLineChars="200"/>
              <w:rPr>
                <w:rFonts w:hint="eastAsia"/>
                <w:b/>
                <w:color w:val="000000"/>
                <w:kern w:val="24"/>
                <w:sz w:val="24"/>
              </w:rPr>
            </w:pPr>
            <w:r>
              <w:rPr>
                <w:rFonts w:hint="eastAsia"/>
                <w:b/>
                <w:color w:val="000000"/>
                <w:kern w:val="24"/>
                <w:sz w:val="24"/>
              </w:rPr>
              <w:t>1、环境空气质量现状</w:t>
            </w:r>
          </w:p>
          <w:p w14:paraId="588950D7">
            <w:pPr>
              <w:spacing w:line="360" w:lineRule="auto"/>
              <w:ind w:firstLine="480" w:firstLineChars="200"/>
              <w:rPr>
                <w:rFonts w:hint="eastAsia"/>
                <w:color w:val="000000"/>
                <w:sz w:val="24"/>
              </w:rPr>
            </w:pPr>
            <w:r>
              <w:rPr>
                <w:rFonts w:hint="eastAsia"/>
                <w:bCs/>
                <w:color w:val="000000"/>
                <w:kern w:val="24"/>
                <w:sz w:val="24"/>
              </w:rPr>
              <w:t>项目位于</w:t>
            </w:r>
            <w:bookmarkStart w:id="8" w:name="_Hlk129787450"/>
            <w:r>
              <w:rPr>
                <w:rFonts w:hint="eastAsia"/>
                <w:bCs/>
                <w:color w:val="000000"/>
                <w:kern w:val="24"/>
                <w:sz w:val="24"/>
              </w:rPr>
              <w:t>石林县板桥街道板桥社区碧落甸村</w:t>
            </w:r>
            <w:bookmarkEnd w:id="8"/>
            <w:r>
              <w:rPr>
                <w:rFonts w:hint="eastAsia"/>
                <w:bCs/>
                <w:color w:val="000000"/>
                <w:kern w:val="24"/>
                <w:sz w:val="24"/>
              </w:rPr>
              <w:t>，</w:t>
            </w:r>
            <w:r>
              <w:rPr>
                <w:rFonts w:hint="eastAsia"/>
                <w:color w:val="000000"/>
                <w:sz w:val="24"/>
              </w:rPr>
              <w:t>所在区域属环境空气功能二类区，执行《环境空气质量标准》（GB3095-2012）修改单二级标准。</w:t>
            </w:r>
          </w:p>
          <w:p w14:paraId="32BFBE96">
            <w:pPr>
              <w:spacing w:line="360" w:lineRule="auto"/>
              <w:ind w:firstLine="482" w:firstLineChars="200"/>
              <w:rPr>
                <w:rFonts w:hint="eastAsia"/>
                <w:b/>
                <w:color w:val="000000"/>
                <w:kern w:val="24"/>
                <w:sz w:val="24"/>
              </w:rPr>
            </w:pPr>
            <w:r>
              <w:rPr>
                <w:rFonts w:hint="eastAsia"/>
                <w:b/>
                <w:color w:val="000000"/>
                <w:kern w:val="24"/>
                <w:sz w:val="24"/>
              </w:rPr>
              <w:t>（1）区域环境空气质量达标评价</w:t>
            </w:r>
          </w:p>
          <w:p w14:paraId="7EED1B3B">
            <w:pPr>
              <w:pStyle w:val="7"/>
              <w:spacing w:before="0" w:after="0" w:line="360" w:lineRule="auto"/>
              <w:ind w:right="0" w:firstLine="480" w:firstLineChars="200"/>
              <w:rPr>
                <w:rFonts w:hint="eastAsia"/>
                <w:bCs/>
                <w:color w:val="000000"/>
                <w:kern w:val="24"/>
                <w:sz w:val="24"/>
                <w:szCs w:val="24"/>
              </w:rPr>
            </w:pPr>
            <w:r>
              <w:rPr>
                <w:rFonts w:hint="eastAsia"/>
                <w:bCs/>
                <w:color w:val="000000"/>
                <w:kern w:val="24"/>
                <w:sz w:val="24"/>
                <w:szCs w:val="24"/>
              </w:rPr>
              <w:t>根据昆明市生态环境局发布的《2021年度昆明市生态环境状况公报》，2021年各县（市）区环境空气质量总体保持良好，全年环境空气质量均达到二级标准，与2020年相比，石林县环境空气综合污染指数有所上升。因此，项目所在区域属于达标区。</w:t>
            </w:r>
          </w:p>
          <w:p w14:paraId="6C6DD7FE">
            <w:pPr>
              <w:spacing w:line="360" w:lineRule="auto"/>
              <w:ind w:firstLine="482" w:firstLineChars="200"/>
              <w:rPr>
                <w:rFonts w:hint="eastAsia"/>
                <w:b/>
                <w:color w:val="000000"/>
                <w:kern w:val="24"/>
                <w:sz w:val="24"/>
              </w:rPr>
            </w:pPr>
            <w:r>
              <w:rPr>
                <w:rFonts w:hint="eastAsia"/>
                <w:b/>
                <w:color w:val="000000"/>
                <w:kern w:val="24"/>
                <w:sz w:val="24"/>
              </w:rPr>
              <w:t>（2）特征污染物补充监测</w:t>
            </w:r>
          </w:p>
          <w:p w14:paraId="0A72C50F">
            <w:pPr>
              <w:spacing w:line="360" w:lineRule="auto"/>
              <w:ind w:firstLine="480" w:firstLineChars="200"/>
              <w:rPr>
                <w:rFonts w:hint="eastAsia"/>
                <w:color w:val="000000"/>
                <w:sz w:val="24"/>
              </w:rPr>
            </w:pPr>
            <w:r>
              <w:rPr>
                <w:rFonts w:hint="eastAsia"/>
                <w:color w:val="000000"/>
                <w:sz w:val="24"/>
              </w:rPr>
              <w:t>本次评价过程中，引用石林芳草阁花卉有限公司委托云南泰义检测技术有限公司于2022年10月25日-10月27日对位于项目区西南侧4.</w:t>
            </w:r>
            <w:r>
              <w:rPr>
                <w:color w:val="000000"/>
                <w:sz w:val="24"/>
              </w:rPr>
              <w:t>3</w:t>
            </w:r>
            <w:r>
              <w:rPr>
                <w:rFonts w:hint="eastAsia"/>
                <w:color w:val="000000"/>
                <w:sz w:val="24"/>
              </w:rPr>
              <w:t>km处（属于建设项目5km</w:t>
            </w:r>
            <w:r>
              <w:rPr>
                <w:color w:val="000000"/>
                <w:sz w:val="24"/>
              </w:rPr>
              <w:t>范围内近</w:t>
            </w:r>
            <w:r>
              <w:rPr>
                <w:rFonts w:hint="eastAsia"/>
                <w:color w:val="000000"/>
                <w:sz w:val="24"/>
              </w:rPr>
              <w:t>3年的监测数据，引用可行）的小矣马伴村针对甲醇进行了补充监测，监测方案及监测结果如下（监测报告详见附件）。</w:t>
            </w:r>
          </w:p>
          <w:p w14:paraId="0E942130">
            <w:pPr>
              <w:spacing w:line="360" w:lineRule="auto"/>
              <w:ind w:firstLine="480" w:firstLineChars="200"/>
              <w:rPr>
                <w:rFonts w:hint="eastAsia"/>
                <w:color w:val="000000"/>
                <w:sz w:val="24"/>
              </w:rPr>
            </w:pPr>
            <w:r>
              <w:rPr>
                <w:rFonts w:hint="eastAsia"/>
                <w:color w:val="000000"/>
                <w:sz w:val="24"/>
              </w:rPr>
              <w:t>1）监测项目：甲醇</w:t>
            </w:r>
          </w:p>
          <w:p w14:paraId="11DDFABC">
            <w:pPr>
              <w:spacing w:line="360" w:lineRule="auto"/>
              <w:ind w:firstLine="480" w:firstLineChars="200"/>
              <w:rPr>
                <w:rFonts w:hint="eastAsia"/>
                <w:color w:val="000000"/>
                <w:sz w:val="24"/>
              </w:rPr>
            </w:pPr>
            <w:r>
              <w:rPr>
                <w:rFonts w:hint="eastAsia"/>
                <w:color w:val="000000"/>
                <w:sz w:val="24"/>
              </w:rPr>
              <w:t>2）监测点位：小矣马伴村；</w:t>
            </w:r>
          </w:p>
          <w:p w14:paraId="5DEAE438">
            <w:pPr>
              <w:spacing w:line="360" w:lineRule="auto"/>
              <w:ind w:firstLine="480" w:firstLineChars="200"/>
              <w:rPr>
                <w:rFonts w:hint="eastAsia"/>
                <w:color w:val="000000"/>
                <w:sz w:val="24"/>
              </w:rPr>
            </w:pPr>
            <w:r>
              <w:rPr>
                <w:rFonts w:hint="eastAsia"/>
                <w:color w:val="000000"/>
                <w:sz w:val="24"/>
              </w:rPr>
              <w:t>3）采样时间：24小时均值；</w:t>
            </w:r>
          </w:p>
          <w:p w14:paraId="7E4C34B3">
            <w:pPr>
              <w:spacing w:line="360" w:lineRule="auto"/>
              <w:ind w:firstLine="480" w:firstLineChars="200"/>
              <w:rPr>
                <w:color w:val="000000"/>
                <w:sz w:val="24"/>
              </w:rPr>
            </w:pPr>
            <w:r>
              <w:rPr>
                <w:rFonts w:hint="eastAsia"/>
                <w:color w:val="000000"/>
                <w:sz w:val="24"/>
              </w:rPr>
              <w:t>4）监测频次：连续3天；</w:t>
            </w:r>
          </w:p>
          <w:p w14:paraId="6C9127C4">
            <w:pPr>
              <w:spacing w:line="360" w:lineRule="auto"/>
              <w:ind w:firstLine="480" w:firstLineChars="200"/>
              <w:rPr>
                <w:rFonts w:hint="eastAsia"/>
                <w:color w:val="000000"/>
                <w:sz w:val="24"/>
              </w:rPr>
            </w:pPr>
            <w:r>
              <w:rPr>
                <w:rFonts w:hint="eastAsia"/>
                <w:color w:val="000000"/>
                <w:sz w:val="24"/>
              </w:rPr>
              <w:t>5）监测结果</w:t>
            </w:r>
          </w:p>
          <w:p w14:paraId="6A0D9350">
            <w:pPr>
              <w:spacing w:line="360" w:lineRule="auto"/>
              <w:jc w:val="center"/>
              <w:rPr>
                <w:rFonts w:hint="eastAsia"/>
                <w:b/>
                <w:bCs/>
                <w:color w:val="000000"/>
              </w:rPr>
            </w:pPr>
            <w:r>
              <w:rPr>
                <w:rFonts w:hint="eastAsia"/>
                <w:b/>
                <w:bCs/>
                <w:color w:val="000000"/>
              </w:rPr>
              <w:t>表3-1   补充监测结果评价一览表  单位：mg/m</w:t>
            </w:r>
            <w:r>
              <w:rPr>
                <w:rFonts w:hint="eastAsia"/>
                <w:b/>
                <w:bCs/>
                <w:color w:val="000000"/>
                <w:vertAlign w:val="superscript"/>
              </w:rPr>
              <w:t>3</w:t>
            </w:r>
          </w:p>
          <w:tbl>
            <w:tblPr>
              <w:tblStyle w:val="20"/>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91"/>
              <w:gridCol w:w="2158"/>
              <w:gridCol w:w="1313"/>
              <w:gridCol w:w="1313"/>
              <w:gridCol w:w="1313"/>
            </w:tblGrid>
            <w:tr w14:paraId="7BC8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70" w:type="pct"/>
                  <w:shd w:val="clear" w:color="auto" w:fill="auto"/>
                  <w:noWrap w:val="0"/>
                  <w:vAlign w:val="center"/>
                </w:tcPr>
                <w:p w14:paraId="551F233C">
                  <w:pPr>
                    <w:widowControl/>
                    <w:jc w:val="center"/>
                    <w:textAlignment w:val="center"/>
                    <w:rPr>
                      <w:color w:val="000000"/>
                      <w:kern w:val="0"/>
                      <w:szCs w:val="21"/>
                      <w:lang w:bidi="ar"/>
                    </w:rPr>
                  </w:pPr>
                  <w:r>
                    <w:rPr>
                      <w:color w:val="000000"/>
                      <w:kern w:val="0"/>
                      <w:szCs w:val="21"/>
                      <w:lang w:bidi="ar"/>
                    </w:rPr>
                    <w:t>采样日期</w:t>
                  </w:r>
                </w:p>
              </w:tc>
              <w:tc>
                <w:tcPr>
                  <w:tcW w:w="841" w:type="pct"/>
                  <w:shd w:val="clear" w:color="auto" w:fill="auto"/>
                  <w:noWrap w:val="0"/>
                  <w:vAlign w:val="center"/>
                </w:tcPr>
                <w:p w14:paraId="48418F3B">
                  <w:pPr>
                    <w:widowControl/>
                    <w:jc w:val="center"/>
                    <w:textAlignment w:val="center"/>
                    <w:rPr>
                      <w:color w:val="000000"/>
                      <w:kern w:val="0"/>
                      <w:szCs w:val="21"/>
                      <w:lang w:bidi="ar"/>
                    </w:rPr>
                  </w:pPr>
                  <w:r>
                    <w:rPr>
                      <w:color w:val="000000"/>
                      <w:kern w:val="0"/>
                      <w:szCs w:val="21"/>
                      <w:lang w:bidi="ar"/>
                    </w:rPr>
                    <w:t>采样时段</w:t>
                  </w:r>
                </w:p>
              </w:tc>
              <w:tc>
                <w:tcPr>
                  <w:tcW w:w="1305" w:type="pct"/>
                  <w:shd w:val="clear" w:color="auto" w:fill="auto"/>
                  <w:noWrap w:val="0"/>
                  <w:vAlign w:val="center"/>
                </w:tcPr>
                <w:p w14:paraId="01F4620E">
                  <w:pPr>
                    <w:widowControl/>
                    <w:jc w:val="center"/>
                    <w:textAlignment w:val="center"/>
                    <w:rPr>
                      <w:color w:val="000000"/>
                      <w:kern w:val="0"/>
                      <w:szCs w:val="21"/>
                      <w:lang w:bidi="ar"/>
                    </w:rPr>
                  </w:pPr>
                  <w:r>
                    <w:rPr>
                      <w:color w:val="000000"/>
                      <w:kern w:val="0"/>
                      <w:szCs w:val="21"/>
                      <w:lang w:bidi="ar"/>
                    </w:rPr>
                    <w:t>样品编号</w:t>
                  </w:r>
                </w:p>
              </w:tc>
              <w:tc>
                <w:tcPr>
                  <w:tcW w:w="794" w:type="pct"/>
                  <w:shd w:val="clear" w:color="auto" w:fill="auto"/>
                  <w:noWrap w:val="0"/>
                  <w:vAlign w:val="center"/>
                </w:tcPr>
                <w:p w14:paraId="22E66E9F">
                  <w:pPr>
                    <w:widowControl/>
                    <w:jc w:val="center"/>
                    <w:textAlignment w:val="center"/>
                    <w:rPr>
                      <w:color w:val="000000"/>
                      <w:kern w:val="0"/>
                      <w:szCs w:val="21"/>
                      <w:lang w:bidi="ar"/>
                    </w:rPr>
                  </w:pPr>
                  <w:r>
                    <w:rPr>
                      <w:color w:val="000000"/>
                      <w:kern w:val="0"/>
                      <w:szCs w:val="21"/>
                      <w:lang w:bidi="ar"/>
                    </w:rPr>
                    <w:t>检测</w:t>
                  </w:r>
                  <w:r>
                    <w:rPr>
                      <w:rFonts w:hint="eastAsia"/>
                      <w:color w:val="000000"/>
                      <w:kern w:val="0"/>
                      <w:szCs w:val="21"/>
                      <w:lang w:bidi="ar"/>
                    </w:rPr>
                    <w:t>结果</w:t>
                  </w:r>
                </w:p>
              </w:tc>
              <w:tc>
                <w:tcPr>
                  <w:tcW w:w="794" w:type="pct"/>
                  <w:shd w:val="clear" w:color="auto" w:fill="auto"/>
                  <w:noWrap w:val="0"/>
                  <w:vAlign w:val="center"/>
                </w:tcPr>
                <w:p w14:paraId="435702D3">
                  <w:pPr>
                    <w:widowControl/>
                    <w:jc w:val="center"/>
                    <w:textAlignment w:val="center"/>
                    <w:rPr>
                      <w:color w:val="000000"/>
                      <w:kern w:val="0"/>
                      <w:szCs w:val="21"/>
                      <w:lang w:bidi="ar"/>
                    </w:rPr>
                  </w:pPr>
                  <w:r>
                    <w:rPr>
                      <w:rFonts w:hint="eastAsia"/>
                      <w:color w:val="000000"/>
                      <w:kern w:val="0"/>
                      <w:szCs w:val="21"/>
                      <w:lang w:bidi="ar"/>
                    </w:rPr>
                    <w:t>标准值</w:t>
                  </w:r>
                </w:p>
              </w:tc>
              <w:tc>
                <w:tcPr>
                  <w:tcW w:w="794" w:type="pct"/>
                  <w:shd w:val="clear" w:color="auto" w:fill="auto"/>
                  <w:noWrap w:val="0"/>
                  <w:vAlign w:val="center"/>
                </w:tcPr>
                <w:p w14:paraId="46E5E48B">
                  <w:pPr>
                    <w:widowControl/>
                    <w:jc w:val="center"/>
                    <w:textAlignment w:val="center"/>
                    <w:rPr>
                      <w:color w:val="000000"/>
                      <w:kern w:val="0"/>
                      <w:szCs w:val="21"/>
                      <w:lang w:bidi="ar"/>
                    </w:rPr>
                  </w:pPr>
                  <w:r>
                    <w:rPr>
                      <w:rFonts w:hint="eastAsia"/>
                      <w:color w:val="000000"/>
                      <w:kern w:val="0"/>
                      <w:szCs w:val="21"/>
                      <w:lang w:bidi="ar"/>
                    </w:rPr>
                    <w:t>达标情况</w:t>
                  </w:r>
                </w:p>
              </w:tc>
            </w:tr>
            <w:tr w14:paraId="6895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restart"/>
                  <w:shd w:val="clear" w:color="auto" w:fill="auto"/>
                  <w:noWrap w:val="0"/>
                  <w:vAlign w:val="center"/>
                </w:tcPr>
                <w:p w14:paraId="2ED792DF">
                  <w:pPr>
                    <w:widowControl/>
                    <w:jc w:val="center"/>
                    <w:textAlignment w:val="center"/>
                    <w:rPr>
                      <w:color w:val="000000"/>
                      <w:kern w:val="0"/>
                      <w:szCs w:val="21"/>
                      <w:lang w:bidi="ar"/>
                    </w:rPr>
                  </w:pPr>
                  <w:r>
                    <w:rPr>
                      <w:color w:val="000000"/>
                      <w:kern w:val="0"/>
                      <w:szCs w:val="21"/>
                      <w:lang w:bidi="ar"/>
                    </w:rPr>
                    <w:t>2022</w:t>
                  </w:r>
                  <w:r>
                    <w:rPr>
                      <w:rFonts w:hint="eastAsia"/>
                      <w:color w:val="000000"/>
                      <w:kern w:val="0"/>
                      <w:szCs w:val="21"/>
                      <w:lang w:bidi="ar"/>
                    </w:rPr>
                    <w:t>.</w:t>
                  </w:r>
                </w:p>
                <w:p w14:paraId="59EEE149">
                  <w:pPr>
                    <w:widowControl/>
                    <w:jc w:val="center"/>
                    <w:textAlignment w:val="center"/>
                    <w:rPr>
                      <w:color w:val="000000"/>
                      <w:kern w:val="0"/>
                      <w:szCs w:val="21"/>
                      <w:lang w:bidi="ar"/>
                    </w:rPr>
                  </w:pPr>
                  <w:r>
                    <w:rPr>
                      <w:color w:val="000000"/>
                      <w:kern w:val="0"/>
                      <w:szCs w:val="21"/>
                      <w:lang w:bidi="ar"/>
                    </w:rPr>
                    <w:t>10</w:t>
                  </w:r>
                  <w:r>
                    <w:rPr>
                      <w:rFonts w:hint="eastAsia"/>
                      <w:color w:val="000000"/>
                      <w:kern w:val="0"/>
                      <w:szCs w:val="21"/>
                      <w:lang w:bidi="ar"/>
                    </w:rPr>
                    <w:t>.</w:t>
                  </w:r>
                  <w:r>
                    <w:rPr>
                      <w:color w:val="000000"/>
                      <w:kern w:val="0"/>
                      <w:szCs w:val="21"/>
                      <w:lang w:bidi="ar"/>
                    </w:rPr>
                    <w:t>25</w:t>
                  </w:r>
                </w:p>
              </w:tc>
              <w:tc>
                <w:tcPr>
                  <w:tcW w:w="841" w:type="pct"/>
                  <w:shd w:val="clear" w:color="auto" w:fill="auto"/>
                  <w:noWrap w:val="0"/>
                  <w:vAlign w:val="center"/>
                </w:tcPr>
                <w:p w14:paraId="456E74A2">
                  <w:pPr>
                    <w:widowControl/>
                    <w:jc w:val="center"/>
                    <w:textAlignment w:val="center"/>
                    <w:rPr>
                      <w:color w:val="000000"/>
                      <w:kern w:val="0"/>
                      <w:szCs w:val="21"/>
                      <w:lang w:bidi="ar"/>
                    </w:rPr>
                  </w:pPr>
                  <w:r>
                    <w:rPr>
                      <w:color w:val="000000"/>
                      <w:kern w:val="0"/>
                      <w:szCs w:val="21"/>
                      <w:lang w:bidi="ar"/>
                    </w:rPr>
                    <w:t>02:00-03:00</w:t>
                  </w:r>
                </w:p>
              </w:tc>
              <w:tc>
                <w:tcPr>
                  <w:tcW w:w="1305" w:type="pct"/>
                  <w:shd w:val="clear" w:color="auto" w:fill="auto"/>
                  <w:noWrap w:val="0"/>
                  <w:vAlign w:val="center"/>
                </w:tcPr>
                <w:p w14:paraId="3990A852">
                  <w:pPr>
                    <w:widowControl/>
                    <w:jc w:val="center"/>
                    <w:textAlignment w:val="center"/>
                    <w:rPr>
                      <w:color w:val="000000"/>
                      <w:kern w:val="0"/>
                      <w:szCs w:val="21"/>
                      <w:lang w:bidi="ar"/>
                    </w:rPr>
                  </w:pPr>
                  <w:r>
                    <w:rPr>
                      <w:color w:val="000000"/>
                      <w:kern w:val="0"/>
                      <w:szCs w:val="21"/>
                      <w:lang w:bidi="ar"/>
                    </w:rPr>
                    <w:t>HQ427[1]-1025-1#-1</w:t>
                  </w:r>
                </w:p>
              </w:tc>
              <w:tc>
                <w:tcPr>
                  <w:tcW w:w="794" w:type="pct"/>
                  <w:shd w:val="clear" w:color="auto" w:fill="auto"/>
                  <w:noWrap w:val="0"/>
                  <w:vAlign w:val="center"/>
                </w:tcPr>
                <w:p w14:paraId="3F0E78BB">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617673B4">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1D7A8E48">
                  <w:pPr>
                    <w:widowControl/>
                    <w:jc w:val="center"/>
                    <w:textAlignment w:val="center"/>
                    <w:rPr>
                      <w:color w:val="000000"/>
                      <w:kern w:val="0"/>
                      <w:szCs w:val="21"/>
                      <w:lang w:bidi="ar"/>
                    </w:rPr>
                  </w:pPr>
                  <w:r>
                    <w:rPr>
                      <w:rFonts w:hint="eastAsia"/>
                      <w:color w:val="000000"/>
                      <w:kern w:val="0"/>
                      <w:szCs w:val="21"/>
                      <w:lang w:bidi="ar"/>
                    </w:rPr>
                    <w:t>达标</w:t>
                  </w:r>
                </w:p>
              </w:tc>
            </w:tr>
            <w:tr w14:paraId="20CD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5460E2D2">
                  <w:pPr>
                    <w:widowControl/>
                    <w:jc w:val="center"/>
                    <w:textAlignment w:val="center"/>
                    <w:rPr>
                      <w:color w:val="000000"/>
                      <w:kern w:val="0"/>
                      <w:szCs w:val="21"/>
                      <w:lang w:bidi="ar"/>
                    </w:rPr>
                  </w:pPr>
                </w:p>
              </w:tc>
              <w:tc>
                <w:tcPr>
                  <w:tcW w:w="841" w:type="pct"/>
                  <w:shd w:val="clear" w:color="auto" w:fill="auto"/>
                  <w:noWrap w:val="0"/>
                  <w:vAlign w:val="center"/>
                </w:tcPr>
                <w:p w14:paraId="0650A128">
                  <w:pPr>
                    <w:widowControl/>
                    <w:jc w:val="center"/>
                    <w:textAlignment w:val="center"/>
                    <w:rPr>
                      <w:color w:val="000000"/>
                      <w:kern w:val="0"/>
                      <w:szCs w:val="21"/>
                      <w:lang w:bidi="ar"/>
                    </w:rPr>
                  </w:pPr>
                  <w:r>
                    <w:rPr>
                      <w:color w:val="000000"/>
                      <w:kern w:val="0"/>
                      <w:szCs w:val="21"/>
                      <w:lang w:bidi="ar"/>
                    </w:rPr>
                    <w:t>08:00-09:00</w:t>
                  </w:r>
                </w:p>
              </w:tc>
              <w:tc>
                <w:tcPr>
                  <w:tcW w:w="1305" w:type="pct"/>
                  <w:shd w:val="clear" w:color="auto" w:fill="auto"/>
                  <w:noWrap w:val="0"/>
                  <w:vAlign w:val="center"/>
                </w:tcPr>
                <w:p w14:paraId="19CFD8F0">
                  <w:pPr>
                    <w:widowControl/>
                    <w:jc w:val="center"/>
                    <w:textAlignment w:val="center"/>
                    <w:rPr>
                      <w:color w:val="000000"/>
                      <w:kern w:val="0"/>
                      <w:szCs w:val="21"/>
                      <w:lang w:bidi="ar"/>
                    </w:rPr>
                  </w:pPr>
                  <w:r>
                    <w:rPr>
                      <w:color w:val="000000"/>
                      <w:kern w:val="0"/>
                      <w:szCs w:val="21"/>
                      <w:lang w:bidi="ar"/>
                    </w:rPr>
                    <w:t>HQ427[1]-1025-1#-2</w:t>
                  </w:r>
                </w:p>
              </w:tc>
              <w:tc>
                <w:tcPr>
                  <w:tcW w:w="794" w:type="pct"/>
                  <w:shd w:val="clear" w:color="auto" w:fill="auto"/>
                  <w:noWrap w:val="0"/>
                  <w:vAlign w:val="center"/>
                </w:tcPr>
                <w:p w14:paraId="6854FD3C">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2D8BC82F">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61C02A54">
                  <w:pPr>
                    <w:widowControl/>
                    <w:jc w:val="center"/>
                    <w:textAlignment w:val="center"/>
                    <w:rPr>
                      <w:color w:val="000000"/>
                      <w:kern w:val="0"/>
                      <w:szCs w:val="21"/>
                      <w:lang w:bidi="ar"/>
                    </w:rPr>
                  </w:pPr>
                  <w:r>
                    <w:rPr>
                      <w:rFonts w:hint="eastAsia"/>
                      <w:color w:val="000000"/>
                      <w:kern w:val="0"/>
                      <w:szCs w:val="21"/>
                      <w:lang w:bidi="ar"/>
                    </w:rPr>
                    <w:t>达标</w:t>
                  </w:r>
                </w:p>
              </w:tc>
            </w:tr>
            <w:tr w14:paraId="596C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6A6CEAEC">
                  <w:pPr>
                    <w:widowControl/>
                    <w:jc w:val="center"/>
                    <w:textAlignment w:val="center"/>
                    <w:rPr>
                      <w:color w:val="000000"/>
                      <w:kern w:val="0"/>
                      <w:szCs w:val="21"/>
                      <w:lang w:bidi="ar"/>
                    </w:rPr>
                  </w:pPr>
                </w:p>
              </w:tc>
              <w:tc>
                <w:tcPr>
                  <w:tcW w:w="841" w:type="pct"/>
                  <w:shd w:val="clear" w:color="auto" w:fill="auto"/>
                  <w:noWrap w:val="0"/>
                  <w:vAlign w:val="center"/>
                </w:tcPr>
                <w:p w14:paraId="79803EBE">
                  <w:pPr>
                    <w:widowControl/>
                    <w:jc w:val="center"/>
                    <w:textAlignment w:val="center"/>
                    <w:rPr>
                      <w:color w:val="000000"/>
                      <w:kern w:val="0"/>
                      <w:szCs w:val="21"/>
                      <w:lang w:bidi="ar"/>
                    </w:rPr>
                  </w:pPr>
                  <w:r>
                    <w:rPr>
                      <w:color w:val="000000"/>
                      <w:kern w:val="0"/>
                      <w:szCs w:val="21"/>
                      <w:lang w:bidi="ar"/>
                    </w:rPr>
                    <w:t>14:00-15:00</w:t>
                  </w:r>
                </w:p>
              </w:tc>
              <w:tc>
                <w:tcPr>
                  <w:tcW w:w="1305" w:type="pct"/>
                  <w:shd w:val="clear" w:color="auto" w:fill="auto"/>
                  <w:noWrap w:val="0"/>
                  <w:vAlign w:val="center"/>
                </w:tcPr>
                <w:p w14:paraId="4A21E440">
                  <w:pPr>
                    <w:widowControl/>
                    <w:jc w:val="center"/>
                    <w:textAlignment w:val="center"/>
                    <w:rPr>
                      <w:color w:val="000000"/>
                      <w:kern w:val="0"/>
                      <w:szCs w:val="21"/>
                      <w:lang w:bidi="ar"/>
                    </w:rPr>
                  </w:pPr>
                  <w:r>
                    <w:rPr>
                      <w:color w:val="000000"/>
                      <w:kern w:val="0"/>
                      <w:szCs w:val="21"/>
                      <w:lang w:bidi="ar"/>
                    </w:rPr>
                    <w:t>HQ427[1]-1025-1#-3</w:t>
                  </w:r>
                </w:p>
              </w:tc>
              <w:tc>
                <w:tcPr>
                  <w:tcW w:w="794" w:type="pct"/>
                  <w:shd w:val="clear" w:color="auto" w:fill="auto"/>
                  <w:noWrap w:val="0"/>
                  <w:vAlign w:val="center"/>
                </w:tcPr>
                <w:p w14:paraId="112DE737">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57084A83">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7A5D33F9">
                  <w:pPr>
                    <w:widowControl/>
                    <w:jc w:val="center"/>
                    <w:textAlignment w:val="center"/>
                    <w:rPr>
                      <w:color w:val="000000"/>
                      <w:kern w:val="0"/>
                      <w:szCs w:val="21"/>
                      <w:lang w:bidi="ar"/>
                    </w:rPr>
                  </w:pPr>
                  <w:r>
                    <w:rPr>
                      <w:rFonts w:hint="eastAsia"/>
                      <w:color w:val="000000"/>
                      <w:kern w:val="0"/>
                      <w:szCs w:val="21"/>
                      <w:lang w:bidi="ar"/>
                    </w:rPr>
                    <w:t>达标</w:t>
                  </w:r>
                </w:p>
              </w:tc>
            </w:tr>
            <w:tr w14:paraId="6C6E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34C396DA">
                  <w:pPr>
                    <w:widowControl/>
                    <w:jc w:val="center"/>
                    <w:textAlignment w:val="center"/>
                    <w:rPr>
                      <w:color w:val="000000"/>
                      <w:kern w:val="0"/>
                      <w:szCs w:val="21"/>
                      <w:lang w:bidi="ar"/>
                    </w:rPr>
                  </w:pPr>
                </w:p>
              </w:tc>
              <w:tc>
                <w:tcPr>
                  <w:tcW w:w="841" w:type="pct"/>
                  <w:shd w:val="clear" w:color="auto" w:fill="auto"/>
                  <w:noWrap w:val="0"/>
                  <w:vAlign w:val="center"/>
                </w:tcPr>
                <w:p w14:paraId="6EB403B4">
                  <w:pPr>
                    <w:widowControl/>
                    <w:jc w:val="center"/>
                    <w:textAlignment w:val="center"/>
                    <w:rPr>
                      <w:color w:val="000000"/>
                      <w:kern w:val="0"/>
                      <w:szCs w:val="21"/>
                      <w:lang w:bidi="ar"/>
                    </w:rPr>
                  </w:pPr>
                  <w:r>
                    <w:rPr>
                      <w:color w:val="000000"/>
                      <w:kern w:val="0"/>
                      <w:szCs w:val="21"/>
                      <w:lang w:bidi="ar"/>
                    </w:rPr>
                    <w:t>20:00-21:00</w:t>
                  </w:r>
                </w:p>
              </w:tc>
              <w:tc>
                <w:tcPr>
                  <w:tcW w:w="1305" w:type="pct"/>
                  <w:shd w:val="clear" w:color="auto" w:fill="auto"/>
                  <w:noWrap w:val="0"/>
                  <w:vAlign w:val="center"/>
                </w:tcPr>
                <w:p w14:paraId="7BD258AF">
                  <w:pPr>
                    <w:widowControl/>
                    <w:jc w:val="center"/>
                    <w:textAlignment w:val="center"/>
                    <w:rPr>
                      <w:color w:val="000000"/>
                      <w:kern w:val="0"/>
                      <w:szCs w:val="21"/>
                      <w:lang w:bidi="ar"/>
                    </w:rPr>
                  </w:pPr>
                  <w:r>
                    <w:rPr>
                      <w:color w:val="000000"/>
                      <w:kern w:val="0"/>
                      <w:szCs w:val="21"/>
                      <w:lang w:bidi="ar"/>
                    </w:rPr>
                    <w:t>HQ427[1]-1025-1#-4</w:t>
                  </w:r>
                </w:p>
              </w:tc>
              <w:tc>
                <w:tcPr>
                  <w:tcW w:w="794" w:type="pct"/>
                  <w:shd w:val="clear" w:color="auto" w:fill="auto"/>
                  <w:noWrap w:val="0"/>
                  <w:vAlign w:val="center"/>
                </w:tcPr>
                <w:p w14:paraId="679006F5">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7005A5F1">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60120B5B">
                  <w:pPr>
                    <w:widowControl/>
                    <w:jc w:val="center"/>
                    <w:textAlignment w:val="center"/>
                    <w:rPr>
                      <w:color w:val="000000"/>
                      <w:kern w:val="0"/>
                      <w:szCs w:val="21"/>
                      <w:lang w:bidi="ar"/>
                    </w:rPr>
                  </w:pPr>
                  <w:r>
                    <w:rPr>
                      <w:rFonts w:hint="eastAsia"/>
                      <w:color w:val="000000"/>
                      <w:kern w:val="0"/>
                      <w:szCs w:val="21"/>
                      <w:lang w:bidi="ar"/>
                    </w:rPr>
                    <w:t>达标</w:t>
                  </w:r>
                </w:p>
              </w:tc>
            </w:tr>
            <w:tr w14:paraId="6B22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restart"/>
                  <w:shd w:val="clear" w:color="auto" w:fill="auto"/>
                  <w:noWrap w:val="0"/>
                  <w:vAlign w:val="center"/>
                </w:tcPr>
                <w:p w14:paraId="0ED0D4DA">
                  <w:pPr>
                    <w:widowControl/>
                    <w:jc w:val="center"/>
                    <w:textAlignment w:val="center"/>
                    <w:rPr>
                      <w:color w:val="000000"/>
                      <w:kern w:val="0"/>
                      <w:szCs w:val="21"/>
                      <w:lang w:bidi="ar"/>
                    </w:rPr>
                  </w:pPr>
                  <w:r>
                    <w:rPr>
                      <w:color w:val="000000"/>
                      <w:kern w:val="0"/>
                      <w:szCs w:val="21"/>
                      <w:lang w:bidi="ar"/>
                    </w:rPr>
                    <w:t>2022</w:t>
                  </w:r>
                  <w:r>
                    <w:rPr>
                      <w:rFonts w:hint="eastAsia"/>
                      <w:color w:val="000000"/>
                      <w:kern w:val="0"/>
                      <w:szCs w:val="21"/>
                      <w:lang w:bidi="ar"/>
                    </w:rPr>
                    <w:t>.</w:t>
                  </w:r>
                </w:p>
                <w:p w14:paraId="6D38DAB4">
                  <w:pPr>
                    <w:widowControl/>
                    <w:jc w:val="center"/>
                    <w:textAlignment w:val="center"/>
                    <w:rPr>
                      <w:color w:val="000000"/>
                      <w:kern w:val="0"/>
                      <w:szCs w:val="21"/>
                      <w:lang w:bidi="ar"/>
                    </w:rPr>
                  </w:pPr>
                  <w:r>
                    <w:rPr>
                      <w:color w:val="000000"/>
                      <w:kern w:val="0"/>
                      <w:szCs w:val="21"/>
                      <w:lang w:bidi="ar"/>
                    </w:rPr>
                    <w:t>10</w:t>
                  </w:r>
                  <w:r>
                    <w:rPr>
                      <w:rFonts w:hint="eastAsia"/>
                      <w:color w:val="000000"/>
                      <w:kern w:val="0"/>
                      <w:szCs w:val="21"/>
                      <w:lang w:bidi="ar"/>
                    </w:rPr>
                    <w:t>.</w:t>
                  </w:r>
                  <w:r>
                    <w:rPr>
                      <w:color w:val="000000"/>
                      <w:kern w:val="0"/>
                      <w:szCs w:val="21"/>
                      <w:lang w:bidi="ar"/>
                    </w:rPr>
                    <w:t>2</w:t>
                  </w:r>
                  <w:r>
                    <w:rPr>
                      <w:rFonts w:hint="eastAsia"/>
                      <w:color w:val="000000"/>
                      <w:kern w:val="0"/>
                      <w:szCs w:val="21"/>
                      <w:lang w:bidi="ar"/>
                    </w:rPr>
                    <w:t>6</w:t>
                  </w:r>
                </w:p>
              </w:tc>
              <w:tc>
                <w:tcPr>
                  <w:tcW w:w="841" w:type="pct"/>
                  <w:shd w:val="clear" w:color="auto" w:fill="auto"/>
                  <w:noWrap w:val="0"/>
                  <w:vAlign w:val="center"/>
                </w:tcPr>
                <w:p w14:paraId="4FCB0D76">
                  <w:pPr>
                    <w:widowControl/>
                    <w:jc w:val="center"/>
                    <w:textAlignment w:val="center"/>
                    <w:rPr>
                      <w:color w:val="000000"/>
                      <w:kern w:val="0"/>
                      <w:szCs w:val="21"/>
                      <w:lang w:bidi="ar"/>
                    </w:rPr>
                  </w:pPr>
                  <w:r>
                    <w:rPr>
                      <w:color w:val="000000"/>
                      <w:kern w:val="0"/>
                      <w:szCs w:val="21"/>
                      <w:lang w:bidi="ar"/>
                    </w:rPr>
                    <w:t>02:00-03:00</w:t>
                  </w:r>
                </w:p>
              </w:tc>
              <w:tc>
                <w:tcPr>
                  <w:tcW w:w="1305" w:type="pct"/>
                  <w:shd w:val="clear" w:color="auto" w:fill="auto"/>
                  <w:noWrap w:val="0"/>
                  <w:vAlign w:val="center"/>
                </w:tcPr>
                <w:p w14:paraId="43D780A4">
                  <w:pPr>
                    <w:widowControl/>
                    <w:jc w:val="center"/>
                    <w:textAlignment w:val="center"/>
                    <w:rPr>
                      <w:color w:val="000000"/>
                      <w:kern w:val="0"/>
                      <w:szCs w:val="21"/>
                      <w:lang w:bidi="ar"/>
                    </w:rPr>
                  </w:pPr>
                  <w:r>
                    <w:rPr>
                      <w:color w:val="000000"/>
                      <w:kern w:val="0"/>
                      <w:szCs w:val="21"/>
                      <w:lang w:bidi="ar"/>
                    </w:rPr>
                    <w:t>HQ427[1]-1026-1#-1</w:t>
                  </w:r>
                </w:p>
              </w:tc>
              <w:tc>
                <w:tcPr>
                  <w:tcW w:w="794" w:type="pct"/>
                  <w:shd w:val="clear" w:color="auto" w:fill="auto"/>
                  <w:noWrap w:val="0"/>
                  <w:vAlign w:val="center"/>
                </w:tcPr>
                <w:p w14:paraId="676F45CA">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4D3A2A00">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78D84EF6">
                  <w:pPr>
                    <w:widowControl/>
                    <w:jc w:val="center"/>
                    <w:textAlignment w:val="center"/>
                    <w:rPr>
                      <w:color w:val="000000"/>
                      <w:kern w:val="0"/>
                      <w:szCs w:val="21"/>
                      <w:lang w:bidi="ar"/>
                    </w:rPr>
                  </w:pPr>
                  <w:r>
                    <w:rPr>
                      <w:rFonts w:hint="eastAsia"/>
                      <w:color w:val="000000"/>
                      <w:kern w:val="0"/>
                      <w:szCs w:val="21"/>
                      <w:lang w:bidi="ar"/>
                    </w:rPr>
                    <w:t>达标</w:t>
                  </w:r>
                </w:p>
              </w:tc>
            </w:tr>
            <w:tr w14:paraId="0B67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3267FEA2">
                  <w:pPr>
                    <w:widowControl/>
                    <w:jc w:val="center"/>
                    <w:textAlignment w:val="center"/>
                    <w:rPr>
                      <w:color w:val="000000"/>
                      <w:kern w:val="0"/>
                      <w:szCs w:val="21"/>
                      <w:lang w:bidi="ar"/>
                    </w:rPr>
                  </w:pPr>
                </w:p>
              </w:tc>
              <w:tc>
                <w:tcPr>
                  <w:tcW w:w="841" w:type="pct"/>
                  <w:shd w:val="clear" w:color="auto" w:fill="auto"/>
                  <w:noWrap w:val="0"/>
                  <w:vAlign w:val="center"/>
                </w:tcPr>
                <w:p w14:paraId="4B65F27F">
                  <w:pPr>
                    <w:widowControl/>
                    <w:jc w:val="center"/>
                    <w:textAlignment w:val="center"/>
                    <w:rPr>
                      <w:color w:val="000000"/>
                      <w:kern w:val="0"/>
                      <w:szCs w:val="21"/>
                      <w:lang w:bidi="ar"/>
                    </w:rPr>
                  </w:pPr>
                  <w:r>
                    <w:rPr>
                      <w:color w:val="000000"/>
                      <w:kern w:val="0"/>
                      <w:szCs w:val="21"/>
                      <w:lang w:bidi="ar"/>
                    </w:rPr>
                    <w:t>08:00-09:00</w:t>
                  </w:r>
                </w:p>
              </w:tc>
              <w:tc>
                <w:tcPr>
                  <w:tcW w:w="1305" w:type="pct"/>
                  <w:shd w:val="clear" w:color="auto" w:fill="auto"/>
                  <w:noWrap w:val="0"/>
                  <w:vAlign w:val="center"/>
                </w:tcPr>
                <w:p w14:paraId="56246794">
                  <w:pPr>
                    <w:widowControl/>
                    <w:jc w:val="center"/>
                    <w:textAlignment w:val="center"/>
                    <w:rPr>
                      <w:color w:val="000000"/>
                      <w:kern w:val="0"/>
                      <w:szCs w:val="21"/>
                      <w:lang w:bidi="ar"/>
                    </w:rPr>
                  </w:pPr>
                  <w:r>
                    <w:rPr>
                      <w:color w:val="000000"/>
                      <w:kern w:val="0"/>
                      <w:szCs w:val="21"/>
                      <w:lang w:bidi="ar"/>
                    </w:rPr>
                    <w:t>HQ427[1]-1026-1#-2</w:t>
                  </w:r>
                </w:p>
              </w:tc>
              <w:tc>
                <w:tcPr>
                  <w:tcW w:w="794" w:type="pct"/>
                  <w:shd w:val="clear" w:color="auto" w:fill="auto"/>
                  <w:noWrap w:val="0"/>
                  <w:vAlign w:val="center"/>
                </w:tcPr>
                <w:p w14:paraId="574FFA42">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4A77801D">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2FABE5ED">
                  <w:pPr>
                    <w:widowControl/>
                    <w:jc w:val="center"/>
                    <w:textAlignment w:val="center"/>
                    <w:rPr>
                      <w:color w:val="000000"/>
                      <w:kern w:val="0"/>
                      <w:szCs w:val="21"/>
                      <w:lang w:bidi="ar"/>
                    </w:rPr>
                  </w:pPr>
                  <w:r>
                    <w:rPr>
                      <w:rFonts w:hint="eastAsia"/>
                      <w:color w:val="000000"/>
                      <w:kern w:val="0"/>
                      <w:szCs w:val="21"/>
                      <w:lang w:bidi="ar"/>
                    </w:rPr>
                    <w:t>达标</w:t>
                  </w:r>
                </w:p>
              </w:tc>
            </w:tr>
            <w:tr w14:paraId="4F49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755AA6E6">
                  <w:pPr>
                    <w:widowControl/>
                    <w:jc w:val="center"/>
                    <w:textAlignment w:val="center"/>
                    <w:rPr>
                      <w:color w:val="000000"/>
                      <w:kern w:val="0"/>
                      <w:szCs w:val="21"/>
                      <w:lang w:bidi="ar"/>
                    </w:rPr>
                  </w:pPr>
                </w:p>
              </w:tc>
              <w:tc>
                <w:tcPr>
                  <w:tcW w:w="841" w:type="pct"/>
                  <w:shd w:val="clear" w:color="auto" w:fill="auto"/>
                  <w:noWrap w:val="0"/>
                  <w:vAlign w:val="center"/>
                </w:tcPr>
                <w:p w14:paraId="28BDE806">
                  <w:pPr>
                    <w:widowControl/>
                    <w:jc w:val="center"/>
                    <w:textAlignment w:val="center"/>
                    <w:rPr>
                      <w:color w:val="000000"/>
                      <w:kern w:val="0"/>
                      <w:szCs w:val="21"/>
                      <w:lang w:bidi="ar"/>
                    </w:rPr>
                  </w:pPr>
                  <w:r>
                    <w:rPr>
                      <w:color w:val="000000"/>
                      <w:kern w:val="0"/>
                      <w:szCs w:val="21"/>
                      <w:lang w:bidi="ar"/>
                    </w:rPr>
                    <w:t>14:00-15:00</w:t>
                  </w:r>
                </w:p>
              </w:tc>
              <w:tc>
                <w:tcPr>
                  <w:tcW w:w="1305" w:type="pct"/>
                  <w:shd w:val="clear" w:color="auto" w:fill="auto"/>
                  <w:noWrap w:val="0"/>
                  <w:vAlign w:val="center"/>
                </w:tcPr>
                <w:p w14:paraId="6A768A6F">
                  <w:pPr>
                    <w:widowControl/>
                    <w:jc w:val="center"/>
                    <w:textAlignment w:val="center"/>
                    <w:rPr>
                      <w:color w:val="000000"/>
                      <w:kern w:val="0"/>
                      <w:szCs w:val="21"/>
                      <w:lang w:bidi="ar"/>
                    </w:rPr>
                  </w:pPr>
                  <w:r>
                    <w:rPr>
                      <w:color w:val="000000"/>
                      <w:kern w:val="0"/>
                      <w:szCs w:val="21"/>
                      <w:lang w:bidi="ar"/>
                    </w:rPr>
                    <w:t>HQ427[1]-1026-1#-3</w:t>
                  </w:r>
                </w:p>
              </w:tc>
              <w:tc>
                <w:tcPr>
                  <w:tcW w:w="794" w:type="pct"/>
                  <w:shd w:val="clear" w:color="auto" w:fill="auto"/>
                  <w:noWrap w:val="0"/>
                  <w:vAlign w:val="center"/>
                </w:tcPr>
                <w:p w14:paraId="425971CE">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4BA711E5">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5B403B35">
                  <w:pPr>
                    <w:widowControl/>
                    <w:jc w:val="center"/>
                    <w:textAlignment w:val="center"/>
                    <w:rPr>
                      <w:color w:val="000000"/>
                      <w:kern w:val="0"/>
                      <w:szCs w:val="21"/>
                      <w:lang w:bidi="ar"/>
                    </w:rPr>
                  </w:pPr>
                  <w:r>
                    <w:rPr>
                      <w:rFonts w:hint="eastAsia"/>
                      <w:color w:val="000000"/>
                      <w:kern w:val="0"/>
                      <w:szCs w:val="21"/>
                      <w:lang w:bidi="ar"/>
                    </w:rPr>
                    <w:t>达标</w:t>
                  </w:r>
                </w:p>
              </w:tc>
            </w:tr>
            <w:tr w14:paraId="0D26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711DD145">
                  <w:pPr>
                    <w:widowControl/>
                    <w:jc w:val="center"/>
                    <w:textAlignment w:val="center"/>
                    <w:rPr>
                      <w:color w:val="000000"/>
                      <w:kern w:val="0"/>
                      <w:szCs w:val="21"/>
                      <w:lang w:bidi="ar"/>
                    </w:rPr>
                  </w:pPr>
                </w:p>
              </w:tc>
              <w:tc>
                <w:tcPr>
                  <w:tcW w:w="841" w:type="pct"/>
                  <w:shd w:val="clear" w:color="auto" w:fill="auto"/>
                  <w:noWrap w:val="0"/>
                  <w:vAlign w:val="center"/>
                </w:tcPr>
                <w:p w14:paraId="3D61C2EF">
                  <w:pPr>
                    <w:widowControl/>
                    <w:jc w:val="center"/>
                    <w:textAlignment w:val="center"/>
                    <w:rPr>
                      <w:color w:val="000000"/>
                      <w:kern w:val="0"/>
                      <w:szCs w:val="21"/>
                      <w:lang w:bidi="ar"/>
                    </w:rPr>
                  </w:pPr>
                  <w:r>
                    <w:rPr>
                      <w:color w:val="000000"/>
                      <w:kern w:val="0"/>
                      <w:szCs w:val="21"/>
                      <w:lang w:bidi="ar"/>
                    </w:rPr>
                    <w:t>20:00-21:00</w:t>
                  </w:r>
                </w:p>
              </w:tc>
              <w:tc>
                <w:tcPr>
                  <w:tcW w:w="1305" w:type="pct"/>
                  <w:shd w:val="clear" w:color="auto" w:fill="auto"/>
                  <w:noWrap w:val="0"/>
                  <w:vAlign w:val="center"/>
                </w:tcPr>
                <w:p w14:paraId="2EB7CE5D">
                  <w:pPr>
                    <w:widowControl/>
                    <w:jc w:val="center"/>
                    <w:textAlignment w:val="center"/>
                    <w:rPr>
                      <w:color w:val="000000"/>
                      <w:kern w:val="0"/>
                      <w:szCs w:val="21"/>
                      <w:lang w:bidi="ar"/>
                    </w:rPr>
                  </w:pPr>
                  <w:r>
                    <w:rPr>
                      <w:color w:val="000000"/>
                      <w:kern w:val="0"/>
                      <w:szCs w:val="21"/>
                      <w:lang w:bidi="ar"/>
                    </w:rPr>
                    <w:t>HQ427[1]-1026-1#-4</w:t>
                  </w:r>
                </w:p>
              </w:tc>
              <w:tc>
                <w:tcPr>
                  <w:tcW w:w="794" w:type="pct"/>
                  <w:shd w:val="clear" w:color="auto" w:fill="auto"/>
                  <w:noWrap w:val="0"/>
                  <w:vAlign w:val="center"/>
                </w:tcPr>
                <w:p w14:paraId="78D1BB6B">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1945FB62">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27A3463B">
                  <w:pPr>
                    <w:widowControl/>
                    <w:jc w:val="center"/>
                    <w:textAlignment w:val="center"/>
                    <w:rPr>
                      <w:color w:val="000000"/>
                      <w:kern w:val="0"/>
                      <w:szCs w:val="21"/>
                      <w:lang w:bidi="ar"/>
                    </w:rPr>
                  </w:pPr>
                  <w:r>
                    <w:rPr>
                      <w:rFonts w:hint="eastAsia"/>
                      <w:color w:val="000000"/>
                      <w:kern w:val="0"/>
                      <w:szCs w:val="21"/>
                      <w:lang w:bidi="ar"/>
                    </w:rPr>
                    <w:t>达标</w:t>
                  </w:r>
                </w:p>
              </w:tc>
            </w:tr>
            <w:tr w14:paraId="2818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restart"/>
                  <w:shd w:val="clear" w:color="auto" w:fill="auto"/>
                  <w:noWrap w:val="0"/>
                  <w:vAlign w:val="center"/>
                </w:tcPr>
                <w:p w14:paraId="09DF43B3">
                  <w:pPr>
                    <w:widowControl/>
                    <w:jc w:val="center"/>
                    <w:textAlignment w:val="center"/>
                    <w:rPr>
                      <w:color w:val="000000"/>
                      <w:kern w:val="0"/>
                      <w:szCs w:val="21"/>
                      <w:lang w:bidi="ar"/>
                    </w:rPr>
                  </w:pPr>
                  <w:r>
                    <w:rPr>
                      <w:color w:val="000000"/>
                      <w:kern w:val="0"/>
                      <w:szCs w:val="21"/>
                      <w:lang w:bidi="ar"/>
                    </w:rPr>
                    <w:t>2022</w:t>
                  </w:r>
                  <w:r>
                    <w:rPr>
                      <w:rFonts w:hint="eastAsia"/>
                      <w:color w:val="000000"/>
                      <w:kern w:val="0"/>
                      <w:szCs w:val="21"/>
                      <w:lang w:bidi="ar"/>
                    </w:rPr>
                    <w:t>.</w:t>
                  </w:r>
                </w:p>
                <w:p w14:paraId="3C1499E8">
                  <w:pPr>
                    <w:widowControl/>
                    <w:jc w:val="center"/>
                    <w:textAlignment w:val="center"/>
                    <w:rPr>
                      <w:color w:val="000000"/>
                      <w:kern w:val="0"/>
                      <w:szCs w:val="21"/>
                      <w:lang w:bidi="ar"/>
                    </w:rPr>
                  </w:pPr>
                  <w:r>
                    <w:rPr>
                      <w:color w:val="000000"/>
                      <w:kern w:val="0"/>
                      <w:szCs w:val="21"/>
                      <w:lang w:bidi="ar"/>
                    </w:rPr>
                    <w:t>10</w:t>
                  </w:r>
                  <w:r>
                    <w:rPr>
                      <w:rFonts w:hint="eastAsia"/>
                      <w:color w:val="000000"/>
                      <w:kern w:val="0"/>
                      <w:szCs w:val="21"/>
                      <w:lang w:bidi="ar"/>
                    </w:rPr>
                    <w:t>.</w:t>
                  </w:r>
                  <w:r>
                    <w:rPr>
                      <w:color w:val="000000"/>
                      <w:kern w:val="0"/>
                      <w:szCs w:val="21"/>
                      <w:lang w:bidi="ar"/>
                    </w:rPr>
                    <w:t>2</w:t>
                  </w:r>
                  <w:r>
                    <w:rPr>
                      <w:rFonts w:hint="eastAsia"/>
                      <w:color w:val="000000"/>
                      <w:kern w:val="0"/>
                      <w:szCs w:val="21"/>
                      <w:lang w:bidi="ar"/>
                    </w:rPr>
                    <w:t>7</w:t>
                  </w:r>
                </w:p>
              </w:tc>
              <w:tc>
                <w:tcPr>
                  <w:tcW w:w="841" w:type="pct"/>
                  <w:shd w:val="clear" w:color="auto" w:fill="auto"/>
                  <w:noWrap w:val="0"/>
                  <w:vAlign w:val="center"/>
                </w:tcPr>
                <w:p w14:paraId="11C03A9B">
                  <w:pPr>
                    <w:widowControl/>
                    <w:jc w:val="center"/>
                    <w:textAlignment w:val="center"/>
                    <w:rPr>
                      <w:color w:val="000000"/>
                      <w:kern w:val="0"/>
                      <w:szCs w:val="21"/>
                      <w:lang w:bidi="ar"/>
                    </w:rPr>
                  </w:pPr>
                  <w:r>
                    <w:rPr>
                      <w:color w:val="000000"/>
                      <w:kern w:val="0"/>
                      <w:szCs w:val="21"/>
                      <w:lang w:bidi="ar"/>
                    </w:rPr>
                    <w:t>02:00-03:00</w:t>
                  </w:r>
                </w:p>
              </w:tc>
              <w:tc>
                <w:tcPr>
                  <w:tcW w:w="1305" w:type="pct"/>
                  <w:shd w:val="clear" w:color="auto" w:fill="auto"/>
                  <w:noWrap w:val="0"/>
                  <w:vAlign w:val="center"/>
                </w:tcPr>
                <w:p w14:paraId="3E395410">
                  <w:pPr>
                    <w:widowControl/>
                    <w:jc w:val="center"/>
                    <w:textAlignment w:val="center"/>
                    <w:rPr>
                      <w:color w:val="000000"/>
                      <w:kern w:val="0"/>
                      <w:szCs w:val="21"/>
                      <w:lang w:bidi="ar"/>
                    </w:rPr>
                  </w:pPr>
                  <w:r>
                    <w:rPr>
                      <w:color w:val="000000"/>
                      <w:kern w:val="0"/>
                      <w:szCs w:val="21"/>
                      <w:lang w:bidi="ar"/>
                    </w:rPr>
                    <w:t>HQ427[1]-1027-1#-1</w:t>
                  </w:r>
                </w:p>
              </w:tc>
              <w:tc>
                <w:tcPr>
                  <w:tcW w:w="794" w:type="pct"/>
                  <w:shd w:val="clear" w:color="auto" w:fill="auto"/>
                  <w:noWrap w:val="0"/>
                  <w:vAlign w:val="center"/>
                </w:tcPr>
                <w:p w14:paraId="699B70A0">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4BF02CEB">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332408C9">
                  <w:pPr>
                    <w:widowControl/>
                    <w:jc w:val="center"/>
                    <w:textAlignment w:val="center"/>
                    <w:rPr>
                      <w:color w:val="000000"/>
                      <w:kern w:val="0"/>
                      <w:szCs w:val="21"/>
                      <w:lang w:bidi="ar"/>
                    </w:rPr>
                  </w:pPr>
                  <w:r>
                    <w:rPr>
                      <w:rFonts w:hint="eastAsia"/>
                      <w:color w:val="000000"/>
                      <w:kern w:val="0"/>
                      <w:szCs w:val="21"/>
                      <w:lang w:bidi="ar"/>
                    </w:rPr>
                    <w:t>达标</w:t>
                  </w:r>
                </w:p>
              </w:tc>
            </w:tr>
            <w:tr w14:paraId="00E2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014CACE5">
                  <w:pPr>
                    <w:widowControl/>
                    <w:jc w:val="center"/>
                    <w:textAlignment w:val="center"/>
                    <w:rPr>
                      <w:color w:val="000000"/>
                      <w:kern w:val="0"/>
                      <w:szCs w:val="21"/>
                      <w:lang w:bidi="ar"/>
                    </w:rPr>
                  </w:pPr>
                </w:p>
              </w:tc>
              <w:tc>
                <w:tcPr>
                  <w:tcW w:w="841" w:type="pct"/>
                  <w:shd w:val="clear" w:color="auto" w:fill="auto"/>
                  <w:noWrap w:val="0"/>
                  <w:vAlign w:val="center"/>
                </w:tcPr>
                <w:p w14:paraId="75E1A67B">
                  <w:pPr>
                    <w:widowControl/>
                    <w:jc w:val="center"/>
                    <w:textAlignment w:val="center"/>
                    <w:rPr>
                      <w:color w:val="000000"/>
                      <w:kern w:val="0"/>
                      <w:szCs w:val="21"/>
                      <w:lang w:bidi="ar"/>
                    </w:rPr>
                  </w:pPr>
                  <w:r>
                    <w:rPr>
                      <w:color w:val="000000"/>
                      <w:kern w:val="0"/>
                      <w:szCs w:val="21"/>
                      <w:lang w:bidi="ar"/>
                    </w:rPr>
                    <w:t>08:00-09:00</w:t>
                  </w:r>
                </w:p>
              </w:tc>
              <w:tc>
                <w:tcPr>
                  <w:tcW w:w="1305" w:type="pct"/>
                  <w:shd w:val="clear" w:color="auto" w:fill="auto"/>
                  <w:noWrap w:val="0"/>
                  <w:vAlign w:val="center"/>
                </w:tcPr>
                <w:p w14:paraId="7AB20180">
                  <w:pPr>
                    <w:widowControl/>
                    <w:jc w:val="center"/>
                    <w:textAlignment w:val="center"/>
                    <w:rPr>
                      <w:color w:val="000000"/>
                      <w:kern w:val="0"/>
                      <w:szCs w:val="21"/>
                      <w:lang w:bidi="ar"/>
                    </w:rPr>
                  </w:pPr>
                  <w:r>
                    <w:rPr>
                      <w:color w:val="000000"/>
                      <w:kern w:val="0"/>
                      <w:szCs w:val="21"/>
                      <w:lang w:bidi="ar"/>
                    </w:rPr>
                    <w:t>HQ427[1]-1027-1#-2</w:t>
                  </w:r>
                </w:p>
              </w:tc>
              <w:tc>
                <w:tcPr>
                  <w:tcW w:w="794" w:type="pct"/>
                  <w:shd w:val="clear" w:color="auto" w:fill="auto"/>
                  <w:noWrap w:val="0"/>
                  <w:vAlign w:val="center"/>
                </w:tcPr>
                <w:p w14:paraId="62B8C6CC">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2451376B">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011D25F9">
                  <w:pPr>
                    <w:widowControl/>
                    <w:jc w:val="center"/>
                    <w:textAlignment w:val="center"/>
                    <w:rPr>
                      <w:color w:val="000000"/>
                      <w:kern w:val="0"/>
                      <w:szCs w:val="21"/>
                      <w:lang w:bidi="ar"/>
                    </w:rPr>
                  </w:pPr>
                  <w:r>
                    <w:rPr>
                      <w:rFonts w:hint="eastAsia"/>
                      <w:color w:val="000000"/>
                      <w:kern w:val="0"/>
                      <w:szCs w:val="21"/>
                      <w:lang w:bidi="ar"/>
                    </w:rPr>
                    <w:t>达标</w:t>
                  </w:r>
                </w:p>
              </w:tc>
            </w:tr>
            <w:tr w14:paraId="3DF2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70" w:type="pct"/>
                  <w:vMerge w:val="continue"/>
                  <w:shd w:val="clear" w:color="auto" w:fill="auto"/>
                  <w:noWrap w:val="0"/>
                  <w:vAlign w:val="center"/>
                </w:tcPr>
                <w:p w14:paraId="2C70E2EA">
                  <w:pPr>
                    <w:widowControl/>
                    <w:jc w:val="center"/>
                    <w:textAlignment w:val="center"/>
                    <w:rPr>
                      <w:color w:val="000000"/>
                      <w:kern w:val="0"/>
                      <w:szCs w:val="21"/>
                      <w:lang w:bidi="ar"/>
                    </w:rPr>
                  </w:pPr>
                </w:p>
              </w:tc>
              <w:tc>
                <w:tcPr>
                  <w:tcW w:w="841" w:type="pct"/>
                  <w:shd w:val="clear" w:color="auto" w:fill="auto"/>
                  <w:noWrap w:val="0"/>
                  <w:vAlign w:val="center"/>
                </w:tcPr>
                <w:p w14:paraId="7D71E803">
                  <w:pPr>
                    <w:widowControl/>
                    <w:jc w:val="center"/>
                    <w:textAlignment w:val="center"/>
                    <w:rPr>
                      <w:color w:val="000000"/>
                      <w:kern w:val="0"/>
                      <w:szCs w:val="21"/>
                      <w:lang w:bidi="ar"/>
                    </w:rPr>
                  </w:pPr>
                  <w:r>
                    <w:rPr>
                      <w:color w:val="000000"/>
                      <w:kern w:val="0"/>
                      <w:szCs w:val="21"/>
                      <w:lang w:bidi="ar"/>
                    </w:rPr>
                    <w:t>14:00-15:00</w:t>
                  </w:r>
                </w:p>
              </w:tc>
              <w:tc>
                <w:tcPr>
                  <w:tcW w:w="1305" w:type="pct"/>
                  <w:shd w:val="clear" w:color="auto" w:fill="auto"/>
                  <w:noWrap w:val="0"/>
                  <w:vAlign w:val="center"/>
                </w:tcPr>
                <w:p w14:paraId="35C7E640">
                  <w:pPr>
                    <w:widowControl/>
                    <w:jc w:val="center"/>
                    <w:textAlignment w:val="center"/>
                    <w:rPr>
                      <w:color w:val="000000"/>
                      <w:kern w:val="0"/>
                      <w:szCs w:val="21"/>
                      <w:lang w:bidi="ar"/>
                    </w:rPr>
                  </w:pPr>
                  <w:r>
                    <w:rPr>
                      <w:color w:val="000000"/>
                      <w:kern w:val="0"/>
                      <w:szCs w:val="21"/>
                      <w:lang w:bidi="ar"/>
                    </w:rPr>
                    <w:t>HQ427[1]-1027-1#-3</w:t>
                  </w:r>
                </w:p>
              </w:tc>
              <w:tc>
                <w:tcPr>
                  <w:tcW w:w="794" w:type="pct"/>
                  <w:shd w:val="clear" w:color="auto" w:fill="auto"/>
                  <w:noWrap w:val="0"/>
                  <w:vAlign w:val="center"/>
                </w:tcPr>
                <w:p w14:paraId="77A680CA">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748E1EB5">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2DA06645">
                  <w:pPr>
                    <w:widowControl/>
                    <w:jc w:val="center"/>
                    <w:textAlignment w:val="center"/>
                    <w:rPr>
                      <w:color w:val="000000"/>
                      <w:kern w:val="0"/>
                      <w:szCs w:val="21"/>
                      <w:lang w:bidi="ar"/>
                    </w:rPr>
                  </w:pPr>
                  <w:r>
                    <w:rPr>
                      <w:rFonts w:hint="eastAsia"/>
                      <w:color w:val="000000"/>
                      <w:kern w:val="0"/>
                      <w:szCs w:val="21"/>
                      <w:lang w:bidi="ar"/>
                    </w:rPr>
                    <w:t>达标</w:t>
                  </w:r>
                </w:p>
              </w:tc>
            </w:tr>
            <w:tr w14:paraId="3D76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70" w:type="pct"/>
                  <w:vMerge w:val="continue"/>
                  <w:shd w:val="clear" w:color="auto" w:fill="auto"/>
                  <w:noWrap w:val="0"/>
                  <w:vAlign w:val="center"/>
                </w:tcPr>
                <w:p w14:paraId="3128D3F2">
                  <w:pPr>
                    <w:widowControl/>
                    <w:jc w:val="center"/>
                    <w:textAlignment w:val="center"/>
                    <w:rPr>
                      <w:color w:val="000000"/>
                      <w:kern w:val="0"/>
                      <w:szCs w:val="21"/>
                      <w:lang w:bidi="ar"/>
                    </w:rPr>
                  </w:pPr>
                </w:p>
              </w:tc>
              <w:tc>
                <w:tcPr>
                  <w:tcW w:w="841" w:type="pct"/>
                  <w:shd w:val="clear" w:color="auto" w:fill="auto"/>
                  <w:noWrap w:val="0"/>
                  <w:vAlign w:val="center"/>
                </w:tcPr>
                <w:p w14:paraId="5C47B590">
                  <w:pPr>
                    <w:widowControl/>
                    <w:jc w:val="center"/>
                    <w:textAlignment w:val="center"/>
                    <w:rPr>
                      <w:color w:val="000000"/>
                      <w:kern w:val="0"/>
                      <w:szCs w:val="21"/>
                      <w:lang w:bidi="ar"/>
                    </w:rPr>
                  </w:pPr>
                  <w:r>
                    <w:rPr>
                      <w:color w:val="000000"/>
                      <w:kern w:val="0"/>
                      <w:szCs w:val="21"/>
                      <w:lang w:bidi="ar"/>
                    </w:rPr>
                    <w:t>20:00-21:00</w:t>
                  </w:r>
                </w:p>
              </w:tc>
              <w:tc>
                <w:tcPr>
                  <w:tcW w:w="1305" w:type="pct"/>
                  <w:shd w:val="clear" w:color="auto" w:fill="auto"/>
                  <w:noWrap w:val="0"/>
                  <w:vAlign w:val="center"/>
                </w:tcPr>
                <w:p w14:paraId="05E2F8D6">
                  <w:pPr>
                    <w:widowControl/>
                    <w:jc w:val="center"/>
                    <w:textAlignment w:val="center"/>
                    <w:rPr>
                      <w:color w:val="000000"/>
                      <w:kern w:val="0"/>
                      <w:szCs w:val="21"/>
                      <w:lang w:bidi="ar"/>
                    </w:rPr>
                  </w:pPr>
                  <w:r>
                    <w:rPr>
                      <w:color w:val="000000"/>
                      <w:kern w:val="0"/>
                      <w:szCs w:val="21"/>
                      <w:lang w:bidi="ar"/>
                    </w:rPr>
                    <w:t>HQ427[1]-1027-1#-4</w:t>
                  </w:r>
                </w:p>
              </w:tc>
              <w:tc>
                <w:tcPr>
                  <w:tcW w:w="794" w:type="pct"/>
                  <w:shd w:val="clear" w:color="auto" w:fill="auto"/>
                  <w:noWrap w:val="0"/>
                  <w:vAlign w:val="center"/>
                </w:tcPr>
                <w:p w14:paraId="7FF21DA9">
                  <w:pPr>
                    <w:widowControl/>
                    <w:jc w:val="center"/>
                    <w:textAlignment w:val="center"/>
                    <w:rPr>
                      <w:color w:val="000000"/>
                      <w:kern w:val="0"/>
                      <w:szCs w:val="21"/>
                      <w:lang w:bidi="ar"/>
                    </w:rPr>
                  </w:pPr>
                  <w:r>
                    <w:rPr>
                      <w:color w:val="000000"/>
                      <w:kern w:val="0"/>
                      <w:szCs w:val="21"/>
                      <w:lang w:bidi="ar"/>
                    </w:rPr>
                    <w:t>0.1L</w:t>
                  </w:r>
                </w:p>
              </w:tc>
              <w:tc>
                <w:tcPr>
                  <w:tcW w:w="794" w:type="pct"/>
                  <w:shd w:val="clear" w:color="auto" w:fill="auto"/>
                  <w:noWrap w:val="0"/>
                  <w:vAlign w:val="center"/>
                </w:tcPr>
                <w:p w14:paraId="38BC3020">
                  <w:pPr>
                    <w:widowControl/>
                    <w:jc w:val="center"/>
                    <w:textAlignment w:val="center"/>
                    <w:rPr>
                      <w:color w:val="000000"/>
                      <w:kern w:val="0"/>
                      <w:szCs w:val="21"/>
                      <w:lang w:bidi="ar"/>
                    </w:rPr>
                  </w:pPr>
                  <w:r>
                    <w:rPr>
                      <w:rFonts w:hint="eastAsia"/>
                      <w:color w:val="000000"/>
                      <w:kern w:val="0"/>
                      <w:szCs w:val="21"/>
                      <w:lang w:bidi="ar"/>
                    </w:rPr>
                    <w:t>1</w:t>
                  </w:r>
                </w:p>
              </w:tc>
              <w:tc>
                <w:tcPr>
                  <w:tcW w:w="794" w:type="pct"/>
                  <w:shd w:val="clear" w:color="auto" w:fill="auto"/>
                  <w:noWrap w:val="0"/>
                  <w:vAlign w:val="center"/>
                </w:tcPr>
                <w:p w14:paraId="66A02803">
                  <w:pPr>
                    <w:widowControl/>
                    <w:jc w:val="center"/>
                    <w:textAlignment w:val="center"/>
                    <w:rPr>
                      <w:color w:val="000000"/>
                      <w:kern w:val="0"/>
                      <w:szCs w:val="21"/>
                      <w:lang w:bidi="ar"/>
                    </w:rPr>
                  </w:pPr>
                  <w:r>
                    <w:rPr>
                      <w:rFonts w:hint="eastAsia"/>
                      <w:color w:val="000000"/>
                      <w:kern w:val="0"/>
                      <w:szCs w:val="21"/>
                      <w:lang w:bidi="ar"/>
                    </w:rPr>
                    <w:t>达标</w:t>
                  </w:r>
                </w:p>
              </w:tc>
            </w:tr>
          </w:tbl>
          <w:p w14:paraId="4DCF6199">
            <w:pPr>
              <w:adjustRightInd w:val="0"/>
              <w:snapToGrid w:val="0"/>
              <w:spacing w:line="360" w:lineRule="auto"/>
              <w:ind w:firstLine="420"/>
              <w:rPr>
                <w:color w:val="000000"/>
                <w:sz w:val="24"/>
              </w:rPr>
            </w:pPr>
            <w:r>
              <w:rPr>
                <w:rFonts w:hint="eastAsia"/>
                <w:color w:val="000000"/>
                <w:sz w:val="24"/>
              </w:rPr>
              <w:t>根据上表，项目区甲醇日均浓度满足</w:t>
            </w:r>
            <w:r>
              <w:rPr>
                <w:color w:val="000000"/>
                <w:sz w:val="24"/>
              </w:rPr>
              <w:t>《环境影响评价技术导则 大气环境（HJ2.2-2018）》表D.1其他污染物空气质量浓度参考限值中</w:t>
            </w:r>
            <w:r>
              <w:rPr>
                <w:rFonts w:hint="eastAsia"/>
                <w:color w:val="000000"/>
                <w:sz w:val="24"/>
              </w:rPr>
              <w:t>甲醇</w:t>
            </w:r>
            <w:r>
              <w:rPr>
                <w:color w:val="000000"/>
                <w:sz w:val="24"/>
              </w:rPr>
              <w:t>选用的环境质量浓度标准限值</w:t>
            </w:r>
            <w:r>
              <w:rPr>
                <w:rFonts w:hint="eastAsia"/>
                <w:color w:val="000000"/>
                <w:sz w:val="24"/>
              </w:rPr>
              <w:t>1</w:t>
            </w:r>
            <w:r>
              <w:rPr>
                <w:color w:val="000000"/>
                <w:sz w:val="24"/>
              </w:rPr>
              <w:t>mg/m</w:t>
            </w:r>
            <w:r>
              <w:rPr>
                <w:color w:val="000000"/>
                <w:sz w:val="24"/>
                <w:vertAlign w:val="superscript"/>
              </w:rPr>
              <w:t>3</w:t>
            </w:r>
            <w:r>
              <w:rPr>
                <w:color w:val="000000"/>
                <w:sz w:val="24"/>
              </w:rPr>
              <w:t>，项目所在区域大气环境质量较好。</w:t>
            </w:r>
          </w:p>
          <w:p w14:paraId="617DAE31">
            <w:pPr>
              <w:spacing w:line="360" w:lineRule="auto"/>
              <w:ind w:firstLine="482" w:firstLineChars="200"/>
              <w:rPr>
                <w:rFonts w:hint="eastAsia"/>
                <w:b/>
                <w:color w:val="000000"/>
                <w:kern w:val="24"/>
                <w:sz w:val="24"/>
              </w:rPr>
            </w:pPr>
            <w:r>
              <w:rPr>
                <w:rFonts w:hint="eastAsia"/>
                <w:b/>
                <w:color w:val="000000"/>
                <w:kern w:val="24"/>
                <w:sz w:val="24"/>
              </w:rPr>
              <w:t>2、地表水环境质量现状</w:t>
            </w:r>
          </w:p>
          <w:p w14:paraId="362C2A20">
            <w:pPr>
              <w:adjustRightInd w:val="0"/>
              <w:snapToGrid w:val="0"/>
              <w:spacing w:line="360" w:lineRule="auto"/>
              <w:ind w:firstLine="420"/>
              <w:rPr>
                <w:rFonts w:hint="eastAsia"/>
                <w:color w:val="000000"/>
                <w:sz w:val="24"/>
              </w:rPr>
            </w:pPr>
            <w:r>
              <w:rPr>
                <w:rFonts w:hint="eastAsia"/>
                <w:color w:val="000000"/>
                <w:sz w:val="24"/>
                <w:lang w:val="zh-CN"/>
              </w:rPr>
              <w:t>评价区涉及的</w:t>
            </w:r>
            <w:r>
              <w:rPr>
                <w:rFonts w:hint="eastAsia"/>
                <w:color w:val="000000"/>
                <w:sz w:val="24"/>
              </w:rPr>
              <w:t>地表水体为项目东侧</w:t>
            </w:r>
            <w:r>
              <w:rPr>
                <w:color w:val="000000"/>
                <w:sz w:val="24"/>
              </w:rPr>
              <w:t>800</w:t>
            </w:r>
            <w:r>
              <w:rPr>
                <w:rFonts w:hint="eastAsia"/>
                <w:color w:val="000000"/>
                <w:sz w:val="24"/>
              </w:rPr>
              <w:t>m处的巴江，根据《云南省水功能区划报告》（云南省水利厅</w:t>
            </w:r>
            <w:r>
              <w:rPr>
                <w:color w:val="000000"/>
                <w:sz w:val="24"/>
              </w:rPr>
              <w:t>2014</w:t>
            </w:r>
            <w:r>
              <w:rPr>
                <w:rFonts w:hint="eastAsia"/>
                <w:color w:val="000000"/>
                <w:sz w:val="24"/>
              </w:rPr>
              <w:t>年修订），巴江（石林～大叠水），属于巴江石林工业、农业、景观用水区，水环境功能主要为工业、农灌、景观用水，水质目标为2020年达到Ⅲ类，2030年达到Ⅲ类，执行《地表水环境质量标准》（GB3838-2002）III类水质标准。</w:t>
            </w:r>
          </w:p>
          <w:p w14:paraId="7A884A74">
            <w:pPr>
              <w:adjustRightInd w:val="0"/>
              <w:snapToGrid w:val="0"/>
              <w:spacing w:line="360" w:lineRule="auto"/>
              <w:ind w:firstLine="420"/>
              <w:rPr>
                <w:rFonts w:hint="eastAsia"/>
                <w:color w:val="000000"/>
                <w:sz w:val="24"/>
              </w:rPr>
            </w:pPr>
            <w:r>
              <w:rPr>
                <w:rFonts w:hint="eastAsia"/>
                <w:color w:val="000000"/>
                <w:sz w:val="24"/>
              </w:rPr>
              <w:t>根据石林彝族自治县人民政府网站发布的《石林彝族自治县环境质量公报（2022年）》，巴江东山桥断面（项目区下游5.3km）断面达到Ⅱ水质，巴江大叠水断面达到Ⅲ类水质，即巴江（石林～大叠水）总体可达到《地表水环境质量标准》（GB3838-2002）中Ⅲ类水质标准。</w:t>
            </w:r>
          </w:p>
          <w:p w14:paraId="7171F94A">
            <w:pPr>
              <w:spacing w:line="360" w:lineRule="auto"/>
              <w:ind w:firstLine="482" w:firstLineChars="200"/>
              <w:rPr>
                <w:rFonts w:hint="eastAsia"/>
                <w:b/>
                <w:color w:val="000000"/>
                <w:kern w:val="24"/>
                <w:sz w:val="24"/>
              </w:rPr>
            </w:pPr>
            <w:r>
              <w:rPr>
                <w:rFonts w:hint="eastAsia"/>
                <w:b/>
                <w:color w:val="000000"/>
                <w:kern w:val="24"/>
                <w:sz w:val="24"/>
              </w:rPr>
              <w:t>3、声环境质量现状</w:t>
            </w:r>
          </w:p>
          <w:p w14:paraId="72F4AC29">
            <w:pPr>
              <w:adjustRightInd w:val="0"/>
              <w:snapToGrid w:val="0"/>
              <w:spacing w:line="360" w:lineRule="auto"/>
              <w:ind w:firstLine="420"/>
              <w:rPr>
                <w:rFonts w:hint="eastAsia"/>
                <w:color w:val="000000"/>
                <w:sz w:val="24"/>
              </w:rPr>
            </w:pPr>
            <w:r>
              <w:rPr>
                <w:rFonts w:hint="eastAsia"/>
                <w:color w:val="000000"/>
                <w:sz w:val="24"/>
              </w:rPr>
              <w:t>项目位于</w:t>
            </w:r>
            <w:bookmarkStart w:id="9" w:name="_Hlk129787758"/>
            <w:r>
              <w:rPr>
                <w:rFonts w:hint="eastAsia"/>
                <w:color w:val="000000"/>
                <w:sz w:val="24"/>
              </w:rPr>
              <w:t>石林县板桥街道板桥社区碧落甸村</w:t>
            </w:r>
            <w:bookmarkEnd w:id="9"/>
            <w:r>
              <w:rPr>
                <w:rFonts w:hint="eastAsia"/>
                <w:color w:val="000000"/>
                <w:sz w:val="24"/>
              </w:rPr>
              <w:t>，属于2类声环境功能区，执行《声环境质量标准》（GB3096-2008）2类标准。</w:t>
            </w:r>
          </w:p>
          <w:p w14:paraId="434D398B">
            <w:pPr>
              <w:spacing w:line="360" w:lineRule="auto"/>
              <w:ind w:firstLine="480" w:firstLineChars="200"/>
              <w:rPr>
                <w:rFonts w:hint="eastAsia"/>
                <w:color w:val="000000"/>
                <w:sz w:val="24"/>
              </w:rPr>
            </w:pPr>
            <w:r>
              <w:rPr>
                <w:rFonts w:hint="eastAsia"/>
                <w:color w:val="000000"/>
                <w:sz w:val="24"/>
              </w:rPr>
              <w:t>根据现场调查，项目厂界外周边50m范围内有声环境保护目标。云南泰义检测技术有限公司于</w:t>
            </w:r>
            <w:bookmarkStart w:id="10" w:name="_Hlk129788255"/>
            <w:r>
              <w:rPr>
                <w:rFonts w:hint="eastAsia"/>
                <w:color w:val="000000"/>
                <w:sz w:val="24"/>
              </w:rPr>
              <w:t>2022年10月25日-26日</w:t>
            </w:r>
            <w:bookmarkEnd w:id="10"/>
            <w:r>
              <w:rPr>
                <w:rFonts w:hint="eastAsia"/>
                <w:color w:val="000000"/>
                <w:sz w:val="24"/>
              </w:rPr>
              <w:t>对</w:t>
            </w:r>
            <w:r>
              <w:rPr>
                <w:rFonts w:hint="eastAsia"/>
                <w:b/>
                <w:color w:val="000000"/>
                <w:sz w:val="24"/>
                <w:u w:val="single"/>
              </w:rPr>
              <w:t>板桥社区养老院</w:t>
            </w:r>
            <w:r>
              <w:rPr>
                <w:rFonts w:hint="eastAsia"/>
                <w:color w:val="000000"/>
                <w:sz w:val="24"/>
              </w:rPr>
              <w:t>的声环境质量进行了监测，监测结果如下（监测报告详见附件）。</w:t>
            </w:r>
          </w:p>
          <w:p w14:paraId="2A1DFD9D">
            <w:pPr>
              <w:adjustRightInd w:val="0"/>
              <w:snapToGrid w:val="0"/>
              <w:spacing w:line="360" w:lineRule="auto"/>
              <w:ind w:firstLine="420"/>
              <w:jc w:val="center"/>
              <w:rPr>
                <w:b/>
                <w:color w:val="000000"/>
              </w:rPr>
            </w:pPr>
            <w:r>
              <w:rPr>
                <w:rFonts w:hint="eastAsia"/>
                <w:b/>
                <w:color w:val="000000"/>
              </w:rPr>
              <w:t>表3-2  区域声环境质量监测结果评价表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280"/>
              <w:gridCol w:w="1452"/>
              <w:gridCol w:w="1383"/>
              <w:gridCol w:w="1349"/>
              <w:gridCol w:w="1366"/>
            </w:tblGrid>
            <w:tr w14:paraId="5EDC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restart"/>
                  <w:shd w:val="clear" w:color="auto" w:fill="auto"/>
                  <w:noWrap w:val="0"/>
                  <w:vAlign w:val="center"/>
                </w:tcPr>
                <w:p w14:paraId="20090D47">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日期</w:t>
                  </w:r>
                </w:p>
              </w:tc>
              <w:tc>
                <w:tcPr>
                  <w:tcW w:w="2732" w:type="dxa"/>
                  <w:gridSpan w:val="2"/>
                  <w:shd w:val="clear" w:color="auto" w:fill="auto"/>
                  <w:noWrap w:val="0"/>
                  <w:vAlign w:val="center"/>
                </w:tcPr>
                <w:p w14:paraId="4A2F4411">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昼间</w:t>
                  </w:r>
                </w:p>
              </w:tc>
              <w:tc>
                <w:tcPr>
                  <w:tcW w:w="1383" w:type="dxa"/>
                  <w:shd w:val="clear" w:color="auto" w:fill="auto"/>
                  <w:noWrap w:val="0"/>
                  <w:vAlign w:val="center"/>
                </w:tcPr>
                <w:p w14:paraId="37AEE4E2">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夜间</w:t>
                  </w:r>
                </w:p>
              </w:tc>
              <w:tc>
                <w:tcPr>
                  <w:tcW w:w="1349" w:type="dxa"/>
                  <w:shd w:val="clear" w:color="auto" w:fill="auto"/>
                  <w:noWrap w:val="0"/>
                  <w:vAlign w:val="center"/>
                </w:tcPr>
                <w:p w14:paraId="454D03D5">
                  <w:pPr>
                    <w:pStyle w:val="2"/>
                    <w:pBdr>
                      <w:top w:val="none" w:color="auto" w:sz="0" w:space="0"/>
                      <w:left w:val="none" w:color="auto" w:sz="0" w:space="0"/>
                      <w:bottom w:val="none" w:color="auto" w:sz="0" w:space="0"/>
                      <w:right w:val="none" w:color="auto" w:sz="0" w:space="0"/>
                    </w:pBdr>
                    <w:jc w:val="center"/>
                    <w:rPr>
                      <w:rFonts w:hint="eastAsia"/>
                      <w:color w:val="000000"/>
                      <w:sz w:val="21"/>
                    </w:rPr>
                  </w:pPr>
                </w:p>
              </w:tc>
              <w:tc>
                <w:tcPr>
                  <w:tcW w:w="1366" w:type="dxa"/>
                  <w:vMerge w:val="restart"/>
                  <w:shd w:val="clear" w:color="auto" w:fill="auto"/>
                  <w:noWrap w:val="0"/>
                  <w:vAlign w:val="center"/>
                </w:tcPr>
                <w:p w14:paraId="100D2F29">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评价</w:t>
                  </w:r>
                </w:p>
              </w:tc>
            </w:tr>
            <w:tr w14:paraId="644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Merge w:val="continue"/>
                  <w:shd w:val="clear" w:color="auto" w:fill="auto"/>
                  <w:noWrap w:val="0"/>
                  <w:vAlign w:val="center"/>
                </w:tcPr>
                <w:p w14:paraId="1151DED2">
                  <w:pPr>
                    <w:pStyle w:val="2"/>
                    <w:pBdr>
                      <w:top w:val="none" w:color="auto" w:sz="0" w:space="0"/>
                      <w:left w:val="none" w:color="auto" w:sz="0" w:space="0"/>
                      <w:bottom w:val="none" w:color="auto" w:sz="0" w:space="0"/>
                      <w:right w:val="none" w:color="auto" w:sz="0" w:space="0"/>
                    </w:pBdr>
                    <w:jc w:val="center"/>
                    <w:rPr>
                      <w:rFonts w:hint="eastAsia"/>
                      <w:color w:val="000000"/>
                      <w:sz w:val="21"/>
                    </w:rPr>
                  </w:pPr>
                </w:p>
              </w:tc>
              <w:tc>
                <w:tcPr>
                  <w:tcW w:w="1280" w:type="dxa"/>
                  <w:shd w:val="clear" w:color="auto" w:fill="auto"/>
                  <w:noWrap w:val="0"/>
                  <w:vAlign w:val="center"/>
                </w:tcPr>
                <w:p w14:paraId="5693DD8A">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监测值</w:t>
                  </w:r>
                </w:p>
              </w:tc>
              <w:tc>
                <w:tcPr>
                  <w:tcW w:w="1452" w:type="dxa"/>
                  <w:shd w:val="clear" w:color="auto" w:fill="auto"/>
                  <w:noWrap w:val="0"/>
                  <w:vAlign w:val="center"/>
                </w:tcPr>
                <w:p w14:paraId="08AD3B09">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标准值</w:t>
                  </w:r>
                </w:p>
              </w:tc>
              <w:tc>
                <w:tcPr>
                  <w:tcW w:w="1383" w:type="dxa"/>
                  <w:shd w:val="clear" w:color="auto" w:fill="auto"/>
                  <w:noWrap w:val="0"/>
                  <w:vAlign w:val="center"/>
                </w:tcPr>
                <w:p w14:paraId="6AD2600E">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监测值</w:t>
                  </w:r>
                </w:p>
              </w:tc>
              <w:tc>
                <w:tcPr>
                  <w:tcW w:w="1349" w:type="dxa"/>
                  <w:shd w:val="clear" w:color="auto" w:fill="auto"/>
                  <w:noWrap w:val="0"/>
                  <w:vAlign w:val="center"/>
                </w:tcPr>
                <w:p w14:paraId="6477B28C">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标准值</w:t>
                  </w:r>
                </w:p>
              </w:tc>
              <w:tc>
                <w:tcPr>
                  <w:tcW w:w="1366" w:type="dxa"/>
                  <w:vMerge w:val="continue"/>
                  <w:shd w:val="clear" w:color="auto" w:fill="auto"/>
                  <w:noWrap w:val="0"/>
                  <w:vAlign w:val="center"/>
                </w:tcPr>
                <w:p w14:paraId="1010F4C2">
                  <w:pPr>
                    <w:pStyle w:val="2"/>
                    <w:pBdr>
                      <w:top w:val="none" w:color="auto" w:sz="0" w:space="0"/>
                      <w:left w:val="none" w:color="auto" w:sz="0" w:space="0"/>
                      <w:bottom w:val="none" w:color="auto" w:sz="0" w:space="0"/>
                      <w:right w:val="none" w:color="auto" w:sz="0" w:space="0"/>
                    </w:pBdr>
                    <w:jc w:val="center"/>
                    <w:rPr>
                      <w:rFonts w:hint="eastAsia"/>
                      <w:color w:val="000000"/>
                      <w:sz w:val="21"/>
                    </w:rPr>
                  </w:pPr>
                </w:p>
              </w:tc>
            </w:tr>
            <w:tr w14:paraId="6F28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auto"/>
                  <w:noWrap w:val="0"/>
                  <w:vAlign w:val="center"/>
                </w:tcPr>
                <w:p w14:paraId="51615ADF">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color w:val="000000"/>
                      <w:sz w:val="21"/>
                    </w:rPr>
                    <w:t>2022</w:t>
                  </w:r>
                  <w:r>
                    <w:rPr>
                      <w:rFonts w:hint="eastAsia"/>
                      <w:color w:val="000000"/>
                      <w:sz w:val="21"/>
                    </w:rPr>
                    <w:t>1025</w:t>
                  </w:r>
                </w:p>
              </w:tc>
              <w:tc>
                <w:tcPr>
                  <w:tcW w:w="1280" w:type="dxa"/>
                  <w:shd w:val="clear" w:color="auto" w:fill="auto"/>
                  <w:noWrap w:val="0"/>
                  <w:vAlign w:val="center"/>
                </w:tcPr>
                <w:p w14:paraId="2BFC5B3B">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54</w:t>
                  </w:r>
                </w:p>
              </w:tc>
              <w:tc>
                <w:tcPr>
                  <w:tcW w:w="1452" w:type="dxa"/>
                  <w:shd w:val="clear" w:color="auto" w:fill="auto"/>
                  <w:noWrap w:val="0"/>
                  <w:vAlign w:val="center"/>
                </w:tcPr>
                <w:p w14:paraId="3AB68B5C">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60</w:t>
                  </w:r>
                </w:p>
              </w:tc>
              <w:tc>
                <w:tcPr>
                  <w:tcW w:w="1383" w:type="dxa"/>
                  <w:shd w:val="clear" w:color="auto" w:fill="auto"/>
                  <w:noWrap w:val="0"/>
                  <w:vAlign w:val="center"/>
                </w:tcPr>
                <w:p w14:paraId="72FB384C">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43</w:t>
                  </w:r>
                </w:p>
              </w:tc>
              <w:tc>
                <w:tcPr>
                  <w:tcW w:w="1349" w:type="dxa"/>
                  <w:shd w:val="clear" w:color="auto" w:fill="auto"/>
                  <w:noWrap w:val="0"/>
                  <w:vAlign w:val="center"/>
                </w:tcPr>
                <w:p w14:paraId="29F45125">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50</w:t>
                  </w:r>
                </w:p>
              </w:tc>
              <w:tc>
                <w:tcPr>
                  <w:tcW w:w="1366" w:type="dxa"/>
                  <w:shd w:val="clear" w:color="auto" w:fill="auto"/>
                  <w:noWrap w:val="0"/>
                  <w:vAlign w:val="center"/>
                </w:tcPr>
                <w:p w14:paraId="6DC4D54E">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达标</w:t>
                  </w:r>
                </w:p>
              </w:tc>
            </w:tr>
            <w:tr w14:paraId="432B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auto"/>
                  <w:noWrap w:val="0"/>
                  <w:vAlign w:val="center"/>
                </w:tcPr>
                <w:p w14:paraId="28D997E8">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color w:val="000000"/>
                      <w:sz w:val="21"/>
                    </w:rPr>
                    <w:t>2022</w:t>
                  </w:r>
                  <w:r>
                    <w:rPr>
                      <w:rFonts w:hint="eastAsia"/>
                      <w:color w:val="000000"/>
                      <w:sz w:val="21"/>
                    </w:rPr>
                    <w:t>102</w:t>
                  </w:r>
                  <w:r>
                    <w:rPr>
                      <w:color w:val="000000"/>
                      <w:sz w:val="21"/>
                    </w:rPr>
                    <w:t>6</w:t>
                  </w:r>
                </w:p>
              </w:tc>
              <w:tc>
                <w:tcPr>
                  <w:tcW w:w="1280" w:type="dxa"/>
                  <w:shd w:val="clear" w:color="auto" w:fill="auto"/>
                  <w:noWrap w:val="0"/>
                  <w:vAlign w:val="center"/>
                </w:tcPr>
                <w:p w14:paraId="60EF6A98">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52</w:t>
                  </w:r>
                </w:p>
              </w:tc>
              <w:tc>
                <w:tcPr>
                  <w:tcW w:w="1452" w:type="dxa"/>
                  <w:shd w:val="clear" w:color="auto" w:fill="auto"/>
                  <w:noWrap w:val="0"/>
                  <w:vAlign w:val="center"/>
                </w:tcPr>
                <w:p w14:paraId="1716E511">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60</w:t>
                  </w:r>
                </w:p>
              </w:tc>
              <w:tc>
                <w:tcPr>
                  <w:tcW w:w="1383" w:type="dxa"/>
                  <w:shd w:val="clear" w:color="auto" w:fill="auto"/>
                  <w:noWrap w:val="0"/>
                  <w:vAlign w:val="center"/>
                </w:tcPr>
                <w:p w14:paraId="181EA00C">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42</w:t>
                  </w:r>
                </w:p>
              </w:tc>
              <w:tc>
                <w:tcPr>
                  <w:tcW w:w="1349" w:type="dxa"/>
                  <w:shd w:val="clear" w:color="auto" w:fill="auto"/>
                  <w:noWrap w:val="0"/>
                  <w:vAlign w:val="center"/>
                </w:tcPr>
                <w:p w14:paraId="133B9397">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50</w:t>
                  </w:r>
                </w:p>
              </w:tc>
              <w:tc>
                <w:tcPr>
                  <w:tcW w:w="1366" w:type="dxa"/>
                  <w:shd w:val="clear" w:color="auto" w:fill="auto"/>
                  <w:noWrap w:val="0"/>
                  <w:vAlign w:val="center"/>
                </w:tcPr>
                <w:p w14:paraId="17547B78">
                  <w:pPr>
                    <w:pStyle w:val="2"/>
                    <w:pBdr>
                      <w:top w:val="none" w:color="auto" w:sz="0" w:space="0"/>
                      <w:left w:val="none" w:color="auto" w:sz="0" w:space="0"/>
                      <w:bottom w:val="none" w:color="auto" w:sz="0" w:space="0"/>
                      <w:right w:val="none" w:color="auto" w:sz="0" w:space="0"/>
                    </w:pBdr>
                    <w:jc w:val="center"/>
                    <w:rPr>
                      <w:rFonts w:hint="eastAsia"/>
                      <w:color w:val="000000"/>
                      <w:sz w:val="21"/>
                    </w:rPr>
                  </w:pPr>
                  <w:r>
                    <w:rPr>
                      <w:rFonts w:hint="eastAsia"/>
                      <w:color w:val="000000"/>
                      <w:sz w:val="21"/>
                    </w:rPr>
                    <w:t>达标</w:t>
                  </w:r>
                </w:p>
              </w:tc>
            </w:tr>
          </w:tbl>
          <w:p w14:paraId="2FB9CD06">
            <w:pPr>
              <w:pBdr>
                <w:top w:val="none" w:color="auto" w:sz="0" w:space="1"/>
                <w:left w:val="none" w:color="auto" w:sz="0" w:space="4"/>
                <w:bottom w:val="none" w:color="auto" w:sz="0" w:space="1"/>
                <w:right w:val="none" w:color="auto" w:sz="0" w:space="4"/>
              </w:pBdr>
              <w:adjustRightInd w:val="0"/>
              <w:snapToGrid w:val="0"/>
              <w:spacing w:line="360" w:lineRule="auto"/>
              <w:ind w:firstLine="420"/>
              <w:rPr>
                <w:rFonts w:hint="eastAsia"/>
                <w:color w:val="000000"/>
                <w:sz w:val="24"/>
              </w:rPr>
            </w:pPr>
            <w:r>
              <w:rPr>
                <w:rFonts w:hint="eastAsia"/>
                <w:color w:val="000000"/>
                <w:sz w:val="24"/>
              </w:rPr>
              <w:t>从现状监测结果可知，项目所在区域声环境质量</w:t>
            </w:r>
            <w:bookmarkStart w:id="11" w:name="_Hlk129788519"/>
            <w:r>
              <w:rPr>
                <w:rFonts w:hint="eastAsia"/>
                <w:color w:val="000000"/>
                <w:sz w:val="24"/>
              </w:rPr>
              <w:t>及敏感目标满足《声环境质量标准》（GB3096-2008）2类标准要求。</w:t>
            </w:r>
            <w:bookmarkEnd w:id="11"/>
          </w:p>
          <w:p w14:paraId="0A63DDC6">
            <w:pPr>
              <w:spacing w:line="360" w:lineRule="auto"/>
              <w:ind w:firstLine="482" w:firstLineChars="200"/>
              <w:rPr>
                <w:rFonts w:hint="eastAsia"/>
                <w:b/>
                <w:color w:val="000000"/>
                <w:kern w:val="24"/>
                <w:sz w:val="24"/>
              </w:rPr>
            </w:pPr>
            <w:r>
              <w:rPr>
                <w:rFonts w:hint="eastAsia"/>
                <w:b/>
                <w:color w:val="000000"/>
                <w:kern w:val="24"/>
                <w:sz w:val="24"/>
              </w:rPr>
              <w:t>4、生态环境质量现状</w:t>
            </w:r>
          </w:p>
          <w:p w14:paraId="67D22F49">
            <w:pPr>
              <w:pStyle w:val="33"/>
              <w:rPr>
                <w:rFonts w:hint="eastAsia"/>
              </w:rPr>
            </w:pPr>
            <w:r>
              <w:rPr>
                <w:rFonts w:hint="eastAsia"/>
                <w:szCs w:val="24"/>
              </w:rPr>
              <w:t>根据现场踏勘，项目区域人类活动频繁，</w:t>
            </w:r>
            <w:r>
              <w:rPr>
                <w:rFonts w:hint="eastAsia"/>
              </w:rPr>
              <w:t>生态系统类型单一，</w:t>
            </w:r>
            <w:r>
              <w:rPr>
                <w:rFonts w:hint="eastAsia"/>
                <w:szCs w:val="24"/>
              </w:rPr>
              <w:t>区域内现主要为农田植被，区域种植有玉米、红薯、花木等，无原生植被</w:t>
            </w:r>
            <w:r>
              <w:rPr>
                <w:rFonts w:hint="eastAsia"/>
              </w:rPr>
              <w:t>。</w:t>
            </w:r>
            <w:r>
              <w:t>评价区动物种类及数量均较少，在野外调查中难以见到。动物种类主要为小型鸟类、兽类和常见两栖类，如麻雀、田鼠、蛙类等。经实地查勘，评价区内未发现珍稀濒危和重点保护野生动植物分布。</w:t>
            </w:r>
          </w:p>
          <w:p w14:paraId="41386FA9">
            <w:pPr>
              <w:spacing w:line="360" w:lineRule="auto"/>
              <w:ind w:firstLine="482" w:firstLineChars="200"/>
              <w:rPr>
                <w:rFonts w:hint="eastAsia"/>
                <w:b/>
                <w:color w:val="000000"/>
                <w:kern w:val="24"/>
                <w:sz w:val="24"/>
              </w:rPr>
            </w:pPr>
            <w:r>
              <w:rPr>
                <w:rFonts w:hint="eastAsia"/>
                <w:b/>
                <w:color w:val="000000"/>
                <w:kern w:val="24"/>
                <w:sz w:val="24"/>
              </w:rPr>
              <w:t>5、地下水、土壤环境</w:t>
            </w:r>
          </w:p>
          <w:p w14:paraId="5C2C49CF">
            <w:pPr>
              <w:pStyle w:val="33"/>
              <w:rPr>
                <w:rFonts w:hint="eastAsia"/>
                <w:szCs w:val="24"/>
              </w:rPr>
            </w:pPr>
            <w:r>
              <w:rPr>
                <w:rFonts w:hint="eastAsia"/>
                <w:szCs w:val="24"/>
              </w:rPr>
              <w:t>根据《建设项目环境影响报告表编制技术指南》（污染影响类）（试行）中区域环境质量现状中相关要求：地下水、土壤环境原则上不开展环境质量现状调查。建设项目存在土壤、地下水污染途径的，应结合污染源、保护目标分布情况开展现状调查以留作背景值。</w:t>
            </w:r>
          </w:p>
          <w:p w14:paraId="0B2C7E14">
            <w:pPr>
              <w:pStyle w:val="33"/>
              <w:rPr>
                <w:rFonts w:hint="eastAsia"/>
                <w:szCs w:val="24"/>
              </w:rPr>
            </w:pPr>
            <w:r>
              <w:rPr>
                <w:rFonts w:hint="eastAsia"/>
                <w:szCs w:val="24"/>
              </w:rPr>
              <w:t>根据现场踏勘及分析，本项目不存在地下水、土壤环境污染途径，因此</w:t>
            </w:r>
          </w:p>
          <w:p w14:paraId="4DBAE550">
            <w:pPr>
              <w:pStyle w:val="33"/>
              <w:ind w:firstLine="0" w:firstLineChars="0"/>
              <w:rPr>
                <w:rFonts w:hint="eastAsia"/>
                <w:bCs/>
              </w:rPr>
            </w:pPr>
            <w:r>
              <w:rPr>
                <w:rFonts w:hint="eastAsia"/>
                <w:szCs w:val="24"/>
              </w:rPr>
              <w:t>不开展土壤、地下水环境质量现状调查。</w:t>
            </w:r>
          </w:p>
        </w:tc>
      </w:tr>
      <w:tr w14:paraId="44A8C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558" w:type="dxa"/>
            <w:noWrap w:val="0"/>
            <w:vAlign w:val="center"/>
          </w:tcPr>
          <w:p w14:paraId="6A069401">
            <w:pPr>
              <w:adjustRightInd w:val="0"/>
              <w:snapToGrid w:val="0"/>
              <w:jc w:val="center"/>
              <w:rPr>
                <w:color w:val="000000"/>
                <w:kern w:val="0"/>
                <w:sz w:val="24"/>
              </w:rPr>
            </w:pPr>
            <w:r>
              <w:rPr>
                <w:color w:val="000000"/>
                <w:kern w:val="0"/>
                <w:sz w:val="24"/>
              </w:rPr>
              <w:t>环境</w:t>
            </w:r>
          </w:p>
          <w:p w14:paraId="732BF6AD">
            <w:pPr>
              <w:adjustRightInd w:val="0"/>
              <w:snapToGrid w:val="0"/>
              <w:jc w:val="center"/>
              <w:rPr>
                <w:color w:val="000000"/>
                <w:kern w:val="0"/>
                <w:sz w:val="24"/>
              </w:rPr>
            </w:pPr>
            <w:r>
              <w:rPr>
                <w:color w:val="000000"/>
                <w:kern w:val="0"/>
                <w:sz w:val="24"/>
              </w:rPr>
              <w:t>保护</w:t>
            </w:r>
          </w:p>
          <w:p w14:paraId="1D86F4F6">
            <w:pPr>
              <w:adjustRightInd w:val="0"/>
              <w:snapToGrid w:val="0"/>
              <w:jc w:val="center"/>
              <w:rPr>
                <w:color w:val="000000"/>
                <w:szCs w:val="21"/>
              </w:rPr>
            </w:pPr>
            <w:r>
              <w:rPr>
                <w:color w:val="000000"/>
                <w:kern w:val="0"/>
                <w:sz w:val="24"/>
              </w:rPr>
              <w:t>目标</w:t>
            </w:r>
          </w:p>
        </w:tc>
        <w:tc>
          <w:tcPr>
            <w:tcW w:w="8426" w:type="dxa"/>
            <w:noWrap w:val="0"/>
            <w:vAlign w:val="top"/>
          </w:tcPr>
          <w:p w14:paraId="465A9F46">
            <w:pPr>
              <w:spacing w:line="360" w:lineRule="auto"/>
              <w:ind w:firstLine="480" w:firstLineChars="200"/>
              <w:rPr>
                <w:color w:val="000000"/>
                <w:sz w:val="24"/>
              </w:rPr>
            </w:pPr>
            <w:r>
              <w:rPr>
                <w:color w:val="000000"/>
                <w:sz w:val="24"/>
              </w:rPr>
              <w:t>根据环办环评〔2020〕33号附件2《建设项目环境影响报告表编制技术指南（污染影响类）（试行）》，环境影响报告表环境保护目标设置范围如下：</w:t>
            </w:r>
          </w:p>
          <w:p w14:paraId="574E77C2">
            <w:pPr>
              <w:spacing w:line="360" w:lineRule="auto"/>
              <w:ind w:firstLine="480" w:firstLineChars="200"/>
              <w:rPr>
                <w:rFonts w:hint="eastAsia"/>
                <w:color w:val="000000"/>
                <w:sz w:val="24"/>
              </w:rPr>
            </w:pPr>
            <w:r>
              <w:rPr>
                <w:color w:val="000000"/>
                <w:sz w:val="24"/>
              </w:rPr>
              <w:t>1、大气环境：</w:t>
            </w:r>
            <w:r>
              <w:rPr>
                <w:rFonts w:hint="eastAsia"/>
                <w:color w:val="000000"/>
                <w:sz w:val="24"/>
              </w:rPr>
              <w:t>项目</w:t>
            </w:r>
            <w:r>
              <w:rPr>
                <w:color w:val="000000"/>
                <w:sz w:val="24"/>
              </w:rPr>
              <w:t>500米范围内的</w:t>
            </w:r>
            <w:r>
              <w:rPr>
                <w:rFonts w:hint="eastAsia"/>
                <w:bCs/>
                <w:color w:val="000000"/>
                <w:sz w:val="24"/>
              </w:rPr>
              <w:t>大气环境敏感点及工业企业</w:t>
            </w:r>
            <w:r>
              <w:rPr>
                <w:rFonts w:hint="eastAsia"/>
                <w:color w:val="000000"/>
                <w:sz w:val="24"/>
              </w:rPr>
              <w:t>。</w:t>
            </w:r>
          </w:p>
          <w:p w14:paraId="663CA0D7">
            <w:pPr>
              <w:spacing w:line="360" w:lineRule="auto"/>
              <w:ind w:firstLine="480" w:firstLineChars="200"/>
              <w:rPr>
                <w:color w:val="000000"/>
                <w:sz w:val="24"/>
              </w:rPr>
            </w:pPr>
            <w:r>
              <w:rPr>
                <w:color w:val="000000"/>
                <w:sz w:val="24"/>
              </w:rPr>
              <w:t>2、声环境：项目厂界外50米范围内的声环境保护目标。</w:t>
            </w:r>
          </w:p>
          <w:p w14:paraId="597C6F87">
            <w:pPr>
              <w:spacing w:line="360" w:lineRule="auto"/>
              <w:ind w:firstLine="480" w:firstLineChars="200"/>
              <w:rPr>
                <w:color w:val="000000"/>
                <w:sz w:val="24"/>
              </w:rPr>
            </w:pPr>
            <w:r>
              <w:rPr>
                <w:color w:val="000000"/>
                <w:sz w:val="24"/>
              </w:rPr>
              <w:t>3、地表水环境：项目所在地附近主要地表水体为</w:t>
            </w:r>
            <w:r>
              <w:rPr>
                <w:rFonts w:hint="eastAsia"/>
                <w:color w:val="000000"/>
                <w:sz w:val="24"/>
              </w:rPr>
              <w:t>东</w:t>
            </w:r>
            <w:r>
              <w:rPr>
                <w:color w:val="000000"/>
                <w:sz w:val="24"/>
              </w:rPr>
              <w:t>面800m的巴江。</w:t>
            </w:r>
          </w:p>
          <w:p w14:paraId="335DCF42">
            <w:pPr>
              <w:spacing w:line="360" w:lineRule="auto"/>
              <w:ind w:firstLine="480" w:firstLineChars="200"/>
              <w:rPr>
                <w:color w:val="000000"/>
                <w:sz w:val="24"/>
              </w:rPr>
            </w:pPr>
            <w:r>
              <w:rPr>
                <w:color w:val="000000"/>
                <w:sz w:val="24"/>
              </w:rPr>
              <w:t>4、地下水环境：项目厂界外500米范围内无地下水集中式饮用水水源和热水、矿泉水、温泉等特殊地下水资源，项目无地下水保护目标。</w:t>
            </w:r>
          </w:p>
          <w:p w14:paraId="54B96C22">
            <w:pPr>
              <w:spacing w:line="360" w:lineRule="auto"/>
              <w:ind w:firstLine="480" w:firstLineChars="200"/>
              <w:rPr>
                <w:color w:val="000000"/>
                <w:sz w:val="24"/>
              </w:rPr>
            </w:pPr>
            <w:r>
              <w:rPr>
                <w:color w:val="000000"/>
                <w:sz w:val="24"/>
              </w:rPr>
              <w:t>5、生态环境：项目场地及周边200m范围内无国家级和省级保护植物物种，以及地方狭域植物种类分布，也无古树名木。无大型野生哺乳动物、受国家和云南省重点保护及关注物种，同时也无当地特有物种。</w:t>
            </w:r>
          </w:p>
          <w:p w14:paraId="02181217">
            <w:pPr>
              <w:spacing w:line="360" w:lineRule="auto"/>
              <w:ind w:firstLine="480" w:firstLineChars="200"/>
              <w:rPr>
                <w:color w:val="000000"/>
                <w:sz w:val="24"/>
              </w:rPr>
            </w:pPr>
            <w:r>
              <w:rPr>
                <w:rFonts w:hint="eastAsia"/>
                <w:color w:val="000000"/>
                <w:sz w:val="24"/>
              </w:rPr>
              <w:t>项目区主要环境保护目标见下表</w:t>
            </w:r>
            <w:r>
              <w:rPr>
                <w:color w:val="000000"/>
                <w:sz w:val="24"/>
              </w:rPr>
              <w:t>。</w:t>
            </w:r>
          </w:p>
          <w:p w14:paraId="47DC7F85">
            <w:pPr>
              <w:pStyle w:val="53"/>
              <w:spacing w:before="31" w:after="31"/>
              <w:ind w:firstLine="422"/>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 xml:space="preserve">表3-3  </w:t>
            </w:r>
            <w:r>
              <w:rPr>
                <w:rFonts w:ascii="Times New Roman" w:hAnsi="Times New Roman" w:cs="Times New Roman"/>
                <w:bCs/>
                <w:color w:val="000000"/>
                <w:sz w:val="21"/>
                <w:szCs w:val="21"/>
              </w:rPr>
              <w:t>环境保护目标表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386"/>
              <w:gridCol w:w="721"/>
              <w:gridCol w:w="2170"/>
              <w:gridCol w:w="1027"/>
              <w:gridCol w:w="1074"/>
              <w:gridCol w:w="1326"/>
            </w:tblGrid>
            <w:tr w14:paraId="5143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2" w:hRule="atLeast"/>
                <w:jc w:val="center"/>
              </w:trPr>
              <w:tc>
                <w:tcPr>
                  <w:tcW w:w="386" w:type="pct"/>
                  <w:vMerge w:val="restart"/>
                  <w:noWrap w:val="0"/>
                  <w:vAlign w:val="center"/>
                </w:tcPr>
                <w:p w14:paraId="0E61B321">
                  <w:pPr>
                    <w:jc w:val="center"/>
                    <w:rPr>
                      <w:b/>
                      <w:bCs/>
                      <w:color w:val="000000"/>
                      <w:szCs w:val="21"/>
                    </w:rPr>
                  </w:pPr>
                  <w:bookmarkStart w:id="12" w:name="_Hlk129788622"/>
                  <w:r>
                    <w:rPr>
                      <w:b/>
                      <w:bCs/>
                      <w:color w:val="000000"/>
                      <w:szCs w:val="21"/>
                    </w:rPr>
                    <w:t>类别</w:t>
                  </w:r>
                </w:p>
              </w:tc>
              <w:tc>
                <w:tcPr>
                  <w:tcW w:w="830" w:type="pct"/>
                  <w:vMerge w:val="restart"/>
                  <w:noWrap w:val="0"/>
                  <w:vAlign w:val="center"/>
                </w:tcPr>
                <w:p w14:paraId="0A1E9233">
                  <w:pPr>
                    <w:jc w:val="center"/>
                    <w:rPr>
                      <w:b/>
                      <w:bCs/>
                      <w:color w:val="000000"/>
                      <w:szCs w:val="21"/>
                    </w:rPr>
                  </w:pPr>
                  <w:r>
                    <w:rPr>
                      <w:b/>
                      <w:bCs/>
                      <w:color w:val="000000"/>
                      <w:szCs w:val="21"/>
                    </w:rPr>
                    <w:t>名称</w:t>
                  </w:r>
                </w:p>
              </w:tc>
              <w:tc>
                <w:tcPr>
                  <w:tcW w:w="432" w:type="pct"/>
                  <w:vMerge w:val="restart"/>
                  <w:noWrap w:val="0"/>
                  <w:vAlign w:val="center"/>
                </w:tcPr>
                <w:p w14:paraId="6C2F167A">
                  <w:pPr>
                    <w:jc w:val="center"/>
                    <w:rPr>
                      <w:b/>
                      <w:bCs/>
                      <w:color w:val="000000"/>
                      <w:szCs w:val="21"/>
                    </w:rPr>
                  </w:pPr>
                  <w:r>
                    <w:rPr>
                      <w:b/>
                      <w:bCs/>
                      <w:color w:val="000000"/>
                      <w:szCs w:val="21"/>
                    </w:rPr>
                    <w:t>保护对象</w:t>
                  </w:r>
                </w:p>
              </w:tc>
              <w:tc>
                <w:tcPr>
                  <w:tcW w:w="1300" w:type="pct"/>
                  <w:vMerge w:val="restart"/>
                  <w:noWrap w:val="0"/>
                  <w:vAlign w:val="center"/>
                </w:tcPr>
                <w:p w14:paraId="6651E48B">
                  <w:pPr>
                    <w:jc w:val="center"/>
                    <w:rPr>
                      <w:b/>
                      <w:bCs/>
                      <w:color w:val="000000"/>
                      <w:szCs w:val="21"/>
                    </w:rPr>
                  </w:pPr>
                  <w:r>
                    <w:rPr>
                      <w:b/>
                      <w:bCs/>
                      <w:color w:val="000000"/>
                      <w:szCs w:val="21"/>
                    </w:rPr>
                    <w:t>保护内容</w:t>
                  </w:r>
                </w:p>
              </w:tc>
              <w:tc>
                <w:tcPr>
                  <w:tcW w:w="615" w:type="pct"/>
                  <w:vMerge w:val="restart"/>
                  <w:noWrap w:val="0"/>
                  <w:vAlign w:val="center"/>
                </w:tcPr>
                <w:p w14:paraId="0EB422B0">
                  <w:pPr>
                    <w:jc w:val="center"/>
                    <w:rPr>
                      <w:b/>
                      <w:bCs/>
                      <w:color w:val="000000"/>
                      <w:szCs w:val="21"/>
                    </w:rPr>
                  </w:pPr>
                  <w:r>
                    <w:rPr>
                      <w:b/>
                      <w:bCs/>
                      <w:color w:val="000000"/>
                      <w:szCs w:val="21"/>
                    </w:rPr>
                    <w:t>环境功能区</w:t>
                  </w:r>
                </w:p>
              </w:tc>
              <w:tc>
                <w:tcPr>
                  <w:tcW w:w="643" w:type="pct"/>
                  <w:vMerge w:val="restart"/>
                  <w:noWrap w:val="0"/>
                  <w:vAlign w:val="center"/>
                </w:tcPr>
                <w:p w14:paraId="64A3895B">
                  <w:pPr>
                    <w:jc w:val="center"/>
                    <w:rPr>
                      <w:b/>
                      <w:bCs/>
                      <w:color w:val="000000"/>
                      <w:szCs w:val="21"/>
                    </w:rPr>
                  </w:pPr>
                  <w:r>
                    <w:rPr>
                      <w:b/>
                      <w:bCs/>
                      <w:color w:val="000000"/>
                      <w:szCs w:val="21"/>
                    </w:rPr>
                    <w:t>相对厂址方位</w:t>
                  </w:r>
                </w:p>
              </w:tc>
              <w:tc>
                <w:tcPr>
                  <w:tcW w:w="794" w:type="pct"/>
                  <w:vMerge w:val="restart"/>
                  <w:noWrap w:val="0"/>
                  <w:vAlign w:val="center"/>
                </w:tcPr>
                <w:p w14:paraId="25E2707E">
                  <w:pPr>
                    <w:jc w:val="center"/>
                    <w:rPr>
                      <w:b/>
                      <w:bCs/>
                      <w:color w:val="000000"/>
                      <w:szCs w:val="21"/>
                    </w:rPr>
                  </w:pPr>
                  <w:r>
                    <w:rPr>
                      <w:b/>
                      <w:bCs/>
                      <w:color w:val="000000"/>
                      <w:szCs w:val="21"/>
                    </w:rPr>
                    <w:t>相对厂界距离/m</w:t>
                  </w:r>
                </w:p>
              </w:tc>
            </w:tr>
            <w:tr w14:paraId="746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7" w:hRule="atLeast"/>
                <w:jc w:val="center"/>
              </w:trPr>
              <w:tc>
                <w:tcPr>
                  <w:tcW w:w="386" w:type="pct"/>
                  <w:vMerge w:val="continue"/>
                  <w:noWrap w:val="0"/>
                  <w:vAlign w:val="center"/>
                </w:tcPr>
                <w:p w14:paraId="6BE16061">
                  <w:pPr>
                    <w:jc w:val="center"/>
                    <w:rPr>
                      <w:color w:val="000000"/>
                      <w:szCs w:val="21"/>
                    </w:rPr>
                  </w:pPr>
                </w:p>
              </w:tc>
              <w:tc>
                <w:tcPr>
                  <w:tcW w:w="830" w:type="pct"/>
                  <w:vMerge w:val="continue"/>
                  <w:noWrap w:val="0"/>
                  <w:vAlign w:val="center"/>
                </w:tcPr>
                <w:p w14:paraId="20C81C7D">
                  <w:pPr>
                    <w:jc w:val="center"/>
                    <w:rPr>
                      <w:color w:val="000000"/>
                      <w:szCs w:val="21"/>
                    </w:rPr>
                  </w:pPr>
                </w:p>
              </w:tc>
              <w:tc>
                <w:tcPr>
                  <w:tcW w:w="432" w:type="pct"/>
                  <w:vMerge w:val="continue"/>
                  <w:noWrap w:val="0"/>
                  <w:vAlign w:val="center"/>
                </w:tcPr>
                <w:p w14:paraId="6404AFA3">
                  <w:pPr>
                    <w:jc w:val="center"/>
                    <w:rPr>
                      <w:color w:val="000000"/>
                      <w:szCs w:val="21"/>
                    </w:rPr>
                  </w:pPr>
                </w:p>
              </w:tc>
              <w:tc>
                <w:tcPr>
                  <w:tcW w:w="1300" w:type="pct"/>
                  <w:vMerge w:val="continue"/>
                  <w:noWrap w:val="0"/>
                  <w:vAlign w:val="center"/>
                </w:tcPr>
                <w:p w14:paraId="0809E743">
                  <w:pPr>
                    <w:jc w:val="center"/>
                    <w:rPr>
                      <w:color w:val="000000"/>
                      <w:szCs w:val="21"/>
                    </w:rPr>
                  </w:pPr>
                </w:p>
              </w:tc>
              <w:tc>
                <w:tcPr>
                  <w:tcW w:w="615" w:type="pct"/>
                  <w:vMerge w:val="continue"/>
                  <w:noWrap w:val="0"/>
                  <w:vAlign w:val="center"/>
                </w:tcPr>
                <w:p w14:paraId="33AEE91E">
                  <w:pPr>
                    <w:jc w:val="center"/>
                    <w:rPr>
                      <w:color w:val="000000"/>
                      <w:szCs w:val="21"/>
                    </w:rPr>
                  </w:pPr>
                </w:p>
              </w:tc>
              <w:tc>
                <w:tcPr>
                  <w:tcW w:w="643" w:type="pct"/>
                  <w:vMerge w:val="continue"/>
                  <w:noWrap w:val="0"/>
                  <w:vAlign w:val="center"/>
                </w:tcPr>
                <w:p w14:paraId="7DC127DC">
                  <w:pPr>
                    <w:jc w:val="center"/>
                    <w:rPr>
                      <w:color w:val="000000"/>
                      <w:szCs w:val="21"/>
                    </w:rPr>
                  </w:pPr>
                </w:p>
              </w:tc>
              <w:tc>
                <w:tcPr>
                  <w:tcW w:w="794" w:type="pct"/>
                  <w:vMerge w:val="continue"/>
                  <w:noWrap w:val="0"/>
                  <w:vAlign w:val="center"/>
                </w:tcPr>
                <w:p w14:paraId="604CC70C">
                  <w:pPr>
                    <w:jc w:val="center"/>
                    <w:rPr>
                      <w:color w:val="000000"/>
                      <w:szCs w:val="21"/>
                    </w:rPr>
                  </w:pPr>
                </w:p>
              </w:tc>
            </w:tr>
            <w:tr w14:paraId="5460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22" w:hRule="atLeast"/>
                <w:jc w:val="center"/>
              </w:trPr>
              <w:tc>
                <w:tcPr>
                  <w:tcW w:w="386" w:type="pct"/>
                  <w:vMerge w:val="restart"/>
                  <w:noWrap w:val="0"/>
                  <w:vAlign w:val="center"/>
                </w:tcPr>
                <w:p w14:paraId="77F14AF8">
                  <w:pPr>
                    <w:jc w:val="center"/>
                    <w:rPr>
                      <w:color w:val="000000"/>
                      <w:szCs w:val="21"/>
                    </w:rPr>
                  </w:pPr>
                  <w:r>
                    <w:rPr>
                      <w:color w:val="000000"/>
                      <w:szCs w:val="21"/>
                    </w:rPr>
                    <w:t>环境空气</w:t>
                  </w:r>
                </w:p>
              </w:tc>
              <w:tc>
                <w:tcPr>
                  <w:tcW w:w="830" w:type="pct"/>
                  <w:noWrap w:val="0"/>
                  <w:vAlign w:val="center"/>
                </w:tcPr>
                <w:p w14:paraId="1F500716">
                  <w:pPr>
                    <w:jc w:val="center"/>
                    <w:rPr>
                      <w:rFonts w:hint="eastAsia"/>
                      <w:color w:val="000000"/>
                      <w:szCs w:val="21"/>
                    </w:rPr>
                  </w:pPr>
                  <w:r>
                    <w:rPr>
                      <w:color w:val="000000"/>
                      <w:szCs w:val="21"/>
                    </w:rPr>
                    <w:t>碧落甸</w:t>
                  </w:r>
                </w:p>
              </w:tc>
              <w:tc>
                <w:tcPr>
                  <w:tcW w:w="432" w:type="pct"/>
                  <w:noWrap w:val="0"/>
                  <w:vAlign w:val="center"/>
                </w:tcPr>
                <w:p w14:paraId="7539E38C">
                  <w:pPr>
                    <w:widowControl/>
                    <w:snapToGrid w:val="0"/>
                    <w:jc w:val="center"/>
                    <w:textAlignment w:val="center"/>
                    <w:rPr>
                      <w:color w:val="000000"/>
                      <w:szCs w:val="21"/>
                    </w:rPr>
                  </w:pPr>
                  <w:r>
                    <w:rPr>
                      <w:rFonts w:hint="eastAsia"/>
                      <w:color w:val="000000"/>
                      <w:szCs w:val="21"/>
                    </w:rPr>
                    <w:t>居民</w:t>
                  </w:r>
                </w:p>
              </w:tc>
              <w:tc>
                <w:tcPr>
                  <w:tcW w:w="1300" w:type="pct"/>
                  <w:noWrap w:val="0"/>
                  <w:vAlign w:val="center"/>
                </w:tcPr>
                <w:p w14:paraId="33B0188A">
                  <w:pPr>
                    <w:jc w:val="center"/>
                    <w:rPr>
                      <w:color w:val="000000"/>
                      <w:szCs w:val="21"/>
                    </w:rPr>
                  </w:pPr>
                  <w:r>
                    <w:rPr>
                      <w:rFonts w:hint="eastAsia"/>
                      <w:color w:val="000000"/>
                      <w:szCs w:val="21"/>
                    </w:rPr>
                    <w:t>约</w:t>
                  </w:r>
                  <w:r>
                    <w:rPr>
                      <w:color w:val="000000"/>
                      <w:szCs w:val="21"/>
                    </w:rPr>
                    <w:t>1000</w:t>
                  </w:r>
                  <w:r>
                    <w:rPr>
                      <w:rFonts w:hint="eastAsia"/>
                      <w:color w:val="000000"/>
                      <w:szCs w:val="21"/>
                    </w:rPr>
                    <w:t>人</w:t>
                  </w:r>
                </w:p>
              </w:tc>
              <w:tc>
                <w:tcPr>
                  <w:tcW w:w="615" w:type="pct"/>
                  <w:noWrap w:val="0"/>
                  <w:vAlign w:val="center"/>
                </w:tcPr>
                <w:p w14:paraId="3406DF12">
                  <w:pPr>
                    <w:jc w:val="center"/>
                    <w:rPr>
                      <w:color w:val="000000"/>
                      <w:szCs w:val="21"/>
                    </w:rPr>
                  </w:pPr>
                  <w:r>
                    <w:rPr>
                      <w:rFonts w:hint="eastAsia"/>
                      <w:color w:val="000000"/>
                      <w:szCs w:val="21"/>
                    </w:rPr>
                    <w:t>二类区</w:t>
                  </w:r>
                </w:p>
              </w:tc>
              <w:tc>
                <w:tcPr>
                  <w:tcW w:w="643" w:type="pct"/>
                  <w:noWrap w:val="0"/>
                  <w:vAlign w:val="center"/>
                </w:tcPr>
                <w:p w14:paraId="0A218AD7">
                  <w:pPr>
                    <w:jc w:val="center"/>
                    <w:rPr>
                      <w:rFonts w:hint="eastAsia"/>
                      <w:color w:val="000000"/>
                      <w:szCs w:val="21"/>
                    </w:rPr>
                  </w:pPr>
                  <w:r>
                    <w:rPr>
                      <w:color w:val="000000"/>
                      <w:szCs w:val="21"/>
                    </w:rPr>
                    <w:t>东北</w:t>
                  </w:r>
                </w:p>
              </w:tc>
              <w:tc>
                <w:tcPr>
                  <w:tcW w:w="794" w:type="pct"/>
                  <w:noWrap w:val="0"/>
                  <w:vAlign w:val="center"/>
                </w:tcPr>
                <w:p w14:paraId="7CCC8CB9">
                  <w:pPr>
                    <w:jc w:val="center"/>
                    <w:rPr>
                      <w:color w:val="000000"/>
                      <w:szCs w:val="21"/>
                    </w:rPr>
                  </w:pPr>
                  <w:r>
                    <w:rPr>
                      <w:color w:val="000000"/>
                      <w:szCs w:val="21"/>
                    </w:rPr>
                    <w:t>370</w:t>
                  </w:r>
                </w:p>
              </w:tc>
            </w:tr>
            <w:tr w14:paraId="7384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 w:hRule="atLeast"/>
                <w:jc w:val="center"/>
              </w:trPr>
              <w:tc>
                <w:tcPr>
                  <w:tcW w:w="386" w:type="pct"/>
                  <w:vMerge w:val="continue"/>
                  <w:noWrap w:val="0"/>
                  <w:vAlign w:val="center"/>
                </w:tcPr>
                <w:p w14:paraId="293AA42F">
                  <w:pPr>
                    <w:jc w:val="center"/>
                    <w:rPr>
                      <w:color w:val="000000"/>
                      <w:szCs w:val="21"/>
                    </w:rPr>
                  </w:pPr>
                </w:p>
              </w:tc>
              <w:tc>
                <w:tcPr>
                  <w:tcW w:w="830" w:type="pct"/>
                  <w:noWrap w:val="0"/>
                  <w:vAlign w:val="center"/>
                </w:tcPr>
                <w:p w14:paraId="7A35851E">
                  <w:pPr>
                    <w:jc w:val="center"/>
                    <w:rPr>
                      <w:color w:val="000000"/>
                      <w:szCs w:val="21"/>
                    </w:rPr>
                  </w:pPr>
                  <w:r>
                    <w:rPr>
                      <w:color w:val="000000"/>
                      <w:szCs w:val="21"/>
                    </w:rPr>
                    <w:t>板桥社区</w:t>
                  </w:r>
                </w:p>
              </w:tc>
              <w:tc>
                <w:tcPr>
                  <w:tcW w:w="432" w:type="pct"/>
                  <w:noWrap w:val="0"/>
                  <w:vAlign w:val="center"/>
                </w:tcPr>
                <w:p w14:paraId="2DEF51D3">
                  <w:pPr>
                    <w:widowControl/>
                    <w:snapToGrid w:val="0"/>
                    <w:jc w:val="center"/>
                    <w:textAlignment w:val="center"/>
                    <w:rPr>
                      <w:color w:val="000000"/>
                      <w:szCs w:val="21"/>
                    </w:rPr>
                  </w:pPr>
                  <w:r>
                    <w:rPr>
                      <w:rFonts w:hint="eastAsia"/>
                      <w:color w:val="000000"/>
                      <w:szCs w:val="21"/>
                    </w:rPr>
                    <w:t>居民</w:t>
                  </w:r>
                </w:p>
              </w:tc>
              <w:tc>
                <w:tcPr>
                  <w:tcW w:w="1300" w:type="pct"/>
                  <w:noWrap w:val="0"/>
                  <w:vAlign w:val="center"/>
                </w:tcPr>
                <w:p w14:paraId="5DC73B5E">
                  <w:pPr>
                    <w:jc w:val="center"/>
                    <w:rPr>
                      <w:color w:val="000000"/>
                      <w:szCs w:val="21"/>
                    </w:rPr>
                  </w:pPr>
                  <w:r>
                    <w:rPr>
                      <w:rFonts w:hint="eastAsia"/>
                      <w:color w:val="000000"/>
                      <w:szCs w:val="21"/>
                    </w:rPr>
                    <w:t>约</w:t>
                  </w:r>
                  <w:r>
                    <w:rPr>
                      <w:color w:val="000000"/>
                      <w:szCs w:val="21"/>
                    </w:rPr>
                    <w:t>800</w:t>
                  </w:r>
                  <w:r>
                    <w:rPr>
                      <w:rFonts w:hint="eastAsia"/>
                      <w:color w:val="000000"/>
                      <w:szCs w:val="21"/>
                    </w:rPr>
                    <w:t>人（500m范围内）</w:t>
                  </w:r>
                </w:p>
              </w:tc>
              <w:tc>
                <w:tcPr>
                  <w:tcW w:w="615" w:type="pct"/>
                  <w:noWrap w:val="0"/>
                  <w:vAlign w:val="center"/>
                </w:tcPr>
                <w:p w14:paraId="5C832224">
                  <w:pPr>
                    <w:jc w:val="center"/>
                    <w:rPr>
                      <w:color w:val="000000"/>
                      <w:szCs w:val="21"/>
                    </w:rPr>
                  </w:pPr>
                  <w:r>
                    <w:rPr>
                      <w:rFonts w:hint="eastAsia"/>
                      <w:color w:val="000000"/>
                      <w:szCs w:val="21"/>
                    </w:rPr>
                    <w:t>二类区</w:t>
                  </w:r>
                </w:p>
              </w:tc>
              <w:tc>
                <w:tcPr>
                  <w:tcW w:w="643" w:type="pct"/>
                  <w:noWrap w:val="0"/>
                  <w:vAlign w:val="center"/>
                </w:tcPr>
                <w:p w14:paraId="7C03B55F">
                  <w:pPr>
                    <w:jc w:val="center"/>
                    <w:rPr>
                      <w:color w:val="000000"/>
                      <w:szCs w:val="21"/>
                    </w:rPr>
                  </w:pPr>
                  <w:r>
                    <w:rPr>
                      <w:rFonts w:hint="eastAsia"/>
                      <w:color w:val="000000"/>
                      <w:szCs w:val="21"/>
                    </w:rPr>
                    <w:t>南</w:t>
                  </w:r>
                </w:p>
              </w:tc>
              <w:tc>
                <w:tcPr>
                  <w:tcW w:w="794" w:type="pct"/>
                  <w:noWrap w:val="0"/>
                  <w:vAlign w:val="center"/>
                </w:tcPr>
                <w:p w14:paraId="2995130F">
                  <w:pPr>
                    <w:jc w:val="center"/>
                    <w:rPr>
                      <w:color w:val="000000"/>
                      <w:szCs w:val="21"/>
                    </w:rPr>
                  </w:pPr>
                  <w:r>
                    <w:rPr>
                      <w:color w:val="000000"/>
                      <w:szCs w:val="21"/>
                    </w:rPr>
                    <w:t>20（距离最近养老院的距离）</w:t>
                  </w:r>
                </w:p>
              </w:tc>
            </w:tr>
            <w:tr w14:paraId="42F3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 w:hRule="atLeast"/>
                <w:jc w:val="center"/>
              </w:trPr>
              <w:tc>
                <w:tcPr>
                  <w:tcW w:w="386" w:type="pct"/>
                  <w:noWrap w:val="0"/>
                  <w:vAlign w:val="center"/>
                </w:tcPr>
                <w:p w14:paraId="7B7F6E86">
                  <w:pPr>
                    <w:jc w:val="center"/>
                    <w:rPr>
                      <w:rFonts w:hint="eastAsia"/>
                      <w:color w:val="000000"/>
                      <w:szCs w:val="21"/>
                    </w:rPr>
                  </w:pPr>
                  <w:r>
                    <w:rPr>
                      <w:rFonts w:hint="eastAsia"/>
                      <w:color w:val="000000"/>
                      <w:szCs w:val="21"/>
                    </w:rPr>
                    <w:t>声环境</w:t>
                  </w:r>
                </w:p>
              </w:tc>
              <w:tc>
                <w:tcPr>
                  <w:tcW w:w="830" w:type="pct"/>
                  <w:noWrap w:val="0"/>
                  <w:vAlign w:val="center"/>
                </w:tcPr>
                <w:p w14:paraId="54BF2617">
                  <w:pPr>
                    <w:jc w:val="center"/>
                    <w:rPr>
                      <w:color w:val="000000"/>
                      <w:szCs w:val="21"/>
                    </w:rPr>
                  </w:pPr>
                  <w:r>
                    <w:rPr>
                      <w:color w:val="000000"/>
                      <w:szCs w:val="21"/>
                    </w:rPr>
                    <w:t>板桥社区</w:t>
                  </w:r>
                </w:p>
              </w:tc>
              <w:tc>
                <w:tcPr>
                  <w:tcW w:w="432" w:type="pct"/>
                  <w:noWrap w:val="0"/>
                  <w:vAlign w:val="center"/>
                </w:tcPr>
                <w:p w14:paraId="64DCE043">
                  <w:pPr>
                    <w:widowControl/>
                    <w:snapToGrid w:val="0"/>
                    <w:jc w:val="center"/>
                    <w:textAlignment w:val="center"/>
                    <w:rPr>
                      <w:color w:val="000000"/>
                      <w:szCs w:val="21"/>
                    </w:rPr>
                  </w:pPr>
                  <w:r>
                    <w:rPr>
                      <w:rFonts w:hint="eastAsia"/>
                      <w:color w:val="000000"/>
                      <w:szCs w:val="21"/>
                    </w:rPr>
                    <w:t>居民</w:t>
                  </w:r>
                </w:p>
              </w:tc>
              <w:tc>
                <w:tcPr>
                  <w:tcW w:w="1300" w:type="pct"/>
                  <w:noWrap w:val="0"/>
                  <w:vAlign w:val="center"/>
                </w:tcPr>
                <w:p w14:paraId="380D6687">
                  <w:pPr>
                    <w:jc w:val="center"/>
                    <w:rPr>
                      <w:rFonts w:hint="eastAsia"/>
                      <w:color w:val="000000"/>
                      <w:szCs w:val="21"/>
                    </w:rPr>
                  </w:pPr>
                  <w:r>
                    <w:rPr>
                      <w:rFonts w:hint="eastAsia"/>
                      <w:color w:val="000000"/>
                      <w:szCs w:val="21"/>
                    </w:rPr>
                    <w:t>约100人（50m范围内）</w:t>
                  </w:r>
                </w:p>
              </w:tc>
              <w:tc>
                <w:tcPr>
                  <w:tcW w:w="615" w:type="pct"/>
                  <w:noWrap w:val="0"/>
                  <w:vAlign w:val="center"/>
                </w:tcPr>
                <w:p w14:paraId="53FF1EDE">
                  <w:pPr>
                    <w:jc w:val="center"/>
                    <w:rPr>
                      <w:rFonts w:hint="eastAsia"/>
                      <w:color w:val="000000"/>
                      <w:szCs w:val="21"/>
                    </w:rPr>
                  </w:pPr>
                  <w:r>
                    <w:rPr>
                      <w:rFonts w:hint="eastAsia"/>
                      <w:color w:val="000000"/>
                      <w:szCs w:val="21"/>
                    </w:rPr>
                    <w:t>2类</w:t>
                  </w:r>
                </w:p>
              </w:tc>
              <w:tc>
                <w:tcPr>
                  <w:tcW w:w="643" w:type="pct"/>
                  <w:noWrap w:val="0"/>
                  <w:vAlign w:val="center"/>
                </w:tcPr>
                <w:p w14:paraId="6E805D63">
                  <w:pPr>
                    <w:jc w:val="center"/>
                    <w:rPr>
                      <w:rFonts w:hint="eastAsia"/>
                      <w:color w:val="000000"/>
                      <w:szCs w:val="21"/>
                    </w:rPr>
                  </w:pPr>
                  <w:r>
                    <w:rPr>
                      <w:rFonts w:hint="eastAsia"/>
                      <w:color w:val="000000"/>
                      <w:szCs w:val="21"/>
                    </w:rPr>
                    <w:t>南</w:t>
                  </w:r>
                </w:p>
              </w:tc>
              <w:tc>
                <w:tcPr>
                  <w:tcW w:w="794" w:type="pct"/>
                  <w:noWrap w:val="0"/>
                  <w:vAlign w:val="center"/>
                </w:tcPr>
                <w:p w14:paraId="5ACE698B">
                  <w:pPr>
                    <w:jc w:val="center"/>
                    <w:rPr>
                      <w:rFonts w:hint="eastAsia"/>
                      <w:color w:val="000000"/>
                      <w:szCs w:val="21"/>
                    </w:rPr>
                  </w:pPr>
                  <w:r>
                    <w:rPr>
                      <w:color w:val="000000"/>
                      <w:szCs w:val="21"/>
                    </w:rPr>
                    <w:t>20（距离最近养老院的距离）</w:t>
                  </w:r>
                </w:p>
              </w:tc>
            </w:tr>
            <w:tr w14:paraId="026E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 w:hRule="atLeast"/>
                <w:jc w:val="center"/>
              </w:trPr>
              <w:tc>
                <w:tcPr>
                  <w:tcW w:w="386" w:type="pct"/>
                  <w:noWrap w:val="0"/>
                  <w:vAlign w:val="center"/>
                </w:tcPr>
                <w:p w14:paraId="7B679FC4">
                  <w:pPr>
                    <w:jc w:val="center"/>
                    <w:rPr>
                      <w:rFonts w:hint="eastAsia"/>
                      <w:color w:val="000000"/>
                      <w:szCs w:val="21"/>
                    </w:rPr>
                  </w:pPr>
                  <w:r>
                    <w:rPr>
                      <w:rFonts w:hint="eastAsia"/>
                      <w:color w:val="000000"/>
                      <w:szCs w:val="21"/>
                    </w:rPr>
                    <w:t>水环境</w:t>
                  </w:r>
                </w:p>
              </w:tc>
              <w:tc>
                <w:tcPr>
                  <w:tcW w:w="830" w:type="pct"/>
                  <w:noWrap w:val="0"/>
                  <w:vAlign w:val="center"/>
                </w:tcPr>
                <w:p w14:paraId="7F7B0E8D">
                  <w:pPr>
                    <w:jc w:val="center"/>
                    <w:rPr>
                      <w:color w:val="000000"/>
                      <w:szCs w:val="21"/>
                    </w:rPr>
                  </w:pPr>
                  <w:r>
                    <w:rPr>
                      <w:color w:val="000000"/>
                      <w:szCs w:val="21"/>
                    </w:rPr>
                    <w:t>巴江</w:t>
                  </w:r>
                </w:p>
              </w:tc>
              <w:tc>
                <w:tcPr>
                  <w:tcW w:w="1732" w:type="pct"/>
                  <w:gridSpan w:val="2"/>
                  <w:noWrap w:val="0"/>
                  <w:vAlign w:val="center"/>
                </w:tcPr>
                <w:p w14:paraId="127B5D3F">
                  <w:pPr>
                    <w:jc w:val="center"/>
                    <w:rPr>
                      <w:rFonts w:hint="eastAsia"/>
                      <w:color w:val="000000"/>
                      <w:szCs w:val="21"/>
                    </w:rPr>
                  </w:pPr>
                  <w:r>
                    <w:rPr>
                      <w:rFonts w:hint="eastAsia"/>
                      <w:color w:val="000000"/>
                    </w:rPr>
                    <w:t>工业、农灌、景观用水</w:t>
                  </w:r>
                </w:p>
              </w:tc>
              <w:tc>
                <w:tcPr>
                  <w:tcW w:w="615" w:type="pct"/>
                  <w:noWrap w:val="0"/>
                  <w:vAlign w:val="center"/>
                </w:tcPr>
                <w:p w14:paraId="71F89A4D">
                  <w:pPr>
                    <w:jc w:val="center"/>
                    <w:rPr>
                      <w:rFonts w:hint="eastAsia"/>
                      <w:color w:val="000000"/>
                      <w:szCs w:val="21"/>
                    </w:rPr>
                  </w:pPr>
                  <w:r>
                    <w:rPr>
                      <w:rFonts w:hint="eastAsia"/>
                      <w:color w:val="000000"/>
                      <w:szCs w:val="21"/>
                    </w:rPr>
                    <w:t>Ⅲ类</w:t>
                  </w:r>
                </w:p>
              </w:tc>
              <w:tc>
                <w:tcPr>
                  <w:tcW w:w="643" w:type="pct"/>
                  <w:noWrap w:val="0"/>
                  <w:vAlign w:val="center"/>
                </w:tcPr>
                <w:p w14:paraId="00AB8D18">
                  <w:pPr>
                    <w:jc w:val="center"/>
                    <w:rPr>
                      <w:rFonts w:hint="eastAsia"/>
                      <w:color w:val="000000"/>
                      <w:szCs w:val="21"/>
                    </w:rPr>
                  </w:pPr>
                  <w:r>
                    <w:rPr>
                      <w:rFonts w:hint="eastAsia"/>
                      <w:color w:val="000000"/>
                      <w:szCs w:val="21"/>
                    </w:rPr>
                    <w:t>东</w:t>
                  </w:r>
                </w:p>
              </w:tc>
              <w:tc>
                <w:tcPr>
                  <w:tcW w:w="794" w:type="pct"/>
                  <w:noWrap w:val="0"/>
                  <w:vAlign w:val="center"/>
                </w:tcPr>
                <w:p w14:paraId="37E5D81B">
                  <w:pPr>
                    <w:jc w:val="center"/>
                    <w:rPr>
                      <w:color w:val="000000"/>
                      <w:szCs w:val="21"/>
                    </w:rPr>
                  </w:pPr>
                  <w:r>
                    <w:rPr>
                      <w:rFonts w:hint="eastAsia"/>
                      <w:color w:val="000000"/>
                      <w:szCs w:val="21"/>
                    </w:rPr>
                    <w:t>800</w:t>
                  </w:r>
                </w:p>
              </w:tc>
            </w:tr>
            <w:bookmarkEnd w:id="12"/>
          </w:tbl>
          <w:p w14:paraId="6E779F9E">
            <w:pPr>
              <w:pStyle w:val="7"/>
              <w:spacing w:before="0" w:after="0" w:line="360" w:lineRule="auto"/>
              <w:ind w:right="0" w:firstLine="360" w:firstLineChars="200"/>
              <w:rPr>
                <w:color w:val="000000"/>
              </w:rPr>
            </w:pPr>
          </w:p>
        </w:tc>
      </w:tr>
      <w:tr w14:paraId="34C504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558" w:type="dxa"/>
            <w:noWrap w:val="0"/>
            <w:vAlign w:val="center"/>
          </w:tcPr>
          <w:p w14:paraId="5885B419">
            <w:pPr>
              <w:adjustRightInd w:val="0"/>
              <w:snapToGrid w:val="0"/>
              <w:spacing w:line="360" w:lineRule="auto"/>
              <w:jc w:val="center"/>
              <w:rPr>
                <w:color w:val="000000"/>
                <w:kern w:val="0"/>
                <w:sz w:val="24"/>
              </w:rPr>
            </w:pPr>
            <w:r>
              <w:rPr>
                <w:color w:val="000000"/>
                <w:kern w:val="0"/>
                <w:sz w:val="24"/>
              </w:rPr>
              <w:t>污染</w:t>
            </w:r>
          </w:p>
          <w:p w14:paraId="20553F63">
            <w:pPr>
              <w:adjustRightInd w:val="0"/>
              <w:snapToGrid w:val="0"/>
              <w:spacing w:line="360" w:lineRule="auto"/>
              <w:jc w:val="center"/>
              <w:rPr>
                <w:color w:val="000000"/>
                <w:kern w:val="0"/>
                <w:sz w:val="24"/>
              </w:rPr>
            </w:pPr>
            <w:r>
              <w:rPr>
                <w:color w:val="000000"/>
                <w:kern w:val="0"/>
                <w:sz w:val="24"/>
              </w:rPr>
              <w:t>物排</w:t>
            </w:r>
          </w:p>
          <w:p w14:paraId="0B3FA70E">
            <w:pPr>
              <w:adjustRightInd w:val="0"/>
              <w:snapToGrid w:val="0"/>
              <w:spacing w:line="360" w:lineRule="auto"/>
              <w:jc w:val="center"/>
              <w:rPr>
                <w:color w:val="000000"/>
                <w:kern w:val="0"/>
                <w:sz w:val="24"/>
              </w:rPr>
            </w:pPr>
            <w:r>
              <w:rPr>
                <w:color w:val="000000"/>
                <w:kern w:val="0"/>
                <w:sz w:val="24"/>
              </w:rPr>
              <w:t>放控</w:t>
            </w:r>
          </w:p>
          <w:p w14:paraId="551AFB01">
            <w:pPr>
              <w:adjustRightInd w:val="0"/>
              <w:snapToGrid w:val="0"/>
              <w:spacing w:line="360" w:lineRule="auto"/>
              <w:jc w:val="center"/>
              <w:rPr>
                <w:color w:val="000000"/>
                <w:kern w:val="0"/>
                <w:sz w:val="24"/>
              </w:rPr>
            </w:pPr>
            <w:r>
              <w:rPr>
                <w:color w:val="000000"/>
                <w:kern w:val="0"/>
                <w:sz w:val="24"/>
              </w:rPr>
              <w:t>制标</w:t>
            </w:r>
          </w:p>
          <w:p w14:paraId="3413242A">
            <w:pPr>
              <w:pStyle w:val="16"/>
              <w:adjustRightInd w:val="0"/>
              <w:snapToGrid w:val="0"/>
              <w:spacing w:before="0" w:beforeAutospacing="0" w:after="0" w:afterAutospacing="0"/>
              <w:jc w:val="center"/>
              <w:rPr>
                <w:rFonts w:ascii="Times New Roman" w:hAnsi="Times New Roman"/>
                <w:color w:val="000000"/>
                <w:szCs w:val="24"/>
              </w:rPr>
            </w:pPr>
            <w:r>
              <w:rPr>
                <w:rFonts w:ascii="Times New Roman" w:hAnsi="Times New Roman"/>
                <w:color w:val="000000"/>
              </w:rPr>
              <w:t>准</w:t>
            </w:r>
          </w:p>
        </w:tc>
        <w:tc>
          <w:tcPr>
            <w:tcW w:w="8426" w:type="dxa"/>
            <w:noWrap w:val="0"/>
            <w:vAlign w:val="top"/>
          </w:tcPr>
          <w:p w14:paraId="6DE0EA34">
            <w:pPr>
              <w:spacing w:line="360" w:lineRule="auto"/>
              <w:ind w:firstLine="562" w:firstLineChars="200"/>
              <w:rPr>
                <w:b/>
                <w:color w:val="000000"/>
                <w:sz w:val="28"/>
                <w:szCs w:val="28"/>
              </w:rPr>
            </w:pPr>
            <w:r>
              <w:rPr>
                <w:b/>
                <w:color w:val="000000"/>
                <w:sz w:val="28"/>
                <w:szCs w:val="28"/>
              </w:rPr>
              <w:t>一、环境质量标准</w:t>
            </w:r>
          </w:p>
          <w:p w14:paraId="4B918105">
            <w:pPr>
              <w:spacing w:line="360" w:lineRule="auto"/>
              <w:ind w:firstLine="562" w:firstLineChars="200"/>
              <w:rPr>
                <w:b/>
                <w:color w:val="000000"/>
                <w:sz w:val="28"/>
                <w:szCs w:val="28"/>
              </w:rPr>
            </w:pPr>
            <w:r>
              <w:rPr>
                <w:b/>
                <w:color w:val="000000"/>
                <w:sz w:val="28"/>
                <w:szCs w:val="28"/>
              </w:rPr>
              <w:t>1、环境空气质量</w:t>
            </w:r>
          </w:p>
          <w:p w14:paraId="5A4E8EF0">
            <w:pPr>
              <w:spacing w:line="360" w:lineRule="auto"/>
              <w:ind w:firstLine="482"/>
              <w:rPr>
                <w:b/>
                <w:color w:val="000000"/>
                <w:kern w:val="0"/>
              </w:rPr>
            </w:pPr>
            <w:r>
              <w:rPr>
                <w:color w:val="000000"/>
                <w:sz w:val="24"/>
              </w:rPr>
              <w:t>项目所在区域环境空气质量标准执行《环境空气质量标准》（GB3095-2012）二级标准，标准值见表3-4。</w:t>
            </w:r>
          </w:p>
          <w:p w14:paraId="4BA1BC6F">
            <w:pPr>
              <w:pStyle w:val="18"/>
              <w:spacing w:before="0" w:after="0" w:line="360" w:lineRule="auto"/>
              <w:ind w:right="0" w:firstLine="0" w:firstLineChars="0"/>
              <w:jc w:val="center"/>
              <w:rPr>
                <w:b/>
                <w:color w:val="000000"/>
                <w:sz w:val="21"/>
                <w:szCs w:val="24"/>
              </w:rPr>
            </w:pPr>
            <w:r>
              <w:rPr>
                <w:b/>
                <w:color w:val="000000"/>
                <w:sz w:val="21"/>
                <w:szCs w:val="24"/>
              </w:rPr>
              <w:t xml:space="preserve">表3-4 </w:t>
            </w:r>
            <w:r>
              <w:rPr>
                <w:rFonts w:hint="eastAsia"/>
                <w:b/>
                <w:color w:val="000000"/>
                <w:sz w:val="21"/>
                <w:szCs w:val="24"/>
              </w:rPr>
              <w:t xml:space="preserve"> </w:t>
            </w:r>
            <w:r>
              <w:rPr>
                <w:b/>
                <w:color w:val="000000"/>
                <w:sz w:val="21"/>
                <w:szCs w:val="24"/>
              </w:rPr>
              <w:t>环境空气质量标准</w:t>
            </w:r>
          </w:p>
          <w:tbl>
            <w:tblPr>
              <w:tblStyle w:val="2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1296"/>
              <w:gridCol w:w="1967"/>
              <w:gridCol w:w="1071"/>
              <w:gridCol w:w="782"/>
            </w:tblGrid>
            <w:tr w14:paraId="68F5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162" w:type="dxa"/>
                  <w:noWrap w:val="0"/>
                  <w:vAlign w:val="center"/>
                </w:tcPr>
                <w:p w14:paraId="5010CC35">
                  <w:pPr>
                    <w:jc w:val="center"/>
                    <w:rPr>
                      <w:color w:val="000000"/>
                    </w:rPr>
                  </w:pPr>
                  <w:r>
                    <w:rPr>
                      <w:color w:val="000000"/>
                    </w:rPr>
                    <w:t>依据</w:t>
                  </w:r>
                </w:p>
              </w:tc>
              <w:tc>
                <w:tcPr>
                  <w:tcW w:w="1296" w:type="dxa"/>
                  <w:noWrap w:val="0"/>
                  <w:vAlign w:val="center"/>
                </w:tcPr>
                <w:p w14:paraId="689626F7">
                  <w:pPr>
                    <w:jc w:val="center"/>
                    <w:rPr>
                      <w:color w:val="000000"/>
                    </w:rPr>
                  </w:pPr>
                  <w:r>
                    <w:rPr>
                      <w:color w:val="000000"/>
                    </w:rPr>
                    <w:t>污染物名称</w:t>
                  </w:r>
                </w:p>
              </w:tc>
              <w:tc>
                <w:tcPr>
                  <w:tcW w:w="1967" w:type="dxa"/>
                  <w:noWrap w:val="0"/>
                  <w:vAlign w:val="center"/>
                </w:tcPr>
                <w:p w14:paraId="01DE3FF6">
                  <w:pPr>
                    <w:jc w:val="center"/>
                    <w:rPr>
                      <w:color w:val="000000"/>
                    </w:rPr>
                  </w:pPr>
                  <w:r>
                    <w:rPr>
                      <w:color w:val="000000"/>
                    </w:rPr>
                    <w:t>取值时间</w:t>
                  </w:r>
                </w:p>
              </w:tc>
              <w:tc>
                <w:tcPr>
                  <w:tcW w:w="1071" w:type="dxa"/>
                  <w:noWrap w:val="0"/>
                  <w:vAlign w:val="center"/>
                </w:tcPr>
                <w:p w14:paraId="682E9025">
                  <w:pPr>
                    <w:jc w:val="center"/>
                    <w:rPr>
                      <w:color w:val="000000"/>
                    </w:rPr>
                  </w:pPr>
                  <w:r>
                    <w:rPr>
                      <w:color w:val="000000"/>
                    </w:rPr>
                    <w:t>二级标准浓度限值</w:t>
                  </w:r>
                </w:p>
              </w:tc>
              <w:tc>
                <w:tcPr>
                  <w:tcW w:w="782" w:type="dxa"/>
                  <w:noWrap w:val="0"/>
                  <w:vAlign w:val="center"/>
                </w:tcPr>
                <w:p w14:paraId="050F1833">
                  <w:pPr>
                    <w:jc w:val="center"/>
                    <w:rPr>
                      <w:color w:val="000000"/>
                    </w:rPr>
                  </w:pPr>
                  <w:r>
                    <w:rPr>
                      <w:color w:val="000000"/>
                    </w:rPr>
                    <w:t>单位</w:t>
                  </w:r>
                </w:p>
              </w:tc>
            </w:tr>
            <w:tr w14:paraId="5914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restart"/>
                  <w:noWrap w:val="0"/>
                  <w:vAlign w:val="center"/>
                </w:tcPr>
                <w:p w14:paraId="3A34DE78">
                  <w:pPr>
                    <w:widowControl/>
                    <w:adjustRightInd w:val="0"/>
                    <w:snapToGrid w:val="0"/>
                    <w:jc w:val="center"/>
                    <w:rPr>
                      <w:color w:val="000000"/>
                      <w:spacing w:val="20"/>
                      <w:kern w:val="11"/>
                    </w:rPr>
                  </w:pPr>
                  <w:r>
                    <w:rPr>
                      <w:color w:val="000000"/>
                    </w:rPr>
                    <w:t>《环境空气质量标准》GB3095-2012 二级标准</w:t>
                  </w:r>
                </w:p>
              </w:tc>
              <w:tc>
                <w:tcPr>
                  <w:tcW w:w="1296" w:type="dxa"/>
                  <w:vMerge w:val="restart"/>
                  <w:noWrap w:val="0"/>
                  <w:vAlign w:val="center"/>
                </w:tcPr>
                <w:p w14:paraId="030B6A0C">
                  <w:pPr>
                    <w:widowControl/>
                    <w:adjustRightInd w:val="0"/>
                    <w:snapToGrid w:val="0"/>
                    <w:jc w:val="center"/>
                    <w:rPr>
                      <w:color w:val="000000"/>
                      <w:spacing w:val="20"/>
                      <w:kern w:val="11"/>
                    </w:rPr>
                  </w:pPr>
                  <w:r>
                    <w:rPr>
                      <w:color w:val="000000"/>
                    </w:rPr>
                    <w:t>TSP</w:t>
                  </w:r>
                </w:p>
              </w:tc>
              <w:tc>
                <w:tcPr>
                  <w:tcW w:w="1967" w:type="dxa"/>
                  <w:noWrap w:val="0"/>
                  <w:vAlign w:val="center"/>
                </w:tcPr>
                <w:p w14:paraId="1442EC9A">
                  <w:pPr>
                    <w:jc w:val="center"/>
                    <w:rPr>
                      <w:color w:val="000000"/>
                    </w:rPr>
                  </w:pPr>
                  <w:r>
                    <w:rPr>
                      <w:color w:val="000000"/>
                    </w:rPr>
                    <w:t>年平均</w:t>
                  </w:r>
                </w:p>
              </w:tc>
              <w:tc>
                <w:tcPr>
                  <w:tcW w:w="1071" w:type="dxa"/>
                  <w:noWrap w:val="0"/>
                  <w:vAlign w:val="center"/>
                </w:tcPr>
                <w:p w14:paraId="305D2A65">
                  <w:pPr>
                    <w:jc w:val="center"/>
                    <w:rPr>
                      <w:color w:val="000000"/>
                    </w:rPr>
                  </w:pPr>
                  <w:r>
                    <w:rPr>
                      <w:color w:val="000000"/>
                    </w:rPr>
                    <w:t>200</w:t>
                  </w:r>
                </w:p>
              </w:tc>
              <w:tc>
                <w:tcPr>
                  <w:tcW w:w="782" w:type="dxa"/>
                  <w:vMerge w:val="restart"/>
                  <w:noWrap w:val="0"/>
                  <w:vAlign w:val="center"/>
                </w:tcPr>
                <w:p w14:paraId="085FE17C">
                  <w:pPr>
                    <w:jc w:val="center"/>
                    <w:rPr>
                      <w:color w:val="000000"/>
                    </w:rPr>
                  </w:pPr>
                  <w:r>
                    <w:rPr>
                      <w:color w:val="000000"/>
                    </w:rPr>
                    <w:t>μg/m</w:t>
                  </w:r>
                  <w:r>
                    <w:rPr>
                      <w:color w:val="000000"/>
                      <w:vertAlign w:val="superscript"/>
                    </w:rPr>
                    <w:t>3</w:t>
                  </w:r>
                </w:p>
              </w:tc>
            </w:tr>
            <w:tr w14:paraId="21D0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0128BCB6">
                  <w:pPr>
                    <w:widowControl/>
                    <w:adjustRightInd w:val="0"/>
                    <w:snapToGrid w:val="0"/>
                    <w:jc w:val="center"/>
                    <w:rPr>
                      <w:color w:val="000000"/>
                      <w:spacing w:val="20"/>
                      <w:kern w:val="11"/>
                    </w:rPr>
                  </w:pPr>
                </w:p>
              </w:tc>
              <w:tc>
                <w:tcPr>
                  <w:tcW w:w="1296" w:type="dxa"/>
                  <w:vMerge w:val="continue"/>
                  <w:noWrap w:val="0"/>
                  <w:vAlign w:val="center"/>
                </w:tcPr>
                <w:p w14:paraId="2641FC5E">
                  <w:pPr>
                    <w:widowControl/>
                    <w:adjustRightInd w:val="0"/>
                    <w:snapToGrid w:val="0"/>
                    <w:jc w:val="center"/>
                    <w:rPr>
                      <w:color w:val="000000"/>
                      <w:spacing w:val="20"/>
                      <w:kern w:val="11"/>
                    </w:rPr>
                  </w:pPr>
                </w:p>
              </w:tc>
              <w:tc>
                <w:tcPr>
                  <w:tcW w:w="1967" w:type="dxa"/>
                  <w:noWrap w:val="0"/>
                  <w:vAlign w:val="center"/>
                </w:tcPr>
                <w:p w14:paraId="2940F357">
                  <w:pPr>
                    <w:jc w:val="center"/>
                    <w:rPr>
                      <w:color w:val="000000"/>
                    </w:rPr>
                  </w:pPr>
                  <w:r>
                    <w:rPr>
                      <w:color w:val="000000"/>
                    </w:rPr>
                    <w:t>24小时平均</w:t>
                  </w:r>
                </w:p>
              </w:tc>
              <w:tc>
                <w:tcPr>
                  <w:tcW w:w="1071" w:type="dxa"/>
                  <w:noWrap w:val="0"/>
                  <w:vAlign w:val="center"/>
                </w:tcPr>
                <w:p w14:paraId="300268A9">
                  <w:pPr>
                    <w:jc w:val="center"/>
                    <w:rPr>
                      <w:color w:val="000000"/>
                    </w:rPr>
                  </w:pPr>
                  <w:r>
                    <w:rPr>
                      <w:color w:val="000000"/>
                    </w:rPr>
                    <w:t>300</w:t>
                  </w:r>
                </w:p>
              </w:tc>
              <w:tc>
                <w:tcPr>
                  <w:tcW w:w="782" w:type="dxa"/>
                  <w:vMerge w:val="continue"/>
                  <w:noWrap w:val="0"/>
                  <w:vAlign w:val="center"/>
                </w:tcPr>
                <w:p w14:paraId="4C67D868">
                  <w:pPr>
                    <w:jc w:val="center"/>
                    <w:rPr>
                      <w:color w:val="000000"/>
                    </w:rPr>
                  </w:pPr>
                </w:p>
              </w:tc>
            </w:tr>
            <w:tr w14:paraId="5F87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2F9B87EC">
                  <w:pPr>
                    <w:widowControl/>
                    <w:adjustRightInd w:val="0"/>
                    <w:snapToGrid w:val="0"/>
                    <w:jc w:val="center"/>
                    <w:rPr>
                      <w:color w:val="000000"/>
                      <w:spacing w:val="20"/>
                      <w:kern w:val="11"/>
                    </w:rPr>
                  </w:pPr>
                </w:p>
              </w:tc>
              <w:tc>
                <w:tcPr>
                  <w:tcW w:w="1296" w:type="dxa"/>
                  <w:vMerge w:val="restart"/>
                  <w:noWrap w:val="0"/>
                  <w:vAlign w:val="center"/>
                </w:tcPr>
                <w:p w14:paraId="51490802">
                  <w:pPr>
                    <w:widowControl/>
                    <w:adjustRightInd w:val="0"/>
                    <w:snapToGrid w:val="0"/>
                    <w:jc w:val="center"/>
                    <w:rPr>
                      <w:color w:val="000000"/>
                    </w:rPr>
                  </w:pPr>
                  <w:r>
                    <w:rPr>
                      <w:color w:val="000000"/>
                    </w:rPr>
                    <w:t>PM</w:t>
                  </w:r>
                  <w:r>
                    <w:rPr>
                      <w:color w:val="000000"/>
                      <w:vertAlign w:val="subscript"/>
                    </w:rPr>
                    <w:t>2.5</w:t>
                  </w:r>
                </w:p>
              </w:tc>
              <w:tc>
                <w:tcPr>
                  <w:tcW w:w="1967" w:type="dxa"/>
                  <w:noWrap w:val="0"/>
                  <w:vAlign w:val="center"/>
                </w:tcPr>
                <w:p w14:paraId="3A21BCE8">
                  <w:pPr>
                    <w:jc w:val="center"/>
                    <w:rPr>
                      <w:color w:val="000000"/>
                    </w:rPr>
                  </w:pPr>
                  <w:r>
                    <w:rPr>
                      <w:color w:val="000000"/>
                    </w:rPr>
                    <w:t>年平均</w:t>
                  </w:r>
                </w:p>
              </w:tc>
              <w:tc>
                <w:tcPr>
                  <w:tcW w:w="1071" w:type="dxa"/>
                  <w:noWrap w:val="0"/>
                  <w:vAlign w:val="center"/>
                </w:tcPr>
                <w:p w14:paraId="30135EF9">
                  <w:pPr>
                    <w:jc w:val="center"/>
                    <w:rPr>
                      <w:color w:val="000000"/>
                    </w:rPr>
                  </w:pPr>
                  <w:r>
                    <w:rPr>
                      <w:color w:val="000000"/>
                    </w:rPr>
                    <w:t>35</w:t>
                  </w:r>
                </w:p>
              </w:tc>
              <w:tc>
                <w:tcPr>
                  <w:tcW w:w="782" w:type="dxa"/>
                  <w:vMerge w:val="continue"/>
                  <w:noWrap w:val="0"/>
                  <w:vAlign w:val="center"/>
                </w:tcPr>
                <w:p w14:paraId="145F3B20">
                  <w:pPr>
                    <w:jc w:val="center"/>
                    <w:rPr>
                      <w:color w:val="000000"/>
                    </w:rPr>
                  </w:pPr>
                </w:p>
              </w:tc>
            </w:tr>
            <w:tr w14:paraId="3FC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5C543314">
                  <w:pPr>
                    <w:widowControl/>
                    <w:adjustRightInd w:val="0"/>
                    <w:snapToGrid w:val="0"/>
                    <w:jc w:val="center"/>
                    <w:rPr>
                      <w:color w:val="000000"/>
                      <w:spacing w:val="20"/>
                      <w:kern w:val="11"/>
                    </w:rPr>
                  </w:pPr>
                </w:p>
              </w:tc>
              <w:tc>
                <w:tcPr>
                  <w:tcW w:w="1296" w:type="dxa"/>
                  <w:vMerge w:val="continue"/>
                  <w:noWrap w:val="0"/>
                  <w:vAlign w:val="center"/>
                </w:tcPr>
                <w:p w14:paraId="250F44A6">
                  <w:pPr>
                    <w:widowControl/>
                    <w:adjustRightInd w:val="0"/>
                    <w:snapToGrid w:val="0"/>
                    <w:jc w:val="center"/>
                    <w:rPr>
                      <w:color w:val="000000"/>
                    </w:rPr>
                  </w:pPr>
                </w:p>
              </w:tc>
              <w:tc>
                <w:tcPr>
                  <w:tcW w:w="1967" w:type="dxa"/>
                  <w:noWrap w:val="0"/>
                  <w:vAlign w:val="center"/>
                </w:tcPr>
                <w:p w14:paraId="089C50EC">
                  <w:pPr>
                    <w:jc w:val="center"/>
                    <w:rPr>
                      <w:color w:val="000000"/>
                    </w:rPr>
                  </w:pPr>
                  <w:r>
                    <w:rPr>
                      <w:color w:val="000000"/>
                    </w:rPr>
                    <w:t>24小时平均</w:t>
                  </w:r>
                </w:p>
              </w:tc>
              <w:tc>
                <w:tcPr>
                  <w:tcW w:w="1071" w:type="dxa"/>
                  <w:noWrap w:val="0"/>
                  <w:vAlign w:val="center"/>
                </w:tcPr>
                <w:p w14:paraId="34683E11">
                  <w:pPr>
                    <w:jc w:val="center"/>
                    <w:rPr>
                      <w:color w:val="000000"/>
                    </w:rPr>
                  </w:pPr>
                  <w:r>
                    <w:rPr>
                      <w:color w:val="000000"/>
                    </w:rPr>
                    <w:t>75</w:t>
                  </w:r>
                </w:p>
              </w:tc>
              <w:tc>
                <w:tcPr>
                  <w:tcW w:w="782" w:type="dxa"/>
                  <w:vMerge w:val="continue"/>
                  <w:noWrap w:val="0"/>
                  <w:vAlign w:val="center"/>
                </w:tcPr>
                <w:p w14:paraId="394C4120">
                  <w:pPr>
                    <w:jc w:val="center"/>
                    <w:rPr>
                      <w:color w:val="000000"/>
                    </w:rPr>
                  </w:pPr>
                </w:p>
              </w:tc>
            </w:tr>
            <w:tr w14:paraId="1E0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1B9A2C00">
                  <w:pPr>
                    <w:widowControl/>
                    <w:adjustRightInd w:val="0"/>
                    <w:snapToGrid w:val="0"/>
                    <w:jc w:val="center"/>
                    <w:rPr>
                      <w:color w:val="000000"/>
                      <w:spacing w:val="20"/>
                      <w:kern w:val="11"/>
                    </w:rPr>
                  </w:pPr>
                </w:p>
              </w:tc>
              <w:tc>
                <w:tcPr>
                  <w:tcW w:w="1296" w:type="dxa"/>
                  <w:vMerge w:val="restart"/>
                  <w:noWrap w:val="0"/>
                  <w:vAlign w:val="center"/>
                </w:tcPr>
                <w:p w14:paraId="7A7C656B">
                  <w:pPr>
                    <w:widowControl/>
                    <w:adjustRightInd w:val="0"/>
                    <w:snapToGrid w:val="0"/>
                    <w:jc w:val="center"/>
                    <w:rPr>
                      <w:color w:val="000000"/>
                      <w:spacing w:val="20"/>
                      <w:kern w:val="11"/>
                    </w:rPr>
                  </w:pPr>
                  <w:r>
                    <w:rPr>
                      <w:color w:val="000000"/>
                    </w:rPr>
                    <w:t>PM</w:t>
                  </w:r>
                  <w:r>
                    <w:rPr>
                      <w:color w:val="000000"/>
                      <w:vertAlign w:val="subscript"/>
                    </w:rPr>
                    <w:t>10</w:t>
                  </w:r>
                </w:p>
              </w:tc>
              <w:tc>
                <w:tcPr>
                  <w:tcW w:w="1967" w:type="dxa"/>
                  <w:noWrap w:val="0"/>
                  <w:vAlign w:val="center"/>
                </w:tcPr>
                <w:p w14:paraId="5E0D8695">
                  <w:pPr>
                    <w:jc w:val="center"/>
                    <w:rPr>
                      <w:color w:val="000000"/>
                    </w:rPr>
                  </w:pPr>
                  <w:r>
                    <w:rPr>
                      <w:color w:val="000000"/>
                    </w:rPr>
                    <w:t>年平均</w:t>
                  </w:r>
                </w:p>
              </w:tc>
              <w:tc>
                <w:tcPr>
                  <w:tcW w:w="1071" w:type="dxa"/>
                  <w:noWrap w:val="0"/>
                  <w:vAlign w:val="center"/>
                </w:tcPr>
                <w:p w14:paraId="1F561D74">
                  <w:pPr>
                    <w:jc w:val="center"/>
                    <w:rPr>
                      <w:color w:val="000000"/>
                    </w:rPr>
                  </w:pPr>
                  <w:r>
                    <w:rPr>
                      <w:color w:val="000000"/>
                    </w:rPr>
                    <w:t>70</w:t>
                  </w:r>
                </w:p>
              </w:tc>
              <w:tc>
                <w:tcPr>
                  <w:tcW w:w="782" w:type="dxa"/>
                  <w:vMerge w:val="continue"/>
                  <w:noWrap w:val="0"/>
                  <w:vAlign w:val="center"/>
                </w:tcPr>
                <w:p w14:paraId="4F39DBD1">
                  <w:pPr>
                    <w:jc w:val="center"/>
                    <w:rPr>
                      <w:color w:val="000000"/>
                    </w:rPr>
                  </w:pPr>
                </w:p>
              </w:tc>
            </w:tr>
            <w:tr w14:paraId="78E7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311C811E">
                  <w:pPr>
                    <w:widowControl/>
                    <w:adjustRightInd w:val="0"/>
                    <w:snapToGrid w:val="0"/>
                    <w:jc w:val="center"/>
                    <w:rPr>
                      <w:color w:val="000000"/>
                      <w:spacing w:val="20"/>
                      <w:kern w:val="11"/>
                    </w:rPr>
                  </w:pPr>
                </w:p>
              </w:tc>
              <w:tc>
                <w:tcPr>
                  <w:tcW w:w="1296" w:type="dxa"/>
                  <w:vMerge w:val="continue"/>
                  <w:noWrap w:val="0"/>
                  <w:vAlign w:val="center"/>
                </w:tcPr>
                <w:p w14:paraId="3AA07557">
                  <w:pPr>
                    <w:widowControl/>
                    <w:adjustRightInd w:val="0"/>
                    <w:snapToGrid w:val="0"/>
                    <w:jc w:val="center"/>
                    <w:rPr>
                      <w:color w:val="000000"/>
                      <w:spacing w:val="20"/>
                      <w:kern w:val="11"/>
                    </w:rPr>
                  </w:pPr>
                </w:p>
              </w:tc>
              <w:tc>
                <w:tcPr>
                  <w:tcW w:w="1967" w:type="dxa"/>
                  <w:noWrap w:val="0"/>
                  <w:vAlign w:val="center"/>
                </w:tcPr>
                <w:p w14:paraId="625ED439">
                  <w:pPr>
                    <w:jc w:val="center"/>
                    <w:rPr>
                      <w:color w:val="000000"/>
                    </w:rPr>
                  </w:pPr>
                  <w:r>
                    <w:rPr>
                      <w:color w:val="000000"/>
                    </w:rPr>
                    <w:t>24小时平均</w:t>
                  </w:r>
                </w:p>
              </w:tc>
              <w:tc>
                <w:tcPr>
                  <w:tcW w:w="1071" w:type="dxa"/>
                  <w:noWrap w:val="0"/>
                  <w:vAlign w:val="center"/>
                </w:tcPr>
                <w:p w14:paraId="370BEC3D">
                  <w:pPr>
                    <w:jc w:val="center"/>
                    <w:rPr>
                      <w:color w:val="000000"/>
                    </w:rPr>
                  </w:pPr>
                  <w:r>
                    <w:rPr>
                      <w:color w:val="000000"/>
                    </w:rPr>
                    <w:t>150</w:t>
                  </w:r>
                </w:p>
              </w:tc>
              <w:tc>
                <w:tcPr>
                  <w:tcW w:w="782" w:type="dxa"/>
                  <w:vMerge w:val="continue"/>
                  <w:noWrap w:val="0"/>
                  <w:vAlign w:val="center"/>
                </w:tcPr>
                <w:p w14:paraId="09462B37">
                  <w:pPr>
                    <w:jc w:val="center"/>
                    <w:rPr>
                      <w:color w:val="000000"/>
                    </w:rPr>
                  </w:pPr>
                </w:p>
              </w:tc>
            </w:tr>
            <w:tr w14:paraId="67C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1D4FC060">
                  <w:pPr>
                    <w:widowControl/>
                    <w:adjustRightInd w:val="0"/>
                    <w:snapToGrid w:val="0"/>
                    <w:jc w:val="center"/>
                    <w:rPr>
                      <w:color w:val="000000"/>
                      <w:spacing w:val="20"/>
                      <w:kern w:val="11"/>
                    </w:rPr>
                  </w:pPr>
                </w:p>
              </w:tc>
              <w:tc>
                <w:tcPr>
                  <w:tcW w:w="1296" w:type="dxa"/>
                  <w:vMerge w:val="restart"/>
                  <w:noWrap w:val="0"/>
                  <w:vAlign w:val="center"/>
                </w:tcPr>
                <w:p w14:paraId="7CEF2435">
                  <w:pPr>
                    <w:widowControl/>
                    <w:adjustRightInd w:val="0"/>
                    <w:snapToGrid w:val="0"/>
                    <w:jc w:val="center"/>
                    <w:rPr>
                      <w:color w:val="000000"/>
                      <w:spacing w:val="20"/>
                      <w:kern w:val="11"/>
                    </w:rPr>
                  </w:pPr>
                  <w:r>
                    <w:rPr>
                      <w:color w:val="000000"/>
                    </w:rPr>
                    <w:t>二氧化氮（NO</w:t>
                  </w:r>
                  <w:r>
                    <w:rPr>
                      <w:color w:val="000000"/>
                      <w:vertAlign w:val="subscript"/>
                    </w:rPr>
                    <w:t>2</w:t>
                  </w:r>
                  <w:r>
                    <w:rPr>
                      <w:color w:val="000000"/>
                    </w:rPr>
                    <w:t>）</w:t>
                  </w:r>
                </w:p>
              </w:tc>
              <w:tc>
                <w:tcPr>
                  <w:tcW w:w="1967" w:type="dxa"/>
                  <w:noWrap w:val="0"/>
                  <w:vAlign w:val="center"/>
                </w:tcPr>
                <w:p w14:paraId="1D98B509">
                  <w:pPr>
                    <w:jc w:val="center"/>
                    <w:rPr>
                      <w:color w:val="000000"/>
                    </w:rPr>
                  </w:pPr>
                  <w:r>
                    <w:rPr>
                      <w:color w:val="000000"/>
                    </w:rPr>
                    <w:t>年平均</w:t>
                  </w:r>
                </w:p>
              </w:tc>
              <w:tc>
                <w:tcPr>
                  <w:tcW w:w="1071" w:type="dxa"/>
                  <w:noWrap w:val="0"/>
                  <w:vAlign w:val="center"/>
                </w:tcPr>
                <w:p w14:paraId="6CD61033">
                  <w:pPr>
                    <w:jc w:val="center"/>
                    <w:rPr>
                      <w:color w:val="000000"/>
                    </w:rPr>
                  </w:pPr>
                  <w:r>
                    <w:rPr>
                      <w:color w:val="000000"/>
                    </w:rPr>
                    <w:t>40</w:t>
                  </w:r>
                </w:p>
              </w:tc>
              <w:tc>
                <w:tcPr>
                  <w:tcW w:w="782" w:type="dxa"/>
                  <w:vMerge w:val="continue"/>
                  <w:noWrap w:val="0"/>
                  <w:vAlign w:val="center"/>
                </w:tcPr>
                <w:p w14:paraId="44000465">
                  <w:pPr>
                    <w:jc w:val="center"/>
                    <w:rPr>
                      <w:color w:val="000000"/>
                    </w:rPr>
                  </w:pPr>
                </w:p>
              </w:tc>
            </w:tr>
            <w:tr w14:paraId="67F9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313638AC">
                  <w:pPr>
                    <w:widowControl/>
                    <w:adjustRightInd w:val="0"/>
                    <w:snapToGrid w:val="0"/>
                    <w:jc w:val="center"/>
                    <w:rPr>
                      <w:color w:val="000000"/>
                      <w:spacing w:val="20"/>
                      <w:kern w:val="11"/>
                    </w:rPr>
                  </w:pPr>
                </w:p>
              </w:tc>
              <w:tc>
                <w:tcPr>
                  <w:tcW w:w="1296" w:type="dxa"/>
                  <w:vMerge w:val="continue"/>
                  <w:noWrap w:val="0"/>
                  <w:vAlign w:val="center"/>
                </w:tcPr>
                <w:p w14:paraId="1821316F">
                  <w:pPr>
                    <w:widowControl/>
                    <w:adjustRightInd w:val="0"/>
                    <w:snapToGrid w:val="0"/>
                    <w:jc w:val="center"/>
                    <w:rPr>
                      <w:color w:val="000000"/>
                      <w:spacing w:val="20"/>
                      <w:kern w:val="11"/>
                    </w:rPr>
                  </w:pPr>
                </w:p>
              </w:tc>
              <w:tc>
                <w:tcPr>
                  <w:tcW w:w="1967" w:type="dxa"/>
                  <w:noWrap w:val="0"/>
                  <w:vAlign w:val="center"/>
                </w:tcPr>
                <w:p w14:paraId="6B4E6508">
                  <w:pPr>
                    <w:jc w:val="center"/>
                    <w:rPr>
                      <w:color w:val="000000"/>
                    </w:rPr>
                  </w:pPr>
                  <w:r>
                    <w:rPr>
                      <w:color w:val="000000"/>
                    </w:rPr>
                    <w:t>24小时平均</w:t>
                  </w:r>
                </w:p>
              </w:tc>
              <w:tc>
                <w:tcPr>
                  <w:tcW w:w="1071" w:type="dxa"/>
                  <w:noWrap w:val="0"/>
                  <w:vAlign w:val="center"/>
                </w:tcPr>
                <w:p w14:paraId="2318E3D2">
                  <w:pPr>
                    <w:jc w:val="center"/>
                    <w:rPr>
                      <w:color w:val="000000"/>
                    </w:rPr>
                  </w:pPr>
                  <w:r>
                    <w:rPr>
                      <w:color w:val="000000"/>
                    </w:rPr>
                    <w:t>80</w:t>
                  </w:r>
                </w:p>
              </w:tc>
              <w:tc>
                <w:tcPr>
                  <w:tcW w:w="782" w:type="dxa"/>
                  <w:vMerge w:val="continue"/>
                  <w:noWrap w:val="0"/>
                  <w:vAlign w:val="center"/>
                </w:tcPr>
                <w:p w14:paraId="5FD207CD">
                  <w:pPr>
                    <w:jc w:val="center"/>
                    <w:rPr>
                      <w:color w:val="000000"/>
                    </w:rPr>
                  </w:pPr>
                </w:p>
              </w:tc>
            </w:tr>
            <w:tr w14:paraId="27E1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6AD72B0A">
                  <w:pPr>
                    <w:widowControl/>
                    <w:adjustRightInd w:val="0"/>
                    <w:snapToGrid w:val="0"/>
                    <w:jc w:val="center"/>
                    <w:rPr>
                      <w:color w:val="000000"/>
                      <w:spacing w:val="20"/>
                      <w:kern w:val="11"/>
                    </w:rPr>
                  </w:pPr>
                </w:p>
              </w:tc>
              <w:tc>
                <w:tcPr>
                  <w:tcW w:w="1296" w:type="dxa"/>
                  <w:vMerge w:val="continue"/>
                  <w:noWrap w:val="0"/>
                  <w:vAlign w:val="center"/>
                </w:tcPr>
                <w:p w14:paraId="49ED4D55">
                  <w:pPr>
                    <w:widowControl/>
                    <w:adjustRightInd w:val="0"/>
                    <w:snapToGrid w:val="0"/>
                    <w:jc w:val="center"/>
                    <w:rPr>
                      <w:color w:val="000000"/>
                      <w:spacing w:val="20"/>
                      <w:kern w:val="11"/>
                    </w:rPr>
                  </w:pPr>
                </w:p>
              </w:tc>
              <w:tc>
                <w:tcPr>
                  <w:tcW w:w="1967" w:type="dxa"/>
                  <w:noWrap w:val="0"/>
                  <w:vAlign w:val="center"/>
                </w:tcPr>
                <w:p w14:paraId="7E670C8B">
                  <w:pPr>
                    <w:jc w:val="center"/>
                    <w:rPr>
                      <w:color w:val="000000"/>
                    </w:rPr>
                  </w:pPr>
                  <w:r>
                    <w:rPr>
                      <w:color w:val="000000"/>
                    </w:rPr>
                    <w:t>1小时平均</w:t>
                  </w:r>
                </w:p>
              </w:tc>
              <w:tc>
                <w:tcPr>
                  <w:tcW w:w="1071" w:type="dxa"/>
                  <w:noWrap w:val="0"/>
                  <w:vAlign w:val="center"/>
                </w:tcPr>
                <w:p w14:paraId="3DFDFF40">
                  <w:pPr>
                    <w:jc w:val="center"/>
                    <w:rPr>
                      <w:color w:val="000000"/>
                    </w:rPr>
                  </w:pPr>
                  <w:r>
                    <w:rPr>
                      <w:color w:val="000000"/>
                    </w:rPr>
                    <w:t>200</w:t>
                  </w:r>
                </w:p>
              </w:tc>
              <w:tc>
                <w:tcPr>
                  <w:tcW w:w="782" w:type="dxa"/>
                  <w:vMerge w:val="continue"/>
                  <w:noWrap w:val="0"/>
                  <w:vAlign w:val="center"/>
                </w:tcPr>
                <w:p w14:paraId="10862198">
                  <w:pPr>
                    <w:jc w:val="center"/>
                    <w:rPr>
                      <w:color w:val="000000"/>
                    </w:rPr>
                  </w:pPr>
                </w:p>
              </w:tc>
            </w:tr>
            <w:tr w14:paraId="49C9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07076427">
                  <w:pPr>
                    <w:widowControl/>
                    <w:adjustRightInd w:val="0"/>
                    <w:snapToGrid w:val="0"/>
                    <w:jc w:val="center"/>
                    <w:rPr>
                      <w:b/>
                      <w:bCs/>
                      <w:color w:val="000000"/>
                      <w:spacing w:val="20"/>
                      <w:kern w:val="11"/>
                    </w:rPr>
                  </w:pPr>
                </w:p>
              </w:tc>
              <w:tc>
                <w:tcPr>
                  <w:tcW w:w="1296" w:type="dxa"/>
                  <w:vMerge w:val="restart"/>
                  <w:noWrap w:val="0"/>
                  <w:vAlign w:val="center"/>
                </w:tcPr>
                <w:p w14:paraId="65C5D2E7">
                  <w:pPr>
                    <w:widowControl/>
                    <w:adjustRightInd w:val="0"/>
                    <w:snapToGrid w:val="0"/>
                    <w:jc w:val="center"/>
                    <w:rPr>
                      <w:bCs/>
                      <w:color w:val="000000"/>
                      <w:spacing w:val="20"/>
                      <w:kern w:val="11"/>
                    </w:rPr>
                  </w:pPr>
                  <w:r>
                    <w:rPr>
                      <w:bCs/>
                      <w:color w:val="000000"/>
                    </w:rPr>
                    <w:t>二氧化硫（SO</w:t>
                  </w:r>
                  <w:r>
                    <w:rPr>
                      <w:bCs/>
                      <w:color w:val="000000"/>
                      <w:vertAlign w:val="subscript"/>
                    </w:rPr>
                    <w:t>2</w:t>
                  </w:r>
                  <w:r>
                    <w:rPr>
                      <w:bCs/>
                      <w:color w:val="000000"/>
                    </w:rPr>
                    <w:t>）</w:t>
                  </w:r>
                </w:p>
              </w:tc>
              <w:tc>
                <w:tcPr>
                  <w:tcW w:w="1967" w:type="dxa"/>
                  <w:noWrap w:val="0"/>
                  <w:vAlign w:val="center"/>
                </w:tcPr>
                <w:p w14:paraId="602A2C98">
                  <w:pPr>
                    <w:jc w:val="center"/>
                    <w:rPr>
                      <w:bCs/>
                      <w:color w:val="000000"/>
                    </w:rPr>
                  </w:pPr>
                  <w:r>
                    <w:rPr>
                      <w:bCs/>
                      <w:color w:val="000000"/>
                    </w:rPr>
                    <w:t>年平均</w:t>
                  </w:r>
                </w:p>
              </w:tc>
              <w:tc>
                <w:tcPr>
                  <w:tcW w:w="1071" w:type="dxa"/>
                  <w:noWrap w:val="0"/>
                  <w:vAlign w:val="center"/>
                </w:tcPr>
                <w:p w14:paraId="6E1F2AE1">
                  <w:pPr>
                    <w:jc w:val="center"/>
                    <w:rPr>
                      <w:bCs/>
                      <w:color w:val="000000"/>
                    </w:rPr>
                  </w:pPr>
                  <w:r>
                    <w:rPr>
                      <w:bCs/>
                      <w:color w:val="000000"/>
                    </w:rPr>
                    <w:t>60</w:t>
                  </w:r>
                </w:p>
              </w:tc>
              <w:tc>
                <w:tcPr>
                  <w:tcW w:w="782" w:type="dxa"/>
                  <w:vMerge w:val="continue"/>
                  <w:noWrap w:val="0"/>
                  <w:vAlign w:val="center"/>
                </w:tcPr>
                <w:p w14:paraId="3A756F8C">
                  <w:pPr>
                    <w:jc w:val="center"/>
                    <w:rPr>
                      <w:b/>
                      <w:bCs/>
                      <w:color w:val="000000"/>
                    </w:rPr>
                  </w:pPr>
                </w:p>
              </w:tc>
            </w:tr>
            <w:tr w14:paraId="611D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38E92E14">
                  <w:pPr>
                    <w:widowControl/>
                    <w:adjustRightInd w:val="0"/>
                    <w:snapToGrid w:val="0"/>
                    <w:jc w:val="center"/>
                    <w:rPr>
                      <w:b/>
                      <w:bCs/>
                      <w:color w:val="000000"/>
                      <w:spacing w:val="20"/>
                      <w:kern w:val="11"/>
                    </w:rPr>
                  </w:pPr>
                </w:p>
              </w:tc>
              <w:tc>
                <w:tcPr>
                  <w:tcW w:w="1296" w:type="dxa"/>
                  <w:vMerge w:val="continue"/>
                  <w:noWrap w:val="0"/>
                  <w:vAlign w:val="center"/>
                </w:tcPr>
                <w:p w14:paraId="3CD8E2DA">
                  <w:pPr>
                    <w:widowControl/>
                    <w:adjustRightInd w:val="0"/>
                    <w:snapToGrid w:val="0"/>
                    <w:jc w:val="center"/>
                    <w:rPr>
                      <w:bCs/>
                      <w:color w:val="000000"/>
                      <w:spacing w:val="20"/>
                      <w:kern w:val="11"/>
                    </w:rPr>
                  </w:pPr>
                </w:p>
              </w:tc>
              <w:tc>
                <w:tcPr>
                  <w:tcW w:w="1967" w:type="dxa"/>
                  <w:noWrap w:val="0"/>
                  <w:vAlign w:val="center"/>
                </w:tcPr>
                <w:p w14:paraId="62666352">
                  <w:pPr>
                    <w:jc w:val="center"/>
                    <w:rPr>
                      <w:bCs/>
                      <w:color w:val="000000"/>
                    </w:rPr>
                  </w:pPr>
                  <w:r>
                    <w:rPr>
                      <w:bCs/>
                      <w:color w:val="000000"/>
                    </w:rPr>
                    <w:t>24小时平均</w:t>
                  </w:r>
                </w:p>
              </w:tc>
              <w:tc>
                <w:tcPr>
                  <w:tcW w:w="1071" w:type="dxa"/>
                  <w:noWrap w:val="0"/>
                  <w:vAlign w:val="center"/>
                </w:tcPr>
                <w:p w14:paraId="314F5A50">
                  <w:pPr>
                    <w:jc w:val="center"/>
                    <w:rPr>
                      <w:bCs/>
                      <w:color w:val="000000"/>
                    </w:rPr>
                  </w:pPr>
                  <w:r>
                    <w:rPr>
                      <w:bCs/>
                      <w:color w:val="000000"/>
                    </w:rPr>
                    <w:t>150</w:t>
                  </w:r>
                </w:p>
              </w:tc>
              <w:tc>
                <w:tcPr>
                  <w:tcW w:w="782" w:type="dxa"/>
                  <w:vMerge w:val="continue"/>
                  <w:noWrap w:val="0"/>
                  <w:vAlign w:val="center"/>
                </w:tcPr>
                <w:p w14:paraId="714DCD92">
                  <w:pPr>
                    <w:jc w:val="center"/>
                    <w:rPr>
                      <w:b/>
                      <w:bCs/>
                      <w:color w:val="000000"/>
                    </w:rPr>
                  </w:pPr>
                </w:p>
              </w:tc>
            </w:tr>
            <w:tr w14:paraId="47FC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27BA7CA9">
                  <w:pPr>
                    <w:widowControl/>
                    <w:adjustRightInd w:val="0"/>
                    <w:snapToGrid w:val="0"/>
                    <w:jc w:val="center"/>
                    <w:rPr>
                      <w:b/>
                      <w:bCs/>
                      <w:color w:val="000000"/>
                      <w:spacing w:val="20"/>
                      <w:kern w:val="11"/>
                    </w:rPr>
                  </w:pPr>
                </w:p>
              </w:tc>
              <w:tc>
                <w:tcPr>
                  <w:tcW w:w="1296" w:type="dxa"/>
                  <w:vMerge w:val="continue"/>
                  <w:noWrap w:val="0"/>
                  <w:vAlign w:val="center"/>
                </w:tcPr>
                <w:p w14:paraId="119CB72C">
                  <w:pPr>
                    <w:widowControl/>
                    <w:adjustRightInd w:val="0"/>
                    <w:snapToGrid w:val="0"/>
                    <w:jc w:val="center"/>
                    <w:rPr>
                      <w:bCs/>
                      <w:color w:val="000000"/>
                      <w:spacing w:val="20"/>
                      <w:kern w:val="11"/>
                    </w:rPr>
                  </w:pPr>
                </w:p>
              </w:tc>
              <w:tc>
                <w:tcPr>
                  <w:tcW w:w="1967" w:type="dxa"/>
                  <w:noWrap w:val="0"/>
                  <w:vAlign w:val="center"/>
                </w:tcPr>
                <w:p w14:paraId="182E0210">
                  <w:pPr>
                    <w:jc w:val="center"/>
                    <w:rPr>
                      <w:bCs/>
                      <w:color w:val="000000"/>
                    </w:rPr>
                  </w:pPr>
                  <w:r>
                    <w:rPr>
                      <w:bCs/>
                      <w:color w:val="000000"/>
                    </w:rPr>
                    <w:t>1小时平均</w:t>
                  </w:r>
                </w:p>
              </w:tc>
              <w:tc>
                <w:tcPr>
                  <w:tcW w:w="1071" w:type="dxa"/>
                  <w:noWrap w:val="0"/>
                  <w:vAlign w:val="center"/>
                </w:tcPr>
                <w:p w14:paraId="4D288AF4">
                  <w:pPr>
                    <w:jc w:val="center"/>
                    <w:rPr>
                      <w:bCs/>
                      <w:color w:val="000000"/>
                    </w:rPr>
                  </w:pPr>
                  <w:r>
                    <w:rPr>
                      <w:bCs/>
                      <w:color w:val="000000"/>
                    </w:rPr>
                    <w:t>500</w:t>
                  </w:r>
                </w:p>
              </w:tc>
              <w:tc>
                <w:tcPr>
                  <w:tcW w:w="782" w:type="dxa"/>
                  <w:vMerge w:val="continue"/>
                  <w:noWrap w:val="0"/>
                  <w:vAlign w:val="center"/>
                </w:tcPr>
                <w:p w14:paraId="7EC7C95A">
                  <w:pPr>
                    <w:jc w:val="center"/>
                    <w:rPr>
                      <w:b/>
                      <w:bCs/>
                      <w:color w:val="000000"/>
                    </w:rPr>
                  </w:pPr>
                </w:p>
              </w:tc>
            </w:tr>
            <w:tr w14:paraId="43DD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162" w:type="dxa"/>
                  <w:vMerge w:val="continue"/>
                  <w:noWrap w:val="0"/>
                  <w:vAlign w:val="center"/>
                </w:tcPr>
                <w:p w14:paraId="0E6269AA">
                  <w:pPr>
                    <w:widowControl/>
                    <w:adjustRightInd w:val="0"/>
                    <w:snapToGrid w:val="0"/>
                    <w:jc w:val="center"/>
                    <w:rPr>
                      <w:b/>
                      <w:bCs/>
                      <w:color w:val="000000"/>
                      <w:spacing w:val="20"/>
                      <w:kern w:val="11"/>
                    </w:rPr>
                  </w:pPr>
                </w:p>
              </w:tc>
              <w:tc>
                <w:tcPr>
                  <w:tcW w:w="1296" w:type="dxa"/>
                  <w:vMerge w:val="restart"/>
                  <w:noWrap w:val="0"/>
                  <w:vAlign w:val="center"/>
                </w:tcPr>
                <w:p w14:paraId="52CA92FB">
                  <w:pPr>
                    <w:widowControl/>
                    <w:jc w:val="center"/>
                    <w:rPr>
                      <w:bCs/>
                      <w:color w:val="000000"/>
                      <w:spacing w:val="20"/>
                      <w:kern w:val="11"/>
                    </w:rPr>
                  </w:pPr>
                  <w:r>
                    <w:rPr>
                      <w:color w:val="000000"/>
                      <w:kern w:val="0"/>
                    </w:rPr>
                    <w:t>臭氧（O</w:t>
                  </w:r>
                  <w:r>
                    <w:rPr>
                      <w:color w:val="000000"/>
                      <w:kern w:val="0"/>
                      <w:vertAlign w:val="subscript"/>
                    </w:rPr>
                    <w:t>3</w:t>
                  </w:r>
                  <w:r>
                    <w:rPr>
                      <w:color w:val="000000"/>
                      <w:kern w:val="0"/>
                    </w:rPr>
                    <w:t>）</w:t>
                  </w:r>
                </w:p>
              </w:tc>
              <w:tc>
                <w:tcPr>
                  <w:tcW w:w="1967" w:type="dxa"/>
                  <w:noWrap w:val="0"/>
                  <w:vAlign w:val="center"/>
                </w:tcPr>
                <w:p w14:paraId="2B0C1F05">
                  <w:pPr>
                    <w:jc w:val="center"/>
                    <w:rPr>
                      <w:bCs/>
                      <w:color w:val="000000"/>
                    </w:rPr>
                  </w:pPr>
                  <w:r>
                    <w:rPr>
                      <w:color w:val="000000"/>
                      <w:kern w:val="0"/>
                    </w:rPr>
                    <w:t>日最大8小时平均</w:t>
                  </w:r>
                </w:p>
              </w:tc>
              <w:tc>
                <w:tcPr>
                  <w:tcW w:w="1071" w:type="dxa"/>
                  <w:noWrap w:val="0"/>
                  <w:vAlign w:val="center"/>
                </w:tcPr>
                <w:p w14:paraId="60986A2E">
                  <w:pPr>
                    <w:widowControl/>
                    <w:jc w:val="center"/>
                    <w:rPr>
                      <w:bCs/>
                      <w:color w:val="000000"/>
                    </w:rPr>
                  </w:pPr>
                  <w:r>
                    <w:rPr>
                      <w:color w:val="000000"/>
                      <w:kern w:val="0"/>
                    </w:rPr>
                    <w:t>160</w:t>
                  </w:r>
                </w:p>
              </w:tc>
              <w:tc>
                <w:tcPr>
                  <w:tcW w:w="782" w:type="dxa"/>
                  <w:vMerge w:val="continue"/>
                  <w:noWrap w:val="0"/>
                  <w:vAlign w:val="center"/>
                </w:tcPr>
                <w:p w14:paraId="50B40E64">
                  <w:pPr>
                    <w:jc w:val="center"/>
                    <w:rPr>
                      <w:b/>
                      <w:bCs/>
                      <w:color w:val="000000"/>
                    </w:rPr>
                  </w:pPr>
                </w:p>
              </w:tc>
            </w:tr>
            <w:tr w14:paraId="02A3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236DC9C5">
                  <w:pPr>
                    <w:widowControl/>
                    <w:adjustRightInd w:val="0"/>
                    <w:snapToGrid w:val="0"/>
                    <w:jc w:val="center"/>
                    <w:rPr>
                      <w:b/>
                      <w:bCs/>
                      <w:color w:val="000000"/>
                      <w:spacing w:val="20"/>
                      <w:kern w:val="11"/>
                    </w:rPr>
                  </w:pPr>
                </w:p>
              </w:tc>
              <w:tc>
                <w:tcPr>
                  <w:tcW w:w="1296" w:type="dxa"/>
                  <w:vMerge w:val="continue"/>
                  <w:noWrap w:val="0"/>
                  <w:vAlign w:val="center"/>
                </w:tcPr>
                <w:p w14:paraId="3DBBF7C0">
                  <w:pPr>
                    <w:widowControl/>
                    <w:jc w:val="center"/>
                    <w:rPr>
                      <w:bCs/>
                      <w:color w:val="000000"/>
                      <w:spacing w:val="20"/>
                      <w:kern w:val="11"/>
                    </w:rPr>
                  </w:pPr>
                </w:p>
              </w:tc>
              <w:tc>
                <w:tcPr>
                  <w:tcW w:w="1967" w:type="dxa"/>
                  <w:noWrap w:val="0"/>
                  <w:vAlign w:val="center"/>
                </w:tcPr>
                <w:p w14:paraId="0AE00752">
                  <w:pPr>
                    <w:widowControl/>
                    <w:jc w:val="center"/>
                    <w:rPr>
                      <w:bCs/>
                      <w:color w:val="000000"/>
                    </w:rPr>
                  </w:pPr>
                  <w:r>
                    <w:rPr>
                      <w:color w:val="000000"/>
                      <w:kern w:val="0"/>
                    </w:rPr>
                    <w:t>1小时平均</w:t>
                  </w:r>
                </w:p>
              </w:tc>
              <w:tc>
                <w:tcPr>
                  <w:tcW w:w="1071" w:type="dxa"/>
                  <w:noWrap w:val="0"/>
                  <w:vAlign w:val="center"/>
                </w:tcPr>
                <w:p w14:paraId="08538C3F">
                  <w:pPr>
                    <w:widowControl/>
                    <w:jc w:val="center"/>
                    <w:rPr>
                      <w:bCs/>
                      <w:color w:val="000000"/>
                    </w:rPr>
                  </w:pPr>
                  <w:r>
                    <w:rPr>
                      <w:color w:val="000000"/>
                      <w:kern w:val="0"/>
                    </w:rPr>
                    <w:t>200</w:t>
                  </w:r>
                </w:p>
              </w:tc>
              <w:tc>
                <w:tcPr>
                  <w:tcW w:w="782" w:type="dxa"/>
                  <w:vMerge w:val="continue"/>
                  <w:noWrap w:val="0"/>
                  <w:vAlign w:val="center"/>
                </w:tcPr>
                <w:p w14:paraId="0C0854CC">
                  <w:pPr>
                    <w:jc w:val="center"/>
                    <w:rPr>
                      <w:b/>
                      <w:bCs/>
                      <w:color w:val="000000"/>
                    </w:rPr>
                  </w:pPr>
                </w:p>
              </w:tc>
            </w:tr>
            <w:tr w14:paraId="6592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162" w:type="dxa"/>
                  <w:vMerge w:val="continue"/>
                  <w:noWrap w:val="0"/>
                  <w:vAlign w:val="center"/>
                </w:tcPr>
                <w:p w14:paraId="397A8920">
                  <w:pPr>
                    <w:widowControl/>
                    <w:adjustRightInd w:val="0"/>
                    <w:snapToGrid w:val="0"/>
                    <w:jc w:val="center"/>
                    <w:rPr>
                      <w:b/>
                      <w:bCs/>
                      <w:color w:val="000000"/>
                      <w:spacing w:val="20"/>
                      <w:kern w:val="11"/>
                    </w:rPr>
                  </w:pPr>
                </w:p>
              </w:tc>
              <w:tc>
                <w:tcPr>
                  <w:tcW w:w="1296" w:type="dxa"/>
                  <w:vMerge w:val="restart"/>
                  <w:noWrap w:val="0"/>
                  <w:vAlign w:val="center"/>
                </w:tcPr>
                <w:p w14:paraId="77A150A5">
                  <w:pPr>
                    <w:widowControl/>
                    <w:jc w:val="center"/>
                    <w:rPr>
                      <w:bCs/>
                      <w:color w:val="000000"/>
                      <w:spacing w:val="20"/>
                      <w:kern w:val="11"/>
                    </w:rPr>
                  </w:pPr>
                  <w:r>
                    <w:rPr>
                      <w:bCs/>
                      <w:color w:val="000000"/>
                      <w:spacing w:val="20"/>
                      <w:kern w:val="11"/>
                    </w:rPr>
                    <w:t>CO</w:t>
                  </w:r>
                </w:p>
              </w:tc>
              <w:tc>
                <w:tcPr>
                  <w:tcW w:w="1967" w:type="dxa"/>
                  <w:noWrap w:val="0"/>
                  <w:vAlign w:val="center"/>
                </w:tcPr>
                <w:p w14:paraId="071A550A">
                  <w:pPr>
                    <w:widowControl/>
                    <w:jc w:val="center"/>
                    <w:rPr>
                      <w:color w:val="000000"/>
                      <w:kern w:val="0"/>
                    </w:rPr>
                  </w:pPr>
                  <w:r>
                    <w:rPr>
                      <w:color w:val="000000"/>
                      <w:kern w:val="0"/>
                    </w:rPr>
                    <w:t>24小时平均</w:t>
                  </w:r>
                </w:p>
              </w:tc>
              <w:tc>
                <w:tcPr>
                  <w:tcW w:w="1071" w:type="dxa"/>
                  <w:noWrap w:val="0"/>
                  <w:vAlign w:val="center"/>
                </w:tcPr>
                <w:p w14:paraId="2D1EA69D">
                  <w:pPr>
                    <w:widowControl/>
                    <w:jc w:val="center"/>
                    <w:rPr>
                      <w:color w:val="000000"/>
                      <w:kern w:val="0"/>
                    </w:rPr>
                  </w:pPr>
                  <w:r>
                    <w:rPr>
                      <w:color w:val="000000"/>
                      <w:kern w:val="0"/>
                    </w:rPr>
                    <w:t>4</w:t>
                  </w:r>
                </w:p>
              </w:tc>
              <w:tc>
                <w:tcPr>
                  <w:tcW w:w="782" w:type="dxa"/>
                  <w:vMerge w:val="restart"/>
                  <w:noWrap w:val="0"/>
                  <w:vAlign w:val="center"/>
                </w:tcPr>
                <w:p w14:paraId="649F6DA6">
                  <w:pPr>
                    <w:jc w:val="center"/>
                    <w:rPr>
                      <w:b/>
                      <w:bCs/>
                      <w:color w:val="000000"/>
                    </w:rPr>
                  </w:pPr>
                  <w:r>
                    <w:rPr>
                      <w:color w:val="000000"/>
                    </w:rPr>
                    <w:t>mg/m</w:t>
                  </w:r>
                  <w:r>
                    <w:rPr>
                      <w:color w:val="000000"/>
                      <w:vertAlign w:val="superscript"/>
                    </w:rPr>
                    <w:t>3</w:t>
                  </w:r>
                </w:p>
              </w:tc>
            </w:tr>
            <w:tr w14:paraId="79C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162" w:type="dxa"/>
                  <w:vMerge w:val="continue"/>
                  <w:noWrap w:val="0"/>
                  <w:vAlign w:val="center"/>
                </w:tcPr>
                <w:p w14:paraId="59299493">
                  <w:pPr>
                    <w:widowControl/>
                    <w:adjustRightInd w:val="0"/>
                    <w:snapToGrid w:val="0"/>
                    <w:jc w:val="center"/>
                    <w:rPr>
                      <w:b/>
                      <w:bCs/>
                      <w:color w:val="000000"/>
                      <w:spacing w:val="20"/>
                      <w:kern w:val="11"/>
                    </w:rPr>
                  </w:pPr>
                </w:p>
              </w:tc>
              <w:tc>
                <w:tcPr>
                  <w:tcW w:w="1296" w:type="dxa"/>
                  <w:vMerge w:val="continue"/>
                  <w:noWrap w:val="0"/>
                  <w:vAlign w:val="center"/>
                </w:tcPr>
                <w:p w14:paraId="58ED707D">
                  <w:pPr>
                    <w:widowControl/>
                    <w:jc w:val="center"/>
                    <w:rPr>
                      <w:bCs/>
                      <w:color w:val="000000"/>
                      <w:spacing w:val="20"/>
                      <w:kern w:val="11"/>
                    </w:rPr>
                  </w:pPr>
                </w:p>
              </w:tc>
              <w:tc>
                <w:tcPr>
                  <w:tcW w:w="1967" w:type="dxa"/>
                  <w:noWrap w:val="0"/>
                  <w:vAlign w:val="center"/>
                </w:tcPr>
                <w:p w14:paraId="02AF1E88">
                  <w:pPr>
                    <w:widowControl/>
                    <w:jc w:val="center"/>
                    <w:rPr>
                      <w:color w:val="000000"/>
                      <w:kern w:val="0"/>
                    </w:rPr>
                  </w:pPr>
                  <w:r>
                    <w:rPr>
                      <w:color w:val="000000"/>
                      <w:kern w:val="0"/>
                    </w:rPr>
                    <w:t>1小时平均</w:t>
                  </w:r>
                </w:p>
              </w:tc>
              <w:tc>
                <w:tcPr>
                  <w:tcW w:w="1071" w:type="dxa"/>
                  <w:noWrap w:val="0"/>
                  <w:vAlign w:val="center"/>
                </w:tcPr>
                <w:p w14:paraId="5B8F9516">
                  <w:pPr>
                    <w:widowControl/>
                    <w:jc w:val="center"/>
                    <w:rPr>
                      <w:color w:val="000000"/>
                      <w:kern w:val="0"/>
                    </w:rPr>
                  </w:pPr>
                  <w:r>
                    <w:rPr>
                      <w:color w:val="000000"/>
                      <w:kern w:val="0"/>
                    </w:rPr>
                    <w:t>10</w:t>
                  </w:r>
                </w:p>
              </w:tc>
              <w:tc>
                <w:tcPr>
                  <w:tcW w:w="782" w:type="dxa"/>
                  <w:vMerge w:val="continue"/>
                  <w:noWrap w:val="0"/>
                  <w:vAlign w:val="center"/>
                </w:tcPr>
                <w:p w14:paraId="66FD7486">
                  <w:pPr>
                    <w:jc w:val="center"/>
                    <w:rPr>
                      <w:b/>
                      <w:bCs/>
                      <w:color w:val="000000"/>
                    </w:rPr>
                  </w:pPr>
                </w:p>
              </w:tc>
            </w:tr>
            <w:tr w14:paraId="1D9D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62" w:type="dxa"/>
                  <w:vMerge w:val="restart"/>
                  <w:noWrap w:val="0"/>
                  <w:vAlign w:val="center"/>
                </w:tcPr>
                <w:p w14:paraId="14C0FC59">
                  <w:pPr>
                    <w:widowControl/>
                    <w:jc w:val="center"/>
                    <w:rPr>
                      <w:bCs/>
                      <w:color w:val="000000"/>
                      <w:spacing w:val="20"/>
                      <w:kern w:val="11"/>
                    </w:rPr>
                  </w:pPr>
                  <w:r>
                    <w:rPr>
                      <w:bCs/>
                      <w:color w:val="000000"/>
                      <w:spacing w:val="20"/>
                      <w:kern w:val="11"/>
                    </w:rPr>
                    <w:t>《环境影响评价技术导则 大气环境（HJ2.2-2018）》表D.1其他污染物空气质量浓度参考限值</w:t>
                  </w:r>
                </w:p>
              </w:tc>
              <w:tc>
                <w:tcPr>
                  <w:tcW w:w="1296" w:type="dxa"/>
                  <w:vMerge w:val="restart"/>
                  <w:noWrap w:val="0"/>
                  <w:vAlign w:val="center"/>
                </w:tcPr>
                <w:p w14:paraId="55729152">
                  <w:pPr>
                    <w:widowControl/>
                    <w:jc w:val="center"/>
                    <w:rPr>
                      <w:rFonts w:hint="eastAsia"/>
                      <w:bCs/>
                      <w:color w:val="000000"/>
                      <w:spacing w:val="20"/>
                      <w:kern w:val="11"/>
                    </w:rPr>
                  </w:pPr>
                  <w:r>
                    <w:rPr>
                      <w:rFonts w:hint="eastAsia"/>
                      <w:bCs/>
                      <w:color w:val="000000"/>
                      <w:spacing w:val="20"/>
                      <w:kern w:val="11"/>
                    </w:rPr>
                    <w:t>甲醇</w:t>
                  </w:r>
                </w:p>
              </w:tc>
              <w:tc>
                <w:tcPr>
                  <w:tcW w:w="1967" w:type="dxa"/>
                  <w:noWrap w:val="0"/>
                  <w:vAlign w:val="center"/>
                </w:tcPr>
                <w:p w14:paraId="2AD8E593">
                  <w:pPr>
                    <w:widowControl/>
                    <w:jc w:val="center"/>
                    <w:rPr>
                      <w:color w:val="000000"/>
                      <w:kern w:val="0"/>
                    </w:rPr>
                  </w:pPr>
                  <w:r>
                    <w:rPr>
                      <w:rFonts w:hint="eastAsia"/>
                      <w:color w:val="000000"/>
                      <w:kern w:val="0"/>
                    </w:rPr>
                    <w:t>24</w:t>
                  </w:r>
                  <w:r>
                    <w:rPr>
                      <w:color w:val="000000"/>
                      <w:kern w:val="0"/>
                    </w:rPr>
                    <w:t>小时平均</w:t>
                  </w:r>
                </w:p>
              </w:tc>
              <w:tc>
                <w:tcPr>
                  <w:tcW w:w="1071" w:type="dxa"/>
                  <w:noWrap w:val="0"/>
                  <w:vAlign w:val="center"/>
                </w:tcPr>
                <w:p w14:paraId="6312569D">
                  <w:pPr>
                    <w:widowControl/>
                    <w:jc w:val="center"/>
                    <w:rPr>
                      <w:bCs/>
                      <w:color w:val="000000"/>
                      <w:spacing w:val="20"/>
                      <w:kern w:val="11"/>
                    </w:rPr>
                  </w:pPr>
                  <w:r>
                    <w:rPr>
                      <w:rFonts w:hint="eastAsia"/>
                      <w:color w:val="000000"/>
                      <w:kern w:val="0"/>
                    </w:rPr>
                    <w:t>100</w:t>
                  </w:r>
                  <w:r>
                    <w:rPr>
                      <w:color w:val="000000"/>
                      <w:kern w:val="0"/>
                    </w:rPr>
                    <w:t>0</w:t>
                  </w:r>
                </w:p>
              </w:tc>
              <w:tc>
                <w:tcPr>
                  <w:tcW w:w="782" w:type="dxa"/>
                  <w:vMerge w:val="restart"/>
                  <w:noWrap w:val="0"/>
                  <w:vAlign w:val="center"/>
                </w:tcPr>
                <w:p w14:paraId="6455C0CD">
                  <w:pPr>
                    <w:widowControl/>
                    <w:jc w:val="center"/>
                    <w:rPr>
                      <w:color w:val="000000"/>
                    </w:rPr>
                  </w:pPr>
                  <w:r>
                    <w:rPr>
                      <w:color w:val="000000"/>
                    </w:rPr>
                    <w:t>μg/m</w:t>
                  </w:r>
                  <w:r>
                    <w:rPr>
                      <w:color w:val="000000"/>
                      <w:vertAlign w:val="superscript"/>
                    </w:rPr>
                    <w:t>3</w:t>
                  </w:r>
                </w:p>
              </w:tc>
            </w:tr>
            <w:tr w14:paraId="2FF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62" w:type="dxa"/>
                  <w:vMerge w:val="continue"/>
                  <w:noWrap w:val="0"/>
                  <w:vAlign w:val="center"/>
                </w:tcPr>
                <w:p w14:paraId="249A203A">
                  <w:pPr>
                    <w:widowControl/>
                    <w:jc w:val="center"/>
                    <w:rPr>
                      <w:color w:val="000000"/>
                    </w:rPr>
                  </w:pPr>
                </w:p>
              </w:tc>
              <w:tc>
                <w:tcPr>
                  <w:tcW w:w="1296" w:type="dxa"/>
                  <w:vMerge w:val="continue"/>
                  <w:noWrap w:val="0"/>
                  <w:vAlign w:val="center"/>
                </w:tcPr>
                <w:p w14:paraId="1A658CB2">
                  <w:pPr>
                    <w:widowControl/>
                    <w:jc w:val="center"/>
                    <w:rPr>
                      <w:rFonts w:hint="eastAsia"/>
                      <w:bCs/>
                      <w:color w:val="000000"/>
                      <w:spacing w:val="20"/>
                      <w:kern w:val="11"/>
                    </w:rPr>
                  </w:pPr>
                </w:p>
              </w:tc>
              <w:tc>
                <w:tcPr>
                  <w:tcW w:w="1967" w:type="dxa"/>
                  <w:noWrap w:val="0"/>
                  <w:vAlign w:val="center"/>
                </w:tcPr>
                <w:p w14:paraId="75912CCC">
                  <w:pPr>
                    <w:widowControl/>
                    <w:jc w:val="center"/>
                    <w:rPr>
                      <w:rFonts w:hint="eastAsia"/>
                      <w:bCs/>
                      <w:color w:val="000000"/>
                      <w:spacing w:val="20"/>
                      <w:kern w:val="11"/>
                    </w:rPr>
                  </w:pPr>
                  <w:r>
                    <w:rPr>
                      <w:color w:val="000000"/>
                      <w:kern w:val="0"/>
                    </w:rPr>
                    <w:t>1小时平均</w:t>
                  </w:r>
                </w:p>
              </w:tc>
              <w:tc>
                <w:tcPr>
                  <w:tcW w:w="1071" w:type="dxa"/>
                  <w:noWrap w:val="0"/>
                  <w:vAlign w:val="center"/>
                </w:tcPr>
                <w:p w14:paraId="459E9E59">
                  <w:pPr>
                    <w:widowControl/>
                    <w:jc w:val="center"/>
                    <w:rPr>
                      <w:bCs/>
                      <w:color w:val="000000"/>
                      <w:spacing w:val="20"/>
                      <w:kern w:val="11"/>
                    </w:rPr>
                  </w:pPr>
                  <w:r>
                    <w:rPr>
                      <w:rFonts w:hint="eastAsia"/>
                      <w:bCs/>
                      <w:color w:val="000000"/>
                      <w:spacing w:val="20"/>
                      <w:kern w:val="11"/>
                    </w:rPr>
                    <w:t>3000</w:t>
                  </w:r>
                </w:p>
              </w:tc>
              <w:tc>
                <w:tcPr>
                  <w:tcW w:w="782" w:type="dxa"/>
                  <w:vMerge w:val="continue"/>
                  <w:noWrap w:val="0"/>
                  <w:vAlign w:val="center"/>
                </w:tcPr>
                <w:p w14:paraId="5DD0A352">
                  <w:pPr>
                    <w:widowControl/>
                    <w:jc w:val="center"/>
                    <w:rPr>
                      <w:rFonts w:hint="eastAsia"/>
                      <w:bCs/>
                      <w:color w:val="000000"/>
                      <w:spacing w:val="20"/>
                      <w:kern w:val="11"/>
                    </w:rPr>
                  </w:pPr>
                </w:p>
              </w:tc>
            </w:tr>
          </w:tbl>
          <w:p w14:paraId="4286F96D">
            <w:pPr>
              <w:spacing w:line="360" w:lineRule="auto"/>
              <w:ind w:firstLine="562" w:firstLineChars="200"/>
              <w:rPr>
                <w:b/>
                <w:color w:val="000000"/>
                <w:sz w:val="28"/>
                <w:szCs w:val="28"/>
              </w:rPr>
            </w:pPr>
            <w:r>
              <w:rPr>
                <w:b/>
                <w:color w:val="000000"/>
                <w:sz w:val="28"/>
                <w:szCs w:val="28"/>
              </w:rPr>
              <w:t>2、</w:t>
            </w:r>
            <w:r>
              <w:rPr>
                <w:b/>
                <w:color w:val="000000"/>
                <w:sz w:val="28"/>
                <w:szCs w:val="28"/>
                <w:lang w:val="zh-CN"/>
              </w:rPr>
              <w:t>地表水</w:t>
            </w:r>
          </w:p>
          <w:p w14:paraId="6AB420B8">
            <w:pPr>
              <w:spacing w:line="360" w:lineRule="auto"/>
              <w:ind w:firstLine="480" w:firstLineChars="200"/>
              <w:rPr>
                <w:color w:val="000000"/>
                <w:sz w:val="24"/>
              </w:rPr>
            </w:pPr>
            <w:r>
              <w:rPr>
                <w:color w:val="000000"/>
                <w:sz w:val="24"/>
              </w:rPr>
              <w:t>项目最近水体巴江</w:t>
            </w:r>
            <w:r>
              <w:rPr>
                <w:color w:val="000000"/>
                <w:sz w:val="24"/>
                <w:lang w:val="zh-CN"/>
              </w:rPr>
              <w:t>执行《地表水环境质量标准》（GB3838-2002）Ⅲ类水质标准。标准值见表</w:t>
            </w:r>
            <w:r>
              <w:rPr>
                <w:color w:val="000000"/>
                <w:sz w:val="24"/>
              </w:rPr>
              <w:t>3-5</w:t>
            </w:r>
            <w:r>
              <w:rPr>
                <w:color w:val="000000"/>
                <w:sz w:val="24"/>
                <w:lang w:val="zh-CN"/>
              </w:rPr>
              <w:t>。</w:t>
            </w:r>
          </w:p>
          <w:p w14:paraId="45616735">
            <w:pPr>
              <w:pStyle w:val="18"/>
              <w:spacing w:after="0" w:line="360" w:lineRule="auto"/>
              <w:ind w:firstLine="0" w:firstLineChars="0"/>
              <w:jc w:val="center"/>
              <w:rPr>
                <w:b/>
                <w:color w:val="000000"/>
                <w:sz w:val="21"/>
                <w:szCs w:val="24"/>
              </w:rPr>
            </w:pPr>
            <w:r>
              <w:rPr>
                <w:b/>
                <w:color w:val="000000"/>
                <w:sz w:val="21"/>
                <w:szCs w:val="24"/>
              </w:rPr>
              <w:t xml:space="preserve">表3-5 </w:t>
            </w:r>
            <w:r>
              <w:rPr>
                <w:rFonts w:hint="eastAsia"/>
                <w:b/>
                <w:color w:val="000000"/>
                <w:sz w:val="21"/>
                <w:szCs w:val="24"/>
              </w:rPr>
              <w:t xml:space="preserve"> </w:t>
            </w:r>
            <w:r>
              <w:rPr>
                <w:b/>
                <w:color w:val="000000"/>
                <w:sz w:val="21"/>
                <w:szCs w:val="24"/>
              </w:rPr>
              <w:t>地表水环境质量标准 单位：mg/L（pH除外）</w:t>
            </w:r>
          </w:p>
          <w:tbl>
            <w:tblPr>
              <w:tblStyle w:val="20"/>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860"/>
              <w:gridCol w:w="722"/>
              <w:gridCol w:w="681"/>
              <w:gridCol w:w="753"/>
              <w:gridCol w:w="843"/>
              <w:gridCol w:w="877"/>
              <w:gridCol w:w="761"/>
              <w:gridCol w:w="1399"/>
              <w:gridCol w:w="1400"/>
            </w:tblGrid>
            <w:tr w14:paraId="4805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hRule="atLeast"/>
                <w:jc w:val="center"/>
              </w:trPr>
              <w:tc>
                <w:tcPr>
                  <w:tcW w:w="860" w:type="dxa"/>
                  <w:noWrap w:val="0"/>
                  <w:vAlign w:val="center"/>
                </w:tcPr>
                <w:p w14:paraId="3F65CBD9">
                  <w:pPr>
                    <w:pStyle w:val="35"/>
                    <w:rPr>
                      <w:color w:val="000000"/>
                    </w:rPr>
                  </w:pPr>
                  <w:r>
                    <w:rPr>
                      <w:color w:val="000000"/>
                    </w:rPr>
                    <w:t>项目</w:t>
                  </w:r>
                </w:p>
              </w:tc>
              <w:tc>
                <w:tcPr>
                  <w:tcW w:w="722" w:type="dxa"/>
                  <w:noWrap w:val="0"/>
                  <w:vAlign w:val="center"/>
                </w:tcPr>
                <w:p w14:paraId="25C9D898">
                  <w:pPr>
                    <w:pStyle w:val="35"/>
                    <w:rPr>
                      <w:color w:val="000000"/>
                    </w:rPr>
                  </w:pPr>
                  <w:r>
                    <w:rPr>
                      <w:color w:val="000000"/>
                    </w:rPr>
                    <w:t>pH</w:t>
                  </w:r>
                </w:p>
              </w:tc>
              <w:tc>
                <w:tcPr>
                  <w:tcW w:w="681" w:type="dxa"/>
                  <w:noWrap w:val="0"/>
                  <w:vAlign w:val="center"/>
                </w:tcPr>
                <w:p w14:paraId="40B709C6">
                  <w:pPr>
                    <w:pStyle w:val="35"/>
                    <w:rPr>
                      <w:color w:val="000000"/>
                    </w:rPr>
                  </w:pPr>
                  <w:r>
                    <w:rPr>
                      <w:color w:val="000000"/>
                    </w:rPr>
                    <w:t>DO</w:t>
                  </w:r>
                </w:p>
              </w:tc>
              <w:tc>
                <w:tcPr>
                  <w:tcW w:w="753" w:type="dxa"/>
                  <w:noWrap w:val="0"/>
                  <w:vAlign w:val="center"/>
                </w:tcPr>
                <w:p w14:paraId="0588EF47">
                  <w:pPr>
                    <w:pStyle w:val="35"/>
                    <w:rPr>
                      <w:color w:val="000000"/>
                    </w:rPr>
                  </w:pPr>
                  <w:r>
                    <w:rPr>
                      <w:color w:val="000000"/>
                    </w:rPr>
                    <w:t>高锰酸盐指数</w:t>
                  </w:r>
                </w:p>
              </w:tc>
              <w:tc>
                <w:tcPr>
                  <w:tcW w:w="843" w:type="dxa"/>
                  <w:noWrap w:val="0"/>
                  <w:vAlign w:val="center"/>
                </w:tcPr>
                <w:p w14:paraId="4EAE9893">
                  <w:pPr>
                    <w:pStyle w:val="35"/>
                    <w:rPr>
                      <w:color w:val="000000"/>
                    </w:rPr>
                  </w:pPr>
                  <w:r>
                    <w:rPr>
                      <w:color w:val="000000"/>
                    </w:rPr>
                    <w:t>COD</w:t>
                  </w:r>
                </w:p>
              </w:tc>
              <w:tc>
                <w:tcPr>
                  <w:tcW w:w="877" w:type="dxa"/>
                  <w:noWrap w:val="0"/>
                  <w:vAlign w:val="center"/>
                </w:tcPr>
                <w:p w14:paraId="3E73A6B5">
                  <w:pPr>
                    <w:pStyle w:val="35"/>
                    <w:rPr>
                      <w:color w:val="000000"/>
                    </w:rPr>
                  </w:pPr>
                  <w:r>
                    <w:rPr>
                      <w:color w:val="000000"/>
                    </w:rPr>
                    <w:t>BOD</w:t>
                  </w:r>
                  <w:r>
                    <w:rPr>
                      <w:color w:val="000000"/>
                      <w:vertAlign w:val="subscript"/>
                    </w:rPr>
                    <w:t>5</w:t>
                  </w:r>
                </w:p>
              </w:tc>
              <w:tc>
                <w:tcPr>
                  <w:tcW w:w="761" w:type="dxa"/>
                  <w:noWrap w:val="0"/>
                  <w:vAlign w:val="center"/>
                </w:tcPr>
                <w:p w14:paraId="318895A3">
                  <w:pPr>
                    <w:pStyle w:val="35"/>
                    <w:rPr>
                      <w:color w:val="000000"/>
                    </w:rPr>
                  </w:pPr>
                  <w:r>
                    <w:rPr>
                      <w:color w:val="000000"/>
                    </w:rPr>
                    <w:t>氨氮</w:t>
                  </w:r>
                </w:p>
              </w:tc>
              <w:tc>
                <w:tcPr>
                  <w:tcW w:w="1399" w:type="dxa"/>
                  <w:noWrap w:val="0"/>
                  <w:vAlign w:val="center"/>
                </w:tcPr>
                <w:p w14:paraId="64AFF67F">
                  <w:pPr>
                    <w:pStyle w:val="35"/>
                    <w:rPr>
                      <w:color w:val="000000"/>
                    </w:rPr>
                  </w:pPr>
                  <w:r>
                    <w:rPr>
                      <w:color w:val="000000"/>
                    </w:rPr>
                    <w:t>总磷</w:t>
                  </w:r>
                </w:p>
              </w:tc>
              <w:tc>
                <w:tcPr>
                  <w:tcW w:w="1400" w:type="dxa"/>
                  <w:noWrap w:val="0"/>
                  <w:vAlign w:val="center"/>
                </w:tcPr>
                <w:p w14:paraId="56BFE671">
                  <w:pPr>
                    <w:pStyle w:val="35"/>
                    <w:rPr>
                      <w:color w:val="000000"/>
                    </w:rPr>
                  </w:pPr>
                  <w:r>
                    <w:rPr>
                      <w:color w:val="000000"/>
                      <w:szCs w:val="21"/>
                    </w:rPr>
                    <w:t>粪大肠杆菌</w:t>
                  </w:r>
                </w:p>
              </w:tc>
            </w:tr>
            <w:tr w14:paraId="6D102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1" w:hRule="atLeast"/>
                <w:jc w:val="center"/>
              </w:trPr>
              <w:tc>
                <w:tcPr>
                  <w:tcW w:w="860" w:type="dxa"/>
                  <w:noWrap w:val="0"/>
                  <w:vAlign w:val="center"/>
                </w:tcPr>
                <w:p w14:paraId="3E94E902">
                  <w:pPr>
                    <w:pStyle w:val="35"/>
                    <w:rPr>
                      <w:color w:val="000000"/>
                    </w:rPr>
                  </w:pPr>
                  <w:r>
                    <w:rPr>
                      <w:color w:val="000000"/>
                    </w:rPr>
                    <w:t>Ⅲ类</w:t>
                  </w:r>
                </w:p>
              </w:tc>
              <w:tc>
                <w:tcPr>
                  <w:tcW w:w="722" w:type="dxa"/>
                  <w:noWrap w:val="0"/>
                  <w:vAlign w:val="center"/>
                </w:tcPr>
                <w:p w14:paraId="410F663F">
                  <w:pPr>
                    <w:pStyle w:val="35"/>
                    <w:rPr>
                      <w:color w:val="000000"/>
                    </w:rPr>
                  </w:pPr>
                  <w:r>
                    <w:rPr>
                      <w:color w:val="000000"/>
                    </w:rPr>
                    <w:t>6~9</w:t>
                  </w:r>
                </w:p>
              </w:tc>
              <w:tc>
                <w:tcPr>
                  <w:tcW w:w="681" w:type="dxa"/>
                  <w:noWrap w:val="0"/>
                  <w:vAlign w:val="center"/>
                </w:tcPr>
                <w:p w14:paraId="2F85543F">
                  <w:pPr>
                    <w:pStyle w:val="35"/>
                    <w:rPr>
                      <w:color w:val="000000"/>
                    </w:rPr>
                  </w:pPr>
                  <w:r>
                    <w:rPr>
                      <w:color w:val="000000"/>
                    </w:rPr>
                    <w:t>≥5</w:t>
                  </w:r>
                </w:p>
              </w:tc>
              <w:tc>
                <w:tcPr>
                  <w:tcW w:w="753" w:type="dxa"/>
                  <w:noWrap w:val="0"/>
                  <w:vAlign w:val="center"/>
                </w:tcPr>
                <w:p w14:paraId="417447A2">
                  <w:pPr>
                    <w:pStyle w:val="35"/>
                    <w:rPr>
                      <w:color w:val="000000"/>
                    </w:rPr>
                  </w:pPr>
                  <w:r>
                    <w:rPr>
                      <w:color w:val="000000"/>
                    </w:rPr>
                    <w:t>≤6</w:t>
                  </w:r>
                </w:p>
              </w:tc>
              <w:tc>
                <w:tcPr>
                  <w:tcW w:w="843" w:type="dxa"/>
                  <w:noWrap w:val="0"/>
                  <w:vAlign w:val="center"/>
                </w:tcPr>
                <w:p w14:paraId="6677FE4F">
                  <w:pPr>
                    <w:pStyle w:val="35"/>
                    <w:rPr>
                      <w:color w:val="000000"/>
                    </w:rPr>
                  </w:pPr>
                  <w:r>
                    <w:rPr>
                      <w:color w:val="000000"/>
                    </w:rPr>
                    <w:t>≤20</w:t>
                  </w:r>
                </w:p>
              </w:tc>
              <w:tc>
                <w:tcPr>
                  <w:tcW w:w="877" w:type="dxa"/>
                  <w:noWrap w:val="0"/>
                  <w:vAlign w:val="center"/>
                </w:tcPr>
                <w:p w14:paraId="180EA2F4">
                  <w:pPr>
                    <w:pStyle w:val="35"/>
                    <w:rPr>
                      <w:color w:val="000000"/>
                    </w:rPr>
                  </w:pPr>
                  <w:r>
                    <w:rPr>
                      <w:color w:val="000000"/>
                    </w:rPr>
                    <w:t>≤4</w:t>
                  </w:r>
                </w:p>
              </w:tc>
              <w:tc>
                <w:tcPr>
                  <w:tcW w:w="761" w:type="dxa"/>
                  <w:noWrap w:val="0"/>
                  <w:vAlign w:val="center"/>
                </w:tcPr>
                <w:p w14:paraId="4A878FC2">
                  <w:pPr>
                    <w:pStyle w:val="35"/>
                    <w:rPr>
                      <w:color w:val="000000"/>
                    </w:rPr>
                  </w:pPr>
                  <w:r>
                    <w:rPr>
                      <w:color w:val="000000"/>
                    </w:rPr>
                    <w:t>≤1.0</w:t>
                  </w:r>
                </w:p>
              </w:tc>
              <w:tc>
                <w:tcPr>
                  <w:tcW w:w="1399" w:type="dxa"/>
                  <w:noWrap w:val="0"/>
                  <w:vAlign w:val="center"/>
                </w:tcPr>
                <w:p w14:paraId="07E20076">
                  <w:pPr>
                    <w:pStyle w:val="35"/>
                    <w:rPr>
                      <w:color w:val="000000"/>
                    </w:rPr>
                  </w:pPr>
                  <w:r>
                    <w:rPr>
                      <w:color w:val="000000"/>
                    </w:rPr>
                    <w:t>≤0.2（湖、库0.05）</w:t>
                  </w:r>
                </w:p>
              </w:tc>
              <w:tc>
                <w:tcPr>
                  <w:tcW w:w="1400" w:type="dxa"/>
                  <w:noWrap w:val="0"/>
                  <w:vAlign w:val="center"/>
                </w:tcPr>
                <w:p w14:paraId="5C39F787">
                  <w:pPr>
                    <w:pStyle w:val="35"/>
                    <w:rPr>
                      <w:color w:val="000000"/>
                    </w:rPr>
                  </w:pPr>
                  <w:r>
                    <w:rPr>
                      <w:bCs/>
                      <w:color w:val="000000"/>
                      <w:szCs w:val="21"/>
                    </w:rPr>
                    <w:t>≤</w:t>
                  </w:r>
                  <w:r>
                    <w:rPr>
                      <w:rFonts w:hint="eastAsia"/>
                      <w:bCs/>
                      <w:color w:val="000000"/>
                      <w:szCs w:val="21"/>
                    </w:rPr>
                    <w:t>10000</w:t>
                  </w:r>
                </w:p>
              </w:tc>
            </w:tr>
          </w:tbl>
          <w:p w14:paraId="64E6F956">
            <w:pPr>
              <w:spacing w:line="360" w:lineRule="auto"/>
              <w:ind w:firstLine="562" w:firstLineChars="200"/>
              <w:rPr>
                <w:b/>
                <w:color w:val="000000"/>
                <w:sz w:val="28"/>
                <w:szCs w:val="28"/>
              </w:rPr>
            </w:pPr>
            <w:r>
              <w:rPr>
                <w:b/>
                <w:color w:val="000000"/>
                <w:sz w:val="28"/>
                <w:szCs w:val="28"/>
              </w:rPr>
              <w:t>3、噪声</w:t>
            </w:r>
          </w:p>
          <w:p w14:paraId="02BC519C">
            <w:pPr>
              <w:widowControl/>
              <w:spacing w:line="360" w:lineRule="auto"/>
              <w:ind w:firstLine="480" w:firstLineChars="200"/>
              <w:rPr>
                <w:color w:val="000000"/>
              </w:rPr>
            </w:pPr>
            <w:r>
              <w:rPr>
                <w:rFonts w:hint="eastAsia"/>
                <w:bCs/>
                <w:color w:val="000000"/>
                <w:sz w:val="24"/>
              </w:rPr>
              <w:t>本项目位于</w:t>
            </w:r>
            <w:r>
              <w:rPr>
                <w:rFonts w:hint="eastAsia"/>
                <w:bCs/>
                <w:color w:val="000000"/>
                <w:kern w:val="24"/>
                <w:sz w:val="24"/>
              </w:rPr>
              <w:t>石林县板桥街道板桥社区碧落甸村</w:t>
            </w:r>
            <w:r>
              <w:rPr>
                <w:rFonts w:hint="eastAsia"/>
                <w:bCs/>
                <w:color w:val="000000"/>
                <w:sz w:val="24"/>
              </w:rPr>
              <w:t>，</w:t>
            </w:r>
            <w:r>
              <w:rPr>
                <w:color w:val="000000"/>
                <w:sz w:val="24"/>
                <w:lang w:bidi="ar"/>
              </w:rPr>
              <w:t>声环境功能区划为</w:t>
            </w:r>
            <w:r>
              <w:rPr>
                <w:rFonts w:hint="eastAsia"/>
                <w:color w:val="000000"/>
                <w:sz w:val="24"/>
                <w:lang w:bidi="ar"/>
              </w:rPr>
              <w:t>2</w:t>
            </w:r>
            <w:r>
              <w:rPr>
                <w:color w:val="000000"/>
                <w:sz w:val="24"/>
                <w:lang w:bidi="ar"/>
              </w:rPr>
              <w:t>类区</w:t>
            </w:r>
            <w:r>
              <w:rPr>
                <w:color w:val="000000"/>
                <w:sz w:val="24"/>
              </w:rPr>
              <w:t>，执行</w:t>
            </w:r>
            <w:r>
              <w:rPr>
                <w:rFonts w:hint="eastAsia"/>
                <w:color w:val="000000"/>
                <w:sz w:val="24"/>
              </w:rPr>
              <w:t>《声环境质量标准》</w:t>
            </w:r>
            <w:r>
              <w:rPr>
                <w:color w:val="000000"/>
                <w:sz w:val="24"/>
              </w:rPr>
              <w:t>（GB3096-2008）</w:t>
            </w:r>
            <w:r>
              <w:rPr>
                <w:rFonts w:hint="eastAsia"/>
                <w:color w:val="000000"/>
                <w:sz w:val="24"/>
              </w:rPr>
              <w:t>2</w:t>
            </w:r>
            <w:r>
              <w:rPr>
                <w:color w:val="000000"/>
                <w:sz w:val="24"/>
              </w:rPr>
              <w:t>类区标准</w:t>
            </w:r>
            <w:r>
              <w:rPr>
                <w:rFonts w:hint="eastAsia"/>
                <w:color w:val="000000"/>
                <w:sz w:val="24"/>
              </w:rPr>
              <w:t>，</w:t>
            </w:r>
            <w:r>
              <w:rPr>
                <w:color w:val="000000"/>
                <w:sz w:val="24"/>
              </w:rPr>
              <w:t>标准值详见下表3-6</w:t>
            </w:r>
            <w:r>
              <w:rPr>
                <w:color w:val="000000"/>
                <w:kern w:val="0"/>
                <w:sz w:val="24"/>
                <w:lang w:bidi="ar"/>
              </w:rPr>
              <w:t>。</w:t>
            </w:r>
          </w:p>
          <w:p w14:paraId="1C0E9C37">
            <w:pPr>
              <w:spacing w:line="360" w:lineRule="auto"/>
              <w:jc w:val="center"/>
              <w:rPr>
                <w:b/>
                <w:color w:val="000000"/>
                <w:szCs w:val="21"/>
              </w:rPr>
            </w:pPr>
            <w:r>
              <w:rPr>
                <w:b/>
                <w:color w:val="000000"/>
                <w:szCs w:val="21"/>
              </w:rPr>
              <w:t xml:space="preserve">表3-6 </w:t>
            </w:r>
            <w:r>
              <w:rPr>
                <w:rFonts w:hint="eastAsia"/>
                <w:b/>
                <w:color w:val="000000"/>
                <w:szCs w:val="21"/>
              </w:rPr>
              <w:t xml:space="preserve"> </w:t>
            </w:r>
            <w:r>
              <w:rPr>
                <w:b/>
                <w:color w:val="000000"/>
                <w:szCs w:val="21"/>
              </w:rPr>
              <w:t>声环境质量标准 （单位：dB</w:t>
            </w:r>
            <w:r>
              <w:rPr>
                <w:rFonts w:hint="eastAsia"/>
                <w:b/>
                <w:color w:val="000000"/>
                <w:szCs w:val="21"/>
              </w:rPr>
              <w:t>（A）</w:t>
            </w:r>
            <w:r>
              <w:rPr>
                <w:b/>
                <w:color w:val="000000"/>
                <w:szCs w:val="21"/>
              </w:rPr>
              <w:t>）</w:t>
            </w:r>
          </w:p>
          <w:tbl>
            <w:tblPr>
              <w:tblStyle w:val="20"/>
              <w:tblW w:w="8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37"/>
              <w:gridCol w:w="2416"/>
              <w:gridCol w:w="1895"/>
            </w:tblGrid>
            <w:tr w14:paraId="7672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037" w:type="dxa"/>
                  <w:noWrap w:val="0"/>
                  <w:vAlign w:val="center"/>
                </w:tcPr>
                <w:p w14:paraId="459120C8">
                  <w:pPr>
                    <w:ind w:right="-105" w:rightChars="-50"/>
                    <w:jc w:val="center"/>
                    <w:rPr>
                      <w:b/>
                      <w:bCs/>
                      <w:color w:val="000000"/>
                      <w:szCs w:val="21"/>
                    </w:rPr>
                  </w:pPr>
                  <w:r>
                    <w:rPr>
                      <w:b/>
                      <w:bCs/>
                      <w:color w:val="000000"/>
                      <w:szCs w:val="21"/>
                    </w:rPr>
                    <w:t>类别</w:t>
                  </w:r>
                </w:p>
              </w:tc>
              <w:tc>
                <w:tcPr>
                  <w:tcW w:w="2416" w:type="dxa"/>
                  <w:noWrap w:val="0"/>
                  <w:vAlign w:val="center"/>
                </w:tcPr>
                <w:p w14:paraId="1E63414F">
                  <w:pPr>
                    <w:ind w:right="-105" w:rightChars="-50"/>
                    <w:jc w:val="center"/>
                    <w:rPr>
                      <w:b/>
                      <w:bCs/>
                      <w:color w:val="000000"/>
                      <w:szCs w:val="21"/>
                    </w:rPr>
                  </w:pPr>
                  <w:r>
                    <w:rPr>
                      <w:b/>
                      <w:bCs/>
                      <w:color w:val="000000"/>
                      <w:szCs w:val="21"/>
                    </w:rPr>
                    <w:t>昼间</w:t>
                  </w:r>
                </w:p>
              </w:tc>
              <w:tc>
                <w:tcPr>
                  <w:tcW w:w="1895" w:type="dxa"/>
                  <w:noWrap w:val="0"/>
                  <w:vAlign w:val="center"/>
                </w:tcPr>
                <w:p w14:paraId="2CF9AACB">
                  <w:pPr>
                    <w:ind w:right="-105" w:rightChars="-50"/>
                    <w:jc w:val="center"/>
                    <w:rPr>
                      <w:b/>
                      <w:bCs/>
                      <w:color w:val="000000"/>
                      <w:szCs w:val="21"/>
                    </w:rPr>
                  </w:pPr>
                  <w:r>
                    <w:rPr>
                      <w:b/>
                      <w:bCs/>
                      <w:color w:val="000000"/>
                      <w:szCs w:val="21"/>
                    </w:rPr>
                    <w:t>夜间</w:t>
                  </w:r>
                </w:p>
              </w:tc>
            </w:tr>
            <w:tr w14:paraId="61E1C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7" w:type="dxa"/>
                  <w:noWrap w:val="0"/>
                  <w:vAlign w:val="center"/>
                </w:tcPr>
                <w:p w14:paraId="163FA880">
                  <w:pPr>
                    <w:autoSpaceDE w:val="0"/>
                    <w:autoSpaceDN w:val="0"/>
                    <w:adjustRightInd w:val="0"/>
                    <w:jc w:val="center"/>
                    <w:rPr>
                      <w:color w:val="000000"/>
                      <w:szCs w:val="21"/>
                    </w:rPr>
                  </w:pPr>
                  <w:r>
                    <w:rPr>
                      <w:rFonts w:hint="eastAsia"/>
                      <w:color w:val="000000"/>
                      <w:kern w:val="0"/>
                    </w:rPr>
                    <w:t>2</w:t>
                  </w:r>
                  <w:r>
                    <w:rPr>
                      <w:color w:val="000000"/>
                      <w:kern w:val="0"/>
                    </w:rPr>
                    <w:t>类</w:t>
                  </w:r>
                </w:p>
              </w:tc>
              <w:tc>
                <w:tcPr>
                  <w:tcW w:w="2416" w:type="dxa"/>
                  <w:noWrap w:val="0"/>
                  <w:vAlign w:val="center"/>
                </w:tcPr>
                <w:p w14:paraId="591BB682">
                  <w:pPr>
                    <w:autoSpaceDE w:val="0"/>
                    <w:autoSpaceDN w:val="0"/>
                    <w:adjustRightInd w:val="0"/>
                    <w:jc w:val="center"/>
                    <w:rPr>
                      <w:color w:val="000000"/>
                      <w:szCs w:val="21"/>
                    </w:rPr>
                  </w:pPr>
                  <w:r>
                    <w:rPr>
                      <w:rFonts w:hint="eastAsia"/>
                      <w:color w:val="000000"/>
                      <w:kern w:val="0"/>
                    </w:rPr>
                    <w:t>60</w:t>
                  </w:r>
                </w:p>
              </w:tc>
              <w:tc>
                <w:tcPr>
                  <w:tcW w:w="1895" w:type="dxa"/>
                  <w:noWrap w:val="0"/>
                  <w:vAlign w:val="center"/>
                </w:tcPr>
                <w:p w14:paraId="74BF0F17">
                  <w:pPr>
                    <w:autoSpaceDE w:val="0"/>
                    <w:autoSpaceDN w:val="0"/>
                    <w:adjustRightInd w:val="0"/>
                    <w:jc w:val="center"/>
                    <w:rPr>
                      <w:color w:val="000000"/>
                      <w:szCs w:val="21"/>
                    </w:rPr>
                  </w:pPr>
                  <w:r>
                    <w:rPr>
                      <w:rFonts w:hint="eastAsia"/>
                      <w:color w:val="000000"/>
                      <w:kern w:val="0"/>
                    </w:rPr>
                    <w:t>50</w:t>
                  </w:r>
                </w:p>
              </w:tc>
            </w:tr>
          </w:tbl>
          <w:p w14:paraId="001CB3AF">
            <w:pPr>
              <w:spacing w:line="360" w:lineRule="auto"/>
              <w:ind w:firstLine="562" w:firstLineChars="200"/>
              <w:rPr>
                <w:b/>
                <w:color w:val="000000"/>
                <w:sz w:val="28"/>
                <w:szCs w:val="28"/>
              </w:rPr>
            </w:pPr>
            <w:r>
              <w:rPr>
                <w:b/>
                <w:color w:val="000000"/>
                <w:sz w:val="28"/>
                <w:szCs w:val="28"/>
              </w:rPr>
              <w:t>二、污染物排放标准</w:t>
            </w:r>
          </w:p>
          <w:p w14:paraId="554703EF">
            <w:pPr>
              <w:spacing w:line="360" w:lineRule="auto"/>
              <w:ind w:firstLine="562" w:firstLineChars="200"/>
              <w:rPr>
                <w:b/>
                <w:color w:val="000000"/>
                <w:sz w:val="28"/>
                <w:szCs w:val="28"/>
              </w:rPr>
            </w:pPr>
            <w:r>
              <w:rPr>
                <w:b/>
                <w:color w:val="000000"/>
                <w:sz w:val="28"/>
                <w:szCs w:val="28"/>
              </w:rPr>
              <w:t>1、大气污染物</w:t>
            </w:r>
          </w:p>
          <w:p w14:paraId="40A76B8D">
            <w:pPr>
              <w:spacing w:line="360" w:lineRule="auto"/>
              <w:ind w:firstLine="480" w:firstLineChars="200"/>
              <w:rPr>
                <w:rFonts w:hint="eastAsia"/>
                <w:bCs/>
                <w:color w:val="000000"/>
                <w:sz w:val="24"/>
              </w:rPr>
            </w:pPr>
            <w:r>
              <w:rPr>
                <w:rFonts w:hint="eastAsia"/>
                <w:bCs/>
                <w:color w:val="000000"/>
                <w:sz w:val="24"/>
              </w:rPr>
              <w:t>（1）施工期大气污染物排放标准</w:t>
            </w:r>
          </w:p>
          <w:p w14:paraId="01F1CFAE">
            <w:pPr>
              <w:spacing w:line="360" w:lineRule="auto"/>
              <w:ind w:firstLine="480" w:firstLineChars="200"/>
              <w:rPr>
                <w:color w:val="000000"/>
                <w:sz w:val="24"/>
              </w:rPr>
            </w:pPr>
            <w:r>
              <w:rPr>
                <w:bCs/>
                <w:color w:val="000000"/>
                <w:sz w:val="24"/>
              </w:rPr>
              <w:t>项目施工期产生的无组织粉尘</w:t>
            </w:r>
            <w:r>
              <w:rPr>
                <w:color w:val="000000"/>
                <w:sz w:val="24"/>
                <w:szCs w:val="22"/>
              </w:rPr>
              <w:t>执行《大气污染物综合排放</w:t>
            </w:r>
            <w:r>
              <w:rPr>
                <w:color w:val="000000"/>
                <w:sz w:val="24"/>
              </w:rPr>
              <w:t>标准》（GB16297-1996）表2中的无组织排放浓度监控标准，具体标准值见表3-7。</w:t>
            </w:r>
          </w:p>
          <w:p w14:paraId="0CA03450">
            <w:pPr>
              <w:spacing w:line="360" w:lineRule="auto"/>
              <w:jc w:val="center"/>
              <w:rPr>
                <w:b/>
                <w:color w:val="000000"/>
                <w:szCs w:val="21"/>
              </w:rPr>
            </w:pPr>
            <w:r>
              <w:rPr>
                <w:b/>
                <w:color w:val="000000"/>
                <w:szCs w:val="21"/>
              </w:rPr>
              <w:t xml:space="preserve">表3-7  </w:t>
            </w:r>
            <w:r>
              <w:rPr>
                <w:b/>
                <w:color w:val="000000"/>
                <w:szCs w:val="21"/>
                <w:lang w:val="zh-CN"/>
              </w:rPr>
              <w:t>大气污染物综合排放标准</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4"/>
              <w:gridCol w:w="6285"/>
            </w:tblGrid>
            <w:tr w14:paraId="3F85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1954" w:type="dxa"/>
                  <w:noWrap w:val="0"/>
                  <w:vAlign w:val="center"/>
                </w:tcPr>
                <w:p w14:paraId="7CCAD857">
                  <w:pPr>
                    <w:jc w:val="center"/>
                    <w:rPr>
                      <w:b/>
                      <w:bCs/>
                      <w:color w:val="000000"/>
                      <w:szCs w:val="21"/>
                    </w:rPr>
                  </w:pPr>
                  <w:r>
                    <w:rPr>
                      <w:b/>
                      <w:bCs/>
                      <w:color w:val="000000"/>
                      <w:szCs w:val="21"/>
                    </w:rPr>
                    <w:t>污染物</w:t>
                  </w:r>
                </w:p>
              </w:tc>
              <w:tc>
                <w:tcPr>
                  <w:tcW w:w="6285" w:type="dxa"/>
                  <w:noWrap w:val="0"/>
                  <w:vAlign w:val="center"/>
                </w:tcPr>
                <w:p w14:paraId="79C7D0EE">
                  <w:pPr>
                    <w:jc w:val="center"/>
                    <w:rPr>
                      <w:b/>
                      <w:bCs/>
                      <w:color w:val="000000"/>
                      <w:szCs w:val="21"/>
                    </w:rPr>
                  </w:pPr>
                  <w:r>
                    <w:rPr>
                      <w:b/>
                      <w:bCs/>
                      <w:color w:val="000000"/>
                      <w:szCs w:val="21"/>
                    </w:rPr>
                    <w:t>无组织排放监控浓度限值浓度（mg/m</w:t>
                  </w:r>
                  <w:r>
                    <w:rPr>
                      <w:b/>
                      <w:bCs/>
                      <w:color w:val="000000"/>
                      <w:szCs w:val="21"/>
                      <w:vertAlign w:val="superscript"/>
                    </w:rPr>
                    <w:t>3</w:t>
                  </w:r>
                  <w:r>
                    <w:rPr>
                      <w:b/>
                      <w:bCs/>
                      <w:color w:val="000000"/>
                      <w:szCs w:val="21"/>
                    </w:rPr>
                    <w:t>）</w:t>
                  </w:r>
                </w:p>
              </w:tc>
            </w:tr>
            <w:tr w14:paraId="3AB9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1954" w:type="dxa"/>
                  <w:noWrap w:val="0"/>
                  <w:vAlign w:val="center"/>
                </w:tcPr>
                <w:p w14:paraId="41936C62">
                  <w:pPr>
                    <w:jc w:val="center"/>
                    <w:rPr>
                      <w:color w:val="000000"/>
                      <w:szCs w:val="21"/>
                    </w:rPr>
                  </w:pPr>
                  <w:r>
                    <w:rPr>
                      <w:color w:val="000000"/>
                      <w:szCs w:val="21"/>
                    </w:rPr>
                    <w:t>颗粒物</w:t>
                  </w:r>
                </w:p>
              </w:tc>
              <w:tc>
                <w:tcPr>
                  <w:tcW w:w="6285" w:type="dxa"/>
                  <w:noWrap w:val="0"/>
                  <w:vAlign w:val="center"/>
                </w:tcPr>
                <w:p w14:paraId="1B5839DF">
                  <w:pPr>
                    <w:jc w:val="center"/>
                    <w:rPr>
                      <w:color w:val="000000"/>
                      <w:szCs w:val="21"/>
                    </w:rPr>
                  </w:pPr>
                  <w:r>
                    <w:rPr>
                      <w:color w:val="000000"/>
                      <w:szCs w:val="21"/>
                    </w:rPr>
                    <w:t>1.0</w:t>
                  </w:r>
                </w:p>
              </w:tc>
            </w:tr>
          </w:tbl>
          <w:p w14:paraId="7183E543">
            <w:pPr>
              <w:spacing w:line="360" w:lineRule="auto"/>
              <w:ind w:firstLine="480" w:firstLineChars="200"/>
              <w:rPr>
                <w:rFonts w:hint="eastAsia"/>
                <w:color w:val="000000"/>
                <w:sz w:val="24"/>
              </w:rPr>
            </w:pPr>
            <w:r>
              <w:rPr>
                <w:rFonts w:hint="eastAsia"/>
                <w:color w:val="000000"/>
                <w:sz w:val="24"/>
              </w:rPr>
              <w:t>（2）运营期大气污染物排放标准</w:t>
            </w:r>
          </w:p>
          <w:p w14:paraId="13771D67">
            <w:pPr>
              <w:spacing w:line="360" w:lineRule="auto"/>
              <w:ind w:firstLine="480" w:firstLineChars="200"/>
              <w:rPr>
                <w:bCs/>
                <w:color w:val="000000"/>
                <w:sz w:val="24"/>
              </w:rPr>
            </w:pPr>
            <w:r>
              <w:rPr>
                <w:color w:val="000000"/>
                <w:sz w:val="24"/>
                <w:szCs w:val="21"/>
              </w:rPr>
              <w:t>本项目生产过程中产生的</w:t>
            </w:r>
            <w:r>
              <w:rPr>
                <w:rFonts w:hint="eastAsia"/>
                <w:color w:val="000000"/>
                <w:sz w:val="24"/>
                <w:szCs w:val="21"/>
              </w:rPr>
              <w:t>甲醇</w:t>
            </w:r>
            <w:r>
              <w:rPr>
                <w:color w:val="000000"/>
                <w:sz w:val="24"/>
                <w:szCs w:val="22"/>
              </w:rPr>
              <w:t>执行《大气污染物综合排放</w:t>
            </w:r>
            <w:r>
              <w:rPr>
                <w:color w:val="000000"/>
                <w:sz w:val="24"/>
              </w:rPr>
              <w:t>标准》（GB16297-1996）表2中的排放浓度监控标准</w:t>
            </w:r>
            <w:r>
              <w:rPr>
                <w:rFonts w:hint="eastAsia"/>
                <w:color w:val="000000"/>
                <w:sz w:val="24"/>
                <w:szCs w:val="21"/>
              </w:rPr>
              <w:t>。</w:t>
            </w:r>
            <w:r>
              <w:rPr>
                <w:bCs/>
                <w:color w:val="000000"/>
                <w:sz w:val="24"/>
              </w:rPr>
              <w:t>标准限值见表</w:t>
            </w:r>
            <w:r>
              <w:rPr>
                <w:rFonts w:hint="eastAsia"/>
                <w:bCs/>
                <w:color w:val="000000"/>
                <w:sz w:val="24"/>
              </w:rPr>
              <w:t>3-</w:t>
            </w:r>
            <w:r>
              <w:rPr>
                <w:bCs/>
                <w:color w:val="000000"/>
                <w:sz w:val="24"/>
              </w:rPr>
              <w:t>8。</w:t>
            </w:r>
          </w:p>
          <w:p w14:paraId="716E29E7">
            <w:pPr>
              <w:spacing w:line="360" w:lineRule="auto"/>
              <w:jc w:val="center"/>
              <w:rPr>
                <w:b/>
                <w:color w:val="000000"/>
                <w:kern w:val="0"/>
              </w:rPr>
            </w:pPr>
            <w:r>
              <w:rPr>
                <w:b/>
                <w:color w:val="000000"/>
                <w:szCs w:val="21"/>
              </w:rPr>
              <w:t>表</w:t>
            </w:r>
            <w:r>
              <w:rPr>
                <w:rFonts w:hint="eastAsia"/>
                <w:b/>
                <w:color w:val="000000"/>
                <w:szCs w:val="21"/>
              </w:rPr>
              <w:t>3-</w:t>
            </w:r>
            <w:r>
              <w:rPr>
                <w:b/>
                <w:color w:val="000000"/>
                <w:szCs w:val="21"/>
              </w:rPr>
              <w:t xml:space="preserve">8  </w:t>
            </w:r>
            <w:r>
              <w:rPr>
                <w:rFonts w:hint="eastAsia"/>
                <w:b/>
                <w:color w:val="000000"/>
                <w:szCs w:val="21"/>
              </w:rPr>
              <w:t>无</w:t>
            </w:r>
            <w:r>
              <w:rPr>
                <w:b/>
                <w:color w:val="000000"/>
              </w:rPr>
              <w:t>组织大气污染物排放标准</w:t>
            </w:r>
          </w:p>
          <w:tbl>
            <w:tblPr>
              <w:tblStyle w:val="20"/>
              <w:tblW w:w="8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747"/>
              <w:gridCol w:w="1755"/>
              <w:gridCol w:w="875"/>
              <w:gridCol w:w="878"/>
              <w:gridCol w:w="1055"/>
              <w:gridCol w:w="1405"/>
            </w:tblGrid>
            <w:tr w14:paraId="6115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0" w:type="dxa"/>
                  <w:vMerge w:val="restart"/>
                  <w:noWrap w:val="0"/>
                  <w:vAlign w:val="center"/>
                </w:tcPr>
                <w:p w14:paraId="47D07DFE">
                  <w:pPr>
                    <w:jc w:val="center"/>
                    <w:rPr>
                      <w:b/>
                      <w:bCs/>
                      <w:color w:val="000000"/>
                    </w:rPr>
                  </w:pPr>
                  <w:r>
                    <w:rPr>
                      <w:b/>
                      <w:bCs/>
                      <w:color w:val="000000"/>
                    </w:rPr>
                    <w:t>执行标准</w:t>
                  </w:r>
                </w:p>
              </w:tc>
              <w:tc>
                <w:tcPr>
                  <w:tcW w:w="797" w:type="dxa"/>
                  <w:vMerge w:val="restart"/>
                  <w:noWrap w:val="0"/>
                  <w:vAlign w:val="center"/>
                </w:tcPr>
                <w:p w14:paraId="60B49DDF">
                  <w:pPr>
                    <w:jc w:val="center"/>
                    <w:rPr>
                      <w:b/>
                      <w:bCs/>
                      <w:color w:val="000000"/>
                    </w:rPr>
                  </w:pPr>
                  <w:r>
                    <w:rPr>
                      <w:b/>
                      <w:bCs/>
                      <w:color w:val="000000"/>
                    </w:rPr>
                    <w:t>项目</w:t>
                  </w:r>
                </w:p>
              </w:tc>
              <w:tc>
                <w:tcPr>
                  <w:tcW w:w="3705" w:type="dxa"/>
                  <w:gridSpan w:val="3"/>
                  <w:noWrap w:val="0"/>
                  <w:vAlign w:val="center"/>
                </w:tcPr>
                <w:p w14:paraId="68E56845">
                  <w:pPr>
                    <w:jc w:val="center"/>
                    <w:rPr>
                      <w:rFonts w:hint="eastAsia"/>
                      <w:b/>
                      <w:bCs/>
                      <w:color w:val="000000"/>
                    </w:rPr>
                  </w:pPr>
                  <w:r>
                    <w:rPr>
                      <w:rFonts w:hint="eastAsia"/>
                      <w:b/>
                      <w:bCs/>
                      <w:color w:val="000000"/>
                    </w:rPr>
                    <w:t>有组织</w:t>
                  </w:r>
                </w:p>
              </w:tc>
              <w:tc>
                <w:tcPr>
                  <w:tcW w:w="2586" w:type="dxa"/>
                  <w:gridSpan w:val="2"/>
                  <w:noWrap w:val="0"/>
                  <w:vAlign w:val="center"/>
                </w:tcPr>
                <w:p w14:paraId="62318586">
                  <w:pPr>
                    <w:jc w:val="center"/>
                    <w:rPr>
                      <w:rFonts w:hint="eastAsia"/>
                      <w:b/>
                      <w:bCs/>
                      <w:color w:val="000000"/>
                    </w:rPr>
                  </w:pPr>
                  <w:r>
                    <w:rPr>
                      <w:rFonts w:hint="eastAsia"/>
                      <w:b/>
                      <w:bCs/>
                      <w:color w:val="000000"/>
                    </w:rPr>
                    <w:t>无组织</w:t>
                  </w:r>
                </w:p>
              </w:tc>
            </w:tr>
            <w:tr w14:paraId="315E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50" w:type="dxa"/>
                  <w:vMerge w:val="continue"/>
                  <w:noWrap w:val="0"/>
                  <w:vAlign w:val="center"/>
                </w:tcPr>
                <w:p w14:paraId="4EA040B5">
                  <w:pPr>
                    <w:jc w:val="center"/>
                    <w:rPr>
                      <w:b/>
                      <w:bCs/>
                      <w:color w:val="000000"/>
                    </w:rPr>
                  </w:pPr>
                </w:p>
              </w:tc>
              <w:tc>
                <w:tcPr>
                  <w:tcW w:w="797" w:type="dxa"/>
                  <w:vMerge w:val="continue"/>
                  <w:noWrap w:val="0"/>
                  <w:vAlign w:val="center"/>
                </w:tcPr>
                <w:p w14:paraId="7DAA8CD6">
                  <w:pPr>
                    <w:jc w:val="center"/>
                    <w:rPr>
                      <w:b/>
                      <w:bCs/>
                      <w:color w:val="000000"/>
                    </w:rPr>
                  </w:pPr>
                </w:p>
              </w:tc>
              <w:tc>
                <w:tcPr>
                  <w:tcW w:w="1839" w:type="dxa"/>
                  <w:vMerge w:val="restart"/>
                  <w:noWrap w:val="0"/>
                  <w:vAlign w:val="center"/>
                </w:tcPr>
                <w:p w14:paraId="7091F1D2">
                  <w:pPr>
                    <w:jc w:val="center"/>
                    <w:rPr>
                      <w:rFonts w:hint="eastAsia"/>
                      <w:b/>
                      <w:bCs/>
                      <w:color w:val="000000"/>
                    </w:rPr>
                  </w:pPr>
                  <w:r>
                    <w:rPr>
                      <w:rFonts w:hint="eastAsia"/>
                      <w:b/>
                      <w:bCs/>
                      <w:color w:val="000000"/>
                    </w:rPr>
                    <w:t>最高允许排放浓度（</w:t>
                  </w:r>
                  <w:r>
                    <w:rPr>
                      <w:b/>
                      <w:bCs/>
                      <w:color w:val="000000"/>
                      <w:szCs w:val="21"/>
                    </w:rPr>
                    <w:t>mg/m</w:t>
                  </w:r>
                  <w:r>
                    <w:rPr>
                      <w:b/>
                      <w:bCs/>
                      <w:color w:val="000000"/>
                      <w:szCs w:val="21"/>
                      <w:vertAlign w:val="superscript"/>
                    </w:rPr>
                    <w:t>3</w:t>
                  </w:r>
                  <w:r>
                    <w:rPr>
                      <w:rFonts w:hint="eastAsia"/>
                      <w:b/>
                      <w:bCs/>
                      <w:color w:val="000000"/>
                    </w:rPr>
                    <w:t>）</w:t>
                  </w:r>
                </w:p>
              </w:tc>
              <w:tc>
                <w:tcPr>
                  <w:tcW w:w="1866" w:type="dxa"/>
                  <w:gridSpan w:val="2"/>
                  <w:noWrap w:val="0"/>
                  <w:vAlign w:val="center"/>
                </w:tcPr>
                <w:p w14:paraId="2F4278E7">
                  <w:pPr>
                    <w:jc w:val="center"/>
                    <w:rPr>
                      <w:rFonts w:hint="eastAsia"/>
                      <w:b/>
                      <w:bCs/>
                      <w:color w:val="000000"/>
                    </w:rPr>
                  </w:pPr>
                  <w:r>
                    <w:rPr>
                      <w:rFonts w:hint="eastAsia"/>
                      <w:b/>
                      <w:bCs/>
                      <w:color w:val="000000"/>
                    </w:rPr>
                    <w:t>（最高允许排放速率）（kg/h）</w:t>
                  </w:r>
                </w:p>
              </w:tc>
              <w:tc>
                <w:tcPr>
                  <w:tcW w:w="1153" w:type="dxa"/>
                  <w:vMerge w:val="restart"/>
                  <w:noWrap w:val="0"/>
                  <w:vAlign w:val="center"/>
                </w:tcPr>
                <w:p w14:paraId="33FCE24B">
                  <w:pPr>
                    <w:jc w:val="center"/>
                    <w:rPr>
                      <w:b/>
                      <w:bCs/>
                      <w:color w:val="000000"/>
                    </w:rPr>
                  </w:pPr>
                  <w:r>
                    <w:rPr>
                      <w:b/>
                      <w:bCs/>
                      <w:color w:val="000000"/>
                    </w:rPr>
                    <w:t>监控点</w:t>
                  </w:r>
                </w:p>
              </w:tc>
              <w:tc>
                <w:tcPr>
                  <w:tcW w:w="1433" w:type="dxa"/>
                  <w:vMerge w:val="restart"/>
                  <w:noWrap w:val="0"/>
                  <w:vAlign w:val="center"/>
                </w:tcPr>
                <w:p w14:paraId="6DC1D89F">
                  <w:pPr>
                    <w:jc w:val="center"/>
                    <w:rPr>
                      <w:rFonts w:hint="eastAsia"/>
                      <w:b/>
                      <w:bCs/>
                      <w:color w:val="000000"/>
                    </w:rPr>
                  </w:pPr>
                  <w:r>
                    <w:rPr>
                      <w:rFonts w:hint="eastAsia"/>
                      <w:b/>
                      <w:bCs/>
                      <w:color w:val="000000"/>
                    </w:rPr>
                    <w:t>浓度（</w:t>
                  </w:r>
                  <w:r>
                    <w:rPr>
                      <w:b/>
                      <w:bCs/>
                      <w:color w:val="000000"/>
                      <w:szCs w:val="21"/>
                    </w:rPr>
                    <w:t>mg/m</w:t>
                  </w:r>
                  <w:r>
                    <w:rPr>
                      <w:b/>
                      <w:bCs/>
                      <w:color w:val="000000"/>
                      <w:szCs w:val="21"/>
                      <w:vertAlign w:val="superscript"/>
                    </w:rPr>
                    <w:t>3</w:t>
                  </w:r>
                  <w:r>
                    <w:rPr>
                      <w:rFonts w:hint="eastAsia"/>
                      <w:b/>
                      <w:bCs/>
                      <w:color w:val="000000"/>
                    </w:rPr>
                    <w:t>）</w:t>
                  </w:r>
                </w:p>
              </w:tc>
            </w:tr>
            <w:tr w14:paraId="062F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50" w:type="dxa"/>
                  <w:vMerge w:val="continue"/>
                  <w:noWrap w:val="0"/>
                  <w:vAlign w:val="center"/>
                </w:tcPr>
                <w:p w14:paraId="270CF197">
                  <w:pPr>
                    <w:jc w:val="center"/>
                    <w:rPr>
                      <w:color w:val="000000"/>
                    </w:rPr>
                  </w:pPr>
                </w:p>
              </w:tc>
              <w:tc>
                <w:tcPr>
                  <w:tcW w:w="797" w:type="dxa"/>
                  <w:vMerge w:val="continue"/>
                  <w:noWrap w:val="0"/>
                  <w:vAlign w:val="center"/>
                </w:tcPr>
                <w:p w14:paraId="5C195069">
                  <w:pPr>
                    <w:jc w:val="center"/>
                    <w:rPr>
                      <w:color w:val="000000"/>
                    </w:rPr>
                  </w:pPr>
                </w:p>
              </w:tc>
              <w:tc>
                <w:tcPr>
                  <w:tcW w:w="1839" w:type="dxa"/>
                  <w:vMerge w:val="continue"/>
                  <w:noWrap w:val="0"/>
                  <w:vAlign w:val="center"/>
                </w:tcPr>
                <w:p w14:paraId="5788A6DF">
                  <w:pPr>
                    <w:jc w:val="center"/>
                    <w:rPr>
                      <w:color w:val="000000"/>
                    </w:rPr>
                  </w:pPr>
                </w:p>
              </w:tc>
              <w:tc>
                <w:tcPr>
                  <w:tcW w:w="933" w:type="dxa"/>
                  <w:noWrap w:val="0"/>
                  <w:vAlign w:val="center"/>
                </w:tcPr>
                <w:p w14:paraId="5BD785F7">
                  <w:pPr>
                    <w:jc w:val="center"/>
                    <w:rPr>
                      <w:rFonts w:hint="eastAsia"/>
                      <w:b/>
                      <w:bCs/>
                      <w:color w:val="000000"/>
                    </w:rPr>
                  </w:pPr>
                  <w:r>
                    <w:rPr>
                      <w:rFonts w:hint="eastAsia"/>
                      <w:b/>
                      <w:bCs/>
                      <w:color w:val="000000"/>
                    </w:rPr>
                    <w:t>排气筒高度</w:t>
                  </w:r>
                </w:p>
              </w:tc>
              <w:tc>
                <w:tcPr>
                  <w:tcW w:w="933" w:type="dxa"/>
                  <w:noWrap w:val="0"/>
                  <w:vAlign w:val="center"/>
                </w:tcPr>
                <w:p w14:paraId="5F3F8C72">
                  <w:pPr>
                    <w:jc w:val="center"/>
                    <w:rPr>
                      <w:rFonts w:hint="eastAsia"/>
                      <w:b/>
                      <w:bCs/>
                      <w:color w:val="000000"/>
                    </w:rPr>
                  </w:pPr>
                  <w:r>
                    <w:rPr>
                      <w:rFonts w:hint="eastAsia"/>
                      <w:b/>
                      <w:bCs/>
                      <w:color w:val="000000"/>
                    </w:rPr>
                    <w:t>二级</w:t>
                  </w:r>
                </w:p>
              </w:tc>
              <w:tc>
                <w:tcPr>
                  <w:tcW w:w="1153" w:type="dxa"/>
                  <w:vMerge w:val="continue"/>
                  <w:noWrap w:val="0"/>
                  <w:vAlign w:val="center"/>
                </w:tcPr>
                <w:p w14:paraId="30D26C49">
                  <w:pPr>
                    <w:jc w:val="center"/>
                    <w:rPr>
                      <w:color w:val="000000"/>
                    </w:rPr>
                  </w:pPr>
                </w:p>
              </w:tc>
              <w:tc>
                <w:tcPr>
                  <w:tcW w:w="1433" w:type="dxa"/>
                  <w:vMerge w:val="continue"/>
                  <w:noWrap w:val="0"/>
                  <w:vAlign w:val="center"/>
                </w:tcPr>
                <w:p w14:paraId="61A1E889">
                  <w:pPr>
                    <w:jc w:val="center"/>
                    <w:rPr>
                      <w:color w:val="000000"/>
                    </w:rPr>
                  </w:pPr>
                </w:p>
              </w:tc>
            </w:tr>
            <w:tr w14:paraId="4B11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0" w:type="dxa"/>
                  <w:noWrap w:val="0"/>
                  <w:vAlign w:val="center"/>
                </w:tcPr>
                <w:p w14:paraId="3B6685BA">
                  <w:pPr>
                    <w:jc w:val="center"/>
                    <w:rPr>
                      <w:rFonts w:hint="eastAsia"/>
                      <w:color w:val="000000"/>
                      <w:szCs w:val="21"/>
                    </w:rPr>
                  </w:pPr>
                  <w:r>
                    <w:rPr>
                      <w:rFonts w:hint="eastAsia"/>
                      <w:color w:val="000000"/>
                      <w:szCs w:val="21"/>
                    </w:rPr>
                    <w:t>GB16297-1996</w:t>
                  </w:r>
                </w:p>
              </w:tc>
              <w:tc>
                <w:tcPr>
                  <w:tcW w:w="797" w:type="dxa"/>
                  <w:noWrap w:val="0"/>
                  <w:vAlign w:val="center"/>
                </w:tcPr>
                <w:p w14:paraId="74782DE4">
                  <w:pPr>
                    <w:jc w:val="center"/>
                    <w:rPr>
                      <w:rFonts w:hint="eastAsia"/>
                      <w:color w:val="000000"/>
                      <w:szCs w:val="21"/>
                    </w:rPr>
                  </w:pPr>
                  <w:r>
                    <w:rPr>
                      <w:rFonts w:hint="eastAsia"/>
                      <w:color w:val="000000"/>
                      <w:szCs w:val="21"/>
                    </w:rPr>
                    <w:t>甲醇</w:t>
                  </w:r>
                </w:p>
              </w:tc>
              <w:tc>
                <w:tcPr>
                  <w:tcW w:w="1839" w:type="dxa"/>
                  <w:noWrap w:val="0"/>
                  <w:vAlign w:val="center"/>
                </w:tcPr>
                <w:p w14:paraId="665B8329">
                  <w:pPr>
                    <w:jc w:val="center"/>
                    <w:rPr>
                      <w:color w:val="000000"/>
                    </w:rPr>
                  </w:pPr>
                  <w:r>
                    <w:rPr>
                      <w:rFonts w:hint="eastAsia"/>
                      <w:color w:val="000000"/>
                    </w:rPr>
                    <w:t>190</w:t>
                  </w:r>
                </w:p>
              </w:tc>
              <w:tc>
                <w:tcPr>
                  <w:tcW w:w="933" w:type="dxa"/>
                  <w:noWrap w:val="0"/>
                  <w:vAlign w:val="center"/>
                </w:tcPr>
                <w:p w14:paraId="7E905F64">
                  <w:pPr>
                    <w:jc w:val="center"/>
                    <w:rPr>
                      <w:color w:val="000000"/>
                    </w:rPr>
                  </w:pPr>
                  <w:r>
                    <w:rPr>
                      <w:rFonts w:hint="eastAsia"/>
                      <w:color w:val="000000"/>
                    </w:rPr>
                    <w:t>15</w:t>
                  </w:r>
                </w:p>
              </w:tc>
              <w:tc>
                <w:tcPr>
                  <w:tcW w:w="933" w:type="dxa"/>
                  <w:noWrap w:val="0"/>
                  <w:vAlign w:val="center"/>
                </w:tcPr>
                <w:p w14:paraId="38AA0C87">
                  <w:pPr>
                    <w:jc w:val="center"/>
                    <w:rPr>
                      <w:rFonts w:hint="eastAsia"/>
                      <w:color w:val="000000"/>
                    </w:rPr>
                  </w:pPr>
                  <w:r>
                    <w:rPr>
                      <w:rFonts w:hint="eastAsia"/>
                      <w:color w:val="000000"/>
                    </w:rPr>
                    <w:t>5.1</w:t>
                  </w:r>
                </w:p>
              </w:tc>
              <w:tc>
                <w:tcPr>
                  <w:tcW w:w="1153" w:type="dxa"/>
                  <w:noWrap w:val="0"/>
                  <w:vAlign w:val="center"/>
                </w:tcPr>
                <w:p w14:paraId="3549F6BA">
                  <w:pPr>
                    <w:jc w:val="center"/>
                    <w:rPr>
                      <w:color w:val="000000"/>
                    </w:rPr>
                  </w:pPr>
                  <w:r>
                    <w:rPr>
                      <w:color w:val="000000"/>
                    </w:rPr>
                    <w:t>企业边界</w:t>
                  </w:r>
                </w:p>
              </w:tc>
              <w:tc>
                <w:tcPr>
                  <w:tcW w:w="1433" w:type="dxa"/>
                  <w:noWrap w:val="0"/>
                  <w:vAlign w:val="center"/>
                </w:tcPr>
                <w:p w14:paraId="238E0E1D">
                  <w:pPr>
                    <w:jc w:val="center"/>
                    <w:rPr>
                      <w:color w:val="000000"/>
                    </w:rPr>
                  </w:pPr>
                  <w:r>
                    <w:rPr>
                      <w:rFonts w:hint="eastAsia"/>
                      <w:color w:val="000000"/>
                    </w:rPr>
                    <w:t>12</w:t>
                  </w:r>
                </w:p>
              </w:tc>
            </w:tr>
          </w:tbl>
          <w:p w14:paraId="57ED7420">
            <w:pPr>
              <w:spacing w:line="360" w:lineRule="auto"/>
              <w:ind w:firstLine="480" w:firstLineChars="200"/>
              <w:rPr>
                <w:color w:val="000000"/>
                <w:sz w:val="24"/>
                <w:szCs w:val="21"/>
              </w:rPr>
            </w:pPr>
            <w:r>
              <w:rPr>
                <w:color w:val="000000"/>
                <w:sz w:val="24"/>
                <w:szCs w:val="21"/>
              </w:rPr>
              <w:t>同时，甲醇属于挥发性有机物，执行《挥发性有机物无组织排放控制标准》（GB 37822—2019）的相关控制要求。</w:t>
            </w:r>
          </w:p>
          <w:p w14:paraId="37E50827">
            <w:pPr>
              <w:spacing w:line="360" w:lineRule="auto"/>
              <w:jc w:val="center"/>
              <w:rPr>
                <w:rFonts w:hint="eastAsia"/>
                <w:b/>
                <w:color w:val="000000"/>
                <w:szCs w:val="21"/>
              </w:rPr>
            </w:pPr>
            <w:r>
              <w:rPr>
                <w:b/>
                <w:color w:val="000000"/>
                <w:szCs w:val="21"/>
              </w:rPr>
              <w:t>表</w:t>
            </w:r>
            <w:r>
              <w:rPr>
                <w:rFonts w:hint="eastAsia"/>
                <w:b/>
                <w:color w:val="000000"/>
                <w:szCs w:val="21"/>
              </w:rPr>
              <w:t>3</w:t>
            </w:r>
            <w:r>
              <w:rPr>
                <w:b/>
                <w:color w:val="000000"/>
                <w:szCs w:val="21"/>
              </w:rPr>
              <w:t>-9</w:t>
            </w:r>
            <w:r>
              <w:rPr>
                <w:rFonts w:hint="eastAsia"/>
                <w:b/>
                <w:color w:val="000000"/>
                <w:szCs w:val="21"/>
              </w:rPr>
              <w:t xml:space="preserve">  厂区内VOCs</w:t>
            </w:r>
            <w:r>
              <w:rPr>
                <w:b/>
                <w:color w:val="000000"/>
                <w:szCs w:val="21"/>
              </w:rPr>
              <w:t>无组织排放限值</w:t>
            </w:r>
            <w:r>
              <w:rPr>
                <w:rFonts w:hint="eastAsia"/>
                <w:b/>
                <w:color w:val="000000"/>
                <w:szCs w:val="21"/>
              </w:rPr>
              <w:t xml:space="preserve">  单位：mg/m</w:t>
            </w:r>
            <w:r>
              <w:rPr>
                <w:rFonts w:hint="eastAsia"/>
                <w:b/>
                <w:color w:val="000000"/>
                <w:szCs w:val="21"/>
                <w:vertAlign w:val="superscript"/>
              </w:rPr>
              <w:t>3</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389"/>
              <w:gridCol w:w="2690"/>
              <w:gridCol w:w="2604"/>
            </w:tblGrid>
            <w:tr w14:paraId="2D2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6" w:hRule="atLeast"/>
                <w:jc w:val="center"/>
              </w:trPr>
              <w:tc>
                <w:tcPr>
                  <w:tcW w:w="997" w:type="pct"/>
                  <w:noWrap w:val="0"/>
                  <w:vAlign w:val="center"/>
                </w:tcPr>
                <w:p w14:paraId="473A82EC">
                  <w:pPr>
                    <w:jc w:val="center"/>
                    <w:rPr>
                      <w:b/>
                      <w:bCs/>
                      <w:color w:val="000000"/>
                    </w:rPr>
                  </w:pPr>
                  <w:r>
                    <w:rPr>
                      <w:b/>
                      <w:bCs/>
                      <w:color w:val="000000"/>
                    </w:rPr>
                    <w:t>污染物项目</w:t>
                  </w:r>
                </w:p>
              </w:tc>
              <w:tc>
                <w:tcPr>
                  <w:tcW w:w="832" w:type="pct"/>
                  <w:noWrap w:val="0"/>
                  <w:vAlign w:val="center"/>
                </w:tcPr>
                <w:p w14:paraId="050516B8">
                  <w:pPr>
                    <w:jc w:val="center"/>
                    <w:rPr>
                      <w:b/>
                      <w:bCs/>
                      <w:color w:val="000000"/>
                    </w:rPr>
                  </w:pPr>
                  <w:r>
                    <w:rPr>
                      <w:b/>
                      <w:bCs/>
                      <w:color w:val="000000"/>
                    </w:rPr>
                    <w:t>排放限值</w:t>
                  </w:r>
                </w:p>
              </w:tc>
              <w:tc>
                <w:tcPr>
                  <w:tcW w:w="1611" w:type="pct"/>
                  <w:noWrap w:val="0"/>
                  <w:vAlign w:val="top"/>
                </w:tcPr>
                <w:p w14:paraId="7591F008">
                  <w:pPr>
                    <w:jc w:val="center"/>
                    <w:rPr>
                      <w:rFonts w:hint="eastAsia"/>
                      <w:b/>
                      <w:bCs/>
                      <w:color w:val="000000"/>
                    </w:rPr>
                  </w:pPr>
                  <w:r>
                    <w:rPr>
                      <w:rFonts w:hint="eastAsia"/>
                      <w:b/>
                      <w:bCs/>
                      <w:color w:val="000000"/>
                    </w:rPr>
                    <w:t>限值含义</w:t>
                  </w:r>
                </w:p>
              </w:tc>
              <w:tc>
                <w:tcPr>
                  <w:tcW w:w="1559" w:type="pct"/>
                  <w:noWrap w:val="0"/>
                  <w:vAlign w:val="center"/>
                </w:tcPr>
                <w:p w14:paraId="56073A86">
                  <w:pPr>
                    <w:jc w:val="center"/>
                    <w:rPr>
                      <w:b/>
                      <w:bCs/>
                      <w:color w:val="000000"/>
                    </w:rPr>
                  </w:pPr>
                  <w:r>
                    <w:rPr>
                      <w:b/>
                      <w:bCs/>
                      <w:color w:val="000000"/>
                    </w:rPr>
                    <w:t>无组织排放监控位置</w:t>
                  </w:r>
                </w:p>
              </w:tc>
            </w:tr>
            <w:tr w14:paraId="7789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997" w:type="pct"/>
                  <w:vMerge w:val="restart"/>
                  <w:noWrap w:val="0"/>
                  <w:vAlign w:val="center"/>
                </w:tcPr>
                <w:p w14:paraId="302C5166">
                  <w:pPr>
                    <w:jc w:val="center"/>
                    <w:rPr>
                      <w:color w:val="000000"/>
                    </w:rPr>
                  </w:pPr>
                  <w:r>
                    <w:rPr>
                      <w:color w:val="000000"/>
                    </w:rPr>
                    <w:t>NMHC</w:t>
                  </w:r>
                </w:p>
              </w:tc>
              <w:tc>
                <w:tcPr>
                  <w:tcW w:w="832" w:type="pct"/>
                  <w:noWrap w:val="0"/>
                  <w:vAlign w:val="center"/>
                </w:tcPr>
                <w:p w14:paraId="74ADC5FE">
                  <w:pPr>
                    <w:jc w:val="center"/>
                    <w:rPr>
                      <w:color w:val="000000"/>
                    </w:rPr>
                  </w:pPr>
                  <w:r>
                    <w:rPr>
                      <w:rFonts w:hint="eastAsia"/>
                      <w:color w:val="000000"/>
                    </w:rPr>
                    <w:t>1</w:t>
                  </w:r>
                  <w:r>
                    <w:rPr>
                      <w:color w:val="000000"/>
                    </w:rPr>
                    <w:t>0</w:t>
                  </w:r>
                </w:p>
              </w:tc>
              <w:tc>
                <w:tcPr>
                  <w:tcW w:w="1611" w:type="pct"/>
                  <w:noWrap w:val="0"/>
                  <w:vAlign w:val="top"/>
                </w:tcPr>
                <w:p w14:paraId="00230A46">
                  <w:pPr>
                    <w:jc w:val="center"/>
                    <w:rPr>
                      <w:color w:val="000000"/>
                    </w:rPr>
                  </w:pPr>
                  <w:r>
                    <w:rPr>
                      <w:color w:val="000000"/>
                    </w:rPr>
                    <w:t>监控点处</w:t>
                  </w:r>
                  <w:r>
                    <w:rPr>
                      <w:rFonts w:hint="eastAsia"/>
                      <w:color w:val="000000"/>
                    </w:rPr>
                    <w:t>1h平均浓度值</w:t>
                  </w:r>
                </w:p>
              </w:tc>
              <w:tc>
                <w:tcPr>
                  <w:tcW w:w="1559" w:type="pct"/>
                  <w:vMerge w:val="restart"/>
                  <w:noWrap w:val="0"/>
                  <w:vAlign w:val="center"/>
                </w:tcPr>
                <w:p w14:paraId="49E50903">
                  <w:pPr>
                    <w:jc w:val="center"/>
                    <w:rPr>
                      <w:color w:val="000000"/>
                    </w:rPr>
                  </w:pPr>
                  <w:r>
                    <w:rPr>
                      <w:color w:val="000000"/>
                    </w:rPr>
                    <w:t>在厂房外设置监控点</w:t>
                  </w:r>
                </w:p>
              </w:tc>
            </w:tr>
            <w:tr w14:paraId="6D1B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jc w:val="center"/>
              </w:trPr>
              <w:tc>
                <w:tcPr>
                  <w:tcW w:w="997" w:type="pct"/>
                  <w:vMerge w:val="continue"/>
                  <w:noWrap w:val="0"/>
                  <w:vAlign w:val="center"/>
                </w:tcPr>
                <w:p w14:paraId="750F20C5">
                  <w:pPr>
                    <w:jc w:val="center"/>
                    <w:rPr>
                      <w:color w:val="000000"/>
                    </w:rPr>
                  </w:pPr>
                </w:p>
              </w:tc>
              <w:tc>
                <w:tcPr>
                  <w:tcW w:w="832" w:type="pct"/>
                  <w:noWrap w:val="0"/>
                  <w:vAlign w:val="center"/>
                </w:tcPr>
                <w:p w14:paraId="498E4768">
                  <w:pPr>
                    <w:jc w:val="center"/>
                    <w:rPr>
                      <w:color w:val="000000"/>
                    </w:rPr>
                  </w:pPr>
                  <w:r>
                    <w:rPr>
                      <w:rFonts w:hint="eastAsia"/>
                      <w:color w:val="000000"/>
                    </w:rPr>
                    <w:t>30</w:t>
                  </w:r>
                </w:p>
              </w:tc>
              <w:tc>
                <w:tcPr>
                  <w:tcW w:w="1611" w:type="pct"/>
                  <w:noWrap w:val="0"/>
                  <w:vAlign w:val="top"/>
                </w:tcPr>
                <w:p w14:paraId="0F2C0688">
                  <w:pPr>
                    <w:jc w:val="center"/>
                    <w:rPr>
                      <w:color w:val="000000"/>
                    </w:rPr>
                  </w:pPr>
                  <w:r>
                    <w:rPr>
                      <w:color w:val="000000"/>
                    </w:rPr>
                    <w:t>监控点处任意一</w:t>
                  </w:r>
                  <w:r>
                    <w:rPr>
                      <w:rFonts w:hint="eastAsia"/>
                      <w:color w:val="000000"/>
                    </w:rPr>
                    <w:t>次浓度值</w:t>
                  </w:r>
                </w:p>
              </w:tc>
              <w:tc>
                <w:tcPr>
                  <w:tcW w:w="1559" w:type="pct"/>
                  <w:vMerge w:val="continue"/>
                  <w:noWrap w:val="0"/>
                  <w:vAlign w:val="center"/>
                </w:tcPr>
                <w:p w14:paraId="158DB4DD">
                  <w:pPr>
                    <w:jc w:val="center"/>
                    <w:rPr>
                      <w:color w:val="000000"/>
                    </w:rPr>
                  </w:pPr>
                </w:p>
              </w:tc>
            </w:tr>
          </w:tbl>
          <w:p w14:paraId="156B5ECB">
            <w:pPr>
              <w:spacing w:line="360" w:lineRule="auto"/>
              <w:ind w:firstLine="480" w:firstLineChars="200"/>
              <w:rPr>
                <w:color w:val="000000"/>
                <w:sz w:val="24"/>
                <w:szCs w:val="21"/>
              </w:rPr>
            </w:pPr>
            <w:r>
              <w:rPr>
                <w:rFonts w:hint="eastAsia"/>
                <w:color w:val="000000"/>
                <w:sz w:val="24"/>
                <w:szCs w:val="21"/>
              </w:rPr>
              <w:t>项目运营中使用的药剂、化粪池等</w:t>
            </w:r>
            <w:r>
              <w:rPr>
                <w:color w:val="000000"/>
                <w:sz w:val="24"/>
                <w:szCs w:val="21"/>
              </w:rPr>
              <w:t>产生的臭气浓度执行《恶臭污染物排放标准》（GB14554-93）中的相应标准，具体排放标准详见表。</w:t>
            </w:r>
          </w:p>
          <w:p w14:paraId="654DE081">
            <w:pPr>
              <w:spacing w:line="360" w:lineRule="auto"/>
              <w:jc w:val="center"/>
              <w:rPr>
                <w:b/>
                <w:color w:val="000000"/>
                <w:szCs w:val="21"/>
              </w:rPr>
            </w:pPr>
            <w:r>
              <w:rPr>
                <w:b/>
                <w:color w:val="000000"/>
                <w:szCs w:val="21"/>
              </w:rPr>
              <w:t>表</w:t>
            </w:r>
            <w:r>
              <w:rPr>
                <w:rFonts w:hint="eastAsia"/>
                <w:b/>
                <w:color w:val="000000"/>
                <w:szCs w:val="21"/>
              </w:rPr>
              <w:t>3</w:t>
            </w:r>
            <w:r>
              <w:rPr>
                <w:b/>
                <w:color w:val="000000"/>
                <w:szCs w:val="21"/>
              </w:rPr>
              <w:t>-10</w:t>
            </w:r>
            <w:r>
              <w:rPr>
                <w:rFonts w:hint="eastAsia"/>
                <w:b/>
                <w:color w:val="000000"/>
                <w:szCs w:val="21"/>
              </w:rPr>
              <w:t xml:space="preserve">  </w:t>
            </w:r>
            <w:r>
              <w:rPr>
                <w:b/>
                <w:color w:val="000000"/>
                <w:szCs w:val="21"/>
              </w:rPr>
              <w:t>恶臭污染物排放标准</w:t>
            </w:r>
          </w:p>
          <w:tbl>
            <w:tblPr>
              <w:tblStyle w:val="20"/>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2598"/>
              <w:gridCol w:w="2667"/>
            </w:tblGrid>
            <w:tr w14:paraId="6D74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74" w:type="dxa"/>
                  <w:noWrap w:val="0"/>
                  <w:vAlign w:val="center"/>
                </w:tcPr>
                <w:p w14:paraId="4C51E5AB">
                  <w:pPr>
                    <w:jc w:val="center"/>
                    <w:rPr>
                      <w:b/>
                      <w:bCs/>
                      <w:color w:val="000000"/>
                    </w:rPr>
                  </w:pPr>
                  <w:r>
                    <w:rPr>
                      <w:b/>
                      <w:bCs/>
                      <w:color w:val="000000"/>
                    </w:rPr>
                    <w:t>执行标准</w:t>
                  </w:r>
                </w:p>
              </w:tc>
              <w:tc>
                <w:tcPr>
                  <w:tcW w:w="2598" w:type="dxa"/>
                  <w:noWrap w:val="0"/>
                  <w:vAlign w:val="center"/>
                </w:tcPr>
                <w:p w14:paraId="5A94BA37">
                  <w:pPr>
                    <w:jc w:val="center"/>
                    <w:rPr>
                      <w:b/>
                      <w:bCs/>
                      <w:color w:val="000000"/>
                    </w:rPr>
                  </w:pPr>
                  <w:r>
                    <w:rPr>
                      <w:b/>
                      <w:bCs/>
                      <w:color w:val="000000"/>
                    </w:rPr>
                    <w:t>项目</w:t>
                  </w:r>
                </w:p>
              </w:tc>
              <w:tc>
                <w:tcPr>
                  <w:tcW w:w="2667" w:type="dxa"/>
                  <w:noWrap w:val="0"/>
                  <w:vAlign w:val="center"/>
                </w:tcPr>
                <w:p w14:paraId="0FB1B373">
                  <w:pPr>
                    <w:jc w:val="center"/>
                    <w:rPr>
                      <w:b/>
                      <w:bCs/>
                      <w:color w:val="000000"/>
                    </w:rPr>
                  </w:pPr>
                  <w:r>
                    <w:rPr>
                      <w:b/>
                      <w:bCs/>
                      <w:color w:val="000000"/>
                    </w:rPr>
                    <w:t>恶臭污染物厂界标准值</w:t>
                  </w:r>
                </w:p>
              </w:tc>
            </w:tr>
            <w:tr w14:paraId="4E9F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74" w:type="dxa"/>
                  <w:noWrap w:val="0"/>
                  <w:vAlign w:val="center"/>
                </w:tcPr>
                <w:p w14:paraId="0AC1975F">
                  <w:pPr>
                    <w:jc w:val="center"/>
                    <w:rPr>
                      <w:color w:val="000000"/>
                    </w:rPr>
                  </w:pPr>
                  <w:r>
                    <w:rPr>
                      <w:color w:val="000000"/>
                    </w:rPr>
                    <w:t>GB14554-93</w:t>
                  </w:r>
                </w:p>
              </w:tc>
              <w:tc>
                <w:tcPr>
                  <w:tcW w:w="2598" w:type="dxa"/>
                  <w:noWrap w:val="0"/>
                  <w:vAlign w:val="center"/>
                </w:tcPr>
                <w:p w14:paraId="38B1E3D8">
                  <w:pPr>
                    <w:jc w:val="center"/>
                    <w:rPr>
                      <w:color w:val="000000"/>
                    </w:rPr>
                  </w:pPr>
                  <w:r>
                    <w:rPr>
                      <w:color w:val="000000"/>
                    </w:rPr>
                    <w:t>臭气浓度（无量纲）</w:t>
                  </w:r>
                </w:p>
              </w:tc>
              <w:tc>
                <w:tcPr>
                  <w:tcW w:w="2667" w:type="dxa"/>
                  <w:noWrap w:val="0"/>
                  <w:vAlign w:val="center"/>
                </w:tcPr>
                <w:p w14:paraId="547DCE45">
                  <w:pPr>
                    <w:jc w:val="center"/>
                    <w:rPr>
                      <w:color w:val="000000"/>
                    </w:rPr>
                  </w:pPr>
                  <w:r>
                    <w:rPr>
                      <w:color w:val="000000"/>
                    </w:rPr>
                    <w:t>20</w:t>
                  </w:r>
                </w:p>
              </w:tc>
            </w:tr>
          </w:tbl>
          <w:p w14:paraId="4F96E1BF">
            <w:pPr>
              <w:spacing w:line="360" w:lineRule="auto"/>
              <w:ind w:firstLine="480" w:firstLineChars="200"/>
              <w:rPr>
                <w:color w:val="000000"/>
                <w:sz w:val="24"/>
              </w:rPr>
            </w:pPr>
            <w:r>
              <w:rPr>
                <w:color w:val="000000"/>
                <w:sz w:val="24"/>
              </w:rPr>
              <w:t>食堂油烟排放执行《饮食业油烟排放标准（试行）》（</w:t>
            </w:r>
            <w:r>
              <w:rPr>
                <w:rFonts w:hint="eastAsia"/>
                <w:color w:val="000000"/>
                <w:sz w:val="24"/>
              </w:rPr>
              <w:t>GB18483-2001</w:t>
            </w:r>
            <w:r>
              <w:rPr>
                <w:color w:val="000000"/>
                <w:sz w:val="24"/>
              </w:rPr>
              <w:t>）中表</w:t>
            </w:r>
            <w:r>
              <w:rPr>
                <w:rFonts w:hint="eastAsia"/>
                <w:color w:val="000000"/>
                <w:sz w:val="24"/>
              </w:rPr>
              <w:t>2小型限值要求，即最高允许排放浓度≤2.0mg/m</w:t>
            </w:r>
            <w:r>
              <w:rPr>
                <w:rFonts w:hint="eastAsia"/>
                <w:color w:val="000000"/>
                <w:sz w:val="24"/>
                <w:vertAlign w:val="superscript"/>
              </w:rPr>
              <w:t>3</w:t>
            </w:r>
            <w:r>
              <w:rPr>
                <w:rFonts w:hint="eastAsia"/>
                <w:color w:val="000000"/>
                <w:sz w:val="24"/>
              </w:rPr>
              <w:t>。</w:t>
            </w:r>
          </w:p>
          <w:p w14:paraId="781AF2F0">
            <w:pPr>
              <w:spacing w:line="360" w:lineRule="auto"/>
              <w:ind w:firstLine="562" w:firstLineChars="200"/>
              <w:rPr>
                <w:b/>
                <w:color w:val="000000"/>
                <w:sz w:val="28"/>
                <w:szCs w:val="28"/>
              </w:rPr>
            </w:pPr>
            <w:r>
              <w:rPr>
                <w:b/>
                <w:color w:val="000000"/>
                <w:sz w:val="28"/>
                <w:szCs w:val="28"/>
              </w:rPr>
              <w:t>2、噪声</w:t>
            </w:r>
          </w:p>
          <w:p w14:paraId="05FCED1B">
            <w:pPr>
              <w:spacing w:line="360" w:lineRule="auto"/>
              <w:ind w:firstLine="480" w:firstLineChars="200"/>
              <w:rPr>
                <w:rFonts w:hint="eastAsia"/>
                <w:color w:val="000000"/>
                <w:sz w:val="24"/>
                <w:szCs w:val="22"/>
              </w:rPr>
            </w:pPr>
            <w:r>
              <w:rPr>
                <w:rFonts w:hint="eastAsia"/>
                <w:color w:val="000000"/>
                <w:sz w:val="24"/>
                <w:szCs w:val="22"/>
              </w:rPr>
              <w:t>（1）施工期噪声排放标准</w:t>
            </w:r>
          </w:p>
          <w:p w14:paraId="301BC5E9">
            <w:pPr>
              <w:spacing w:line="360" w:lineRule="auto"/>
              <w:ind w:firstLine="480" w:firstLineChars="200"/>
              <w:rPr>
                <w:color w:val="000000"/>
                <w:sz w:val="24"/>
                <w:szCs w:val="22"/>
              </w:rPr>
            </w:pPr>
            <w:r>
              <w:rPr>
                <w:color w:val="000000"/>
                <w:sz w:val="24"/>
                <w:szCs w:val="22"/>
              </w:rPr>
              <w:t>施工期噪声</w:t>
            </w:r>
            <w:r>
              <w:rPr>
                <w:color w:val="000000"/>
                <w:sz w:val="24"/>
                <w:szCs w:val="22"/>
                <w:lang w:val="zh-CN"/>
              </w:rPr>
              <w:t>执行《建筑施工场界环境噪声排放标准》（</w:t>
            </w:r>
            <w:r>
              <w:rPr>
                <w:color w:val="000000"/>
                <w:sz w:val="24"/>
                <w:szCs w:val="22"/>
              </w:rPr>
              <w:t>GB12523-2011），具体标准值见表3-11。</w:t>
            </w:r>
          </w:p>
          <w:p w14:paraId="5997E43E">
            <w:pPr>
              <w:spacing w:line="360" w:lineRule="auto"/>
              <w:jc w:val="center"/>
              <w:rPr>
                <w:b/>
                <w:color w:val="000000"/>
                <w:szCs w:val="21"/>
              </w:rPr>
            </w:pPr>
            <w:r>
              <w:rPr>
                <w:b/>
                <w:color w:val="000000"/>
                <w:szCs w:val="21"/>
              </w:rPr>
              <w:t xml:space="preserve">表3-11  </w:t>
            </w:r>
            <w:r>
              <w:rPr>
                <w:b/>
                <w:color w:val="000000"/>
                <w:szCs w:val="21"/>
                <w:lang w:val="zh-CN"/>
              </w:rPr>
              <w:t>建筑施工场界环境噪声排放限值</w:t>
            </w:r>
            <w:r>
              <w:rPr>
                <w:b/>
                <w:color w:val="000000"/>
                <w:szCs w:val="21"/>
              </w:rPr>
              <w:t>单位： dB(A)</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4087"/>
            </w:tblGrid>
            <w:tr w14:paraId="170A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14:paraId="424D507B">
                  <w:pPr>
                    <w:jc w:val="center"/>
                    <w:rPr>
                      <w:b/>
                      <w:bCs/>
                      <w:color w:val="000000"/>
                      <w:szCs w:val="21"/>
                    </w:rPr>
                  </w:pPr>
                  <w:r>
                    <w:rPr>
                      <w:b/>
                      <w:bCs/>
                      <w:color w:val="000000"/>
                      <w:szCs w:val="21"/>
                    </w:rPr>
                    <w:t>昼间</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3B89CC22">
                  <w:pPr>
                    <w:jc w:val="center"/>
                    <w:rPr>
                      <w:b/>
                      <w:bCs/>
                      <w:color w:val="000000"/>
                      <w:szCs w:val="21"/>
                    </w:rPr>
                  </w:pPr>
                  <w:r>
                    <w:rPr>
                      <w:b/>
                      <w:bCs/>
                      <w:color w:val="000000"/>
                      <w:szCs w:val="21"/>
                    </w:rPr>
                    <w:t>夜间</w:t>
                  </w:r>
                </w:p>
              </w:tc>
            </w:tr>
            <w:tr w14:paraId="129A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252" w:type="dxa"/>
                  <w:tcBorders>
                    <w:top w:val="single" w:color="auto" w:sz="4" w:space="0"/>
                    <w:left w:val="single" w:color="auto" w:sz="4" w:space="0"/>
                    <w:bottom w:val="single" w:color="auto" w:sz="4" w:space="0"/>
                    <w:right w:val="single" w:color="auto" w:sz="4" w:space="0"/>
                  </w:tcBorders>
                  <w:noWrap w:val="0"/>
                  <w:vAlign w:val="center"/>
                </w:tcPr>
                <w:p w14:paraId="7B343EB0">
                  <w:pPr>
                    <w:jc w:val="center"/>
                    <w:rPr>
                      <w:color w:val="000000"/>
                      <w:szCs w:val="21"/>
                    </w:rPr>
                  </w:pPr>
                  <w:r>
                    <w:rPr>
                      <w:color w:val="000000"/>
                      <w:szCs w:val="21"/>
                    </w:rPr>
                    <w:t>70</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4A8614E5">
                  <w:pPr>
                    <w:jc w:val="center"/>
                    <w:rPr>
                      <w:color w:val="000000"/>
                      <w:szCs w:val="21"/>
                    </w:rPr>
                  </w:pPr>
                  <w:r>
                    <w:rPr>
                      <w:color w:val="000000"/>
                      <w:szCs w:val="21"/>
                    </w:rPr>
                    <w:t>55</w:t>
                  </w:r>
                </w:p>
              </w:tc>
            </w:tr>
          </w:tbl>
          <w:p w14:paraId="738FD753">
            <w:pPr>
              <w:adjustRightInd w:val="0"/>
              <w:snapToGrid w:val="0"/>
              <w:spacing w:line="360" w:lineRule="auto"/>
              <w:ind w:firstLine="480" w:firstLineChars="200"/>
              <w:rPr>
                <w:bCs/>
                <w:color w:val="000000"/>
                <w:sz w:val="24"/>
              </w:rPr>
            </w:pPr>
            <w:r>
              <w:rPr>
                <w:rFonts w:hint="eastAsia"/>
                <w:bCs/>
                <w:color w:val="000000"/>
                <w:sz w:val="24"/>
              </w:rPr>
              <w:t>（2）运营期噪声排放标准</w:t>
            </w:r>
          </w:p>
          <w:p w14:paraId="47CCE350">
            <w:pPr>
              <w:adjustRightInd w:val="0"/>
              <w:snapToGrid w:val="0"/>
              <w:spacing w:line="360" w:lineRule="auto"/>
              <w:ind w:firstLine="480" w:firstLineChars="200"/>
              <w:rPr>
                <w:bCs/>
                <w:snapToGrid w:val="0"/>
                <w:color w:val="000000"/>
                <w:kern w:val="0"/>
                <w:sz w:val="24"/>
              </w:rPr>
            </w:pPr>
            <w:r>
              <w:rPr>
                <w:bCs/>
                <w:snapToGrid w:val="0"/>
                <w:color w:val="000000"/>
                <w:kern w:val="0"/>
                <w:sz w:val="24"/>
              </w:rPr>
              <w:t>营运期厂界噪声执行《工业企业厂界环境噪声排放标准》（GB12348-2008）</w:t>
            </w:r>
            <w:r>
              <w:rPr>
                <w:rFonts w:hint="eastAsia"/>
                <w:snapToGrid w:val="0"/>
                <w:color w:val="000000"/>
                <w:kern w:val="0"/>
                <w:sz w:val="24"/>
              </w:rPr>
              <w:t>2</w:t>
            </w:r>
            <w:r>
              <w:rPr>
                <w:snapToGrid w:val="0"/>
                <w:color w:val="000000"/>
                <w:kern w:val="0"/>
                <w:sz w:val="24"/>
              </w:rPr>
              <w:t>类标</w:t>
            </w:r>
            <w:r>
              <w:rPr>
                <w:bCs/>
                <w:snapToGrid w:val="0"/>
                <w:color w:val="000000"/>
                <w:kern w:val="0"/>
                <w:sz w:val="24"/>
              </w:rPr>
              <w:t>准</w:t>
            </w:r>
            <w:r>
              <w:rPr>
                <w:snapToGrid w:val="0"/>
                <w:color w:val="000000"/>
                <w:kern w:val="0"/>
                <w:sz w:val="24"/>
              </w:rPr>
              <w:t>。</w:t>
            </w:r>
            <w:r>
              <w:rPr>
                <w:bCs/>
                <w:snapToGrid w:val="0"/>
                <w:color w:val="000000"/>
                <w:kern w:val="0"/>
                <w:sz w:val="24"/>
              </w:rPr>
              <w:t>标准值见表3-</w:t>
            </w:r>
            <w:r>
              <w:rPr>
                <w:rFonts w:hint="eastAsia"/>
                <w:bCs/>
                <w:snapToGrid w:val="0"/>
                <w:color w:val="000000"/>
                <w:kern w:val="0"/>
                <w:sz w:val="24"/>
              </w:rPr>
              <w:t>1</w:t>
            </w:r>
            <w:r>
              <w:rPr>
                <w:bCs/>
                <w:snapToGrid w:val="0"/>
                <w:color w:val="000000"/>
                <w:kern w:val="0"/>
                <w:sz w:val="24"/>
              </w:rPr>
              <w:t>2。</w:t>
            </w:r>
          </w:p>
          <w:p w14:paraId="39CEDDAC">
            <w:pPr>
              <w:adjustRightInd w:val="0"/>
              <w:snapToGrid w:val="0"/>
              <w:spacing w:line="360" w:lineRule="auto"/>
              <w:jc w:val="center"/>
              <w:rPr>
                <w:b/>
                <w:bCs/>
                <w:snapToGrid w:val="0"/>
                <w:color w:val="000000"/>
                <w:kern w:val="0"/>
                <w:szCs w:val="21"/>
              </w:rPr>
            </w:pPr>
            <w:r>
              <w:rPr>
                <w:b/>
                <w:bCs/>
                <w:snapToGrid w:val="0"/>
                <w:color w:val="000000"/>
                <w:kern w:val="0"/>
                <w:szCs w:val="21"/>
              </w:rPr>
              <w:t>表3-</w:t>
            </w:r>
            <w:r>
              <w:rPr>
                <w:rFonts w:hint="eastAsia"/>
                <w:b/>
                <w:bCs/>
                <w:snapToGrid w:val="0"/>
                <w:color w:val="000000"/>
                <w:kern w:val="0"/>
                <w:szCs w:val="21"/>
              </w:rPr>
              <w:t>1</w:t>
            </w:r>
            <w:r>
              <w:rPr>
                <w:b/>
                <w:bCs/>
                <w:snapToGrid w:val="0"/>
                <w:color w:val="000000"/>
                <w:kern w:val="0"/>
                <w:szCs w:val="21"/>
              </w:rPr>
              <w:t xml:space="preserve">2 工业企业厂界噪声排放执行限值 </w:t>
            </w:r>
            <w:r>
              <w:rPr>
                <w:rFonts w:hint="eastAsia"/>
                <w:b/>
                <w:bCs/>
                <w:snapToGrid w:val="0"/>
                <w:color w:val="000000"/>
                <w:kern w:val="0"/>
                <w:szCs w:val="21"/>
              </w:rPr>
              <w:t xml:space="preserve"> </w:t>
            </w:r>
            <w:r>
              <w:rPr>
                <w:b/>
                <w:bCs/>
                <w:snapToGrid w:val="0"/>
                <w:color w:val="000000"/>
                <w:kern w:val="0"/>
                <w:szCs w:val="21"/>
              </w:rPr>
              <w:t>单位: dB（A）</w:t>
            </w:r>
          </w:p>
          <w:tbl>
            <w:tblPr>
              <w:tblStyle w:val="20"/>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7"/>
              <w:gridCol w:w="1729"/>
              <w:gridCol w:w="2712"/>
            </w:tblGrid>
            <w:tr w14:paraId="46D8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3837" w:type="dxa"/>
                  <w:noWrap w:val="0"/>
                  <w:vAlign w:val="center"/>
                </w:tcPr>
                <w:p w14:paraId="7E956FFF">
                  <w:pPr>
                    <w:jc w:val="center"/>
                    <w:rPr>
                      <w:b/>
                      <w:bCs/>
                      <w:color w:val="000000"/>
                    </w:rPr>
                  </w:pPr>
                  <w:r>
                    <w:rPr>
                      <w:b/>
                      <w:bCs/>
                      <w:color w:val="000000"/>
                    </w:rPr>
                    <w:t>执行标准</w:t>
                  </w:r>
                </w:p>
              </w:tc>
              <w:tc>
                <w:tcPr>
                  <w:tcW w:w="1729" w:type="dxa"/>
                  <w:noWrap w:val="0"/>
                  <w:vAlign w:val="center"/>
                </w:tcPr>
                <w:p w14:paraId="63F688CF">
                  <w:pPr>
                    <w:jc w:val="center"/>
                    <w:rPr>
                      <w:b/>
                      <w:bCs/>
                      <w:color w:val="000000"/>
                    </w:rPr>
                  </w:pPr>
                  <w:r>
                    <w:rPr>
                      <w:b/>
                      <w:bCs/>
                      <w:color w:val="000000"/>
                    </w:rPr>
                    <w:t>昼间</w:t>
                  </w:r>
                </w:p>
              </w:tc>
              <w:tc>
                <w:tcPr>
                  <w:tcW w:w="2712" w:type="dxa"/>
                  <w:noWrap w:val="0"/>
                  <w:vAlign w:val="center"/>
                </w:tcPr>
                <w:p w14:paraId="4FCC64D4">
                  <w:pPr>
                    <w:jc w:val="center"/>
                    <w:rPr>
                      <w:b/>
                      <w:bCs/>
                      <w:color w:val="000000"/>
                    </w:rPr>
                  </w:pPr>
                  <w:r>
                    <w:rPr>
                      <w:b/>
                      <w:bCs/>
                      <w:color w:val="000000"/>
                    </w:rPr>
                    <w:t>夜间</w:t>
                  </w:r>
                </w:p>
              </w:tc>
            </w:tr>
            <w:tr w14:paraId="6D9C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3837" w:type="dxa"/>
                  <w:noWrap w:val="0"/>
                  <w:vAlign w:val="center"/>
                </w:tcPr>
                <w:p w14:paraId="67843C83">
                  <w:pPr>
                    <w:jc w:val="center"/>
                    <w:rPr>
                      <w:color w:val="000000"/>
                    </w:rPr>
                  </w:pPr>
                  <w:r>
                    <w:rPr>
                      <w:rFonts w:hint="eastAsia"/>
                      <w:color w:val="000000"/>
                    </w:rPr>
                    <w:t>2</w:t>
                  </w:r>
                  <w:r>
                    <w:rPr>
                      <w:color w:val="000000"/>
                    </w:rPr>
                    <w:t>类标准</w:t>
                  </w:r>
                </w:p>
              </w:tc>
              <w:tc>
                <w:tcPr>
                  <w:tcW w:w="1729" w:type="dxa"/>
                  <w:noWrap w:val="0"/>
                  <w:vAlign w:val="center"/>
                </w:tcPr>
                <w:p w14:paraId="583F3A18">
                  <w:pPr>
                    <w:jc w:val="center"/>
                    <w:rPr>
                      <w:color w:val="000000"/>
                    </w:rPr>
                  </w:pPr>
                  <w:r>
                    <w:rPr>
                      <w:rFonts w:hint="eastAsia"/>
                      <w:color w:val="000000"/>
                    </w:rPr>
                    <w:t>60</w:t>
                  </w:r>
                </w:p>
              </w:tc>
              <w:tc>
                <w:tcPr>
                  <w:tcW w:w="2712" w:type="dxa"/>
                  <w:noWrap w:val="0"/>
                  <w:vAlign w:val="center"/>
                </w:tcPr>
                <w:p w14:paraId="4EBEEB5A">
                  <w:pPr>
                    <w:jc w:val="center"/>
                    <w:rPr>
                      <w:color w:val="000000"/>
                    </w:rPr>
                  </w:pPr>
                  <w:r>
                    <w:rPr>
                      <w:rFonts w:hint="eastAsia"/>
                      <w:color w:val="000000"/>
                    </w:rPr>
                    <w:t>50</w:t>
                  </w:r>
                </w:p>
              </w:tc>
            </w:tr>
          </w:tbl>
          <w:p w14:paraId="0A111DD9">
            <w:pPr>
              <w:spacing w:line="360" w:lineRule="auto"/>
              <w:ind w:firstLine="562" w:firstLineChars="200"/>
              <w:rPr>
                <w:b/>
                <w:color w:val="000000"/>
                <w:sz w:val="28"/>
                <w:szCs w:val="28"/>
              </w:rPr>
            </w:pPr>
            <w:r>
              <w:rPr>
                <w:b/>
                <w:color w:val="000000"/>
                <w:sz w:val="28"/>
                <w:szCs w:val="28"/>
              </w:rPr>
              <w:t>4、固体废物</w:t>
            </w:r>
          </w:p>
          <w:p w14:paraId="10C7D2F1">
            <w:pPr>
              <w:adjustRightInd w:val="0"/>
              <w:snapToGrid w:val="0"/>
              <w:spacing w:line="360" w:lineRule="auto"/>
              <w:ind w:firstLine="480" w:firstLineChars="200"/>
              <w:rPr>
                <w:bCs/>
                <w:snapToGrid w:val="0"/>
                <w:color w:val="000000"/>
                <w:kern w:val="0"/>
                <w:sz w:val="24"/>
              </w:rPr>
            </w:pPr>
            <w:r>
              <w:rPr>
                <w:rFonts w:hint="eastAsia"/>
                <w:bCs/>
                <w:snapToGrid w:val="0"/>
                <w:color w:val="000000"/>
                <w:kern w:val="0"/>
                <w:sz w:val="24"/>
              </w:rPr>
              <w:t>（1）</w:t>
            </w:r>
            <w:r>
              <w:rPr>
                <w:bCs/>
                <w:snapToGrid w:val="0"/>
                <w:color w:val="000000"/>
                <w:kern w:val="0"/>
                <w:sz w:val="24"/>
              </w:rPr>
              <w:t>一般固体废物：项目产生的一般固体废物执行《一般工业固体废物贮存和填埋污染控制标准》（GB18599-2020）（2021年7月1日将正式施行）。</w:t>
            </w:r>
          </w:p>
          <w:p w14:paraId="0D5F67AA">
            <w:pPr>
              <w:adjustRightInd w:val="0"/>
              <w:snapToGrid w:val="0"/>
              <w:spacing w:line="360" w:lineRule="auto"/>
              <w:ind w:firstLine="480" w:firstLineChars="200"/>
              <w:rPr>
                <w:color w:val="000000"/>
              </w:rPr>
            </w:pPr>
            <w:r>
              <w:rPr>
                <w:rFonts w:hint="eastAsia"/>
                <w:bCs/>
                <w:snapToGrid w:val="0"/>
                <w:color w:val="000000"/>
                <w:kern w:val="0"/>
                <w:sz w:val="24"/>
              </w:rPr>
              <w:t>（2）</w:t>
            </w:r>
            <w:r>
              <w:rPr>
                <w:bCs/>
                <w:snapToGrid w:val="0"/>
                <w:color w:val="000000"/>
                <w:kern w:val="0"/>
                <w:sz w:val="24"/>
              </w:rPr>
              <w:t>危险废物：项目产生的危险废物在场内暂存执行《危险废物贮存污染控制标准》（GB18597-2001）及2013年修改清单（公告2013年第36号）内容。</w:t>
            </w:r>
          </w:p>
        </w:tc>
      </w:tr>
      <w:tr w14:paraId="3301AF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558" w:type="dxa"/>
            <w:noWrap w:val="0"/>
            <w:vAlign w:val="center"/>
          </w:tcPr>
          <w:p w14:paraId="4B67AF98">
            <w:pPr>
              <w:adjustRightInd w:val="0"/>
              <w:snapToGrid w:val="0"/>
              <w:spacing w:line="360" w:lineRule="auto"/>
              <w:jc w:val="center"/>
              <w:rPr>
                <w:color w:val="000000"/>
                <w:kern w:val="0"/>
                <w:sz w:val="24"/>
              </w:rPr>
            </w:pPr>
            <w:bookmarkStart w:id="13" w:name="_Toc8790"/>
            <w:bookmarkStart w:id="14" w:name="_Toc69765161"/>
            <w:r>
              <w:rPr>
                <w:color w:val="000000"/>
                <w:kern w:val="0"/>
                <w:sz w:val="24"/>
              </w:rPr>
              <w:t>总量</w:t>
            </w:r>
          </w:p>
          <w:p w14:paraId="6FE06F6D">
            <w:pPr>
              <w:adjustRightInd w:val="0"/>
              <w:snapToGrid w:val="0"/>
              <w:spacing w:line="360" w:lineRule="auto"/>
              <w:jc w:val="center"/>
              <w:rPr>
                <w:color w:val="000000"/>
                <w:kern w:val="0"/>
                <w:sz w:val="24"/>
              </w:rPr>
            </w:pPr>
            <w:r>
              <w:rPr>
                <w:color w:val="000000"/>
                <w:kern w:val="0"/>
                <w:sz w:val="24"/>
              </w:rPr>
              <w:t>控制</w:t>
            </w:r>
          </w:p>
          <w:p w14:paraId="4627DF0D">
            <w:pPr>
              <w:pStyle w:val="16"/>
              <w:adjustRightInd w:val="0"/>
              <w:snapToGrid w:val="0"/>
              <w:spacing w:before="0" w:beforeAutospacing="0" w:after="0" w:afterAutospacing="0"/>
              <w:jc w:val="center"/>
              <w:rPr>
                <w:rFonts w:ascii="Times New Roman" w:hAnsi="Times New Roman"/>
                <w:color w:val="000000"/>
              </w:rPr>
            </w:pPr>
            <w:r>
              <w:rPr>
                <w:rFonts w:ascii="Times New Roman" w:hAnsi="Times New Roman"/>
                <w:color w:val="000000"/>
              </w:rPr>
              <w:t>指标</w:t>
            </w:r>
          </w:p>
        </w:tc>
        <w:tc>
          <w:tcPr>
            <w:tcW w:w="8426" w:type="dxa"/>
            <w:noWrap w:val="0"/>
            <w:vAlign w:val="top"/>
          </w:tcPr>
          <w:p w14:paraId="0CA8F148">
            <w:pPr>
              <w:spacing w:line="360" w:lineRule="auto"/>
              <w:rPr>
                <w:b/>
                <w:color w:val="000000"/>
                <w:sz w:val="28"/>
                <w:szCs w:val="28"/>
              </w:rPr>
            </w:pPr>
            <w:r>
              <w:rPr>
                <w:b/>
                <w:color w:val="000000"/>
                <w:sz w:val="28"/>
                <w:szCs w:val="28"/>
              </w:rPr>
              <w:t>总量建议控制指标：</w:t>
            </w:r>
          </w:p>
          <w:p w14:paraId="6E1749C3">
            <w:pPr>
              <w:spacing w:line="360" w:lineRule="auto"/>
              <w:ind w:firstLine="480" w:firstLineChars="200"/>
              <w:rPr>
                <w:color w:val="000000"/>
                <w:sz w:val="24"/>
              </w:rPr>
            </w:pPr>
            <w:r>
              <w:rPr>
                <w:snapToGrid w:val="0"/>
                <w:color w:val="000000"/>
                <w:kern w:val="0"/>
                <w:sz w:val="24"/>
              </w:rPr>
              <w:t>《云南省生态环境保护</w:t>
            </w:r>
            <w:r>
              <w:rPr>
                <w:rFonts w:hint="eastAsia"/>
                <w:snapToGrid w:val="0"/>
                <w:color w:val="000000"/>
                <w:kern w:val="0"/>
                <w:sz w:val="24"/>
                <w:lang w:eastAsia="zh-CN"/>
              </w:rPr>
              <w:t>“十四五”规划</w:t>
            </w:r>
            <w:bookmarkStart w:id="32" w:name="_GoBack"/>
            <w:bookmarkEnd w:id="32"/>
            <w:r>
              <w:rPr>
                <w:snapToGrid w:val="0"/>
                <w:color w:val="000000"/>
                <w:kern w:val="0"/>
                <w:sz w:val="24"/>
              </w:rPr>
              <w:t>》，目标指标主要污染物减排量指标为NO</w:t>
            </w:r>
            <w:r>
              <w:rPr>
                <w:snapToGrid w:val="0"/>
                <w:color w:val="000000"/>
                <w:kern w:val="0"/>
                <w:sz w:val="24"/>
                <w:vertAlign w:val="subscript"/>
              </w:rPr>
              <w:t>X</w:t>
            </w:r>
            <w:r>
              <w:rPr>
                <w:snapToGrid w:val="0"/>
                <w:color w:val="000000"/>
                <w:kern w:val="0"/>
                <w:sz w:val="24"/>
              </w:rPr>
              <w:t>、挥发性有机物、化学需氧量、氨氮。</w:t>
            </w:r>
            <w:r>
              <w:rPr>
                <w:color w:val="000000"/>
                <w:sz w:val="24"/>
              </w:rPr>
              <w:t>根据本工程的具体情况、当地生态环境主管部门要求，同时结合国家污染物排放总量控制原则，本项目总量控制建议指标如下：</w:t>
            </w:r>
          </w:p>
          <w:p w14:paraId="45F2D628">
            <w:pPr>
              <w:spacing w:line="360" w:lineRule="auto"/>
              <w:ind w:firstLine="480" w:firstLineChars="200"/>
              <w:rPr>
                <w:color w:val="000000"/>
                <w:sz w:val="24"/>
              </w:rPr>
            </w:pPr>
            <w:r>
              <w:rPr>
                <w:color w:val="000000"/>
                <w:sz w:val="24"/>
              </w:rPr>
              <w:t>1、废水：项目废水不外排；因此，不设</w:t>
            </w:r>
            <w:r>
              <w:rPr>
                <w:rFonts w:hint="eastAsia"/>
                <w:color w:val="000000"/>
                <w:sz w:val="24"/>
              </w:rPr>
              <w:t>废水</w:t>
            </w:r>
            <w:r>
              <w:rPr>
                <w:color w:val="000000"/>
                <w:sz w:val="24"/>
              </w:rPr>
              <w:t>总量控制指标。</w:t>
            </w:r>
          </w:p>
          <w:p w14:paraId="09E04D4D">
            <w:pPr>
              <w:adjustRightInd w:val="0"/>
              <w:spacing w:line="360" w:lineRule="auto"/>
              <w:ind w:firstLine="480" w:firstLineChars="200"/>
              <w:rPr>
                <w:rFonts w:hint="eastAsia"/>
                <w:color w:val="000000"/>
                <w:sz w:val="24"/>
              </w:rPr>
            </w:pPr>
            <w:r>
              <w:rPr>
                <w:color w:val="000000"/>
                <w:sz w:val="24"/>
              </w:rPr>
              <w:t>2、废气：</w:t>
            </w:r>
            <w:r>
              <w:rPr>
                <w:rFonts w:hint="eastAsia"/>
                <w:color w:val="000000"/>
                <w:sz w:val="24"/>
              </w:rPr>
              <w:t>由工程分析可知，项目建成后大气污染物排放因子为甲醇，甲醇为挥发性有机物，因此，本项目废气</w:t>
            </w:r>
            <w:r>
              <w:rPr>
                <w:color w:val="000000"/>
                <w:sz w:val="24"/>
              </w:rPr>
              <w:t>总量控制指标</w:t>
            </w:r>
            <w:r>
              <w:rPr>
                <w:rFonts w:hint="eastAsia"/>
                <w:color w:val="000000"/>
                <w:sz w:val="24"/>
              </w:rPr>
              <w:t>为：甲醇0.</w:t>
            </w:r>
            <w:r>
              <w:rPr>
                <w:color w:val="000000"/>
                <w:sz w:val="24"/>
              </w:rPr>
              <w:t>486</w:t>
            </w:r>
            <w:r>
              <w:rPr>
                <w:rFonts w:hint="eastAsia"/>
                <w:color w:val="000000"/>
                <w:sz w:val="24"/>
              </w:rPr>
              <w:t>t/a</w:t>
            </w:r>
            <w:r>
              <w:rPr>
                <w:color w:val="000000"/>
                <w:sz w:val="24"/>
              </w:rPr>
              <w:t>（有组织</w:t>
            </w:r>
            <w:r>
              <w:rPr>
                <w:rFonts w:hint="eastAsia"/>
                <w:color w:val="000000"/>
                <w:sz w:val="24"/>
              </w:rPr>
              <w:t>0.44t/a，无组织0.046t/a</w:t>
            </w:r>
            <w:r>
              <w:rPr>
                <w:color w:val="000000"/>
                <w:sz w:val="24"/>
              </w:rPr>
              <w:t>）</w:t>
            </w:r>
            <w:r>
              <w:rPr>
                <w:rFonts w:hint="eastAsia"/>
                <w:color w:val="000000"/>
                <w:sz w:val="24"/>
              </w:rPr>
              <w:t>。</w:t>
            </w:r>
          </w:p>
          <w:p w14:paraId="05E47534">
            <w:pPr>
              <w:spacing w:line="360" w:lineRule="auto"/>
              <w:ind w:firstLine="480" w:firstLineChars="200"/>
              <w:rPr>
                <w:rFonts w:hint="eastAsia"/>
                <w:color w:val="000000"/>
              </w:rPr>
            </w:pPr>
            <w:r>
              <w:rPr>
                <w:color w:val="000000"/>
                <w:sz w:val="24"/>
              </w:rPr>
              <w:t>3、固体废物：固废处置率100%。</w:t>
            </w:r>
          </w:p>
        </w:tc>
      </w:tr>
    </w:tbl>
    <w:p w14:paraId="1567A0A4">
      <w:pPr>
        <w:pStyle w:val="16"/>
        <w:jc w:val="center"/>
        <w:outlineLvl w:val="0"/>
        <w:rPr>
          <w:rFonts w:ascii="黑体" w:hAnsi="黑体" w:eastAsia="黑体"/>
          <w:snapToGrid w:val="0"/>
          <w:color w:val="000000"/>
          <w:kern w:val="21"/>
          <w:sz w:val="30"/>
          <w:szCs w:val="30"/>
        </w:rPr>
      </w:pPr>
      <w:r>
        <w:rPr>
          <w:rFonts w:ascii="黑体" w:hAnsi="黑体" w:eastAsia="黑体"/>
          <w:snapToGrid w:val="0"/>
          <w:color w:val="000000"/>
          <w:kern w:val="21"/>
          <w:sz w:val="30"/>
          <w:szCs w:val="30"/>
        </w:rPr>
        <w:br w:type="page"/>
      </w:r>
      <w:bookmarkStart w:id="15" w:name="_Toc23635"/>
      <w:r>
        <w:rPr>
          <w:rFonts w:ascii="黑体" w:hAnsi="黑体" w:eastAsia="黑体"/>
          <w:snapToGrid w:val="0"/>
          <w:color w:val="000000"/>
          <w:kern w:val="21"/>
          <w:sz w:val="30"/>
          <w:szCs w:val="30"/>
        </w:rPr>
        <w:t>四、主要环境影响和保护措施</w:t>
      </w:r>
      <w:bookmarkEnd w:id="13"/>
      <w:bookmarkEnd w:id="14"/>
      <w:bookmarkEnd w:id="15"/>
    </w:p>
    <w:tbl>
      <w:tblPr>
        <w:tblStyle w:val="20"/>
        <w:tblW w:w="89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00"/>
        <w:gridCol w:w="8540"/>
      </w:tblGrid>
      <w:tr w14:paraId="29EF16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5" w:hRule="atLeast"/>
          <w:jc w:val="center"/>
        </w:trPr>
        <w:tc>
          <w:tcPr>
            <w:tcW w:w="400" w:type="dxa"/>
            <w:noWrap w:val="0"/>
            <w:tcMar>
              <w:left w:w="28" w:type="dxa"/>
              <w:right w:w="28" w:type="dxa"/>
            </w:tcMar>
            <w:vAlign w:val="center"/>
          </w:tcPr>
          <w:p w14:paraId="6F9798B8">
            <w:pPr>
              <w:pStyle w:val="16"/>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color w:val="000000"/>
                <w:kern w:val="2"/>
                <w:szCs w:val="24"/>
              </w:rPr>
              <w:t>施工</w:t>
            </w:r>
          </w:p>
          <w:p w14:paraId="16A21652">
            <w:pPr>
              <w:pStyle w:val="16"/>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color w:val="000000"/>
                <w:kern w:val="2"/>
                <w:szCs w:val="24"/>
              </w:rPr>
              <w:t>期环</w:t>
            </w:r>
          </w:p>
          <w:p w14:paraId="3088CA8E">
            <w:pPr>
              <w:pStyle w:val="16"/>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color w:val="000000"/>
                <w:kern w:val="2"/>
                <w:szCs w:val="24"/>
              </w:rPr>
              <w:t>境</w:t>
            </w:r>
            <w:r>
              <w:rPr>
                <w:rFonts w:hint="eastAsia" w:ascii="Times New Roman" w:hAnsi="Times New Roman"/>
                <w:color w:val="000000"/>
                <w:kern w:val="2"/>
                <w:szCs w:val="24"/>
              </w:rPr>
              <w:t>影响和</w:t>
            </w:r>
            <w:r>
              <w:rPr>
                <w:rFonts w:ascii="Times New Roman" w:hAnsi="Times New Roman"/>
                <w:color w:val="000000"/>
                <w:kern w:val="2"/>
                <w:szCs w:val="24"/>
              </w:rPr>
              <w:t>保</w:t>
            </w:r>
          </w:p>
          <w:p w14:paraId="73E7EAD5">
            <w:pPr>
              <w:pStyle w:val="16"/>
              <w:adjustRightInd w:val="0"/>
              <w:snapToGrid w:val="0"/>
              <w:spacing w:before="0" w:beforeAutospacing="0" w:after="0" w:afterAutospacing="0"/>
              <w:jc w:val="center"/>
              <w:rPr>
                <w:rFonts w:ascii="Times New Roman" w:hAnsi="Times New Roman"/>
                <w:color w:val="000000"/>
                <w:kern w:val="2"/>
                <w:szCs w:val="24"/>
              </w:rPr>
            </w:pPr>
            <w:r>
              <w:rPr>
                <w:rFonts w:ascii="Times New Roman" w:hAnsi="Times New Roman"/>
                <w:color w:val="000000"/>
                <w:kern w:val="2"/>
                <w:szCs w:val="24"/>
              </w:rPr>
              <w:t>护措</w:t>
            </w:r>
          </w:p>
          <w:p w14:paraId="13AB451E">
            <w:pPr>
              <w:pStyle w:val="16"/>
              <w:adjustRightInd w:val="0"/>
              <w:snapToGrid w:val="0"/>
              <w:spacing w:before="0" w:beforeAutospacing="0" w:after="0" w:afterAutospacing="0"/>
              <w:jc w:val="center"/>
              <w:rPr>
                <w:rFonts w:ascii="Times New Roman" w:hAnsi="Times New Roman"/>
                <w:bCs/>
                <w:color w:val="000000"/>
                <w:kern w:val="2"/>
                <w:sz w:val="21"/>
                <w:szCs w:val="21"/>
              </w:rPr>
            </w:pPr>
            <w:r>
              <w:rPr>
                <w:rFonts w:ascii="Times New Roman" w:hAnsi="Times New Roman"/>
                <w:color w:val="000000"/>
                <w:kern w:val="2"/>
                <w:szCs w:val="24"/>
              </w:rPr>
              <w:t>施</w:t>
            </w:r>
          </w:p>
        </w:tc>
        <w:tc>
          <w:tcPr>
            <w:tcW w:w="8540" w:type="dxa"/>
            <w:noWrap w:val="0"/>
            <w:vAlign w:val="center"/>
          </w:tcPr>
          <w:p w14:paraId="29774B7B">
            <w:pPr>
              <w:adjustRightInd w:val="0"/>
              <w:snapToGrid w:val="0"/>
              <w:spacing w:line="360" w:lineRule="auto"/>
              <w:ind w:firstLine="480" w:firstLineChars="200"/>
              <w:rPr>
                <w:rFonts w:hint="eastAsia"/>
                <w:color w:val="000000"/>
                <w:sz w:val="24"/>
              </w:rPr>
            </w:pPr>
            <w:r>
              <w:rPr>
                <w:rFonts w:hint="eastAsia"/>
                <w:bCs/>
                <w:color w:val="000000"/>
                <w:sz w:val="24"/>
              </w:rPr>
              <w:t>项目厂房为租赁厂房，目前项目区大部分工程已建设完工，施工期大部分工程已经结束，</w:t>
            </w:r>
            <w:r>
              <w:rPr>
                <w:color w:val="000000"/>
                <w:sz w:val="24"/>
              </w:rPr>
              <w:t>目前施工期的主要内容为</w:t>
            </w:r>
            <w:r>
              <w:rPr>
                <w:rFonts w:hint="eastAsia"/>
                <w:color w:val="000000"/>
                <w:sz w:val="24"/>
              </w:rPr>
              <w:t>有机废气环保设施安装、隔油池、一般固废暂存间、危废暂存间的建设。</w:t>
            </w:r>
          </w:p>
          <w:p w14:paraId="09EECA44">
            <w:pPr>
              <w:adjustRightInd w:val="0"/>
              <w:snapToGrid w:val="0"/>
              <w:spacing w:line="360" w:lineRule="auto"/>
              <w:ind w:firstLine="480" w:firstLineChars="200"/>
              <w:rPr>
                <w:color w:val="000000"/>
                <w:sz w:val="24"/>
              </w:rPr>
            </w:pPr>
            <w:r>
              <w:rPr>
                <w:color w:val="000000"/>
                <w:sz w:val="24"/>
              </w:rPr>
              <w:t>施工期环境影响和保护措施如下：</w:t>
            </w:r>
          </w:p>
          <w:p w14:paraId="479C1EE6">
            <w:pPr>
              <w:adjustRightInd w:val="0"/>
              <w:snapToGrid w:val="0"/>
              <w:spacing w:line="360" w:lineRule="auto"/>
              <w:ind w:firstLine="480" w:firstLineChars="200"/>
              <w:rPr>
                <w:color w:val="000000"/>
                <w:sz w:val="24"/>
              </w:rPr>
            </w:pPr>
            <w:r>
              <w:rPr>
                <w:color w:val="000000"/>
                <w:sz w:val="24"/>
              </w:rPr>
              <w:t>（一）施工期废气影响和保护措施</w:t>
            </w:r>
          </w:p>
          <w:p w14:paraId="6055DA9D">
            <w:pPr>
              <w:adjustRightInd w:val="0"/>
              <w:snapToGrid w:val="0"/>
              <w:spacing w:line="360" w:lineRule="auto"/>
              <w:ind w:firstLine="480" w:firstLineChars="200"/>
              <w:rPr>
                <w:rFonts w:hint="eastAsia"/>
                <w:color w:val="000000"/>
                <w:sz w:val="24"/>
              </w:rPr>
            </w:pPr>
            <w:r>
              <w:rPr>
                <w:rFonts w:hint="eastAsia"/>
                <w:color w:val="000000"/>
                <w:sz w:val="24"/>
              </w:rPr>
              <w:t>项目在施工期产生的废气主要施工粉尘、运输车辆和施工机械尾气。采取措施如下：</w:t>
            </w:r>
          </w:p>
          <w:p w14:paraId="4C85E7FF">
            <w:pPr>
              <w:adjustRightInd w:val="0"/>
              <w:snapToGrid w:val="0"/>
              <w:spacing w:line="360" w:lineRule="auto"/>
              <w:ind w:firstLine="480" w:firstLineChars="200"/>
              <w:rPr>
                <w:rFonts w:hint="eastAsia"/>
                <w:color w:val="000000"/>
                <w:sz w:val="24"/>
              </w:rPr>
            </w:pPr>
            <w:r>
              <w:rPr>
                <w:rFonts w:hint="eastAsia"/>
                <w:color w:val="000000"/>
                <w:sz w:val="24"/>
              </w:rPr>
              <w:t>（1）施工场地可采用洒水降尘措施进行除尘。</w:t>
            </w:r>
          </w:p>
          <w:p w14:paraId="543CC0B9">
            <w:pPr>
              <w:adjustRightInd w:val="0"/>
              <w:snapToGrid w:val="0"/>
              <w:spacing w:line="360" w:lineRule="auto"/>
              <w:ind w:firstLine="480" w:firstLineChars="200"/>
              <w:rPr>
                <w:rFonts w:hint="eastAsia"/>
                <w:color w:val="000000"/>
                <w:sz w:val="24"/>
              </w:rPr>
            </w:pPr>
            <w:r>
              <w:rPr>
                <w:rFonts w:hint="eastAsia"/>
                <w:color w:val="000000"/>
                <w:sz w:val="24"/>
              </w:rPr>
              <w:t>（2）施工场地进行清洁打扫，保证场地和道路的清洁。</w:t>
            </w:r>
          </w:p>
          <w:p w14:paraId="41091E44">
            <w:pPr>
              <w:adjustRightInd w:val="0"/>
              <w:snapToGrid w:val="0"/>
              <w:spacing w:line="360" w:lineRule="auto"/>
              <w:ind w:firstLine="480" w:firstLineChars="200"/>
              <w:rPr>
                <w:color w:val="000000"/>
                <w:sz w:val="24"/>
              </w:rPr>
            </w:pPr>
            <w:r>
              <w:rPr>
                <w:rFonts w:hint="eastAsia"/>
                <w:color w:val="000000"/>
                <w:sz w:val="24"/>
              </w:rPr>
              <w:t>（3）运输车辆减速慢行，控制车速。</w:t>
            </w:r>
          </w:p>
          <w:p w14:paraId="1C3F4A20">
            <w:pPr>
              <w:adjustRightInd w:val="0"/>
              <w:snapToGrid w:val="0"/>
              <w:spacing w:line="360" w:lineRule="auto"/>
              <w:ind w:firstLine="480" w:firstLineChars="200"/>
              <w:rPr>
                <w:color w:val="000000"/>
                <w:sz w:val="24"/>
              </w:rPr>
            </w:pPr>
            <w:r>
              <w:rPr>
                <w:color w:val="000000"/>
                <w:sz w:val="24"/>
              </w:rPr>
              <w:t>（二）施工期废水影响和保护措施</w:t>
            </w:r>
          </w:p>
          <w:p w14:paraId="19C2EA44">
            <w:pPr>
              <w:adjustRightInd w:val="0"/>
              <w:snapToGrid w:val="0"/>
              <w:spacing w:line="360" w:lineRule="auto"/>
              <w:ind w:firstLine="480" w:firstLineChars="200"/>
              <w:rPr>
                <w:color w:val="000000"/>
                <w:sz w:val="24"/>
              </w:rPr>
            </w:pPr>
            <w:r>
              <w:rPr>
                <w:color w:val="000000"/>
                <w:sz w:val="24"/>
              </w:rPr>
              <w:t>项目施工</w:t>
            </w:r>
            <w:r>
              <w:rPr>
                <w:rFonts w:hint="eastAsia"/>
                <w:color w:val="000000"/>
                <w:sz w:val="24"/>
              </w:rPr>
              <w:t>废水</w:t>
            </w:r>
            <w:r>
              <w:rPr>
                <w:color w:val="000000"/>
                <w:sz w:val="24"/>
              </w:rPr>
              <w:t>产生量很少，经收集桶收集沉淀处理后用于洒水降尘，不外排，对周围环境影响较小。</w:t>
            </w:r>
          </w:p>
          <w:p w14:paraId="2545C685">
            <w:pPr>
              <w:adjustRightInd w:val="0"/>
              <w:snapToGrid w:val="0"/>
              <w:spacing w:line="360" w:lineRule="auto"/>
              <w:ind w:firstLine="480" w:firstLineChars="200"/>
              <w:rPr>
                <w:color w:val="000000"/>
                <w:sz w:val="24"/>
              </w:rPr>
            </w:pPr>
            <w:r>
              <w:rPr>
                <w:color w:val="000000"/>
                <w:sz w:val="24"/>
              </w:rPr>
              <w:t>（三）施工期噪声影响和保护措施</w:t>
            </w:r>
          </w:p>
          <w:p w14:paraId="409D406E">
            <w:pPr>
              <w:adjustRightInd w:val="0"/>
              <w:snapToGrid w:val="0"/>
              <w:spacing w:line="360" w:lineRule="auto"/>
              <w:ind w:firstLine="480" w:firstLineChars="200"/>
              <w:rPr>
                <w:color w:val="000000"/>
                <w:sz w:val="24"/>
              </w:rPr>
            </w:pPr>
            <w:r>
              <w:rPr>
                <w:color w:val="000000"/>
                <w:sz w:val="24"/>
              </w:rPr>
              <w:t>项目施工噪声主要来源于</w:t>
            </w:r>
            <w:r>
              <w:rPr>
                <w:rFonts w:hint="eastAsia"/>
                <w:color w:val="000000"/>
                <w:sz w:val="24"/>
              </w:rPr>
              <w:t>设备</w:t>
            </w:r>
            <w:r>
              <w:rPr>
                <w:color w:val="000000"/>
                <w:sz w:val="24"/>
              </w:rPr>
              <w:t>的安装和运输车辆，噪声源强一般在85-95dB</w:t>
            </w:r>
            <w:r>
              <w:rPr>
                <w:rFonts w:hint="eastAsia"/>
                <w:color w:val="000000"/>
                <w:sz w:val="24"/>
              </w:rPr>
              <w:t>（</w:t>
            </w:r>
            <w:r>
              <w:rPr>
                <w:color w:val="000000"/>
                <w:sz w:val="24"/>
              </w:rPr>
              <w:t>A</w:t>
            </w:r>
            <w:r>
              <w:rPr>
                <w:rFonts w:hint="eastAsia"/>
                <w:color w:val="000000"/>
                <w:sz w:val="24"/>
              </w:rPr>
              <w:t>）</w:t>
            </w:r>
            <w:r>
              <w:rPr>
                <w:color w:val="000000"/>
                <w:sz w:val="24"/>
              </w:rPr>
              <w:t>之间，其特点为随机性、无组织性，不连续性和不规律性。项目夜间不施工。只要建设单位在施工中加强管理、合理操作，同时合理安排作业时间，施工噪声影响将得以控制；施工噪声对于区域噪声环境质量的影响是短暂的，其噪声影响随着施工期的结束而结束。</w:t>
            </w:r>
          </w:p>
          <w:p w14:paraId="4F9F6DBB">
            <w:pPr>
              <w:adjustRightInd w:val="0"/>
              <w:snapToGrid w:val="0"/>
              <w:spacing w:line="360" w:lineRule="auto"/>
              <w:ind w:firstLine="480" w:firstLineChars="200"/>
              <w:rPr>
                <w:color w:val="000000"/>
                <w:sz w:val="24"/>
              </w:rPr>
            </w:pPr>
            <w:r>
              <w:rPr>
                <w:color w:val="000000"/>
                <w:sz w:val="24"/>
              </w:rPr>
              <w:t>（四）施工期固体废物影响和保护措施</w:t>
            </w:r>
          </w:p>
          <w:p w14:paraId="3BE3C127">
            <w:pPr>
              <w:pStyle w:val="43"/>
              <w:ind w:firstLine="480"/>
              <w:rPr>
                <w:color w:val="000000"/>
              </w:rPr>
            </w:pPr>
            <w:r>
              <w:rPr>
                <w:color w:val="000000"/>
              </w:rPr>
              <w:t>项目施工期间</w:t>
            </w:r>
            <w:r>
              <w:rPr>
                <w:rFonts w:hint="eastAsia"/>
                <w:color w:val="000000"/>
              </w:rPr>
              <w:t>施工人员</w:t>
            </w:r>
            <w:r>
              <w:rPr>
                <w:color w:val="000000"/>
              </w:rPr>
              <w:t>少量生活垃圾统一收集后及时委托环卫部门清运处置，少量设备安装产生的包装垃圾及废金属等作为一般固废</w:t>
            </w:r>
            <w:r>
              <w:rPr>
                <w:rFonts w:hint="eastAsia"/>
                <w:color w:val="000000"/>
              </w:rPr>
              <w:t>外售</w:t>
            </w:r>
            <w:r>
              <w:rPr>
                <w:color w:val="000000"/>
              </w:rPr>
              <w:t>处置。</w:t>
            </w:r>
          </w:p>
        </w:tc>
      </w:tr>
      <w:tr w14:paraId="46BD4D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400" w:type="dxa"/>
            <w:noWrap w:val="0"/>
            <w:tcMar>
              <w:left w:w="28" w:type="dxa"/>
              <w:right w:w="28" w:type="dxa"/>
            </w:tcMar>
            <w:vAlign w:val="center"/>
          </w:tcPr>
          <w:p w14:paraId="08F9737D">
            <w:pPr>
              <w:adjustRightInd w:val="0"/>
              <w:snapToGrid w:val="0"/>
              <w:jc w:val="center"/>
              <w:rPr>
                <w:bCs/>
                <w:color w:val="000000"/>
                <w:sz w:val="24"/>
              </w:rPr>
            </w:pPr>
            <w:r>
              <w:rPr>
                <w:bCs/>
                <w:color w:val="000000"/>
                <w:sz w:val="24"/>
              </w:rPr>
              <w:t>运营</w:t>
            </w:r>
          </w:p>
          <w:p w14:paraId="4137A565">
            <w:pPr>
              <w:adjustRightInd w:val="0"/>
              <w:snapToGrid w:val="0"/>
              <w:jc w:val="center"/>
              <w:rPr>
                <w:bCs/>
                <w:color w:val="000000"/>
                <w:sz w:val="24"/>
              </w:rPr>
            </w:pPr>
            <w:r>
              <w:rPr>
                <w:bCs/>
                <w:color w:val="000000"/>
                <w:sz w:val="24"/>
              </w:rPr>
              <w:t>期环</w:t>
            </w:r>
          </w:p>
          <w:p w14:paraId="49CA2B11">
            <w:pPr>
              <w:adjustRightInd w:val="0"/>
              <w:snapToGrid w:val="0"/>
              <w:jc w:val="center"/>
              <w:rPr>
                <w:bCs/>
                <w:color w:val="000000"/>
                <w:sz w:val="24"/>
              </w:rPr>
            </w:pPr>
            <w:r>
              <w:rPr>
                <w:bCs/>
                <w:color w:val="000000"/>
                <w:sz w:val="24"/>
              </w:rPr>
              <w:t>境影</w:t>
            </w:r>
          </w:p>
          <w:p w14:paraId="6FD69816">
            <w:pPr>
              <w:adjustRightInd w:val="0"/>
              <w:snapToGrid w:val="0"/>
              <w:jc w:val="center"/>
              <w:rPr>
                <w:bCs/>
                <w:color w:val="000000"/>
                <w:sz w:val="24"/>
              </w:rPr>
            </w:pPr>
            <w:r>
              <w:rPr>
                <w:bCs/>
                <w:color w:val="000000"/>
                <w:sz w:val="24"/>
              </w:rPr>
              <w:t>响和</w:t>
            </w:r>
          </w:p>
          <w:p w14:paraId="1A2C6EBD">
            <w:pPr>
              <w:adjustRightInd w:val="0"/>
              <w:snapToGrid w:val="0"/>
              <w:jc w:val="center"/>
              <w:rPr>
                <w:bCs/>
                <w:color w:val="000000"/>
                <w:sz w:val="24"/>
              </w:rPr>
            </w:pPr>
            <w:r>
              <w:rPr>
                <w:bCs/>
                <w:color w:val="000000"/>
                <w:sz w:val="24"/>
              </w:rPr>
              <w:t>保护</w:t>
            </w:r>
          </w:p>
          <w:p w14:paraId="1DD7FF18">
            <w:pPr>
              <w:adjustRightInd w:val="0"/>
              <w:snapToGrid w:val="0"/>
              <w:jc w:val="center"/>
              <w:rPr>
                <w:bCs/>
                <w:color w:val="000000"/>
                <w:szCs w:val="21"/>
              </w:rPr>
            </w:pPr>
            <w:r>
              <w:rPr>
                <w:bCs/>
                <w:color w:val="000000"/>
                <w:sz w:val="24"/>
              </w:rPr>
              <w:t>措施</w:t>
            </w:r>
          </w:p>
        </w:tc>
        <w:tc>
          <w:tcPr>
            <w:tcW w:w="8540" w:type="dxa"/>
            <w:noWrap w:val="0"/>
            <w:vAlign w:val="center"/>
          </w:tcPr>
          <w:p w14:paraId="75D48121">
            <w:pPr>
              <w:spacing w:line="360" w:lineRule="auto"/>
              <w:ind w:firstLine="562" w:firstLineChars="200"/>
              <w:rPr>
                <w:b/>
                <w:bCs/>
                <w:color w:val="000000"/>
                <w:sz w:val="28"/>
                <w:szCs w:val="28"/>
              </w:rPr>
            </w:pPr>
            <w:r>
              <w:rPr>
                <w:b/>
                <w:bCs/>
                <w:color w:val="000000"/>
                <w:sz w:val="28"/>
                <w:szCs w:val="28"/>
              </w:rPr>
              <w:t>一、废气</w:t>
            </w:r>
            <w:r>
              <w:rPr>
                <w:b/>
                <w:color w:val="000000"/>
                <w:sz w:val="28"/>
                <w:szCs w:val="28"/>
              </w:rPr>
              <w:t>影响分析</w:t>
            </w:r>
            <w:r>
              <w:rPr>
                <w:b/>
                <w:bCs/>
                <w:color w:val="000000"/>
                <w:sz w:val="28"/>
                <w:szCs w:val="28"/>
              </w:rPr>
              <w:t>及保护措施</w:t>
            </w:r>
          </w:p>
          <w:p w14:paraId="199D0706">
            <w:pPr>
              <w:autoSpaceDE w:val="0"/>
              <w:autoSpaceDN w:val="0"/>
              <w:adjustRightInd w:val="0"/>
              <w:snapToGrid w:val="0"/>
              <w:spacing w:line="360" w:lineRule="auto"/>
              <w:ind w:firstLine="482" w:firstLineChars="200"/>
              <w:rPr>
                <w:rFonts w:hint="eastAsia"/>
                <w:b/>
                <w:bCs/>
                <w:color w:val="000000"/>
                <w:sz w:val="24"/>
              </w:rPr>
            </w:pPr>
            <w:r>
              <w:rPr>
                <w:rFonts w:hint="eastAsia"/>
                <w:b/>
                <w:bCs/>
                <w:color w:val="000000"/>
                <w:sz w:val="24"/>
              </w:rPr>
              <w:t>1、污染源强核算</w:t>
            </w:r>
          </w:p>
          <w:p w14:paraId="6B99AB9B">
            <w:pPr>
              <w:tabs>
                <w:tab w:val="left" w:pos="1425"/>
              </w:tabs>
              <w:spacing w:line="360" w:lineRule="auto"/>
              <w:ind w:firstLine="480" w:firstLineChars="200"/>
              <w:rPr>
                <w:color w:val="000000"/>
                <w:sz w:val="24"/>
                <w:szCs w:val="21"/>
              </w:rPr>
            </w:pPr>
            <w:r>
              <w:rPr>
                <w:rFonts w:hint="eastAsia"/>
                <w:color w:val="000000"/>
                <w:sz w:val="24"/>
              </w:rPr>
              <w:t>根据工程分析，</w:t>
            </w:r>
            <w:r>
              <w:rPr>
                <w:color w:val="000000"/>
                <w:sz w:val="24"/>
                <w:szCs w:val="21"/>
              </w:rPr>
              <w:t>本项目运营期废气主要是</w:t>
            </w:r>
            <w:r>
              <w:rPr>
                <w:rFonts w:hint="eastAsia"/>
                <w:color w:val="000000"/>
                <w:sz w:val="24"/>
              </w:rPr>
              <w:t>染色法工序中的脱色和染色、除湿环节中</w:t>
            </w:r>
            <w:r>
              <w:rPr>
                <w:color w:val="000000"/>
                <w:sz w:val="24"/>
                <w:szCs w:val="21"/>
              </w:rPr>
              <w:t>中产生的</w:t>
            </w:r>
            <w:r>
              <w:rPr>
                <w:rFonts w:hint="eastAsia"/>
                <w:color w:val="000000"/>
                <w:sz w:val="24"/>
                <w:szCs w:val="21"/>
              </w:rPr>
              <w:t>有机废气甲醇</w:t>
            </w:r>
            <w:r>
              <w:rPr>
                <w:color w:val="000000"/>
                <w:sz w:val="24"/>
                <w:szCs w:val="21"/>
              </w:rPr>
              <w:t>；</w:t>
            </w:r>
            <w:r>
              <w:rPr>
                <w:rFonts w:hint="eastAsia"/>
                <w:color w:val="000000"/>
                <w:sz w:val="24"/>
                <w:szCs w:val="21"/>
              </w:rPr>
              <w:t>食堂油烟；污水处理站异味、</w:t>
            </w:r>
            <w:r>
              <w:rPr>
                <w:rFonts w:hint="eastAsia"/>
                <w:bCs/>
                <w:color w:val="000000"/>
                <w:sz w:val="24"/>
              </w:rPr>
              <w:t>化粪池异味、生活垃圾异味。</w:t>
            </w:r>
          </w:p>
          <w:p w14:paraId="52DDBC9A">
            <w:pPr>
              <w:autoSpaceDE w:val="0"/>
              <w:autoSpaceDN w:val="0"/>
              <w:adjustRightInd w:val="0"/>
              <w:snapToGrid w:val="0"/>
              <w:spacing w:line="360" w:lineRule="auto"/>
              <w:ind w:firstLine="480" w:firstLineChars="200"/>
              <w:rPr>
                <w:color w:val="000000"/>
                <w:sz w:val="24"/>
              </w:rPr>
            </w:pPr>
            <w:r>
              <w:rPr>
                <w:rFonts w:hint="eastAsia"/>
                <w:color w:val="000000"/>
                <w:sz w:val="24"/>
              </w:rPr>
              <w:t>（1）生产废气</w:t>
            </w:r>
          </w:p>
          <w:p w14:paraId="4E9912F5">
            <w:pPr>
              <w:pStyle w:val="19"/>
              <w:tabs>
                <w:tab w:val="left" w:pos="420"/>
                <w:tab w:val="left" w:pos="870"/>
                <w:tab w:val="left" w:pos="3150"/>
              </w:tabs>
              <w:spacing w:line="360" w:lineRule="auto"/>
              <w:ind w:firstLine="480"/>
              <w:rPr>
                <w:color w:val="000000"/>
                <w:sz w:val="24"/>
              </w:rPr>
            </w:pPr>
            <w:r>
              <w:rPr>
                <w:rFonts w:hint="eastAsia"/>
                <w:color w:val="000000"/>
                <w:sz w:val="24"/>
              </w:rPr>
              <w:t>1）有组织废气</w:t>
            </w:r>
          </w:p>
          <w:p w14:paraId="0AA86DD9">
            <w:pPr>
              <w:pStyle w:val="19"/>
              <w:tabs>
                <w:tab w:val="left" w:pos="420"/>
                <w:tab w:val="left" w:pos="870"/>
                <w:tab w:val="left" w:pos="3150"/>
              </w:tabs>
              <w:spacing w:line="360" w:lineRule="auto"/>
              <w:ind w:firstLine="480"/>
              <w:rPr>
                <w:color w:val="000000"/>
                <w:sz w:val="24"/>
              </w:rPr>
            </w:pPr>
            <w:r>
              <w:rPr>
                <w:rFonts w:hint="eastAsia"/>
                <w:color w:val="000000"/>
                <w:sz w:val="24"/>
              </w:rPr>
              <w:t>有组织废气主要来源于除湿间风干过程，除湿间为封闭结构，该过程挥发的甲醇废气经1台风量为</w:t>
            </w:r>
            <w:r>
              <w:rPr>
                <w:color w:val="000000"/>
                <w:sz w:val="24"/>
              </w:rPr>
              <w:t>6</w:t>
            </w:r>
            <w:r>
              <w:rPr>
                <w:rFonts w:hint="eastAsia"/>
                <w:color w:val="000000"/>
                <w:sz w:val="24"/>
              </w:rPr>
              <w:t>000m</w:t>
            </w:r>
            <w:r>
              <w:rPr>
                <w:rFonts w:hint="eastAsia"/>
                <w:color w:val="000000"/>
                <w:sz w:val="24"/>
                <w:vertAlign w:val="superscript"/>
              </w:rPr>
              <w:t>3</w:t>
            </w:r>
            <w:r>
              <w:rPr>
                <w:rFonts w:hint="eastAsia"/>
                <w:color w:val="000000"/>
                <w:sz w:val="24"/>
              </w:rPr>
              <w:t>/h的风机产生循环风，配套设置</w:t>
            </w:r>
            <w:r>
              <w:rPr>
                <w:color w:val="000000"/>
                <w:sz w:val="24"/>
              </w:rPr>
              <w:t>1套三级活性炭吸附装置进行处理后经</w:t>
            </w:r>
            <w:r>
              <w:rPr>
                <w:rFonts w:hint="eastAsia"/>
                <w:color w:val="000000"/>
                <w:sz w:val="24"/>
              </w:rPr>
              <w:t>1根15m高的排气筒排放。该过程甲醇废气产生量按下式计算：</w:t>
            </w:r>
          </w:p>
          <w:p w14:paraId="0969F7A2">
            <w:pPr>
              <w:pStyle w:val="19"/>
              <w:tabs>
                <w:tab w:val="left" w:pos="420"/>
                <w:tab w:val="left" w:pos="870"/>
                <w:tab w:val="left" w:pos="3150"/>
              </w:tabs>
              <w:spacing w:line="360" w:lineRule="auto"/>
              <w:ind w:left="1140" w:leftChars="200" w:hanging="720" w:hangingChars="300"/>
              <w:rPr>
                <w:color w:val="000000"/>
                <w:sz w:val="24"/>
              </w:rPr>
            </w:pPr>
            <w:r>
              <w:rPr>
                <w:rFonts w:hint="eastAsia"/>
                <w:color w:val="000000"/>
                <w:sz w:val="24"/>
              </w:rPr>
              <w:t>项目对鲜花采用甲醇等溶剂进行脱色、染色处理，永生花的产量约为10t/a，</w:t>
            </w:r>
          </w:p>
          <w:p w14:paraId="7775671D">
            <w:pPr>
              <w:pStyle w:val="19"/>
              <w:tabs>
                <w:tab w:val="left" w:pos="420"/>
                <w:tab w:val="left" w:pos="870"/>
                <w:tab w:val="left" w:pos="3150"/>
              </w:tabs>
              <w:spacing w:line="360" w:lineRule="auto"/>
              <w:ind w:firstLine="0" w:firstLineChars="0"/>
              <w:rPr>
                <w:color w:val="000000"/>
                <w:sz w:val="24"/>
              </w:rPr>
            </w:pPr>
            <w:r>
              <w:rPr>
                <w:rFonts w:hint="eastAsia"/>
                <w:color w:val="000000"/>
                <w:sz w:val="24"/>
              </w:rPr>
              <w:t>经脱色、染色后，附着在鲜花上的甲醇量约为鲜花重量的</w:t>
            </w:r>
            <w:r>
              <w:rPr>
                <w:color w:val="000000"/>
                <w:sz w:val="24"/>
              </w:rPr>
              <w:t>10</w:t>
            </w:r>
            <w:r>
              <w:rPr>
                <w:rFonts w:hint="eastAsia"/>
                <w:color w:val="000000"/>
                <w:sz w:val="24"/>
              </w:rPr>
              <w:t>%，即附着的甲醇量为1t/a，考虑甲醇为极易挥发属性，考虑附着的甲醇全部挥发，则甲醇挥发量为：</w:t>
            </w:r>
            <w:r>
              <w:rPr>
                <w:color w:val="000000"/>
                <w:sz w:val="24"/>
              </w:rPr>
              <w:t>1.56kg/h，1.0t/a。由于除湿间为密闭状态，考虑全部收集，收集后的废气经三</w:t>
            </w:r>
            <w:r>
              <w:rPr>
                <w:rFonts w:hint="eastAsia"/>
                <w:color w:val="000000"/>
                <w:sz w:val="24"/>
              </w:rPr>
              <w:t>级活性炭装置</w:t>
            </w:r>
            <w:r>
              <w:rPr>
                <w:color w:val="000000"/>
                <w:sz w:val="24"/>
              </w:rPr>
              <w:t>处理，根据《</w:t>
            </w:r>
            <w:r>
              <w:rPr>
                <w:rFonts w:hint="eastAsia"/>
                <w:color w:val="000000"/>
                <w:sz w:val="24"/>
              </w:rPr>
              <w:t>排放源统计调查产排污核算方法和系数手册</w:t>
            </w:r>
            <w:r>
              <w:rPr>
                <w:color w:val="000000"/>
                <w:sz w:val="24"/>
              </w:rPr>
              <w:t>》，活性炭吸附装置对于有机废气的</w:t>
            </w:r>
            <w:r>
              <w:rPr>
                <w:rFonts w:hint="eastAsia"/>
                <w:color w:val="000000"/>
                <w:sz w:val="24"/>
              </w:rPr>
              <w:t>处理效率</w:t>
            </w:r>
            <w:r>
              <w:rPr>
                <w:color w:val="000000"/>
                <w:sz w:val="24"/>
              </w:rPr>
              <w:t>为24%，本项目采取的三级活性炭吸附装置处理效率为56</w:t>
            </w:r>
            <w:r>
              <w:rPr>
                <w:rFonts w:hint="eastAsia"/>
                <w:color w:val="000000"/>
                <w:sz w:val="24"/>
              </w:rPr>
              <w:t>%，</w:t>
            </w:r>
            <w:r>
              <w:rPr>
                <w:color w:val="000000"/>
                <w:sz w:val="24"/>
              </w:rPr>
              <w:t>则</w:t>
            </w:r>
            <w:r>
              <w:rPr>
                <w:rFonts w:hint="eastAsia"/>
                <w:color w:val="000000"/>
                <w:sz w:val="24"/>
              </w:rPr>
              <w:t>甲醇</w:t>
            </w:r>
            <w:r>
              <w:rPr>
                <w:color w:val="000000"/>
                <w:sz w:val="24"/>
              </w:rPr>
              <w:t>排放量为0.44t/a，排放速率为0.686kg/h，排放浓度114.33mg/m</w:t>
            </w:r>
            <w:r>
              <w:rPr>
                <w:color w:val="000000"/>
                <w:sz w:val="24"/>
                <w:vertAlign w:val="superscript"/>
              </w:rPr>
              <w:t>3</w:t>
            </w:r>
            <w:r>
              <w:rPr>
                <w:color w:val="000000"/>
                <w:sz w:val="24"/>
              </w:rPr>
              <w:t>。</w:t>
            </w:r>
          </w:p>
          <w:p w14:paraId="132203E5">
            <w:pPr>
              <w:pStyle w:val="19"/>
              <w:tabs>
                <w:tab w:val="left" w:pos="420"/>
                <w:tab w:val="left" w:pos="870"/>
                <w:tab w:val="left" w:pos="3150"/>
              </w:tabs>
              <w:spacing w:line="360" w:lineRule="auto"/>
              <w:ind w:firstLine="480"/>
              <w:rPr>
                <w:color w:val="000000"/>
                <w:sz w:val="24"/>
              </w:rPr>
            </w:pPr>
            <w:r>
              <w:rPr>
                <w:rFonts w:hint="eastAsia"/>
                <w:color w:val="000000"/>
                <w:sz w:val="24"/>
              </w:rPr>
              <w:t>2）无组织废气</w:t>
            </w:r>
          </w:p>
          <w:p w14:paraId="7A7286A3">
            <w:pPr>
              <w:pStyle w:val="19"/>
              <w:tabs>
                <w:tab w:val="left" w:pos="420"/>
                <w:tab w:val="left" w:pos="870"/>
                <w:tab w:val="left" w:pos="3150"/>
              </w:tabs>
              <w:spacing w:line="360" w:lineRule="auto"/>
              <w:ind w:firstLine="480"/>
              <w:rPr>
                <w:color w:val="000000"/>
                <w:sz w:val="24"/>
              </w:rPr>
            </w:pPr>
            <w:r>
              <w:rPr>
                <w:rFonts w:hint="eastAsia"/>
                <w:color w:val="000000"/>
                <w:sz w:val="24"/>
              </w:rPr>
              <w:t>项目配制染色、脱色溶液中的甲醇为挥发性有机物，配置好的溶液甲醇浓度为33%，项目脱色染色工序在半密闭式厂房内的脱色、染色桶内进行，桶的规格为0.78m</w:t>
            </w:r>
            <w:r>
              <w:rPr>
                <w:color w:val="000000"/>
                <w:sz w:val="24"/>
              </w:rPr>
              <w:t>×</w:t>
            </w:r>
            <w:r>
              <w:rPr>
                <w:rFonts w:hint="eastAsia"/>
                <w:color w:val="000000"/>
                <w:sz w:val="24"/>
              </w:rPr>
              <w:t>0.54m</w:t>
            </w:r>
            <w:r>
              <w:rPr>
                <w:color w:val="000000"/>
                <w:sz w:val="24"/>
              </w:rPr>
              <w:t>×</w:t>
            </w:r>
            <w:r>
              <w:rPr>
                <w:rFonts w:hint="eastAsia"/>
                <w:color w:val="000000"/>
                <w:sz w:val="24"/>
              </w:rPr>
              <w:t>0.59m，且为封闭式，无敞露，仅在鲜花放入、取出过程敞开，全年敞开时间约为</w:t>
            </w:r>
            <w:r>
              <w:rPr>
                <w:color w:val="000000"/>
                <w:sz w:val="24"/>
              </w:rPr>
              <w:t>20</w:t>
            </w:r>
            <w:r>
              <w:rPr>
                <w:rFonts w:hint="eastAsia"/>
                <w:color w:val="000000"/>
                <w:sz w:val="24"/>
              </w:rPr>
              <w:t>分钟。脱色、染色工序甲醇挥发量按下式计算：</w:t>
            </w:r>
          </w:p>
          <w:p w14:paraId="472B0F5E">
            <w:pPr>
              <w:pStyle w:val="19"/>
              <w:spacing w:line="500" w:lineRule="exact"/>
              <w:rPr>
                <w:rFonts w:hint="eastAsia"/>
                <w:color w:val="000000"/>
              </w:rPr>
            </w:pPr>
            <w:r>
              <w:rPr>
                <w:rFonts w:hint="eastAsia"/>
                <w:color w:val="000000"/>
              </w:rPr>
              <w:t xml:space="preserve">  根据《大气环境工程师实用手册》（王玉琳主编），计算公式：</w:t>
            </w:r>
          </w:p>
          <w:p w14:paraId="397C7161">
            <w:pPr>
              <w:pStyle w:val="19"/>
              <w:spacing w:line="500" w:lineRule="exact"/>
              <w:rPr>
                <w:rFonts w:hint="eastAsia"/>
                <w:color w:val="000000"/>
              </w:rPr>
            </w:pPr>
            <w:r>
              <w:rPr>
                <w:rFonts w:hint="eastAsia"/>
                <w:color w:val="000000"/>
              </w:rPr>
              <w:t>G=M（0.000352+0.000786V）P×F</w:t>
            </w:r>
          </w:p>
          <w:p w14:paraId="630E9567">
            <w:pPr>
              <w:pStyle w:val="19"/>
              <w:spacing w:line="500" w:lineRule="exact"/>
              <w:rPr>
                <w:rFonts w:hint="eastAsia"/>
                <w:color w:val="000000"/>
              </w:rPr>
            </w:pPr>
            <w:r>
              <w:rPr>
                <w:rFonts w:hint="eastAsia"/>
                <w:color w:val="000000"/>
              </w:rPr>
              <w:t>其中：G—液体的蒸发量，kg/h。</w:t>
            </w:r>
          </w:p>
          <w:p w14:paraId="6C120C80">
            <w:pPr>
              <w:pStyle w:val="19"/>
              <w:spacing w:line="500" w:lineRule="exact"/>
              <w:ind w:firstLine="1050" w:firstLineChars="500"/>
              <w:rPr>
                <w:rFonts w:hint="eastAsia"/>
                <w:color w:val="000000"/>
              </w:rPr>
            </w:pPr>
            <w:r>
              <w:rPr>
                <w:rFonts w:hint="eastAsia"/>
                <w:color w:val="000000"/>
              </w:rPr>
              <w:t>M—液体的分子量，</w:t>
            </w:r>
            <w:r>
              <w:rPr>
                <w:color w:val="000000"/>
              </w:rPr>
              <w:t>32</w:t>
            </w:r>
            <w:r>
              <w:rPr>
                <w:rFonts w:hint="eastAsia"/>
                <w:color w:val="000000"/>
              </w:rPr>
              <w:t>g/mol。</w:t>
            </w:r>
          </w:p>
          <w:p w14:paraId="5408B21E">
            <w:pPr>
              <w:pStyle w:val="19"/>
              <w:spacing w:line="500" w:lineRule="exact"/>
              <w:ind w:firstLine="1050" w:firstLineChars="500"/>
              <w:rPr>
                <w:rFonts w:hint="eastAsia"/>
                <w:color w:val="000000"/>
              </w:rPr>
            </w:pPr>
            <w:r>
              <w:rPr>
                <w:rFonts w:hint="eastAsia"/>
                <w:color w:val="000000"/>
              </w:rPr>
              <w:t>V—蒸发液体表面上的空气流速，取值0.</w:t>
            </w:r>
            <w:r>
              <w:rPr>
                <w:color w:val="000000"/>
              </w:rPr>
              <w:t>5</w:t>
            </w:r>
            <w:r>
              <w:rPr>
                <w:rFonts w:hint="eastAsia"/>
                <w:color w:val="000000"/>
              </w:rPr>
              <w:t>m/s。</w:t>
            </w:r>
          </w:p>
          <w:p w14:paraId="3A374436">
            <w:pPr>
              <w:pStyle w:val="19"/>
              <w:spacing w:line="500" w:lineRule="exact"/>
              <w:ind w:firstLine="1050" w:firstLineChars="500"/>
              <w:rPr>
                <w:rFonts w:hint="eastAsia"/>
                <w:color w:val="000000"/>
              </w:rPr>
            </w:pPr>
            <w:r>
              <w:rPr>
                <w:rFonts w:hint="eastAsia"/>
                <w:color w:val="000000"/>
              </w:rPr>
              <w:t>P—相应液体温度下的空气中蒸汽分压，mmHg。当液体重量浓度高于10%时，可查手册。本次取值</w:t>
            </w:r>
            <w:r>
              <w:rPr>
                <w:color w:val="000000"/>
              </w:rPr>
              <w:t>92.48mmHg</w:t>
            </w:r>
            <w:r>
              <w:rPr>
                <w:rFonts w:hint="eastAsia"/>
                <w:color w:val="000000"/>
              </w:rPr>
              <w:t>。</w:t>
            </w:r>
          </w:p>
          <w:p w14:paraId="70395000">
            <w:pPr>
              <w:pStyle w:val="19"/>
              <w:spacing w:line="500" w:lineRule="exact"/>
              <w:rPr>
                <w:color w:val="000000"/>
              </w:rPr>
            </w:pPr>
            <w:r>
              <w:rPr>
                <w:rFonts w:hint="eastAsia"/>
                <w:color w:val="000000"/>
              </w:rPr>
              <w:t>F—液体蒸发面的表面积，m</w:t>
            </w:r>
            <w:r>
              <w:rPr>
                <w:rFonts w:hint="eastAsia"/>
                <w:color w:val="000000"/>
                <w:vertAlign w:val="superscript"/>
              </w:rPr>
              <w:t>2</w:t>
            </w:r>
            <w:r>
              <w:rPr>
                <w:rFonts w:hint="eastAsia"/>
                <w:color w:val="000000"/>
              </w:rPr>
              <w:t>，本次取值</w:t>
            </w:r>
            <w:r>
              <w:rPr>
                <w:color w:val="000000"/>
              </w:rPr>
              <w:t>2000</w:t>
            </w:r>
            <w:r>
              <w:rPr>
                <w:rFonts w:hint="eastAsia"/>
                <w:color w:val="000000"/>
              </w:rPr>
              <w:t>m</w:t>
            </w:r>
            <w:r>
              <w:rPr>
                <w:rFonts w:hint="eastAsia"/>
                <w:color w:val="000000"/>
                <w:vertAlign w:val="superscript"/>
              </w:rPr>
              <w:t>2</w:t>
            </w:r>
            <w:r>
              <w:rPr>
                <w:rFonts w:hint="eastAsia"/>
                <w:color w:val="000000"/>
              </w:rPr>
              <w:t>。</w:t>
            </w:r>
          </w:p>
          <w:p w14:paraId="2F2C695C">
            <w:pPr>
              <w:rPr>
                <w:rFonts w:hint="eastAsia"/>
                <w:color w:val="000000"/>
              </w:rPr>
            </w:pPr>
          </w:p>
          <w:p w14:paraId="10F79F47">
            <w:pPr>
              <w:snapToGrid w:val="0"/>
              <w:spacing w:line="360" w:lineRule="auto"/>
              <w:ind w:firstLine="482"/>
              <w:rPr>
                <w:rFonts w:hint="eastAsia"/>
                <w:color w:val="000000"/>
                <w:sz w:val="24"/>
              </w:rPr>
            </w:pPr>
            <w:r>
              <w:rPr>
                <w:rFonts w:hint="eastAsia"/>
                <w:color w:val="000000"/>
                <w:sz w:val="24"/>
              </w:rPr>
              <w:t>经计算，无组织挥发的甲醇量为</w:t>
            </w:r>
            <w:r>
              <w:rPr>
                <w:color w:val="000000"/>
                <w:sz w:val="24"/>
              </w:rPr>
              <w:t>22.95</w:t>
            </w:r>
            <w:r>
              <w:rPr>
                <w:rFonts w:hint="eastAsia"/>
                <w:color w:val="000000"/>
                <w:sz w:val="24"/>
              </w:rPr>
              <w:t>kg</w:t>
            </w:r>
            <w:r>
              <w:rPr>
                <w:color w:val="000000"/>
                <w:sz w:val="24"/>
              </w:rPr>
              <w:t>/</w:t>
            </w:r>
            <w:r>
              <w:rPr>
                <w:rFonts w:hint="eastAsia"/>
                <w:color w:val="000000"/>
                <w:sz w:val="24"/>
              </w:rPr>
              <w:t>h，年挥发时间为</w:t>
            </w:r>
            <w:r>
              <w:rPr>
                <w:color w:val="000000"/>
                <w:sz w:val="24"/>
              </w:rPr>
              <w:t>2h</w:t>
            </w:r>
            <w:r>
              <w:rPr>
                <w:rFonts w:hint="eastAsia"/>
                <w:color w:val="000000"/>
                <w:sz w:val="24"/>
              </w:rPr>
              <w:t>/a，挥发量为</w:t>
            </w:r>
            <w:r>
              <w:rPr>
                <w:color w:val="000000"/>
                <w:sz w:val="24"/>
              </w:rPr>
              <w:t>0.046t</w:t>
            </w:r>
            <w:r>
              <w:rPr>
                <w:rFonts w:hint="eastAsia"/>
                <w:color w:val="000000"/>
                <w:sz w:val="24"/>
              </w:rPr>
              <w:t>/a。</w:t>
            </w:r>
          </w:p>
          <w:p w14:paraId="035928E9">
            <w:pPr>
              <w:tabs>
                <w:tab w:val="left" w:pos="1425"/>
              </w:tabs>
              <w:spacing w:line="360" w:lineRule="auto"/>
              <w:ind w:firstLine="480" w:firstLineChars="200"/>
              <w:rPr>
                <w:color w:val="000000"/>
                <w:sz w:val="24"/>
                <w:szCs w:val="21"/>
              </w:rPr>
            </w:pPr>
            <w:r>
              <w:rPr>
                <w:rFonts w:hint="eastAsia"/>
                <w:color w:val="000000"/>
                <w:sz w:val="24"/>
                <w:szCs w:val="21"/>
              </w:rPr>
              <w:t>3）</w:t>
            </w:r>
            <w:r>
              <w:rPr>
                <w:color w:val="000000"/>
                <w:sz w:val="24"/>
                <w:szCs w:val="21"/>
              </w:rPr>
              <w:t>非正常排放情况</w:t>
            </w:r>
          </w:p>
          <w:p w14:paraId="0DA0AA32">
            <w:pPr>
              <w:tabs>
                <w:tab w:val="left" w:pos="1425"/>
              </w:tabs>
              <w:spacing w:line="360" w:lineRule="auto"/>
              <w:ind w:firstLine="480" w:firstLineChars="200"/>
              <w:rPr>
                <w:rFonts w:hint="eastAsia"/>
                <w:color w:val="000000"/>
                <w:sz w:val="24"/>
              </w:rPr>
            </w:pPr>
            <w:r>
              <w:rPr>
                <w:rFonts w:hint="eastAsia"/>
                <w:color w:val="000000"/>
                <w:sz w:val="24"/>
              </w:rPr>
              <w:t>非正常排放主要考虑废气治理设备故障等情况，</w:t>
            </w:r>
            <w:r>
              <w:rPr>
                <w:color w:val="000000"/>
                <w:sz w:val="24"/>
              </w:rPr>
              <w:t>此种情况下，</w:t>
            </w:r>
            <w:r>
              <w:rPr>
                <w:rFonts w:hint="eastAsia"/>
                <w:color w:val="000000"/>
                <w:sz w:val="24"/>
              </w:rPr>
              <w:t>假设废气处理装置</w:t>
            </w:r>
            <w:r>
              <w:rPr>
                <w:rFonts w:ascii="宋体" w:hAnsi="宋体"/>
                <w:color w:val="000000"/>
                <w:sz w:val="24"/>
              </w:rPr>
              <w:t>“</w:t>
            </w:r>
            <w:r>
              <w:rPr>
                <w:rFonts w:hint="eastAsia" w:ascii="宋体" w:hAnsi="宋体"/>
                <w:color w:val="000000"/>
                <w:sz w:val="24"/>
              </w:rPr>
              <w:t>活性炭吸附</w:t>
            </w:r>
            <w:r>
              <w:rPr>
                <w:rFonts w:ascii="宋体" w:hAnsi="宋体"/>
                <w:color w:val="000000"/>
                <w:sz w:val="24"/>
              </w:rPr>
              <w:t>”</w:t>
            </w:r>
            <w:r>
              <w:rPr>
                <w:color w:val="000000"/>
                <w:sz w:val="24"/>
              </w:rPr>
              <w:t>装置处理效率</w:t>
            </w:r>
            <w:r>
              <w:rPr>
                <w:rFonts w:hint="eastAsia"/>
                <w:color w:val="000000"/>
                <w:sz w:val="24"/>
              </w:rPr>
              <w:t>0%的情况，</w:t>
            </w:r>
            <w:r>
              <w:rPr>
                <w:color w:val="000000"/>
                <w:sz w:val="24"/>
                <w:szCs w:val="21"/>
              </w:rPr>
              <w:t>排放</w:t>
            </w:r>
            <w:r>
              <w:rPr>
                <w:rFonts w:hint="eastAsia"/>
                <w:color w:val="000000"/>
                <w:sz w:val="24"/>
                <w:szCs w:val="21"/>
              </w:rPr>
              <w:t>甲醇</w:t>
            </w:r>
            <w:r>
              <w:rPr>
                <w:color w:val="000000"/>
                <w:sz w:val="24"/>
                <w:szCs w:val="21"/>
              </w:rPr>
              <w:t>量为1.0t/a，</w:t>
            </w:r>
            <w:r>
              <w:rPr>
                <w:rFonts w:hint="eastAsia"/>
                <w:color w:val="000000"/>
                <w:sz w:val="24"/>
              </w:rPr>
              <w:t>排放速率为</w:t>
            </w:r>
            <w:r>
              <w:rPr>
                <w:color w:val="000000"/>
                <w:sz w:val="24"/>
              </w:rPr>
              <w:t>1</w:t>
            </w:r>
            <w:r>
              <w:rPr>
                <w:rFonts w:hint="eastAsia"/>
                <w:color w:val="000000"/>
                <w:sz w:val="24"/>
              </w:rPr>
              <w:t>.56kg/h。</w:t>
            </w:r>
          </w:p>
          <w:p w14:paraId="2BF69F9C">
            <w:pPr>
              <w:tabs>
                <w:tab w:val="left" w:pos="1425"/>
              </w:tabs>
              <w:spacing w:line="360" w:lineRule="auto"/>
              <w:ind w:firstLine="480" w:firstLineChars="200"/>
              <w:rPr>
                <w:rFonts w:hint="eastAsia"/>
                <w:color w:val="000000"/>
                <w:sz w:val="24"/>
                <w:szCs w:val="21"/>
              </w:rPr>
            </w:pPr>
            <w:r>
              <w:rPr>
                <w:rFonts w:hint="eastAsia"/>
                <w:color w:val="000000"/>
                <w:sz w:val="24"/>
                <w:szCs w:val="21"/>
              </w:rPr>
              <w:t>（2）食堂油烟</w:t>
            </w:r>
          </w:p>
          <w:p w14:paraId="607EB97A">
            <w:pPr>
              <w:tabs>
                <w:tab w:val="left" w:pos="1425"/>
              </w:tabs>
              <w:spacing w:line="360" w:lineRule="auto"/>
              <w:ind w:firstLine="480" w:firstLineChars="200"/>
              <w:rPr>
                <w:color w:val="000000"/>
                <w:sz w:val="24"/>
                <w:szCs w:val="21"/>
              </w:rPr>
            </w:pPr>
            <w:r>
              <w:rPr>
                <w:rFonts w:hint="eastAsia"/>
                <w:color w:val="000000"/>
                <w:sz w:val="24"/>
                <w:szCs w:val="21"/>
              </w:rPr>
              <w:t>本项目年生产天数为300天，项目2</w:t>
            </w:r>
            <w:r>
              <w:rPr>
                <w:color w:val="000000"/>
                <w:sz w:val="24"/>
                <w:szCs w:val="21"/>
              </w:rPr>
              <w:t>0</w:t>
            </w:r>
            <w:r>
              <w:rPr>
                <w:rFonts w:hint="eastAsia"/>
                <w:color w:val="000000"/>
                <w:sz w:val="24"/>
                <w:szCs w:val="21"/>
              </w:rPr>
              <w:t>名员工在食堂内就餐。每天提供2餐，厨房使用电及天然气作为燃料，为清洁能源，食堂废气主要为少量的油烟废气，</w:t>
            </w:r>
            <w:r>
              <w:rPr>
                <w:color w:val="000000"/>
                <w:sz w:val="24"/>
              </w:rPr>
              <w:t>根据类比，人均日食用油用量约30g/（人·d）计，则本项目耗油量约为</w:t>
            </w:r>
            <w:r>
              <w:rPr>
                <w:rFonts w:hint="eastAsia"/>
                <w:color w:val="000000"/>
                <w:sz w:val="24"/>
              </w:rPr>
              <w:t>0.6</w:t>
            </w:r>
            <w:r>
              <w:rPr>
                <w:color w:val="000000"/>
                <w:sz w:val="24"/>
              </w:rPr>
              <w:t>kg/d，即</w:t>
            </w:r>
            <w:r>
              <w:rPr>
                <w:rFonts w:hint="eastAsia"/>
                <w:color w:val="000000"/>
                <w:sz w:val="24"/>
              </w:rPr>
              <w:t>0.1</w:t>
            </w:r>
            <w:r>
              <w:rPr>
                <w:color w:val="000000"/>
                <w:sz w:val="24"/>
              </w:rPr>
              <w:t>8t/a。根据类比计算，一般油烟挥发量占总耗油量的2-4%，平均为2.83%，则油烟产生量为0.</w:t>
            </w:r>
            <w:r>
              <w:rPr>
                <w:rFonts w:hint="eastAsia"/>
                <w:color w:val="000000"/>
                <w:sz w:val="24"/>
              </w:rPr>
              <w:t>01</w:t>
            </w:r>
            <w:r>
              <w:rPr>
                <w:color w:val="000000"/>
                <w:sz w:val="24"/>
              </w:rPr>
              <w:t>7kg/d、0.0</w:t>
            </w:r>
            <w:r>
              <w:rPr>
                <w:rFonts w:hint="eastAsia"/>
                <w:color w:val="000000"/>
                <w:sz w:val="24"/>
              </w:rPr>
              <w:t>05t</w:t>
            </w:r>
            <w:r>
              <w:rPr>
                <w:color w:val="000000"/>
                <w:sz w:val="24"/>
              </w:rPr>
              <w:t>/a</w:t>
            </w:r>
            <w:r>
              <w:rPr>
                <w:rFonts w:hint="eastAsia"/>
                <w:color w:val="000000"/>
                <w:sz w:val="24"/>
              </w:rPr>
              <w:t>，</w:t>
            </w:r>
            <w:r>
              <w:rPr>
                <w:rFonts w:hint="eastAsia"/>
                <w:color w:val="000000"/>
                <w:sz w:val="24"/>
                <w:szCs w:val="21"/>
              </w:rPr>
              <w:t>经抽油烟机收集后高于屋顶排放，抽油烟机的风量小型规模约为2000m</w:t>
            </w:r>
            <w:r>
              <w:rPr>
                <w:rFonts w:hint="eastAsia"/>
                <w:color w:val="000000"/>
                <w:sz w:val="24"/>
                <w:szCs w:val="21"/>
                <w:vertAlign w:val="superscript"/>
              </w:rPr>
              <w:t>3</w:t>
            </w:r>
            <w:r>
              <w:rPr>
                <w:rFonts w:hint="eastAsia"/>
                <w:color w:val="000000"/>
                <w:sz w:val="24"/>
                <w:szCs w:val="21"/>
              </w:rPr>
              <w:t>/h，工作时间为2h/d，油烟去除效率为60%，则油烟排放浓度为1.</w:t>
            </w:r>
            <w:r>
              <w:rPr>
                <w:color w:val="000000"/>
                <w:sz w:val="24"/>
                <w:szCs w:val="21"/>
              </w:rPr>
              <w:t>7</w:t>
            </w:r>
            <w:r>
              <w:rPr>
                <w:rFonts w:hint="eastAsia"/>
                <w:color w:val="000000"/>
                <w:sz w:val="24"/>
                <w:szCs w:val="21"/>
              </w:rPr>
              <w:t>mg/m</w:t>
            </w:r>
            <w:r>
              <w:rPr>
                <w:rFonts w:hint="eastAsia"/>
                <w:color w:val="000000"/>
                <w:sz w:val="24"/>
                <w:szCs w:val="21"/>
                <w:vertAlign w:val="superscript"/>
              </w:rPr>
              <w:t>3</w:t>
            </w:r>
            <w:r>
              <w:rPr>
                <w:rFonts w:hint="eastAsia"/>
                <w:color w:val="000000"/>
                <w:sz w:val="24"/>
                <w:szCs w:val="21"/>
              </w:rPr>
              <w:t>，满足</w:t>
            </w:r>
            <w:bookmarkStart w:id="16" w:name="_Hlk129354744"/>
            <w:r>
              <w:rPr>
                <w:color w:val="000000"/>
                <w:sz w:val="24"/>
              </w:rPr>
              <w:t>《饮食业油烟排放标准（试行）》（</w:t>
            </w:r>
            <w:r>
              <w:rPr>
                <w:rFonts w:hint="eastAsia"/>
                <w:color w:val="000000"/>
                <w:sz w:val="24"/>
              </w:rPr>
              <w:t>GB18483-2001</w:t>
            </w:r>
            <w:r>
              <w:rPr>
                <w:color w:val="000000"/>
                <w:sz w:val="24"/>
              </w:rPr>
              <w:t>）中表</w:t>
            </w:r>
            <w:r>
              <w:rPr>
                <w:rFonts w:hint="eastAsia"/>
                <w:color w:val="000000"/>
                <w:sz w:val="24"/>
              </w:rPr>
              <w:t>2小型限值要求，即最高允许排放浓度≤2.0mg/m</w:t>
            </w:r>
            <w:r>
              <w:rPr>
                <w:rFonts w:hint="eastAsia"/>
                <w:color w:val="000000"/>
                <w:sz w:val="24"/>
                <w:vertAlign w:val="superscript"/>
              </w:rPr>
              <w:t>3</w:t>
            </w:r>
            <w:r>
              <w:rPr>
                <w:rFonts w:hint="eastAsia"/>
                <w:color w:val="000000"/>
                <w:sz w:val="24"/>
              </w:rPr>
              <w:t>，</w:t>
            </w:r>
            <w:bookmarkEnd w:id="16"/>
            <w:r>
              <w:rPr>
                <w:rFonts w:hint="eastAsia"/>
                <w:color w:val="000000"/>
                <w:sz w:val="24"/>
                <w:szCs w:val="21"/>
              </w:rPr>
              <w:t>对环境影响小。</w:t>
            </w:r>
          </w:p>
          <w:p w14:paraId="56B9C77C">
            <w:pPr>
              <w:tabs>
                <w:tab w:val="left" w:pos="1425"/>
              </w:tabs>
              <w:spacing w:line="360" w:lineRule="auto"/>
              <w:ind w:firstLine="480" w:firstLineChars="200"/>
              <w:rPr>
                <w:rFonts w:hint="eastAsia"/>
                <w:color w:val="000000"/>
                <w:sz w:val="24"/>
                <w:szCs w:val="21"/>
              </w:rPr>
            </w:pPr>
            <w:r>
              <w:rPr>
                <w:rFonts w:hint="eastAsia"/>
                <w:color w:val="000000"/>
                <w:sz w:val="24"/>
                <w:szCs w:val="21"/>
              </w:rPr>
              <w:t>（3）异味</w:t>
            </w:r>
          </w:p>
          <w:p w14:paraId="4A36938F">
            <w:pPr>
              <w:tabs>
                <w:tab w:val="left" w:pos="1425"/>
              </w:tabs>
              <w:spacing w:line="360" w:lineRule="auto"/>
              <w:ind w:firstLine="480" w:firstLineChars="200"/>
              <w:rPr>
                <w:rFonts w:hint="eastAsia"/>
                <w:color w:val="000000"/>
                <w:sz w:val="24"/>
                <w:szCs w:val="21"/>
              </w:rPr>
            </w:pPr>
            <w:r>
              <w:rPr>
                <w:rFonts w:hint="eastAsia"/>
                <w:color w:val="000000"/>
                <w:sz w:val="24"/>
                <w:szCs w:val="21"/>
              </w:rPr>
              <w:t>项目区异味主要来自三个部分，污水处理站异味，化粪池异味、生活垃圾异味。</w:t>
            </w:r>
          </w:p>
          <w:p w14:paraId="4BC9624A">
            <w:pPr>
              <w:tabs>
                <w:tab w:val="left" w:pos="1425"/>
              </w:tabs>
              <w:spacing w:line="360" w:lineRule="auto"/>
              <w:ind w:firstLine="480" w:firstLineChars="200"/>
              <w:rPr>
                <w:rFonts w:hint="eastAsia"/>
                <w:color w:val="000000"/>
                <w:sz w:val="24"/>
                <w:szCs w:val="21"/>
              </w:rPr>
            </w:pPr>
            <w:r>
              <w:rPr>
                <w:rFonts w:hint="eastAsia"/>
                <w:color w:val="000000"/>
                <w:sz w:val="24"/>
                <w:szCs w:val="21"/>
              </w:rPr>
              <w:t>1）污水处理站异味</w:t>
            </w:r>
          </w:p>
          <w:p w14:paraId="2464980A">
            <w:pPr>
              <w:tabs>
                <w:tab w:val="left" w:pos="1425"/>
              </w:tabs>
              <w:spacing w:line="360" w:lineRule="auto"/>
              <w:ind w:firstLine="480" w:firstLineChars="200"/>
              <w:rPr>
                <w:rFonts w:hint="eastAsia"/>
                <w:color w:val="000000"/>
                <w:sz w:val="24"/>
                <w:szCs w:val="21"/>
              </w:rPr>
            </w:pPr>
            <w:r>
              <w:rPr>
                <w:rFonts w:hint="eastAsia"/>
                <w:color w:val="000000"/>
                <w:sz w:val="24"/>
                <w:szCs w:val="21"/>
              </w:rPr>
              <w:t>项目区内污水处理站在运行过程中会有异味产生。根据实际，项目污水处理站属地埋式结构，且周边设置绿化，且地势较开阔，因此，项目生产过程中污水处理站异味较小，同时经过植物吸收及大气稀释扩散后对周围环境影响小。</w:t>
            </w:r>
          </w:p>
          <w:p w14:paraId="2ACF5AB0">
            <w:pPr>
              <w:tabs>
                <w:tab w:val="left" w:pos="1425"/>
              </w:tabs>
              <w:spacing w:line="360" w:lineRule="auto"/>
              <w:ind w:firstLine="480" w:firstLineChars="200"/>
              <w:rPr>
                <w:rFonts w:hint="eastAsia"/>
                <w:color w:val="000000"/>
                <w:sz w:val="24"/>
                <w:szCs w:val="21"/>
              </w:rPr>
            </w:pPr>
            <w:r>
              <w:rPr>
                <w:rFonts w:hint="eastAsia"/>
                <w:color w:val="000000"/>
                <w:sz w:val="24"/>
                <w:szCs w:val="21"/>
              </w:rPr>
              <w:t>2）化粪池异味</w:t>
            </w:r>
          </w:p>
          <w:p w14:paraId="57D57169">
            <w:pPr>
              <w:tabs>
                <w:tab w:val="left" w:pos="1425"/>
              </w:tabs>
              <w:spacing w:line="360" w:lineRule="auto"/>
              <w:ind w:firstLine="480" w:firstLineChars="200"/>
              <w:rPr>
                <w:rFonts w:hint="eastAsia"/>
                <w:color w:val="000000"/>
                <w:sz w:val="24"/>
                <w:szCs w:val="21"/>
              </w:rPr>
            </w:pPr>
            <w:r>
              <w:rPr>
                <w:rFonts w:hint="eastAsia"/>
                <w:color w:val="000000"/>
                <w:sz w:val="24"/>
                <w:szCs w:val="21"/>
              </w:rPr>
              <w:t>项目区内化粪池在运行过程中会有异味产生。根据实际，项目化粪池加盖，且置于项目区绿化带内，属地埋式结构，因此，项目生产过程中化粪池异味较小，同时经过植物吸收及大气稀释扩散后对周围环境影响小。</w:t>
            </w:r>
          </w:p>
          <w:p w14:paraId="36E67019">
            <w:pPr>
              <w:tabs>
                <w:tab w:val="left" w:pos="1425"/>
              </w:tabs>
              <w:spacing w:line="360" w:lineRule="auto"/>
              <w:ind w:firstLine="480" w:firstLineChars="200"/>
              <w:rPr>
                <w:rFonts w:hint="eastAsia"/>
                <w:color w:val="000000"/>
                <w:sz w:val="24"/>
                <w:szCs w:val="21"/>
              </w:rPr>
            </w:pPr>
            <w:r>
              <w:rPr>
                <w:rFonts w:hint="eastAsia"/>
                <w:color w:val="000000"/>
                <w:sz w:val="24"/>
                <w:szCs w:val="21"/>
              </w:rPr>
              <w:t>3）生活垃圾异味</w:t>
            </w:r>
          </w:p>
          <w:p w14:paraId="787B5405">
            <w:pPr>
              <w:tabs>
                <w:tab w:val="left" w:pos="1425"/>
              </w:tabs>
              <w:spacing w:line="360" w:lineRule="auto"/>
              <w:ind w:firstLine="480" w:firstLineChars="200"/>
              <w:rPr>
                <w:color w:val="000000"/>
                <w:sz w:val="24"/>
                <w:szCs w:val="21"/>
              </w:rPr>
            </w:pPr>
            <w:r>
              <w:rPr>
                <w:rFonts w:hint="eastAsia"/>
                <w:color w:val="000000"/>
                <w:sz w:val="24"/>
                <w:szCs w:val="21"/>
              </w:rPr>
              <w:t>项目垃圾桶采用半密闭桶收集，并做到日产日清，异味不明显。生活垃圾由建设单位当天清运至当地生活垃圾收集点处置，对周围环境影响小。</w:t>
            </w:r>
          </w:p>
          <w:p w14:paraId="77E2E478">
            <w:pPr>
              <w:tabs>
                <w:tab w:val="left" w:pos="1425"/>
              </w:tabs>
              <w:spacing w:line="360" w:lineRule="auto"/>
              <w:ind w:firstLine="480" w:firstLineChars="200"/>
              <w:rPr>
                <w:color w:val="000000"/>
                <w:sz w:val="24"/>
                <w:szCs w:val="21"/>
              </w:rPr>
            </w:pPr>
            <w:r>
              <w:rPr>
                <w:rFonts w:hint="eastAsia"/>
                <w:color w:val="000000"/>
                <w:sz w:val="24"/>
                <w:szCs w:val="21"/>
              </w:rPr>
              <w:t>4</w:t>
            </w:r>
            <w:r>
              <w:rPr>
                <w:color w:val="000000"/>
                <w:sz w:val="24"/>
                <w:szCs w:val="21"/>
              </w:rPr>
              <w:t>）药剂异味</w:t>
            </w:r>
          </w:p>
          <w:p w14:paraId="3DDE61D1">
            <w:pPr>
              <w:tabs>
                <w:tab w:val="left" w:pos="1425"/>
              </w:tabs>
              <w:spacing w:line="360" w:lineRule="auto"/>
              <w:ind w:firstLine="480" w:firstLineChars="200"/>
              <w:rPr>
                <w:rFonts w:hint="eastAsia"/>
                <w:color w:val="000000"/>
                <w:sz w:val="24"/>
                <w:szCs w:val="21"/>
              </w:rPr>
            </w:pPr>
            <w:r>
              <w:rPr>
                <w:rFonts w:hint="eastAsia"/>
                <w:color w:val="000000"/>
                <w:sz w:val="24"/>
                <w:szCs w:val="21"/>
              </w:rPr>
              <w:t>项目在脱色、染色使用的药剂具有一定的异味，由于药剂为混合使用，且使用过程为密封状态，仅在</w:t>
            </w:r>
            <w:r>
              <w:rPr>
                <w:rFonts w:hint="eastAsia"/>
                <w:color w:val="000000"/>
                <w:sz w:val="24"/>
              </w:rPr>
              <w:t>鲜花放入、取出过程释放，释放过程时间短，经空气扩散后对周围环境影响小。</w:t>
            </w:r>
          </w:p>
          <w:p w14:paraId="17D3EC54">
            <w:pPr>
              <w:spacing w:line="360" w:lineRule="auto"/>
              <w:ind w:firstLine="482" w:firstLineChars="200"/>
              <w:rPr>
                <w:b/>
                <w:bCs/>
                <w:color w:val="000000"/>
                <w:sz w:val="24"/>
              </w:rPr>
            </w:pPr>
            <w:r>
              <w:rPr>
                <w:rFonts w:hint="eastAsia"/>
                <w:b/>
                <w:bCs/>
                <w:color w:val="000000"/>
                <w:sz w:val="24"/>
              </w:rPr>
              <w:t>2、大气环境影响分析</w:t>
            </w:r>
          </w:p>
          <w:p w14:paraId="6FD9CAED">
            <w:pPr>
              <w:spacing w:line="360" w:lineRule="auto"/>
              <w:ind w:firstLine="480" w:firstLineChars="200"/>
              <w:rPr>
                <w:rFonts w:hint="eastAsia"/>
                <w:color w:val="000000"/>
                <w:sz w:val="24"/>
              </w:rPr>
            </w:pPr>
            <w:r>
              <w:rPr>
                <w:rFonts w:hint="eastAsia"/>
                <w:color w:val="000000"/>
                <w:sz w:val="24"/>
              </w:rPr>
              <w:t>（</w:t>
            </w:r>
            <w:r>
              <w:rPr>
                <w:color w:val="000000"/>
                <w:sz w:val="24"/>
              </w:rPr>
              <w:t>1</w:t>
            </w:r>
            <w:r>
              <w:rPr>
                <w:rFonts w:hint="eastAsia"/>
                <w:color w:val="000000"/>
                <w:sz w:val="24"/>
              </w:rPr>
              <w:t>）有组织废气</w:t>
            </w:r>
          </w:p>
          <w:p w14:paraId="6009E9E0">
            <w:pPr>
              <w:spacing w:line="360" w:lineRule="auto"/>
              <w:ind w:firstLine="480" w:firstLineChars="200"/>
              <w:rPr>
                <w:color w:val="000000"/>
                <w:sz w:val="24"/>
              </w:rPr>
            </w:pPr>
            <w:r>
              <w:rPr>
                <w:color w:val="000000"/>
                <w:sz w:val="24"/>
              </w:rPr>
              <w:t>①</w:t>
            </w:r>
            <w:r>
              <w:rPr>
                <w:rFonts w:hint="eastAsia"/>
                <w:color w:val="000000"/>
                <w:sz w:val="24"/>
              </w:rPr>
              <w:t>有组织排放源强</w:t>
            </w:r>
          </w:p>
          <w:p w14:paraId="3DE0AB51">
            <w:pPr>
              <w:adjustRightInd w:val="0"/>
              <w:snapToGrid w:val="0"/>
              <w:spacing w:line="360" w:lineRule="auto"/>
              <w:ind w:firstLine="480" w:firstLineChars="200"/>
              <w:rPr>
                <w:rFonts w:hint="eastAsia"/>
                <w:b/>
                <w:bCs/>
                <w:color w:val="000000"/>
                <w:sz w:val="24"/>
              </w:rPr>
            </w:pPr>
            <w:r>
              <w:rPr>
                <w:color w:val="000000"/>
                <w:sz w:val="24"/>
              </w:rPr>
              <w:t>根据</w:t>
            </w:r>
            <w:r>
              <w:rPr>
                <w:rFonts w:hint="eastAsia"/>
                <w:color w:val="000000"/>
                <w:sz w:val="24"/>
              </w:rPr>
              <w:t>工程</w:t>
            </w:r>
            <w:r>
              <w:rPr>
                <w:color w:val="000000"/>
                <w:sz w:val="24"/>
              </w:rPr>
              <w:t>分析</w:t>
            </w:r>
            <w:r>
              <w:rPr>
                <w:rFonts w:hint="eastAsia"/>
                <w:color w:val="000000"/>
                <w:sz w:val="24"/>
              </w:rPr>
              <w:t>，</w:t>
            </w:r>
            <w:r>
              <w:rPr>
                <w:rFonts w:hint="eastAsia"/>
                <w:iCs/>
                <w:color w:val="000000"/>
                <w:sz w:val="24"/>
              </w:rPr>
              <w:t>项目有组织排放的</w:t>
            </w:r>
            <w:r>
              <w:rPr>
                <w:rFonts w:hint="eastAsia"/>
                <w:color w:val="000000"/>
                <w:sz w:val="24"/>
              </w:rPr>
              <w:t>甲醇源强见下表。</w:t>
            </w:r>
          </w:p>
          <w:p w14:paraId="3D01434B">
            <w:pPr>
              <w:tabs>
                <w:tab w:val="left" w:pos="1425"/>
              </w:tabs>
              <w:spacing w:line="360" w:lineRule="auto"/>
              <w:jc w:val="center"/>
              <w:rPr>
                <w:b/>
                <w:color w:val="000000"/>
              </w:rPr>
            </w:pPr>
            <w:r>
              <w:rPr>
                <w:b/>
                <w:color w:val="000000"/>
              </w:rPr>
              <w:t>表</w:t>
            </w:r>
            <w:r>
              <w:rPr>
                <w:rFonts w:hint="eastAsia"/>
                <w:b/>
                <w:color w:val="000000"/>
              </w:rPr>
              <w:t>4</w:t>
            </w:r>
            <w:r>
              <w:rPr>
                <w:b/>
                <w:color w:val="000000"/>
              </w:rPr>
              <w:t xml:space="preserve">-1 </w:t>
            </w:r>
            <w:r>
              <w:rPr>
                <w:rFonts w:hint="eastAsia"/>
                <w:b/>
                <w:color w:val="000000"/>
              </w:rPr>
              <w:t xml:space="preserve"> </w:t>
            </w:r>
            <w:r>
              <w:rPr>
                <w:b/>
                <w:color w:val="000000"/>
              </w:rPr>
              <w:t>本项目有组织废气正常排放源强参数一览表</w:t>
            </w:r>
          </w:p>
          <w:tbl>
            <w:tblPr>
              <w:tblStyle w:val="20"/>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
              <w:gridCol w:w="761"/>
              <w:gridCol w:w="1012"/>
              <w:gridCol w:w="712"/>
              <w:gridCol w:w="650"/>
              <w:gridCol w:w="670"/>
              <w:gridCol w:w="761"/>
              <w:gridCol w:w="761"/>
              <w:gridCol w:w="761"/>
              <w:gridCol w:w="765"/>
            </w:tblGrid>
            <w:tr w14:paraId="0FC9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77" w:type="dxa"/>
                  <w:vMerge w:val="restart"/>
                  <w:noWrap w:val="0"/>
                  <w:vAlign w:val="center"/>
                </w:tcPr>
                <w:p w14:paraId="235891B2">
                  <w:pPr>
                    <w:jc w:val="center"/>
                    <w:rPr>
                      <w:color w:val="000000"/>
                      <w:szCs w:val="21"/>
                    </w:rPr>
                  </w:pPr>
                  <w:r>
                    <w:rPr>
                      <w:b/>
                      <w:bCs/>
                      <w:color w:val="000000"/>
                      <w:szCs w:val="21"/>
                    </w:rPr>
                    <w:t>污染源名称</w:t>
                  </w:r>
                </w:p>
              </w:tc>
              <w:tc>
                <w:tcPr>
                  <w:tcW w:w="1406" w:type="dxa"/>
                  <w:gridSpan w:val="2"/>
                  <w:noWrap w:val="0"/>
                  <w:vAlign w:val="top"/>
                </w:tcPr>
                <w:p w14:paraId="77DE7E5A">
                  <w:pPr>
                    <w:jc w:val="center"/>
                    <w:rPr>
                      <w:b/>
                      <w:bCs/>
                      <w:color w:val="000000"/>
                      <w:szCs w:val="21"/>
                    </w:rPr>
                  </w:pPr>
                  <w:r>
                    <w:rPr>
                      <w:b/>
                      <w:bCs/>
                      <w:color w:val="000000"/>
                      <w:szCs w:val="21"/>
                    </w:rPr>
                    <w:t>排气筒底部中心坐标</w:t>
                  </w:r>
                </w:p>
              </w:tc>
              <w:tc>
                <w:tcPr>
                  <w:tcW w:w="1012" w:type="dxa"/>
                  <w:vMerge w:val="restart"/>
                  <w:noWrap w:val="0"/>
                  <w:vAlign w:val="center"/>
                </w:tcPr>
                <w:p w14:paraId="1D7250DC">
                  <w:pPr>
                    <w:jc w:val="center"/>
                    <w:rPr>
                      <w:b/>
                      <w:bCs/>
                      <w:color w:val="000000"/>
                      <w:szCs w:val="21"/>
                    </w:rPr>
                  </w:pPr>
                  <w:r>
                    <w:rPr>
                      <w:b/>
                      <w:bCs/>
                      <w:color w:val="000000"/>
                      <w:szCs w:val="21"/>
                    </w:rPr>
                    <w:t>排气筒</w:t>
                  </w:r>
                </w:p>
                <w:p w14:paraId="3819ED76">
                  <w:pPr>
                    <w:jc w:val="center"/>
                    <w:rPr>
                      <w:b/>
                      <w:bCs/>
                      <w:color w:val="000000"/>
                      <w:szCs w:val="21"/>
                    </w:rPr>
                  </w:pPr>
                  <w:r>
                    <w:rPr>
                      <w:b/>
                      <w:bCs/>
                      <w:color w:val="000000"/>
                      <w:szCs w:val="21"/>
                    </w:rPr>
                    <w:t>底部海</w:t>
                  </w:r>
                </w:p>
                <w:p w14:paraId="6DEFBCB0">
                  <w:pPr>
                    <w:jc w:val="center"/>
                    <w:rPr>
                      <w:b/>
                      <w:bCs/>
                      <w:color w:val="000000"/>
                      <w:szCs w:val="21"/>
                    </w:rPr>
                  </w:pPr>
                  <w:r>
                    <w:rPr>
                      <w:b/>
                      <w:bCs/>
                      <w:color w:val="000000"/>
                      <w:szCs w:val="21"/>
                    </w:rPr>
                    <w:t>拔高度</w:t>
                  </w:r>
                </w:p>
                <w:p w14:paraId="42FB6A19">
                  <w:pPr>
                    <w:jc w:val="center"/>
                    <w:rPr>
                      <w:b/>
                      <w:bCs/>
                      <w:color w:val="000000"/>
                      <w:szCs w:val="21"/>
                    </w:rPr>
                  </w:pPr>
                  <w:r>
                    <w:rPr>
                      <w:b/>
                      <w:bCs/>
                      <w:color w:val="000000"/>
                      <w:szCs w:val="21"/>
                    </w:rPr>
                    <w:t>/m</w:t>
                  </w:r>
                </w:p>
              </w:tc>
              <w:tc>
                <w:tcPr>
                  <w:tcW w:w="2793" w:type="dxa"/>
                  <w:gridSpan w:val="4"/>
                  <w:noWrap w:val="0"/>
                  <w:vAlign w:val="center"/>
                </w:tcPr>
                <w:p w14:paraId="301B256D">
                  <w:pPr>
                    <w:jc w:val="center"/>
                    <w:rPr>
                      <w:b/>
                      <w:bCs/>
                      <w:color w:val="000000"/>
                      <w:szCs w:val="21"/>
                    </w:rPr>
                  </w:pPr>
                  <w:r>
                    <w:rPr>
                      <w:b/>
                      <w:bCs/>
                      <w:color w:val="000000"/>
                      <w:szCs w:val="21"/>
                    </w:rPr>
                    <w:t>排气筒参数</w:t>
                  </w:r>
                </w:p>
              </w:tc>
              <w:tc>
                <w:tcPr>
                  <w:tcW w:w="761" w:type="dxa"/>
                  <w:vMerge w:val="restart"/>
                  <w:noWrap w:val="0"/>
                  <w:vAlign w:val="center"/>
                </w:tcPr>
                <w:p w14:paraId="5CEC045D">
                  <w:pPr>
                    <w:jc w:val="center"/>
                    <w:rPr>
                      <w:b/>
                      <w:bCs/>
                      <w:color w:val="000000"/>
                      <w:szCs w:val="21"/>
                    </w:rPr>
                  </w:pPr>
                  <w:r>
                    <w:rPr>
                      <w:b/>
                      <w:bCs/>
                      <w:color w:val="000000"/>
                      <w:szCs w:val="21"/>
                    </w:rPr>
                    <w:t>污染物名称</w:t>
                  </w:r>
                </w:p>
              </w:tc>
              <w:tc>
                <w:tcPr>
                  <w:tcW w:w="761" w:type="dxa"/>
                  <w:vMerge w:val="restart"/>
                  <w:noWrap w:val="0"/>
                  <w:vAlign w:val="center"/>
                </w:tcPr>
                <w:p w14:paraId="7E8E6BF4">
                  <w:pPr>
                    <w:jc w:val="center"/>
                    <w:rPr>
                      <w:b/>
                      <w:bCs/>
                      <w:color w:val="000000"/>
                      <w:szCs w:val="21"/>
                    </w:rPr>
                  </w:pPr>
                  <w:r>
                    <w:rPr>
                      <w:b/>
                      <w:bCs/>
                      <w:color w:val="000000"/>
                      <w:szCs w:val="21"/>
                    </w:rPr>
                    <w:t>排放</w:t>
                  </w:r>
                </w:p>
                <w:p w14:paraId="711DBADA">
                  <w:pPr>
                    <w:jc w:val="center"/>
                    <w:rPr>
                      <w:b/>
                      <w:bCs/>
                      <w:color w:val="000000"/>
                      <w:szCs w:val="21"/>
                    </w:rPr>
                  </w:pPr>
                  <w:r>
                    <w:rPr>
                      <w:b/>
                      <w:bCs/>
                      <w:color w:val="000000"/>
                      <w:szCs w:val="21"/>
                    </w:rPr>
                    <w:t>速率</w:t>
                  </w:r>
                </w:p>
                <w:p w14:paraId="2B409A1A">
                  <w:pPr>
                    <w:jc w:val="center"/>
                    <w:rPr>
                      <w:b/>
                      <w:bCs/>
                      <w:color w:val="000000"/>
                      <w:szCs w:val="21"/>
                    </w:rPr>
                  </w:pPr>
                  <w:r>
                    <w:rPr>
                      <w:b/>
                      <w:bCs/>
                      <w:color w:val="000000"/>
                      <w:szCs w:val="21"/>
                    </w:rPr>
                    <w:t>(kg/h)</w:t>
                  </w:r>
                </w:p>
              </w:tc>
              <w:tc>
                <w:tcPr>
                  <w:tcW w:w="765" w:type="dxa"/>
                  <w:vMerge w:val="restart"/>
                  <w:noWrap w:val="0"/>
                  <w:vAlign w:val="center"/>
                </w:tcPr>
                <w:p w14:paraId="5AFD9C23">
                  <w:pPr>
                    <w:jc w:val="center"/>
                    <w:rPr>
                      <w:b/>
                      <w:bCs/>
                      <w:color w:val="000000"/>
                      <w:szCs w:val="21"/>
                    </w:rPr>
                  </w:pPr>
                  <w:r>
                    <w:rPr>
                      <w:b/>
                      <w:bCs/>
                      <w:color w:val="000000"/>
                      <w:szCs w:val="21"/>
                    </w:rPr>
                    <w:t>排放</w:t>
                  </w:r>
                </w:p>
                <w:p w14:paraId="423D2D58">
                  <w:pPr>
                    <w:jc w:val="center"/>
                    <w:rPr>
                      <w:b/>
                      <w:bCs/>
                      <w:color w:val="000000"/>
                      <w:szCs w:val="21"/>
                    </w:rPr>
                  </w:pPr>
                  <w:r>
                    <w:rPr>
                      <w:b/>
                      <w:bCs/>
                      <w:color w:val="000000"/>
                      <w:szCs w:val="21"/>
                    </w:rPr>
                    <w:t>时间</w:t>
                  </w:r>
                </w:p>
                <w:p w14:paraId="691983B5">
                  <w:pPr>
                    <w:jc w:val="center"/>
                    <w:rPr>
                      <w:b/>
                      <w:bCs/>
                      <w:color w:val="000000"/>
                      <w:szCs w:val="21"/>
                    </w:rPr>
                  </w:pPr>
                  <w:r>
                    <w:rPr>
                      <w:b/>
                      <w:bCs/>
                      <w:color w:val="000000"/>
                      <w:szCs w:val="21"/>
                    </w:rPr>
                    <w:t>（h/a</w:t>
                  </w:r>
                </w:p>
                <w:p w14:paraId="21461913">
                  <w:pPr>
                    <w:jc w:val="center"/>
                    <w:rPr>
                      <w:b/>
                      <w:bCs/>
                      <w:color w:val="000000"/>
                      <w:szCs w:val="21"/>
                    </w:rPr>
                  </w:pPr>
                  <w:r>
                    <w:rPr>
                      <w:b/>
                      <w:bCs/>
                      <w:color w:val="000000"/>
                      <w:szCs w:val="21"/>
                    </w:rPr>
                    <w:t>）</w:t>
                  </w:r>
                </w:p>
              </w:tc>
            </w:tr>
            <w:tr w14:paraId="011B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7" w:type="dxa"/>
                  <w:vMerge w:val="continue"/>
                  <w:noWrap w:val="0"/>
                  <w:vAlign w:val="center"/>
                </w:tcPr>
                <w:p w14:paraId="2D273C59">
                  <w:pPr>
                    <w:jc w:val="center"/>
                    <w:rPr>
                      <w:color w:val="000000"/>
                    </w:rPr>
                  </w:pPr>
                </w:p>
              </w:tc>
              <w:tc>
                <w:tcPr>
                  <w:tcW w:w="645" w:type="dxa"/>
                  <w:noWrap w:val="0"/>
                  <w:vAlign w:val="center"/>
                </w:tcPr>
                <w:p w14:paraId="5A289E59">
                  <w:pPr>
                    <w:jc w:val="center"/>
                    <w:rPr>
                      <w:b/>
                      <w:bCs/>
                      <w:color w:val="000000"/>
                      <w:szCs w:val="21"/>
                    </w:rPr>
                  </w:pPr>
                  <w:r>
                    <w:rPr>
                      <w:b/>
                      <w:bCs/>
                      <w:color w:val="000000"/>
                      <w:szCs w:val="21"/>
                    </w:rPr>
                    <w:t>X</w:t>
                  </w:r>
                </w:p>
              </w:tc>
              <w:tc>
                <w:tcPr>
                  <w:tcW w:w="761" w:type="dxa"/>
                  <w:noWrap w:val="0"/>
                  <w:vAlign w:val="center"/>
                </w:tcPr>
                <w:p w14:paraId="5215C8D9">
                  <w:pPr>
                    <w:jc w:val="center"/>
                    <w:rPr>
                      <w:b/>
                      <w:bCs/>
                      <w:color w:val="000000"/>
                      <w:szCs w:val="21"/>
                    </w:rPr>
                  </w:pPr>
                  <w:r>
                    <w:rPr>
                      <w:b/>
                      <w:bCs/>
                      <w:color w:val="000000"/>
                      <w:szCs w:val="21"/>
                    </w:rPr>
                    <w:t>Y</w:t>
                  </w:r>
                </w:p>
              </w:tc>
              <w:tc>
                <w:tcPr>
                  <w:tcW w:w="1012" w:type="dxa"/>
                  <w:vMerge w:val="continue"/>
                  <w:noWrap w:val="0"/>
                  <w:vAlign w:val="center"/>
                </w:tcPr>
                <w:p w14:paraId="5FB2B970">
                  <w:pPr>
                    <w:jc w:val="center"/>
                    <w:rPr>
                      <w:b/>
                      <w:bCs/>
                      <w:color w:val="000000"/>
                      <w:szCs w:val="21"/>
                    </w:rPr>
                  </w:pPr>
                </w:p>
              </w:tc>
              <w:tc>
                <w:tcPr>
                  <w:tcW w:w="712" w:type="dxa"/>
                  <w:noWrap w:val="0"/>
                  <w:vAlign w:val="center"/>
                </w:tcPr>
                <w:p w14:paraId="727F40C9">
                  <w:pPr>
                    <w:jc w:val="center"/>
                    <w:rPr>
                      <w:b/>
                      <w:bCs/>
                      <w:color w:val="000000"/>
                      <w:szCs w:val="21"/>
                    </w:rPr>
                  </w:pPr>
                  <w:r>
                    <w:rPr>
                      <w:b/>
                      <w:bCs/>
                      <w:color w:val="000000"/>
                      <w:szCs w:val="21"/>
                    </w:rPr>
                    <w:t>高度m</w:t>
                  </w:r>
                </w:p>
              </w:tc>
              <w:tc>
                <w:tcPr>
                  <w:tcW w:w="650" w:type="dxa"/>
                  <w:noWrap w:val="0"/>
                  <w:vAlign w:val="center"/>
                </w:tcPr>
                <w:p w14:paraId="5848CE46">
                  <w:pPr>
                    <w:jc w:val="center"/>
                    <w:rPr>
                      <w:b/>
                      <w:bCs/>
                      <w:color w:val="000000"/>
                      <w:szCs w:val="21"/>
                    </w:rPr>
                  </w:pPr>
                  <w:r>
                    <w:rPr>
                      <w:b/>
                      <w:bCs/>
                      <w:color w:val="000000"/>
                      <w:szCs w:val="21"/>
                    </w:rPr>
                    <w:t>内径m</w:t>
                  </w:r>
                </w:p>
              </w:tc>
              <w:tc>
                <w:tcPr>
                  <w:tcW w:w="670" w:type="dxa"/>
                  <w:noWrap w:val="0"/>
                  <w:vAlign w:val="center"/>
                </w:tcPr>
                <w:p w14:paraId="317AE707">
                  <w:pPr>
                    <w:jc w:val="center"/>
                    <w:rPr>
                      <w:b/>
                      <w:bCs/>
                      <w:color w:val="000000"/>
                      <w:szCs w:val="21"/>
                    </w:rPr>
                  </w:pPr>
                  <w:r>
                    <w:rPr>
                      <w:b/>
                      <w:bCs/>
                      <w:color w:val="000000"/>
                      <w:szCs w:val="21"/>
                    </w:rPr>
                    <w:t>温度℃</w:t>
                  </w:r>
                </w:p>
              </w:tc>
              <w:tc>
                <w:tcPr>
                  <w:tcW w:w="761" w:type="dxa"/>
                  <w:noWrap w:val="0"/>
                  <w:vAlign w:val="center"/>
                </w:tcPr>
                <w:p w14:paraId="7EB49AEC">
                  <w:pPr>
                    <w:jc w:val="center"/>
                    <w:rPr>
                      <w:b/>
                      <w:bCs/>
                      <w:color w:val="000000"/>
                      <w:szCs w:val="21"/>
                    </w:rPr>
                  </w:pPr>
                  <w:r>
                    <w:rPr>
                      <w:b/>
                      <w:bCs/>
                      <w:color w:val="000000"/>
                      <w:szCs w:val="21"/>
                    </w:rPr>
                    <w:t>流量m</w:t>
                  </w:r>
                  <w:r>
                    <w:rPr>
                      <w:b/>
                      <w:bCs/>
                      <w:color w:val="000000"/>
                      <w:szCs w:val="21"/>
                      <w:vertAlign w:val="superscript"/>
                    </w:rPr>
                    <w:t>3</w:t>
                  </w:r>
                  <w:r>
                    <w:rPr>
                      <w:b/>
                      <w:bCs/>
                      <w:color w:val="000000"/>
                      <w:szCs w:val="21"/>
                    </w:rPr>
                    <w:t xml:space="preserve"> /h</w:t>
                  </w:r>
                </w:p>
              </w:tc>
              <w:tc>
                <w:tcPr>
                  <w:tcW w:w="761" w:type="dxa"/>
                  <w:vMerge w:val="continue"/>
                  <w:noWrap w:val="0"/>
                  <w:vAlign w:val="center"/>
                </w:tcPr>
                <w:p w14:paraId="3802B52A">
                  <w:pPr>
                    <w:jc w:val="center"/>
                    <w:rPr>
                      <w:b/>
                      <w:bCs/>
                      <w:color w:val="000000"/>
                      <w:szCs w:val="21"/>
                    </w:rPr>
                  </w:pPr>
                </w:p>
              </w:tc>
              <w:tc>
                <w:tcPr>
                  <w:tcW w:w="761" w:type="dxa"/>
                  <w:vMerge w:val="continue"/>
                  <w:noWrap w:val="0"/>
                  <w:vAlign w:val="center"/>
                </w:tcPr>
                <w:p w14:paraId="560E45CF">
                  <w:pPr>
                    <w:jc w:val="center"/>
                    <w:rPr>
                      <w:b/>
                      <w:bCs/>
                      <w:color w:val="000000"/>
                      <w:szCs w:val="21"/>
                    </w:rPr>
                  </w:pPr>
                </w:p>
              </w:tc>
              <w:tc>
                <w:tcPr>
                  <w:tcW w:w="765" w:type="dxa"/>
                  <w:vMerge w:val="continue"/>
                  <w:noWrap w:val="0"/>
                  <w:vAlign w:val="center"/>
                </w:tcPr>
                <w:p w14:paraId="081CA82D">
                  <w:pPr>
                    <w:jc w:val="center"/>
                    <w:rPr>
                      <w:b/>
                      <w:bCs/>
                      <w:color w:val="000000"/>
                      <w:szCs w:val="21"/>
                    </w:rPr>
                  </w:pPr>
                </w:p>
              </w:tc>
            </w:tr>
            <w:tr w14:paraId="6E99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77" w:type="dxa"/>
                  <w:noWrap w:val="0"/>
                  <w:vAlign w:val="center"/>
                </w:tcPr>
                <w:p w14:paraId="0C53AF47">
                  <w:pPr>
                    <w:jc w:val="center"/>
                    <w:rPr>
                      <w:color w:val="000000"/>
                      <w:szCs w:val="21"/>
                    </w:rPr>
                  </w:pPr>
                  <w:r>
                    <w:rPr>
                      <w:color w:val="000000"/>
                      <w:szCs w:val="21"/>
                    </w:rPr>
                    <w:t>排气筒</w:t>
                  </w:r>
                  <w:r>
                    <w:rPr>
                      <w:rFonts w:hint="eastAsia"/>
                      <w:color w:val="000000"/>
                      <w:szCs w:val="21"/>
                    </w:rPr>
                    <w:t>DA001</w:t>
                  </w:r>
                </w:p>
              </w:tc>
              <w:tc>
                <w:tcPr>
                  <w:tcW w:w="645" w:type="dxa"/>
                  <w:noWrap w:val="0"/>
                  <w:vAlign w:val="center"/>
                </w:tcPr>
                <w:p w14:paraId="4D9D1797">
                  <w:pPr>
                    <w:jc w:val="center"/>
                    <w:rPr>
                      <w:color w:val="000000"/>
                      <w:szCs w:val="21"/>
                    </w:rPr>
                  </w:pPr>
                  <w:r>
                    <w:rPr>
                      <w:rFonts w:hint="eastAsia"/>
                      <w:color w:val="000000"/>
                      <w:szCs w:val="21"/>
                    </w:rPr>
                    <w:t>103.235</w:t>
                  </w:r>
                </w:p>
              </w:tc>
              <w:tc>
                <w:tcPr>
                  <w:tcW w:w="761" w:type="dxa"/>
                  <w:noWrap w:val="0"/>
                  <w:vAlign w:val="center"/>
                </w:tcPr>
                <w:p w14:paraId="73FDE758">
                  <w:pPr>
                    <w:jc w:val="center"/>
                    <w:rPr>
                      <w:rFonts w:hint="eastAsia"/>
                      <w:color w:val="000000"/>
                      <w:szCs w:val="21"/>
                    </w:rPr>
                  </w:pPr>
                  <w:r>
                    <w:rPr>
                      <w:rFonts w:hint="eastAsia"/>
                      <w:color w:val="000000"/>
                      <w:szCs w:val="21"/>
                    </w:rPr>
                    <w:t>24.625</w:t>
                  </w:r>
                </w:p>
              </w:tc>
              <w:tc>
                <w:tcPr>
                  <w:tcW w:w="1012" w:type="dxa"/>
                  <w:noWrap w:val="0"/>
                  <w:vAlign w:val="center"/>
                </w:tcPr>
                <w:p w14:paraId="6AB161A4">
                  <w:pPr>
                    <w:jc w:val="center"/>
                    <w:rPr>
                      <w:color w:val="000000"/>
                      <w:szCs w:val="21"/>
                    </w:rPr>
                  </w:pPr>
                  <w:r>
                    <w:rPr>
                      <w:rFonts w:hint="eastAsia"/>
                      <w:color w:val="000000"/>
                      <w:szCs w:val="21"/>
                    </w:rPr>
                    <w:t>1674</w:t>
                  </w:r>
                </w:p>
              </w:tc>
              <w:tc>
                <w:tcPr>
                  <w:tcW w:w="712" w:type="dxa"/>
                  <w:noWrap w:val="0"/>
                  <w:vAlign w:val="center"/>
                </w:tcPr>
                <w:p w14:paraId="6796AE4C">
                  <w:pPr>
                    <w:jc w:val="center"/>
                    <w:rPr>
                      <w:color w:val="000000"/>
                      <w:szCs w:val="21"/>
                    </w:rPr>
                  </w:pPr>
                  <w:r>
                    <w:rPr>
                      <w:color w:val="000000"/>
                      <w:szCs w:val="21"/>
                    </w:rPr>
                    <w:t>15</w:t>
                  </w:r>
                </w:p>
              </w:tc>
              <w:tc>
                <w:tcPr>
                  <w:tcW w:w="650" w:type="dxa"/>
                  <w:noWrap w:val="0"/>
                  <w:vAlign w:val="center"/>
                </w:tcPr>
                <w:p w14:paraId="0417888C">
                  <w:pPr>
                    <w:jc w:val="center"/>
                    <w:rPr>
                      <w:color w:val="000000"/>
                      <w:szCs w:val="21"/>
                    </w:rPr>
                  </w:pPr>
                  <w:r>
                    <w:rPr>
                      <w:color w:val="000000"/>
                      <w:szCs w:val="21"/>
                    </w:rPr>
                    <w:t>0.3</w:t>
                  </w:r>
                </w:p>
              </w:tc>
              <w:tc>
                <w:tcPr>
                  <w:tcW w:w="670" w:type="dxa"/>
                  <w:noWrap w:val="0"/>
                  <w:vAlign w:val="center"/>
                </w:tcPr>
                <w:p w14:paraId="498749CE">
                  <w:pPr>
                    <w:jc w:val="center"/>
                    <w:rPr>
                      <w:color w:val="000000"/>
                      <w:szCs w:val="21"/>
                    </w:rPr>
                  </w:pPr>
                  <w:r>
                    <w:rPr>
                      <w:color w:val="000000"/>
                      <w:szCs w:val="21"/>
                    </w:rPr>
                    <w:t>25</w:t>
                  </w:r>
                </w:p>
              </w:tc>
              <w:tc>
                <w:tcPr>
                  <w:tcW w:w="761" w:type="dxa"/>
                  <w:noWrap w:val="0"/>
                  <w:vAlign w:val="center"/>
                </w:tcPr>
                <w:p w14:paraId="56141A6D">
                  <w:pPr>
                    <w:jc w:val="center"/>
                    <w:rPr>
                      <w:rFonts w:hint="eastAsia"/>
                      <w:color w:val="000000"/>
                      <w:szCs w:val="21"/>
                    </w:rPr>
                  </w:pPr>
                  <w:r>
                    <w:rPr>
                      <w:color w:val="000000"/>
                      <w:szCs w:val="21"/>
                    </w:rPr>
                    <w:t>6</w:t>
                  </w:r>
                  <w:r>
                    <w:rPr>
                      <w:rFonts w:hint="eastAsia"/>
                      <w:color w:val="000000"/>
                      <w:szCs w:val="21"/>
                    </w:rPr>
                    <w:t>000</w:t>
                  </w:r>
                </w:p>
              </w:tc>
              <w:tc>
                <w:tcPr>
                  <w:tcW w:w="761" w:type="dxa"/>
                  <w:noWrap w:val="0"/>
                  <w:vAlign w:val="center"/>
                </w:tcPr>
                <w:p w14:paraId="35A5867B">
                  <w:pPr>
                    <w:jc w:val="center"/>
                    <w:rPr>
                      <w:rFonts w:hint="eastAsia"/>
                      <w:color w:val="000000"/>
                      <w:szCs w:val="21"/>
                    </w:rPr>
                  </w:pPr>
                  <w:r>
                    <w:rPr>
                      <w:rFonts w:hint="eastAsia"/>
                      <w:color w:val="000000"/>
                      <w:szCs w:val="21"/>
                    </w:rPr>
                    <w:t>甲醇</w:t>
                  </w:r>
                </w:p>
              </w:tc>
              <w:tc>
                <w:tcPr>
                  <w:tcW w:w="761" w:type="dxa"/>
                  <w:noWrap w:val="0"/>
                  <w:vAlign w:val="center"/>
                </w:tcPr>
                <w:p w14:paraId="6B2D4693">
                  <w:pPr>
                    <w:jc w:val="center"/>
                    <w:rPr>
                      <w:color w:val="000000"/>
                      <w:szCs w:val="21"/>
                    </w:rPr>
                  </w:pPr>
                  <w:r>
                    <w:rPr>
                      <w:color w:val="000000"/>
                      <w:szCs w:val="21"/>
                    </w:rPr>
                    <w:t>0.686</w:t>
                  </w:r>
                </w:p>
              </w:tc>
              <w:tc>
                <w:tcPr>
                  <w:tcW w:w="765" w:type="dxa"/>
                  <w:noWrap w:val="0"/>
                  <w:vAlign w:val="center"/>
                </w:tcPr>
                <w:p w14:paraId="3816AF20">
                  <w:pPr>
                    <w:jc w:val="center"/>
                    <w:rPr>
                      <w:color w:val="000000"/>
                      <w:szCs w:val="21"/>
                    </w:rPr>
                  </w:pPr>
                  <w:r>
                    <w:rPr>
                      <w:color w:val="000000"/>
                      <w:szCs w:val="21"/>
                    </w:rPr>
                    <w:t>640</w:t>
                  </w:r>
                </w:p>
              </w:tc>
            </w:tr>
          </w:tbl>
          <w:p w14:paraId="17E54632">
            <w:pPr>
              <w:adjustRightInd w:val="0"/>
              <w:snapToGrid w:val="0"/>
              <w:spacing w:line="360" w:lineRule="auto"/>
              <w:ind w:firstLine="480" w:firstLineChars="200"/>
              <w:rPr>
                <w:rFonts w:hint="eastAsia"/>
                <w:color w:val="000000"/>
                <w:sz w:val="24"/>
              </w:rPr>
            </w:pPr>
            <w:r>
              <w:rPr>
                <w:color w:val="000000"/>
                <w:sz w:val="24"/>
              </w:rPr>
              <w:t>②达标情况</w:t>
            </w:r>
          </w:p>
          <w:p w14:paraId="6319015B">
            <w:pPr>
              <w:adjustRightInd w:val="0"/>
              <w:snapToGrid w:val="0"/>
              <w:spacing w:line="360" w:lineRule="auto"/>
              <w:ind w:firstLine="480" w:firstLineChars="200"/>
              <w:rPr>
                <w:color w:val="000000"/>
                <w:sz w:val="24"/>
              </w:rPr>
            </w:pPr>
            <w:r>
              <w:rPr>
                <w:color w:val="000000"/>
                <w:sz w:val="24"/>
              </w:rPr>
              <w:t>甲醇有组织排放浓度114.33mg/m</w:t>
            </w:r>
            <w:r>
              <w:rPr>
                <w:color w:val="000000"/>
                <w:sz w:val="24"/>
                <w:vertAlign w:val="superscript"/>
              </w:rPr>
              <w:t>3</w:t>
            </w:r>
            <w:r>
              <w:rPr>
                <w:color w:val="000000"/>
                <w:sz w:val="24"/>
              </w:rPr>
              <w:t>，排放速率</w:t>
            </w:r>
            <w:r>
              <w:rPr>
                <w:rFonts w:hint="eastAsia"/>
                <w:color w:val="000000"/>
                <w:sz w:val="24"/>
              </w:rPr>
              <w:t>0.686kg/h，</w:t>
            </w:r>
            <w:r>
              <w:rPr>
                <w:color w:val="000000"/>
                <w:sz w:val="24"/>
              </w:rPr>
              <w:t>满足</w:t>
            </w:r>
            <w:r>
              <w:rPr>
                <w:color w:val="000000"/>
                <w:sz w:val="24"/>
                <w:szCs w:val="22"/>
              </w:rPr>
              <w:t>《大气污染物综合排放</w:t>
            </w:r>
            <w:r>
              <w:rPr>
                <w:color w:val="000000"/>
                <w:sz w:val="24"/>
              </w:rPr>
              <w:t>标准》（GB16297-1996）表2中</w:t>
            </w:r>
            <w:r>
              <w:rPr>
                <w:rFonts w:hint="eastAsia"/>
                <w:color w:val="000000"/>
                <w:sz w:val="24"/>
              </w:rPr>
              <w:t>甲醇</w:t>
            </w:r>
            <w:r>
              <w:rPr>
                <w:rFonts w:hint="eastAsia"/>
                <w:color w:val="000000"/>
                <w:sz w:val="24"/>
                <w:szCs w:val="21"/>
              </w:rPr>
              <w:t>190</w:t>
            </w:r>
            <w:r>
              <w:rPr>
                <w:color w:val="000000"/>
                <w:sz w:val="24"/>
              </w:rPr>
              <w:t>mg/m</w:t>
            </w:r>
            <w:r>
              <w:rPr>
                <w:color w:val="000000"/>
                <w:sz w:val="24"/>
                <w:vertAlign w:val="superscript"/>
              </w:rPr>
              <w:t>3</w:t>
            </w:r>
            <w:r>
              <w:rPr>
                <w:color w:val="000000"/>
                <w:sz w:val="24"/>
              </w:rPr>
              <w:t>的排放浓度标准，</w:t>
            </w:r>
            <w:r>
              <w:rPr>
                <w:rFonts w:hint="eastAsia"/>
                <w:color w:val="000000"/>
                <w:sz w:val="24"/>
              </w:rPr>
              <w:t>5.1kg排放速率限值</w:t>
            </w:r>
            <w:r>
              <w:rPr>
                <w:color w:val="000000"/>
                <w:sz w:val="24"/>
              </w:rPr>
              <w:t>。</w:t>
            </w:r>
          </w:p>
          <w:p w14:paraId="210EAF47">
            <w:pPr>
              <w:spacing w:line="360" w:lineRule="auto"/>
              <w:ind w:firstLine="480" w:firstLineChars="200"/>
              <w:rPr>
                <w:rFonts w:hint="eastAsia"/>
                <w:color w:val="000000"/>
                <w:sz w:val="24"/>
              </w:rPr>
            </w:pPr>
            <w:r>
              <w:rPr>
                <w:rFonts w:hint="eastAsia"/>
                <w:color w:val="000000"/>
                <w:sz w:val="24"/>
              </w:rPr>
              <w:t>（2）无组织废气</w:t>
            </w:r>
          </w:p>
          <w:p w14:paraId="026C2406">
            <w:pPr>
              <w:spacing w:line="360" w:lineRule="auto"/>
              <w:ind w:firstLine="480" w:firstLineChars="200"/>
              <w:rPr>
                <w:color w:val="000000"/>
                <w:sz w:val="24"/>
              </w:rPr>
            </w:pPr>
            <w:r>
              <w:rPr>
                <w:rFonts w:hint="eastAsia" w:ascii="宋体" w:hAnsi="宋体" w:cs="宋体"/>
                <w:color w:val="000000"/>
                <w:sz w:val="24"/>
              </w:rPr>
              <w:t>①无</w:t>
            </w:r>
            <w:r>
              <w:rPr>
                <w:rFonts w:hint="eastAsia"/>
                <w:color w:val="000000"/>
                <w:sz w:val="24"/>
              </w:rPr>
              <w:t>组织排放源强</w:t>
            </w:r>
          </w:p>
          <w:p w14:paraId="5D0907F8">
            <w:pPr>
              <w:adjustRightInd w:val="0"/>
              <w:snapToGrid w:val="0"/>
              <w:spacing w:line="360" w:lineRule="auto"/>
              <w:ind w:firstLine="480" w:firstLineChars="200"/>
              <w:rPr>
                <w:color w:val="000000"/>
                <w:sz w:val="24"/>
              </w:rPr>
            </w:pPr>
            <w:r>
              <w:rPr>
                <w:color w:val="000000"/>
                <w:sz w:val="24"/>
              </w:rPr>
              <w:t>根据</w:t>
            </w:r>
            <w:r>
              <w:rPr>
                <w:rFonts w:hint="eastAsia"/>
                <w:color w:val="000000"/>
                <w:sz w:val="24"/>
              </w:rPr>
              <w:t>工程</w:t>
            </w:r>
            <w:r>
              <w:rPr>
                <w:color w:val="000000"/>
                <w:sz w:val="24"/>
              </w:rPr>
              <w:t>分析</w:t>
            </w:r>
            <w:r>
              <w:rPr>
                <w:rFonts w:hint="eastAsia"/>
                <w:color w:val="000000"/>
                <w:sz w:val="24"/>
              </w:rPr>
              <w:t>，</w:t>
            </w:r>
            <w:r>
              <w:rPr>
                <w:rFonts w:hint="eastAsia"/>
                <w:iCs/>
                <w:color w:val="000000"/>
                <w:sz w:val="24"/>
              </w:rPr>
              <w:t>项目排放的无组织</w:t>
            </w:r>
            <w:r>
              <w:rPr>
                <w:rFonts w:hint="eastAsia"/>
                <w:color w:val="000000"/>
                <w:sz w:val="24"/>
              </w:rPr>
              <w:t>甲醇源强见下表。</w:t>
            </w:r>
          </w:p>
          <w:p w14:paraId="39DAC6A3">
            <w:pPr>
              <w:pStyle w:val="34"/>
              <w:spacing w:before="0" w:line="360" w:lineRule="auto"/>
              <w:rPr>
                <w:color w:val="000000"/>
              </w:rPr>
            </w:pPr>
            <w:r>
              <w:rPr>
                <w:color w:val="000000"/>
              </w:rPr>
              <w:t>表</w:t>
            </w:r>
            <w:r>
              <w:rPr>
                <w:rFonts w:hint="eastAsia"/>
                <w:color w:val="000000"/>
              </w:rPr>
              <w:t>4-</w:t>
            </w:r>
            <w:r>
              <w:rPr>
                <w:color w:val="000000"/>
              </w:rPr>
              <w:t xml:space="preserve">2 </w:t>
            </w:r>
            <w:r>
              <w:rPr>
                <w:rFonts w:hint="eastAsia"/>
                <w:color w:val="000000"/>
              </w:rPr>
              <w:t xml:space="preserve"> </w:t>
            </w:r>
            <w:r>
              <w:rPr>
                <w:color w:val="000000"/>
              </w:rPr>
              <w:t>项目大气污染物无组织排放核算表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851"/>
              <w:gridCol w:w="850"/>
              <w:gridCol w:w="1985"/>
              <w:gridCol w:w="1417"/>
              <w:gridCol w:w="1008"/>
              <w:gridCol w:w="846"/>
            </w:tblGrid>
            <w:tr w14:paraId="3604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376" w:type="dxa"/>
                  <w:noWrap w:val="0"/>
                  <w:vAlign w:val="center"/>
                </w:tcPr>
                <w:p w14:paraId="20321441">
                  <w:pPr>
                    <w:pStyle w:val="42"/>
                    <w:rPr>
                      <w:rFonts w:hint="eastAsia"/>
                      <w:color w:val="000000"/>
                    </w:rPr>
                  </w:pPr>
                  <w:r>
                    <w:rPr>
                      <w:rFonts w:hint="eastAsia" w:ascii="宋体" w:hAnsi="宋体" w:eastAsia="宋体" w:cs="宋体"/>
                      <w:color w:val="000000"/>
                    </w:rPr>
                    <w:t>排放源</w:t>
                  </w:r>
                </w:p>
              </w:tc>
              <w:tc>
                <w:tcPr>
                  <w:tcW w:w="851" w:type="dxa"/>
                  <w:noWrap w:val="0"/>
                  <w:vAlign w:val="center"/>
                </w:tcPr>
                <w:p w14:paraId="37D24F40">
                  <w:pPr>
                    <w:pStyle w:val="42"/>
                    <w:rPr>
                      <w:color w:val="000000"/>
                    </w:rPr>
                  </w:pPr>
                  <w:r>
                    <w:rPr>
                      <w:rFonts w:hint="eastAsia" w:ascii="宋体" w:hAnsi="宋体" w:eastAsia="宋体" w:cs="宋体"/>
                      <w:color w:val="000000"/>
                    </w:rPr>
                    <w:t>产污环节</w:t>
                  </w:r>
                </w:p>
              </w:tc>
              <w:tc>
                <w:tcPr>
                  <w:tcW w:w="850" w:type="dxa"/>
                  <w:noWrap w:val="0"/>
                  <w:vAlign w:val="center"/>
                </w:tcPr>
                <w:p w14:paraId="28250548">
                  <w:pPr>
                    <w:pStyle w:val="42"/>
                    <w:rPr>
                      <w:color w:val="000000"/>
                    </w:rPr>
                  </w:pPr>
                  <w:r>
                    <w:rPr>
                      <w:rFonts w:hint="eastAsia" w:ascii="宋体" w:hAnsi="宋体" w:eastAsia="宋体" w:cs="宋体"/>
                      <w:color w:val="000000"/>
                    </w:rPr>
                    <w:t>污染物</w:t>
                  </w:r>
                </w:p>
              </w:tc>
              <w:tc>
                <w:tcPr>
                  <w:tcW w:w="1985" w:type="dxa"/>
                  <w:noWrap w:val="0"/>
                  <w:vAlign w:val="center"/>
                </w:tcPr>
                <w:p w14:paraId="6D8A77AC">
                  <w:pPr>
                    <w:pStyle w:val="42"/>
                    <w:rPr>
                      <w:color w:val="000000"/>
                    </w:rPr>
                  </w:pPr>
                  <w:r>
                    <w:rPr>
                      <w:rFonts w:hint="eastAsia" w:ascii="宋体" w:hAnsi="宋体" w:eastAsia="宋体" w:cs="宋体"/>
                      <w:color w:val="000000"/>
                    </w:rPr>
                    <w:t>主要污染防治措施</w:t>
                  </w:r>
                </w:p>
              </w:tc>
              <w:tc>
                <w:tcPr>
                  <w:tcW w:w="1417" w:type="dxa"/>
                  <w:noWrap w:val="0"/>
                  <w:vAlign w:val="center"/>
                </w:tcPr>
                <w:p w14:paraId="5DDFD7D0">
                  <w:pPr>
                    <w:pStyle w:val="42"/>
                    <w:rPr>
                      <w:color w:val="000000"/>
                    </w:rPr>
                  </w:pPr>
                  <w:r>
                    <w:rPr>
                      <w:rFonts w:hint="eastAsia" w:ascii="宋体" w:hAnsi="宋体" w:eastAsia="宋体" w:cs="宋体"/>
                      <w:color w:val="000000"/>
                    </w:rPr>
                    <w:t>标准名称</w:t>
                  </w:r>
                </w:p>
              </w:tc>
              <w:tc>
                <w:tcPr>
                  <w:tcW w:w="1008" w:type="dxa"/>
                  <w:noWrap w:val="0"/>
                  <w:vAlign w:val="center"/>
                </w:tcPr>
                <w:p w14:paraId="5E3817C0">
                  <w:pPr>
                    <w:pStyle w:val="42"/>
                    <w:rPr>
                      <w:color w:val="000000"/>
                    </w:rPr>
                  </w:pPr>
                  <w:r>
                    <w:rPr>
                      <w:rFonts w:hint="eastAsia" w:ascii="宋体" w:hAnsi="宋体" w:eastAsia="宋体" w:cs="宋体"/>
                      <w:color w:val="000000"/>
                    </w:rPr>
                    <w:t>浓度限值</w:t>
                  </w:r>
                  <w:r>
                    <w:rPr>
                      <w:color w:val="000000"/>
                    </w:rPr>
                    <w:t>mg/m</w:t>
                  </w:r>
                  <w:r>
                    <w:rPr>
                      <w:color w:val="000000"/>
                      <w:vertAlign w:val="superscript"/>
                    </w:rPr>
                    <w:t>3</w:t>
                  </w:r>
                </w:p>
              </w:tc>
              <w:tc>
                <w:tcPr>
                  <w:tcW w:w="846" w:type="dxa"/>
                  <w:noWrap w:val="0"/>
                  <w:vAlign w:val="center"/>
                </w:tcPr>
                <w:p w14:paraId="53D8EF2A">
                  <w:pPr>
                    <w:pStyle w:val="42"/>
                    <w:rPr>
                      <w:color w:val="000000"/>
                    </w:rPr>
                  </w:pPr>
                  <w:r>
                    <w:rPr>
                      <w:rFonts w:hint="eastAsia" w:ascii="宋体" w:hAnsi="宋体" w:eastAsia="宋体" w:cs="宋体"/>
                      <w:color w:val="000000"/>
                    </w:rPr>
                    <w:t>年排放量（</w:t>
                  </w:r>
                  <w:r>
                    <w:rPr>
                      <w:color w:val="000000"/>
                    </w:rPr>
                    <w:t>t/a</w:t>
                  </w:r>
                  <w:r>
                    <w:rPr>
                      <w:rFonts w:hint="eastAsia" w:ascii="宋体" w:hAnsi="宋体" w:eastAsia="宋体" w:cs="宋体"/>
                      <w:color w:val="000000"/>
                    </w:rPr>
                    <w:t>）</w:t>
                  </w:r>
                </w:p>
              </w:tc>
            </w:tr>
            <w:tr w14:paraId="1EB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6" w:type="dxa"/>
                  <w:noWrap w:val="0"/>
                  <w:vAlign w:val="center"/>
                </w:tcPr>
                <w:p w14:paraId="654BEF21">
                  <w:pPr>
                    <w:pStyle w:val="42"/>
                    <w:rPr>
                      <w:rFonts w:hint="eastAsia" w:eastAsia="宋体"/>
                      <w:color w:val="000000"/>
                    </w:rPr>
                  </w:pPr>
                  <w:r>
                    <w:rPr>
                      <w:rFonts w:hint="eastAsia" w:ascii="宋体" w:hAnsi="宋体" w:eastAsia="宋体" w:cs="宋体"/>
                      <w:color w:val="000000"/>
                    </w:rPr>
                    <w:t>脱色、染色车间</w:t>
                  </w:r>
                </w:p>
              </w:tc>
              <w:tc>
                <w:tcPr>
                  <w:tcW w:w="851" w:type="dxa"/>
                  <w:noWrap w:val="0"/>
                  <w:vAlign w:val="center"/>
                </w:tcPr>
                <w:p w14:paraId="412397FB">
                  <w:pPr>
                    <w:pStyle w:val="42"/>
                    <w:rPr>
                      <w:rFonts w:hint="eastAsia" w:eastAsia="宋体"/>
                      <w:color w:val="000000"/>
                    </w:rPr>
                  </w:pPr>
                  <w:r>
                    <w:rPr>
                      <w:rFonts w:hint="eastAsia" w:eastAsia="宋体"/>
                      <w:color w:val="000000"/>
                    </w:rPr>
                    <w:t>打开脱色、染色桶</w:t>
                  </w:r>
                </w:p>
              </w:tc>
              <w:tc>
                <w:tcPr>
                  <w:tcW w:w="850" w:type="dxa"/>
                  <w:noWrap w:val="0"/>
                  <w:vAlign w:val="center"/>
                </w:tcPr>
                <w:p w14:paraId="2C465247">
                  <w:pPr>
                    <w:pStyle w:val="42"/>
                    <w:rPr>
                      <w:rFonts w:hint="eastAsia" w:eastAsia="宋体"/>
                      <w:color w:val="000000"/>
                    </w:rPr>
                  </w:pPr>
                  <w:r>
                    <w:rPr>
                      <w:rFonts w:hint="eastAsia" w:ascii="宋体" w:hAnsi="宋体" w:eastAsia="宋体" w:cs="宋体"/>
                      <w:color w:val="000000"/>
                    </w:rPr>
                    <w:t>甲醇</w:t>
                  </w:r>
                </w:p>
              </w:tc>
              <w:tc>
                <w:tcPr>
                  <w:tcW w:w="1985" w:type="dxa"/>
                  <w:noWrap w:val="0"/>
                  <w:vAlign w:val="center"/>
                </w:tcPr>
                <w:p w14:paraId="43196203">
                  <w:pPr>
                    <w:pStyle w:val="42"/>
                    <w:rPr>
                      <w:rFonts w:hint="eastAsia" w:eastAsia="宋体"/>
                      <w:color w:val="000000"/>
                    </w:rPr>
                  </w:pPr>
                  <w:r>
                    <w:rPr>
                      <w:rFonts w:hint="eastAsia" w:ascii="宋体" w:hAnsi="宋体" w:eastAsia="宋体" w:cs="宋体"/>
                      <w:color w:val="000000"/>
                    </w:rPr>
                    <w:t>厂房密闭、脱色和染色通密闭，加强车间通风</w:t>
                  </w:r>
                </w:p>
              </w:tc>
              <w:tc>
                <w:tcPr>
                  <w:tcW w:w="1417" w:type="dxa"/>
                  <w:noWrap w:val="0"/>
                  <w:vAlign w:val="center"/>
                </w:tcPr>
                <w:p w14:paraId="22872273">
                  <w:pPr>
                    <w:pStyle w:val="42"/>
                    <w:rPr>
                      <w:color w:val="000000"/>
                    </w:rPr>
                  </w:pPr>
                  <w:r>
                    <w:rPr>
                      <w:rFonts w:hint="eastAsia" w:ascii="宋体" w:hAnsi="宋体" w:eastAsia="宋体" w:cs="宋体"/>
                      <w:color w:val="000000"/>
                    </w:rPr>
                    <w:t>《大气污染物综合排放标准》（</w:t>
                  </w:r>
                  <w:r>
                    <w:rPr>
                      <w:rFonts w:hint="eastAsia"/>
                      <w:color w:val="000000"/>
                    </w:rPr>
                    <w:t>GB16297</w:t>
                  </w:r>
                  <w:r>
                    <w:rPr>
                      <w:rFonts w:hint="eastAsia" w:eastAsia="宋体"/>
                      <w:color w:val="000000"/>
                    </w:rPr>
                    <w:t xml:space="preserve"> </w:t>
                  </w:r>
                  <w:r>
                    <w:rPr>
                      <w:rFonts w:hint="eastAsia"/>
                      <w:color w:val="000000"/>
                    </w:rPr>
                    <w:t>-1996</w:t>
                  </w:r>
                  <w:r>
                    <w:rPr>
                      <w:rFonts w:hint="eastAsia" w:ascii="宋体" w:hAnsi="宋体" w:eastAsia="宋体" w:cs="宋体"/>
                      <w:color w:val="000000"/>
                    </w:rPr>
                    <w:t>）</w:t>
                  </w:r>
                </w:p>
              </w:tc>
              <w:tc>
                <w:tcPr>
                  <w:tcW w:w="1008" w:type="dxa"/>
                  <w:noWrap w:val="0"/>
                  <w:vAlign w:val="center"/>
                </w:tcPr>
                <w:p w14:paraId="5BC4AADD">
                  <w:pPr>
                    <w:pStyle w:val="42"/>
                    <w:rPr>
                      <w:rFonts w:eastAsia="宋体"/>
                      <w:color w:val="000000"/>
                    </w:rPr>
                  </w:pPr>
                  <w:r>
                    <w:rPr>
                      <w:rFonts w:hint="eastAsia" w:eastAsia="宋体"/>
                      <w:color w:val="000000"/>
                    </w:rPr>
                    <w:t>12</w:t>
                  </w:r>
                </w:p>
              </w:tc>
              <w:tc>
                <w:tcPr>
                  <w:tcW w:w="846" w:type="dxa"/>
                  <w:noWrap w:val="0"/>
                  <w:vAlign w:val="center"/>
                </w:tcPr>
                <w:p w14:paraId="16A8E601">
                  <w:pPr>
                    <w:pStyle w:val="42"/>
                    <w:rPr>
                      <w:color w:val="000000"/>
                    </w:rPr>
                  </w:pPr>
                  <w:r>
                    <w:rPr>
                      <w:rFonts w:hint="eastAsia"/>
                      <w:color w:val="000000"/>
                    </w:rPr>
                    <w:t>0.</w:t>
                  </w:r>
                  <w:r>
                    <w:rPr>
                      <w:color w:val="000000"/>
                    </w:rPr>
                    <w:t>046</w:t>
                  </w:r>
                </w:p>
              </w:tc>
            </w:tr>
          </w:tbl>
          <w:p w14:paraId="25551CAF">
            <w:pPr>
              <w:adjustRightInd w:val="0"/>
              <w:snapToGrid w:val="0"/>
              <w:spacing w:line="360" w:lineRule="auto"/>
              <w:ind w:firstLine="480" w:firstLineChars="200"/>
              <w:rPr>
                <w:rFonts w:hint="eastAsia"/>
                <w:color w:val="000000"/>
                <w:sz w:val="24"/>
              </w:rPr>
            </w:pPr>
            <w:r>
              <w:rPr>
                <w:rFonts w:hint="eastAsia" w:ascii="宋体" w:hAnsi="宋体" w:cs="宋体"/>
                <w:color w:val="000000"/>
                <w:sz w:val="24"/>
              </w:rPr>
              <w:t>②</w:t>
            </w:r>
            <w:r>
              <w:rPr>
                <w:color w:val="000000"/>
                <w:sz w:val="24"/>
              </w:rPr>
              <w:t>达标情况</w:t>
            </w:r>
          </w:p>
          <w:p w14:paraId="214085C2">
            <w:pPr>
              <w:adjustRightInd w:val="0"/>
              <w:spacing w:line="360" w:lineRule="auto"/>
              <w:ind w:firstLine="480" w:firstLineChars="200"/>
              <w:rPr>
                <w:color w:val="000000"/>
                <w:sz w:val="24"/>
              </w:rPr>
            </w:pPr>
            <w:r>
              <w:rPr>
                <w:color w:val="000000"/>
                <w:sz w:val="24"/>
              </w:rPr>
              <w:t>为评价无组织废气达标排放情况，采用</w:t>
            </w:r>
            <w:r>
              <w:rPr>
                <w:rFonts w:hint="eastAsia"/>
                <w:color w:val="000000"/>
                <w:sz w:val="24"/>
              </w:rPr>
              <w:t>AERSCREEN模式对于无组织排放源进行预测，预测结果详见表4</w:t>
            </w:r>
            <w:r>
              <w:rPr>
                <w:color w:val="000000"/>
                <w:sz w:val="24"/>
              </w:rPr>
              <w:t>-3。</w:t>
            </w:r>
          </w:p>
          <w:p w14:paraId="23E296E4">
            <w:pPr>
              <w:pStyle w:val="34"/>
              <w:spacing w:before="0" w:line="360" w:lineRule="auto"/>
              <w:rPr>
                <w:color w:val="000000"/>
                <w:sz w:val="22"/>
              </w:rPr>
            </w:pPr>
            <w:r>
              <w:rPr>
                <w:color w:val="000000"/>
                <w:sz w:val="22"/>
              </w:rPr>
              <w:t>表</w:t>
            </w:r>
            <w:r>
              <w:rPr>
                <w:rFonts w:hint="eastAsia"/>
                <w:color w:val="000000"/>
                <w:sz w:val="22"/>
              </w:rPr>
              <w:t>4-</w:t>
            </w:r>
            <w:r>
              <w:rPr>
                <w:color w:val="000000"/>
                <w:sz w:val="22"/>
              </w:rPr>
              <w:t xml:space="preserve">3 </w:t>
            </w:r>
            <w:r>
              <w:rPr>
                <w:rFonts w:hint="eastAsia"/>
                <w:color w:val="000000"/>
                <w:sz w:val="22"/>
              </w:rPr>
              <w:t xml:space="preserve"> </w:t>
            </w:r>
            <w:r>
              <w:rPr>
                <w:color w:val="000000"/>
                <w:sz w:val="22"/>
              </w:rPr>
              <w:t>项目大气污染物无组织排放预测结果表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835"/>
              <w:gridCol w:w="1701"/>
              <w:gridCol w:w="1275"/>
            </w:tblGrid>
            <w:tr w14:paraId="11C4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noWrap w:val="0"/>
                  <w:vAlign w:val="top"/>
                </w:tcPr>
                <w:p w14:paraId="07718CDC">
                  <w:pPr>
                    <w:pStyle w:val="4"/>
                    <w:ind w:firstLine="0" w:firstLineChars="0"/>
                    <w:jc w:val="center"/>
                    <w:rPr>
                      <w:rFonts w:ascii="Times New Roman" w:hAnsi="Times New Roman" w:cs="Times New Roman"/>
                      <w:color w:val="000000"/>
                    </w:rPr>
                  </w:pPr>
                  <w:r>
                    <w:rPr>
                      <w:rFonts w:ascii="Times New Roman" w:hAnsi="Times New Roman" w:cs="Times New Roman"/>
                      <w:color w:val="000000"/>
                      <w:sz w:val="23"/>
                      <w:szCs w:val="23"/>
                    </w:rPr>
                    <w:t>最大落地浓度μg/m</w:t>
                  </w:r>
                  <w:r>
                    <w:rPr>
                      <w:rFonts w:ascii="Times New Roman" w:hAnsi="Times New Roman" w:cs="Times New Roman"/>
                      <w:color w:val="000000"/>
                      <w:sz w:val="23"/>
                      <w:szCs w:val="23"/>
                      <w:vertAlign w:val="superscript"/>
                    </w:rPr>
                    <w:t>3</w:t>
                  </w:r>
                </w:p>
              </w:tc>
              <w:tc>
                <w:tcPr>
                  <w:tcW w:w="2835" w:type="dxa"/>
                  <w:shd w:val="clear" w:color="auto" w:fill="auto"/>
                  <w:noWrap w:val="0"/>
                  <w:vAlign w:val="top"/>
                </w:tcPr>
                <w:p w14:paraId="79DDD391">
                  <w:pPr>
                    <w:pStyle w:val="4"/>
                    <w:ind w:firstLine="0" w:firstLineChars="0"/>
                    <w:jc w:val="center"/>
                    <w:rPr>
                      <w:rFonts w:ascii="Times New Roman" w:hAnsi="Times New Roman" w:cs="Times New Roman"/>
                      <w:color w:val="000000"/>
                    </w:rPr>
                  </w:pPr>
                  <w:r>
                    <w:rPr>
                      <w:rFonts w:ascii="Times New Roman" w:hAnsi="Times New Roman" w:cs="Times New Roman"/>
                      <w:color w:val="000000"/>
                      <w:sz w:val="23"/>
                      <w:szCs w:val="23"/>
                    </w:rPr>
                    <w:t>最大浓度出现距离m</w:t>
                  </w:r>
                </w:p>
              </w:tc>
              <w:tc>
                <w:tcPr>
                  <w:tcW w:w="1701" w:type="dxa"/>
                  <w:shd w:val="clear" w:color="auto" w:fill="auto"/>
                  <w:noWrap w:val="0"/>
                  <w:vAlign w:val="top"/>
                </w:tcPr>
                <w:p w14:paraId="4280C436">
                  <w:pPr>
                    <w:pStyle w:val="4"/>
                    <w:ind w:firstLine="0" w:firstLineChars="0"/>
                    <w:jc w:val="center"/>
                    <w:rPr>
                      <w:rFonts w:ascii="Times New Roman" w:hAnsi="Times New Roman" w:cs="Times New Roman"/>
                      <w:color w:val="000000"/>
                    </w:rPr>
                  </w:pPr>
                  <w:r>
                    <w:rPr>
                      <w:rFonts w:ascii="Times New Roman" w:hAnsi="Times New Roman" w:cs="Times New Roman"/>
                      <w:color w:val="000000"/>
                    </w:rPr>
                    <w:t>标准限值mg/m</w:t>
                  </w:r>
                  <w:r>
                    <w:rPr>
                      <w:rFonts w:ascii="Times New Roman" w:hAnsi="Times New Roman" w:cs="Times New Roman"/>
                      <w:color w:val="000000"/>
                      <w:vertAlign w:val="superscript"/>
                    </w:rPr>
                    <w:t>3</w:t>
                  </w:r>
                </w:p>
              </w:tc>
              <w:tc>
                <w:tcPr>
                  <w:tcW w:w="1275" w:type="dxa"/>
                  <w:shd w:val="clear" w:color="auto" w:fill="auto"/>
                  <w:noWrap w:val="0"/>
                  <w:vAlign w:val="top"/>
                </w:tcPr>
                <w:p w14:paraId="100E1DC2">
                  <w:pPr>
                    <w:pStyle w:val="4"/>
                    <w:ind w:firstLine="0" w:firstLineChars="0"/>
                    <w:jc w:val="center"/>
                    <w:rPr>
                      <w:rFonts w:ascii="Times New Roman" w:hAnsi="Times New Roman" w:cs="Times New Roman"/>
                      <w:color w:val="000000"/>
                    </w:rPr>
                  </w:pPr>
                  <w:r>
                    <w:rPr>
                      <w:rFonts w:ascii="Times New Roman" w:hAnsi="Times New Roman" w:cs="Times New Roman"/>
                      <w:color w:val="000000"/>
                    </w:rPr>
                    <w:t>达标情况</w:t>
                  </w:r>
                </w:p>
              </w:tc>
            </w:tr>
            <w:tr w14:paraId="01F0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shd w:val="clear" w:color="auto" w:fill="auto"/>
                  <w:noWrap w:val="0"/>
                  <w:vAlign w:val="center"/>
                </w:tcPr>
                <w:p w14:paraId="2EAD6809">
                  <w:pPr>
                    <w:jc w:val="center"/>
                    <w:rPr>
                      <w:color w:val="000000"/>
                    </w:rPr>
                  </w:pPr>
                  <w:r>
                    <w:rPr>
                      <w:color w:val="000000"/>
                      <w:sz w:val="23"/>
                      <w:szCs w:val="23"/>
                    </w:rPr>
                    <w:t>10170</w:t>
                  </w:r>
                </w:p>
              </w:tc>
              <w:tc>
                <w:tcPr>
                  <w:tcW w:w="2835" w:type="dxa"/>
                  <w:shd w:val="clear" w:color="auto" w:fill="auto"/>
                  <w:noWrap w:val="0"/>
                  <w:vAlign w:val="center"/>
                </w:tcPr>
                <w:p w14:paraId="4BBC4A9E">
                  <w:pPr>
                    <w:jc w:val="center"/>
                    <w:rPr>
                      <w:color w:val="000000"/>
                    </w:rPr>
                  </w:pPr>
                  <w:r>
                    <w:rPr>
                      <w:color w:val="000000"/>
                      <w:sz w:val="23"/>
                      <w:szCs w:val="23"/>
                    </w:rPr>
                    <w:t>21.0</w:t>
                  </w:r>
                </w:p>
              </w:tc>
              <w:tc>
                <w:tcPr>
                  <w:tcW w:w="1701" w:type="dxa"/>
                  <w:shd w:val="clear" w:color="auto" w:fill="auto"/>
                  <w:noWrap w:val="0"/>
                  <w:vAlign w:val="top"/>
                </w:tcPr>
                <w:p w14:paraId="5B56D0DF">
                  <w:pPr>
                    <w:pStyle w:val="4"/>
                    <w:ind w:firstLine="0" w:firstLineChars="0"/>
                    <w:jc w:val="center"/>
                    <w:rPr>
                      <w:rFonts w:ascii="Times New Roman" w:hAnsi="Times New Roman" w:cs="Times New Roman"/>
                      <w:color w:val="000000"/>
                    </w:rPr>
                  </w:pPr>
                  <w:r>
                    <w:rPr>
                      <w:rFonts w:ascii="Times New Roman" w:hAnsi="Times New Roman" w:cs="Times New Roman"/>
                      <w:color w:val="000000"/>
                    </w:rPr>
                    <w:t>12.0</w:t>
                  </w:r>
                </w:p>
              </w:tc>
              <w:tc>
                <w:tcPr>
                  <w:tcW w:w="1275" w:type="dxa"/>
                  <w:shd w:val="clear" w:color="auto" w:fill="auto"/>
                  <w:noWrap w:val="0"/>
                  <w:vAlign w:val="top"/>
                </w:tcPr>
                <w:p w14:paraId="51399AD1">
                  <w:pPr>
                    <w:pStyle w:val="4"/>
                    <w:ind w:firstLine="0" w:firstLineChars="0"/>
                    <w:jc w:val="center"/>
                    <w:rPr>
                      <w:rFonts w:ascii="Times New Roman" w:hAnsi="Times New Roman" w:cs="Times New Roman"/>
                      <w:color w:val="000000"/>
                    </w:rPr>
                  </w:pPr>
                  <w:r>
                    <w:rPr>
                      <w:rFonts w:ascii="Times New Roman" w:hAnsi="Times New Roman" w:cs="Times New Roman"/>
                      <w:color w:val="000000"/>
                    </w:rPr>
                    <w:t>达标</w:t>
                  </w:r>
                </w:p>
              </w:tc>
            </w:tr>
          </w:tbl>
          <w:p w14:paraId="236C85C5">
            <w:pPr>
              <w:adjustRightInd w:val="0"/>
              <w:spacing w:line="360" w:lineRule="auto"/>
              <w:ind w:firstLine="480" w:firstLineChars="200"/>
              <w:rPr>
                <w:rFonts w:hint="eastAsia"/>
                <w:color w:val="000000"/>
                <w:sz w:val="24"/>
              </w:rPr>
            </w:pPr>
            <w:r>
              <w:rPr>
                <w:rFonts w:hint="eastAsia"/>
                <w:color w:val="000000"/>
                <w:sz w:val="24"/>
              </w:rPr>
              <w:t>（4）大气污染物排放量核算</w:t>
            </w:r>
            <w:r>
              <w:rPr>
                <w:color w:val="000000"/>
                <w:sz w:val="24"/>
              </w:rPr>
              <w:t>结果如下</w:t>
            </w:r>
          </w:p>
          <w:p w14:paraId="40F298B4">
            <w:pPr>
              <w:widowControl/>
              <w:adjustRightInd w:val="0"/>
              <w:spacing w:line="360" w:lineRule="auto"/>
              <w:ind w:firstLine="442" w:firstLineChars="200"/>
              <w:jc w:val="center"/>
              <w:rPr>
                <w:b/>
                <w:color w:val="000000"/>
                <w:kern w:val="0"/>
                <w:sz w:val="22"/>
              </w:rPr>
            </w:pPr>
            <w:r>
              <w:rPr>
                <w:rFonts w:hint="eastAsia"/>
                <w:b/>
                <w:color w:val="000000"/>
                <w:kern w:val="0"/>
                <w:sz w:val="22"/>
              </w:rPr>
              <w:t>表</w:t>
            </w:r>
            <w:r>
              <w:rPr>
                <w:b/>
                <w:color w:val="000000"/>
                <w:kern w:val="0"/>
                <w:sz w:val="22"/>
              </w:rPr>
              <w:t xml:space="preserve">4-4 </w:t>
            </w:r>
            <w:r>
              <w:rPr>
                <w:rFonts w:hint="eastAsia"/>
                <w:b/>
                <w:color w:val="000000"/>
                <w:kern w:val="0"/>
                <w:sz w:val="22"/>
              </w:rPr>
              <w:t>大气污染物有组织排放量核算表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46"/>
              <w:gridCol w:w="1433"/>
              <w:gridCol w:w="1685"/>
              <w:gridCol w:w="1590"/>
              <w:gridCol w:w="1385"/>
            </w:tblGrid>
            <w:tr w14:paraId="2DC8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757" w:type="dxa"/>
                  <w:noWrap w:val="0"/>
                  <w:vAlign w:val="center"/>
                </w:tcPr>
                <w:p w14:paraId="2D5464C6">
                  <w:pPr>
                    <w:widowControl/>
                    <w:adjustRightInd w:val="0"/>
                    <w:jc w:val="center"/>
                    <w:rPr>
                      <w:color w:val="000000"/>
                      <w:kern w:val="0"/>
                      <w:szCs w:val="21"/>
                    </w:rPr>
                  </w:pPr>
                  <w:r>
                    <w:rPr>
                      <w:rFonts w:hint="eastAsia"/>
                      <w:color w:val="000000"/>
                      <w:kern w:val="0"/>
                      <w:szCs w:val="21"/>
                    </w:rPr>
                    <w:t>序号</w:t>
                  </w:r>
                </w:p>
              </w:tc>
              <w:tc>
                <w:tcPr>
                  <w:tcW w:w="1446" w:type="dxa"/>
                  <w:noWrap w:val="0"/>
                  <w:vAlign w:val="center"/>
                </w:tcPr>
                <w:p w14:paraId="7C95D7D9">
                  <w:pPr>
                    <w:widowControl/>
                    <w:adjustRightInd w:val="0"/>
                    <w:jc w:val="center"/>
                    <w:rPr>
                      <w:color w:val="000000"/>
                      <w:kern w:val="0"/>
                      <w:szCs w:val="21"/>
                    </w:rPr>
                  </w:pPr>
                  <w:r>
                    <w:rPr>
                      <w:rFonts w:hint="eastAsia"/>
                      <w:color w:val="000000"/>
                      <w:kern w:val="0"/>
                      <w:szCs w:val="21"/>
                    </w:rPr>
                    <w:t>排放口编号</w:t>
                  </w:r>
                </w:p>
              </w:tc>
              <w:tc>
                <w:tcPr>
                  <w:tcW w:w="1433" w:type="dxa"/>
                  <w:noWrap w:val="0"/>
                  <w:vAlign w:val="center"/>
                </w:tcPr>
                <w:p w14:paraId="77D986A6">
                  <w:pPr>
                    <w:widowControl/>
                    <w:adjustRightInd w:val="0"/>
                    <w:jc w:val="center"/>
                    <w:rPr>
                      <w:color w:val="000000"/>
                      <w:kern w:val="0"/>
                      <w:szCs w:val="21"/>
                    </w:rPr>
                  </w:pPr>
                  <w:r>
                    <w:rPr>
                      <w:rFonts w:hint="eastAsia"/>
                      <w:color w:val="000000"/>
                      <w:kern w:val="0"/>
                      <w:szCs w:val="21"/>
                    </w:rPr>
                    <w:t>污染物</w:t>
                  </w:r>
                </w:p>
              </w:tc>
              <w:tc>
                <w:tcPr>
                  <w:tcW w:w="1685" w:type="dxa"/>
                  <w:noWrap w:val="0"/>
                  <w:vAlign w:val="center"/>
                </w:tcPr>
                <w:p w14:paraId="7CDFF882">
                  <w:pPr>
                    <w:widowControl/>
                    <w:adjustRightInd w:val="0"/>
                    <w:jc w:val="center"/>
                    <w:rPr>
                      <w:color w:val="000000"/>
                      <w:kern w:val="0"/>
                      <w:szCs w:val="21"/>
                    </w:rPr>
                  </w:pPr>
                  <w:r>
                    <w:rPr>
                      <w:rFonts w:hint="eastAsia"/>
                      <w:color w:val="000000"/>
                      <w:kern w:val="0"/>
                      <w:szCs w:val="21"/>
                    </w:rPr>
                    <w:t>核算排放浓度</w:t>
                  </w:r>
                </w:p>
                <w:p w14:paraId="39EF9252">
                  <w:pPr>
                    <w:widowControl/>
                    <w:adjustRightInd w:val="0"/>
                    <w:jc w:val="center"/>
                    <w:rPr>
                      <w:color w:val="000000"/>
                      <w:kern w:val="0"/>
                      <w:szCs w:val="21"/>
                    </w:rPr>
                  </w:pPr>
                  <w:r>
                    <w:rPr>
                      <w:rFonts w:hint="eastAsia"/>
                      <w:color w:val="000000"/>
                      <w:kern w:val="0"/>
                      <w:szCs w:val="21"/>
                    </w:rPr>
                    <w:t>（</w:t>
                  </w:r>
                  <w:r>
                    <w:rPr>
                      <w:color w:val="000000"/>
                      <w:kern w:val="0"/>
                      <w:szCs w:val="22"/>
                    </w:rPr>
                    <w:t>μg/m</w:t>
                  </w:r>
                  <w:r>
                    <w:rPr>
                      <w:color w:val="000000"/>
                      <w:kern w:val="0"/>
                      <w:szCs w:val="22"/>
                      <w:vertAlign w:val="superscript"/>
                    </w:rPr>
                    <w:t>3</w:t>
                  </w:r>
                  <w:r>
                    <w:rPr>
                      <w:rFonts w:hint="eastAsia"/>
                      <w:color w:val="000000"/>
                      <w:kern w:val="0"/>
                      <w:szCs w:val="21"/>
                    </w:rPr>
                    <w:t>）</w:t>
                  </w:r>
                </w:p>
              </w:tc>
              <w:tc>
                <w:tcPr>
                  <w:tcW w:w="1590" w:type="dxa"/>
                  <w:noWrap w:val="0"/>
                  <w:vAlign w:val="center"/>
                </w:tcPr>
                <w:p w14:paraId="53E6C68C">
                  <w:pPr>
                    <w:widowControl/>
                    <w:adjustRightInd w:val="0"/>
                    <w:jc w:val="center"/>
                    <w:rPr>
                      <w:color w:val="000000"/>
                      <w:kern w:val="0"/>
                      <w:szCs w:val="21"/>
                    </w:rPr>
                  </w:pPr>
                  <w:r>
                    <w:rPr>
                      <w:rFonts w:hint="eastAsia"/>
                      <w:color w:val="000000"/>
                      <w:kern w:val="0"/>
                      <w:szCs w:val="21"/>
                    </w:rPr>
                    <w:t>核算排放速率（</w:t>
                  </w:r>
                  <w:r>
                    <w:rPr>
                      <w:color w:val="000000"/>
                      <w:kern w:val="0"/>
                      <w:szCs w:val="21"/>
                    </w:rPr>
                    <w:t>kg/h</w:t>
                  </w:r>
                  <w:r>
                    <w:rPr>
                      <w:rFonts w:hint="eastAsia"/>
                      <w:color w:val="000000"/>
                      <w:kern w:val="0"/>
                      <w:szCs w:val="21"/>
                    </w:rPr>
                    <w:t>）</w:t>
                  </w:r>
                </w:p>
              </w:tc>
              <w:tc>
                <w:tcPr>
                  <w:tcW w:w="1385" w:type="dxa"/>
                  <w:noWrap w:val="0"/>
                  <w:vAlign w:val="center"/>
                </w:tcPr>
                <w:p w14:paraId="4A7E39FA">
                  <w:pPr>
                    <w:widowControl/>
                    <w:adjustRightInd w:val="0"/>
                    <w:jc w:val="center"/>
                    <w:rPr>
                      <w:color w:val="000000"/>
                      <w:kern w:val="0"/>
                      <w:szCs w:val="21"/>
                    </w:rPr>
                  </w:pPr>
                  <w:r>
                    <w:rPr>
                      <w:rFonts w:hint="eastAsia"/>
                      <w:color w:val="000000"/>
                      <w:kern w:val="0"/>
                      <w:szCs w:val="21"/>
                    </w:rPr>
                    <w:t>核算年排放量（</w:t>
                  </w:r>
                  <w:r>
                    <w:rPr>
                      <w:color w:val="000000"/>
                      <w:kern w:val="0"/>
                      <w:szCs w:val="21"/>
                    </w:rPr>
                    <w:t>t/a</w:t>
                  </w:r>
                  <w:r>
                    <w:rPr>
                      <w:rFonts w:hint="eastAsia"/>
                      <w:color w:val="000000"/>
                      <w:kern w:val="0"/>
                      <w:szCs w:val="21"/>
                    </w:rPr>
                    <w:t>）</w:t>
                  </w:r>
                </w:p>
              </w:tc>
            </w:tr>
            <w:tr w14:paraId="236C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8296" w:type="dxa"/>
                  <w:gridSpan w:val="6"/>
                  <w:noWrap w:val="0"/>
                  <w:vAlign w:val="center"/>
                </w:tcPr>
                <w:p w14:paraId="436B8531">
                  <w:pPr>
                    <w:widowControl/>
                    <w:adjustRightInd w:val="0"/>
                    <w:jc w:val="center"/>
                    <w:rPr>
                      <w:color w:val="000000"/>
                      <w:kern w:val="0"/>
                      <w:szCs w:val="21"/>
                    </w:rPr>
                  </w:pPr>
                  <w:r>
                    <w:rPr>
                      <w:rFonts w:hint="eastAsia"/>
                      <w:color w:val="000000"/>
                      <w:kern w:val="0"/>
                      <w:szCs w:val="21"/>
                    </w:rPr>
                    <w:t>一般排放口</w:t>
                  </w:r>
                </w:p>
              </w:tc>
            </w:tr>
            <w:tr w14:paraId="2920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757" w:type="dxa"/>
                  <w:noWrap w:val="0"/>
                  <w:vAlign w:val="center"/>
                </w:tcPr>
                <w:p w14:paraId="12FB0A32">
                  <w:pPr>
                    <w:widowControl/>
                    <w:adjustRightInd w:val="0"/>
                    <w:jc w:val="center"/>
                    <w:rPr>
                      <w:color w:val="000000"/>
                      <w:kern w:val="0"/>
                      <w:szCs w:val="21"/>
                    </w:rPr>
                  </w:pPr>
                  <w:r>
                    <w:rPr>
                      <w:color w:val="000000"/>
                      <w:kern w:val="0"/>
                      <w:szCs w:val="21"/>
                    </w:rPr>
                    <w:t>1</w:t>
                  </w:r>
                </w:p>
              </w:tc>
              <w:tc>
                <w:tcPr>
                  <w:tcW w:w="1446" w:type="dxa"/>
                  <w:noWrap w:val="0"/>
                  <w:vAlign w:val="center"/>
                </w:tcPr>
                <w:p w14:paraId="05CE4B3B">
                  <w:pPr>
                    <w:widowControl/>
                    <w:adjustRightInd w:val="0"/>
                    <w:jc w:val="center"/>
                    <w:rPr>
                      <w:color w:val="000000"/>
                      <w:kern w:val="0"/>
                      <w:szCs w:val="21"/>
                    </w:rPr>
                  </w:pPr>
                  <w:r>
                    <w:rPr>
                      <w:color w:val="000000"/>
                      <w:kern w:val="0"/>
                      <w:szCs w:val="21"/>
                    </w:rPr>
                    <w:t>DA001</w:t>
                  </w:r>
                </w:p>
              </w:tc>
              <w:tc>
                <w:tcPr>
                  <w:tcW w:w="1433" w:type="dxa"/>
                  <w:noWrap w:val="0"/>
                  <w:vAlign w:val="center"/>
                </w:tcPr>
                <w:p w14:paraId="07ECFF09">
                  <w:pPr>
                    <w:widowControl/>
                    <w:adjustRightInd w:val="0"/>
                    <w:jc w:val="center"/>
                    <w:rPr>
                      <w:color w:val="000000"/>
                      <w:kern w:val="0"/>
                      <w:szCs w:val="21"/>
                    </w:rPr>
                  </w:pPr>
                  <w:r>
                    <w:rPr>
                      <w:color w:val="000000"/>
                      <w:kern w:val="0"/>
                      <w:szCs w:val="21"/>
                    </w:rPr>
                    <w:t>甲醇</w:t>
                  </w:r>
                </w:p>
              </w:tc>
              <w:tc>
                <w:tcPr>
                  <w:tcW w:w="1685" w:type="dxa"/>
                  <w:noWrap w:val="0"/>
                  <w:vAlign w:val="top"/>
                </w:tcPr>
                <w:p w14:paraId="5E981E27">
                  <w:pPr>
                    <w:widowControl/>
                    <w:adjustRightInd w:val="0"/>
                    <w:snapToGrid w:val="0"/>
                    <w:spacing w:line="360" w:lineRule="exact"/>
                    <w:jc w:val="center"/>
                    <w:rPr>
                      <w:color w:val="000000"/>
                      <w:szCs w:val="21"/>
                    </w:rPr>
                  </w:pPr>
                  <w:r>
                    <w:rPr>
                      <w:rFonts w:hint="eastAsia"/>
                      <w:color w:val="000000"/>
                      <w:szCs w:val="21"/>
                    </w:rPr>
                    <w:t>114330</w:t>
                  </w:r>
                </w:p>
              </w:tc>
              <w:tc>
                <w:tcPr>
                  <w:tcW w:w="1590" w:type="dxa"/>
                  <w:noWrap w:val="0"/>
                  <w:vAlign w:val="top"/>
                </w:tcPr>
                <w:p w14:paraId="1EE9BB7C">
                  <w:pPr>
                    <w:widowControl/>
                    <w:adjustRightInd w:val="0"/>
                    <w:snapToGrid w:val="0"/>
                    <w:spacing w:line="360" w:lineRule="exact"/>
                    <w:jc w:val="center"/>
                    <w:rPr>
                      <w:color w:val="000000"/>
                      <w:szCs w:val="21"/>
                    </w:rPr>
                  </w:pPr>
                  <w:r>
                    <w:rPr>
                      <w:color w:val="000000"/>
                      <w:szCs w:val="21"/>
                    </w:rPr>
                    <w:t>0.686</w:t>
                  </w:r>
                </w:p>
              </w:tc>
              <w:tc>
                <w:tcPr>
                  <w:tcW w:w="1385" w:type="dxa"/>
                  <w:noWrap w:val="0"/>
                  <w:vAlign w:val="center"/>
                </w:tcPr>
                <w:p w14:paraId="23102978">
                  <w:pPr>
                    <w:widowControl/>
                    <w:adjustRightInd w:val="0"/>
                    <w:jc w:val="center"/>
                    <w:rPr>
                      <w:color w:val="000000"/>
                      <w:kern w:val="0"/>
                      <w:szCs w:val="21"/>
                    </w:rPr>
                  </w:pPr>
                  <w:r>
                    <w:rPr>
                      <w:color w:val="000000"/>
                      <w:kern w:val="0"/>
                      <w:szCs w:val="21"/>
                    </w:rPr>
                    <w:t>0.44</w:t>
                  </w:r>
                </w:p>
              </w:tc>
            </w:tr>
            <w:tr w14:paraId="1850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8296" w:type="dxa"/>
                  <w:gridSpan w:val="6"/>
                  <w:noWrap w:val="0"/>
                  <w:vAlign w:val="center"/>
                </w:tcPr>
                <w:p w14:paraId="7C96EE31">
                  <w:pPr>
                    <w:widowControl/>
                    <w:adjustRightInd w:val="0"/>
                    <w:jc w:val="center"/>
                    <w:rPr>
                      <w:color w:val="000000"/>
                      <w:kern w:val="0"/>
                      <w:szCs w:val="21"/>
                    </w:rPr>
                  </w:pPr>
                  <w:r>
                    <w:rPr>
                      <w:rFonts w:hint="eastAsia"/>
                      <w:color w:val="000000"/>
                      <w:kern w:val="0"/>
                      <w:szCs w:val="21"/>
                    </w:rPr>
                    <w:t>有组织排放总计</w:t>
                  </w:r>
                </w:p>
              </w:tc>
            </w:tr>
            <w:tr w14:paraId="145A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2203" w:type="dxa"/>
                  <w:gridSpan w:val="2"/>
                  <w:noWrap w:val="0"/>
                  <w:vAlign w:val="center"/>
                </w:tcPr>
                <w:p w14:paraId="393AD78B">
                  <w:pPr>
                    <w:widowControl/>
                    <w:adjustRightInd w:val="0"/>
                    <w:jc w:val="center"/>
                    <w:rPr>
                      <w:color w:val="000000"/>
                      <w:kern w:val="0"/>
                      <w:szCs w:val="21"/>
                    </w:rPr>
                  </w:pPr>
                  <w:r>
                    <w:rPr>
                      <w:rFonts w:hint="eastAsia"/>
                      <w:color w:val="000000"/>
                      <w:kern w:val="0"/>
                      <w:szCs w:val="21"/>
                    </w:rPr>
                    <w:t>有组织排放总计</w:t>
                  </w:r>
                </w:p>
              </w:tc>
              <w:tc>
                <w:tcPr>
                  <w:tcW w:w="4708" w:type="dxa"/>
                  <w:gridSpan w:val="3"/>
                  <w:noWrap w:val="0"/>
                  <w:vAlign w:val="center"/>
                </w:tcPr>
                <w:p w14:paraId="2834C37E">
                  <w:pPr>
                    <w:widowControl/>
                    <w:adjustRightInd w:val="0"/>
                    <w:jc w:val="center"/>
                    <w:rPr>
                      <w:color w:val="000000"/>
                      <w:kern w:val="0"/>
                      <w:szCs w:val="21"/>
                    </w:rPr>
                  </w:pPr>
                  <w:r>
                    <w:rPr>
                      <w:color w:val="000000"/>
                      <w:kern w:val="0"/>
                      <w:szCs w:val="21"/>
                    </w:rPr>
                    <w:t>颗粒物</w:t>
                  </w:r>
                </w:p>
              </w:tc>
              <w:tc>
                <w:tcPr>
                  <w:tcW w:w="1385" w:type="dxa"/>
                  <w:noWrap w:val="0"/>
                  <w:vAlign w:val="center"/>
                </w:tcPr>
                <w:p w14:paraId="47AF0A12">
                  <w:pPr>
                    <w:widowControl/>
                    <w:adjustRightInd w:val="0"/>
                    <w:jc w:val="center"/>
                    <w:rPr>
                      <w:color w:val="000000"/>
                      <w:kern w:val="0"/>
                      <w:szCs w:val="21"/>
                    </w:rPr>
                  </w:pPr>
                  <w:r>
                    <w:rPr>
                      <w:color w:val="000000"/>
                      <w:kern w:val="0"/>
                      <w:szCs w:val="21"/>
                    </w:rPr>
                    <w:t>0.44</w:t>
                  </w:r>
                </w:p>
              </w:tc>
            </w:tr>
          </w:tbl>
          <w:p w14:paraId="22B7264E">
            <w:pPr>
              <w:widowControl/>
              <w:adjustRightInd w:val="0"/>
              <w:spacing w:line="360" w:lineRule="auto"/>
              <w:ind w:firstLine="442" w:firstLineChars="200"/>
              <w:jc w:val="center"/>
              <w:rPr>
                <w:b/>
                <w:color w:val="000000"/>
                <w:kern w:val="0"/>
                <w:sz w:val="22"/>
              </w:rPr>
            </w:pPr>
            <w:r>
              <w:rPr>
                <w:rFonts w:hint="eastAsia"/>
                <w:b/>
                <w:color w:val="000000"/>
                <w:kern w:val="0"/>
                <w:sz w:val="22"/>
              </w:rPr>
              <w:t>表</w:t>
            </w:r>
            <w:r>
              <w:rPr>
                <w:b/>
                <w:color w:val="000000"/>
                <w:kern w:val="0"/>
                <w:sz w:val="22"/>
              </w:rPr>
              <w:t xml:space="preserve">4-5 </w:t>
            </w:r>
            <w:r>
              <w:rPr>
                <w:rFonts w:hint="eastAsia"/>
                <w:b/>
                <w:color w:val="000000"/>
                <w:kern w:val="0"/>
                <w:sz w:val="22"/>
              </w:rPr>
              <w:t>大气污染物无组织排放量核算表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940"/>
              <w:gridCol w:w="734"/>
              <w:gridCol w:w="734"/>
              <w:gridCol w:w="833"/>
              <w:gridCol w:w="2216"/>
              <w:gridCol w:w="1197"/>
              <w:gridCol w:w="1214"/>
            </w:tblGrid>
            <w:tr w14:paraId="1F2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14:paraId="6F09BB2A">
                  <w:pPr>
                    <w:widowControl/>
                    <w:jc w:val="center"/>
                    <w:rPr>
                      <w:color w:val="000000"/>
                      <w:kern w:val="0"/>
                      <w:szCs w:val="22"/>
                    </w:rPr>
                  </w:pPr>
                  <w:r>
                    <w:rPr>
                      <w:rFonts w:hint="eastAsia"/>
                      <w:color w:val="000000"/>
                      <w:kern w:val="0"/>
                      <w:szCs w:val="22"/>
                    </w:rPr>
                    <w:t>序号</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14:paraId="065A6B27">
                  <w:pPr>
                    <w:widowControl/>
                    <w:jc w:val="center"/>
                    <w:rPr>
                      <w:color w:val="000000"/>
                      <w:kern w:val="0"/>
                      <w:szCs w:val="22"/>
                    </w:rPr>
                  </w:pPr>
                  <w:r>
                    <w:rPr>
                      <w:rFonts w:hint="eastAsia"/>
                      <w:color w:val="000000"/>
                      <w:kern w:val="0"/>
                      <w:szCs w:val="22"/>
                    </w:rPr>
                    <w:t>排放口编号</w:t>
                  </w:r>
                </w:p>
              </w:tc>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14:paraId="547F918A">
                  <w:pPr>
                    <w:widowControl/>
                    <w:jc w:val="center"/>
                    <w:rPr>
                      <w:color w:val="000000"/>
                      <w:kern w:val="0"/>
                      <w:szCs w:val="22"/>
                    </w:rPr>
                  </w:pPr>
                  <w:r>
                    <w:rPr>
                      <w:rFonts w:hint="eastAsia"/>
                      <w:color w:val="000000"/>
                      <w:kern w:val="0"/>
                      <w:szCs w:val="22"/>
                    </w:rPr>
                    <w:t>产污环节</w:t>
                  </w:r>
                </w:p>
              </w:tc>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14:paraId="06E2F54D">
                  <w:pPr>
                    <w:widowControl/>
                    <w:jc w:val="center"/>
                    <w:rPr>
                      <w:color w:val="000000"/>
                      <w:kern w:val="0"/>
                      <w:szCs w:val="22"/>
                    </w:rPr>
                  </w:pPr>
                  <w:r>
                    <w:rPr>
                      <w:rFonts w:hint="eastAsia"/>
                      <w:color w:val="000000"/>
                      <w:kern w:val="0"/>
                      <w:szCs w:val="22"/>
                    </w:rPr>
                    <w:t>污染物</w:t>
                  </w:r>
                </w:p>
              </w:tc>
              <w:tc>
                <w:tcPr>
                  <w:tcW w:w="833" w:type="dxa"/>
                  <w:vMerge w:val="restart"/>
                  <w:tcBorders>
                    <w:top w:val="single" w:color="auto" w:sz="4" w:space="0"/>
                    <w:left w:val="single" w:color="auto" w:sz="4" w:space="0"/>
                    <w:bottom w:val="single" w:color="auto" w:sz="4" w:space="0"/>
                    <w:right w:val="single" w:color="auto" w:sz="4" w:space="0"/>
                  </w:tcBorders>
                  <w:noWrap w:val="0"/>
                  <w:vAlign w:val="center"/>
                </w:tcPr>
                <w:p w14:paraId="30375B3C">
                  <w:pPr>
                    <w:widowControl/>
                    <w:jc w:val="center"/>
                    <w:rPr>
                      <w:color w:val="000000"/>
                      <w:kern w:val="0"/>
                      <w:szCs w:val="22"/>
                    </w:rPr>
                  </w:pPr>
                  <w:r>
                    <w:rPr>
                      <w:rFonts w:hint="eastAsia"/>
                      <w:color w:val="000000"/>
                      <w:kern w:val="0"/>
                      <w:szCs w:val="22"/>
                    </w:rPr>
                    <w:t>主要污染防治措施</w:t>
                  </w:r>
                </w:p>
              </w:tc>
              <w:tc>
                <w:tcPr>
                  <w:tcW w:w="3413" w:type="dxa"/>
                  <w:gridSpan w:val="2"/>
                  <w:tcBorders>
                    <w:top w:val="single" w:color="auto" w:sz="4" w:space="0"/>
                    <w:left w:val="single" w:color="auto" w:sz="4" w:space="0"/>
                    <w:bottom w:val="single" w:color="auto" w:sz="4" w:space="0"/>
                    <w:right w:val="single" w:color="auto" w:sz="4" w:space="0"/>
                  </w:tcBorders>
                  <w:noWrap w:val="0"/>
                  <w:vAlign w:val="center"/>
                </w:tcPr>
                <w:p w14:paraId="31DB5CA1">
                  <w:pPr>
                    <w:widowControl/>
                    <w:jc w:val="center"/>
                    <w:rPr>
                      <w:color w:val="000000"/>
                      <w:kern w:val="0"/>
                      <w:szCs w:val="22"/>
                    </w:rPr>
                  </w:pPr>
                  <w:r>
                    <w:rPr>
                      <w:rFonts w:hint="eastAsia"/>
                      <w:color w:val="000000"/>
                      <w:kern w:val="0"/>
                      <w:szCs w:val="22"/>
                    </w:rPr>
                    <w:t>污染物排放标准</w:t>
                  </w:r>
                </w:p>
              </w:tc>
              <w:tc>
                <w:tcPr>
                  <w:tcW w:w="1214" w:type="dxa"/>
                  <w:vMerge w:val="restart"/>
                  <w:tcBorders>
                    <w:top w:val="single" w:color="auto" w:sz="4" w:space="0"/>
                    <w:left w:val="single" w:color="auto" w:sz="4" w:space="0"/>
                    <w:bottom w:val="single" w:color="auto" w:sz="4" w:space="0"/>
                    <w:right w:val="single" w:color="auto" w:sz="4" w:space="0"/>
                  </w:tcBorders>
                  <w:noWrap w:val="0"/>
                  <w:vAlign w:val="center"/>
                </w:tcPr>
                <w:p w14:paraId="03EF1F49">
                  <w:pPr>
                    <w:widowControl/>
                    <w:jc w:val="center"/>
                    <w:rPr>
                      <w:color w:val="000000"/>
                      <w:kern w:val="0"/>
                      <w:szCs w:val="22"/>
                    </w:rPr>
                  </w:pPr>
                  <w:r>
                    <w:rPr>
                      <w:rFonts w:hint="eastAsia"/>
                      <w:color w:val="000000"/>
                      <w:kern w:val="0"/>
                      <w:szCs w:val="22"/>
                    </w:rPr>
                    <w:t>年排放量t</w:t>
                  </w:r>
                </w:p>
              </w:tc>
            </w:tr>
            <w:tr w14:paraId="6A03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13D537A4">
                  <w:pPr>
                    <w:widowControl/>
                    <w:jc w:val="center"/>
                    <w:rPr>
                      <w:color w:val="000000"/>
                      <w:kern w:val="0"/>
                      <w:szCs w:val="22"/>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14:paraId="03F0114A">
                  <w:pPr>
                    <w:widowControl/>
                    <w:jc w:val="center"/>
                    <w:rPr>
                      <w:color w:val="000000"/>
                      <w:kern w:val="0"/>
                      <w:szCs w:val="22"/>
                    </w:rPr>
                  </w:pP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14:paraId="6AD89E54">
                  <w:pPr>
                    <w:widowControl/>
                    <w:jc w:val="center"/>
                    <w:rPr>
                      <w:color w:val="000000"/>
                      <w:kern w:val="0"/>
                      <w:szCs w:val="22"/>
                    </w:rPr>
                  </w:pPr>
                </w:p>
              </w:tc>
              <w:tc>
                <w:tcPr>
                  <w:tcW w:w="734" w:type="dxa"/>
                  <w:vMerge w:val="continue"/>
                  <w:tcBorders>
                    <w:top w:val="single" w:color="auto" w:sz="4" w:space="0"/>
                    <w:left w:val="single" w:color="auto" w:sz="4" w:space="0"/>
                    <w:bottom w:val="single" w:color="auto" w:sz="4" w:space="0"/>
                    <w:right w:val="single" w:color="auto" w:sz="4" w:space="0"/>
                  </w:tcBorders>
                  <w:noWrap w:val="0"/>
                  <w:vAlign w:val="center"/>
                </w:tcPr>
                <w:p w14:paraId="48AE5B0A">
                  <w:pPr>
                    <w:widowControl/>
                    <w:jc w:val="center"/>
                    <w:rPr>
                      <w:color w:val="000000"/>
                      <w:kern w:val="0"/>
                      <w:szCs w:val="22"/>
                    </w:rPr>
                  </w:pPr>
                </w:p>
              </w:tc>
              <w:tc>
                <w:tcPr>
                  <w:tcW w:w="833" w:type="dxa"/>
                  <w:vMerge w:val="continue"/>
                  <w:tcBorders>
                    <w:top w:val="single" w:color="auto" w:sz="4" w:space="0"/>
                    <w:left w:val="single" w:color="auto" w:sz="4" w:space="0"/>
                    <w:bottom w:val="single" w:color="auto" w:sz="4" w:space="0"/>
                    <w:right w:val="single" w:color="auto" w:sz="4" w:space="0"/>
                  </w:tcBorders>
                  <w:noWrap w:val="0"/>
                  <w:vAlign w:val="center"/>
                </w:tcPr>
                <w:p w14:paraId="68283CD4">
                  <w:pPr>
                    <w:widowControl/>
                    <w:jc w:val="center"/>
                    <w:rPr>
                      <w:color w:val="000000"/>
                      <w:kern w:val="0"/>
                      <w:szCs w:val="22"/>
                    </w:rPr>
                  </w:pPr>
                </w:p>
              </w:tc>
              <w:tc>
                <w:tcPr>
                  <w:tcW w:w="2216" w:type="dxa"/>
                  <w:tcBorders>
                    <w:top w:val="single" w:color="auto" w:sz="4" w:space="0"/>
                    <w:left w:val="single" w:color="auto" w:sz="4" w:space="0"/>
                    <w:bottom w:val="single" w:color="auto" w:sz="4" w:space="0"/>
                    <w:right w:val="single" w:color="auto" w:sz="4" w:space="0"/>
                  </w:tcBorders>
                  <w:noWrap w:val="0"/>
                  <w:vAlign w:val="center"/>
                </w:tcPr>
                <w:p w14:paraId="396B7B2D">
                  <w:pPr>
                    <w:widowControl/>
                    <w:jc w:val="center"/>
                    <w:rPr>
                      <w:color w:val="000000"/>
                      <w:kern w:val="0"/>
                      <w:szCs w:val="22"/>
                    </w:rPr>
                  </w:pPr>
                  <w:r>
                    <w:rPr>
                      <w:rFonts w:hint="eastAsia"/>
                      <w:color w:val="000000"/>
                      <w:kern w:val="0"/>
                      <w:szCs w:val="22"/>
                    </w:rPr>
                    <w:t>标准名称</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3C26499D">
                  <w:pPr>
                    <w:widowControl/>
                    <w:jc w:val="center"/>
                    <w:rPr>
                      <w:color w:val="000000"/>
                      <w:kern w:val="0"/>
                      <w:szCs w:val="22"/>
                    </w:rPr>
                  </w:pPr>
                  <w:r>
                    <w:rPr>
                      <w:rFonts w:hint="eastAsia"/>
                      <w:color w:val="000000"/>
                      <w:kern w:val="0"/>
                      <w:szCs w:val="22"/>
                    </w:rPr>
                    <w:t>浓度限值</w:t>
                  </w:r>
                </w:p>
                <w:p w14:paraId="7E1F4813">
                  <w:pPr>
                    <w:widowControl/>
                    <w:jc w:val="center"/>
                    <w:rPr>
                      <w:color w:val="000000"/>
                      <w:kern w:val="0"/>
                      <w:szCs w:val="22"/>
                    </w:rPr>
                  </w:pPr>
                  <w:r>
                    <w:rPr>
                      <w:rFonts w:hint="eastAsia"/>
                      <w:color w:val="000000"/>
                      <w:kern w:val="0"/>
                      <w:szCs w:val="22"/>
                    </w:rPr>
                    <w:t>（</w:t>
                  </w:r>
                  <w:r>
                    <w:rPr>
                      <w:color w:val="000000"/>
                      <w:kern w:val="0"/>
                      <w:szCs w:val="22"/>
                    </w:rPr>
                    <w:t>mg/m</w:t>
                  </w:r>
                  <w:r>
                    <w:rPr>
                      <w:color w:val="000000"/>
                      <w:kern w:val="0"/>
                      <w:szCs w:val="22"/>
                      <w:vertAlign w:val="superscript"/>
                    </w:rPr>
                    <w:t>3</w:t>
                  </w:r>
                  <w:r>
                    <w:rPr>
                      <w:rFonts w:hint="eastAsia"/>
                      <w:color w:val="000000"/>
                      <w:kern w:val="0"/>
                      <w:szCs w:val="22"/>
                    </w:rPr>
                    <w:t>）</w:t>
                  </w:r>
                </w:p>
              </w:tc>
              <w:tc>
                <w:tcPr>
                  <w:tcW w:w="1214" w:type="dxa"/>
                  <w:vMerge w:val="continue"/>
                  <w:tcBorders>
                    <w:top w:val="single" w:color="auto" w:sz="4" w:space="0"/>
                    <w:left w:val="single" w:color="auto" w:sz="4" w:space="0"/>
                    <w:bottom w:val="single" w:color="auto" w:sz="4" w:space="0"/>
                    <w:right w:val="single" w:color="auto" w:sz="4" w:space="0"/>
                  </w:tcBorders>
                  <w:noWrap w:val="0"/>
                  <w:vAlign w:val="center"/>
                </w:tcPr>
                <w:p w14:paraId="769F6A39">
                  <w:pPr>
                    <w:widowControl/>
                    <w:jc w:val="center"/>
                    <w:rPr>
                      <w:color w:val="000000"/>
                      <w:kern w:val="0"/>
                      <w:szCs w:val="22"/>
                    </w:rPr>
                  </w:pPr>
                </w:p>
              </w:tc>
            </w:tr>
            <w:tr w14:paraId="0766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Height w:val="273" w:hRule="atLeast"/>
              </w:trPr>
              <w:tc>
                <w:tcPr>
                  <w:tcW w:w="428" w:type="dxa"/>
                  <w:tcBorders>
                    <w:top w:val="single" w:color="auto" w:sz="4" w:space="0"/>
                    <w:left w:val="single" w:color="auto" w:sz="4" w:space="0"/>
                    <w:bottom w:val="single" w:color="auto" w:sz="4" w:space="0"/>
                    <w:right w:val="single" w:color="auto" w:sz="4" w:space="0"/>
                  </w:tcBorders>
                  <w:noWrap w:val="0"/>
                  <w:vAlign w:val="center"/>
                </w:tcPr>
                <w:p w14:paraId="47243B5D">
                  <w:pPr>
                    <w:widowControl/>
                    <w:jc w:val="center"/>
                    <w:rPr>
                      <w:color w:val="000000"/>
                      <w:kern w:val="0"/>
                      <w:szCs w:val="22"/>
                    </w:rPr>
                  </w:pPr>
                  <w:r>
                    <w:rPr>
                      <w:color w:val="000000"/>
                      <w:kern w:val="0"/>
                      <w:szCs w:val="22"/>
                    </w:rPr>
                    <w:t>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775D1EE3">
                  <w:pPr>
                    <w:widowControl/>
                    <w:jc w:val="center"/>
                    <w:rPr>
                      <w:color w:val="000000"/>
                      <w:kern w:val="0"/>
                      <w:szCs w:val="21"/>
                    </w:rPr>
                  </w:pPr>
                  <w:r>
                    <w:rPr>
                      <w:rFonts w:hint="eastAsia"/>
                      <w:color w:val="000000"/>
                      <w:szCs w:val="21"/>
                    </w:rPr>
                    <w:t>MF00</w:t>
                  </w:r>
                  <w:r>
                    <w:rPr>
                      <w:color w:val="000000"/>
                      <w:szCs w:val="21"/>
                    </w:rPr>
                    <w:t>0</w:t>
                  </w:r>
                  <w:r>
                    <w:rPr>
                      <w:rFonts w:hint="eastAsia"/>
                      <w:color w:val="000000"/>
                      <w:szCs w:val="21"/>
                    </w:rPr>
                    <w:t>1</w:t>
                  </w:r>
                </w:p>
              </w:tc>
              <w:tc>
                <w:tcPr>
                  <w:tcW w:w="734" w:type="dxa"/>
                  <w:tcBorders>
                    <w:top w:val="single" w:color="auto" w:sz="4" w:space="0"/>
                    <w:left w:val="single" w:color="auto" w:sz="4" w:space="0"/>
                    <w:right w:val="single" w:color="auto" w:sz="4" w:space="0"/>
                  </w:tcBorders>
                  <w:noWrap w:val="0"/>
                  <w:vAlign w:val="center"/>
                </w:tcPr>
                <w:p w14:paraId="513219E1">
                  <w:pPr>
                    <w:widowControl/>
                    <w:jc w:val="center"/>
                    <w:rPr>
                      <w:color w:val="000000"/>
                      <w:kern w:val="0"/>
                      <w:szCs w:val="22"/>
                    </w:rPr>
                  </w:pPr>
                  <w:r>
                    <w:rPr>
                      <w:color w:val="000000"/>
                      <w:kern w:val="0"/>
                      <w:szCs w:val="22"/>
                    </w:rPr>
                    <w:t>染色、脱色</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6B2604F8">
                  <w:pPr>
                    <w:widowControl/>
                    <w:adjustRightInd w:val="0"/>
                    <w:jc w:val="center"/>
                    <w:rPr>
                      <w:color w:val="000000"/>
                      <w:kern w:val="0"/>
                      <w:szCs w:val="21"/>
                    </w:rPr>
                  </w:pPr>
                  <w:r>
                    <w:rPr>
                      <w:color w:val="000000"/>
                      <w:kern w:val="0"/>
                      <w:szCs w:val="21"/>
                    </w:rPr>
                    <w:t>甲醇</w:t>
                  </w:r>
                </w:p>
              </w:tc>
              <w:tc>
                <w:tcPr>
                  <w:tcW w:w="833" w:type="dxa"/>
                  <w:tcBorders>
                    <w:top w:val="single" w:color="auto" w:sz="4" w:space="0"/>
                    <w:left w:val="single" w:color="auto" w:sz="4" w:space="0"/>
                    <w:right w:val="single" w:color="auto" w:sz="4" w:space="0"/>
                  </w:tcBorders>
                  <w:noWrap w:val="0"/>
                  <w:vAlign w:val="center"/>
                </w:tcPr>
                <w:p w14:paraId="3B51033C">
                  <w:pPr>
                    <w:widowControl/>
                    <w:jc w:val="center"/>
                    <w:rPr>
                      <w:rFonts w:hint="eastAsia"/>
                      <w:color w:val="000000"/>
                      <w:kern w:val="0"/>
                      <w:szCs w:val="21"/>
                    </w:rPr>
                  </w:pPr>
                  <w:r>
                    <w:rPr>
                      <w:color w:val="000000"/>
                      <w:kern w:val="0"/>
                      <w:szCs w:val="21"/>
                    </w:rPr>
                    <w:t>密闭</w:t>
                  </w:r>
                </w:p>
              </w:tc>
              <w:tc>
                <w:tcPr>
                  <w:tcW w:w="2216" w:type="dxa"/>
                  <w:tcBorders>
                    <w:top w:val="single" w:color="auto" w:sz="4" w:space="0"/>
                    <w:left w:val="single" w:color="auto" w:sz="4" w:space="0"/>
                    <w:right w:val="single" w:color="auto" w:sz="4" w:space="0"/>
                  </w:tcBorders>
                  <w:noWrap w:val="0"/>
                  <w:vAlign w:val="center"/>
                </w:tcPr>
                <w:p w14:paraId="510445E9">
                  <w:pPr>
                    <w:widowControl/>
                    <w:jc w:val="center"/>
                    <w:rPr>
                      <w:color w:val="000000"/>
                      <w:kern w:val="0"/>
                      <w:szCs w:val="21"/>
                    </w:rPr>
                  </w:pPr>
                  <w:r>
                    <w:rPr>
                      <w:color w:val="000000"/>
                      <w:szCs w:val="22"/>
                    </w:rPr>
                    <w:t>《大气污染物综合排放</w:t>
                  </w:r>
                  <w:r>
                    <w:rPr>
                      <w:color w:val="000000"/>
                    </w:rPr>
                    <w:t>标准》（GB16297-1996）</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5E2C8CF">
                  <w:pPr>
                    <w:widowControl/>
                    <w:jc w:val="center"/>
                    <w:rPr>
                      <w:color w:val="000000"/>
                      <w:kern w:val="0"/>
                      <w:szCs w:val="22"/>
                    </w:rPr>
                  </w:pPr>
                  <w:r>
                    <w:rPr>
                      <w:rFonts w:hint="eastAsia"/>
                      <w:color w:val="000000"/>
                      <w:kern w:val="0"/>
                      <w:szCs w:val="22"/>
                    </w:rPr>
                    <w:t>12</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F5121AD">
                  <w:pPr>
                    <w:widowControl/>
                    <w:jc w:val="center"/>
                    <w:rPr>
                      <w:color w:val="000000"/>
                      <w:kern w:val="0"/>
                      <w:szCs w:val="22"/>
                    </w:rPr>
                  </w:pPr>
                  <w:r>
                    <w:rPr>
                      <w:rFonts w:hint="eastAsia"/>
                      <w:color w:val="000000"/>
                      <w:kern w:val="0"/>
                      <w:szCs w:val="22"/>
                    </w:rPr>
                    <w:t>0.046</w:t>
                  </w:r>
                </w:p>
              </w:tc>
            </w:tr>
          </w:tbl>
          <w:p w14:paraId="26C48E36">
            <w:pPr>
              <w:widowControl/>
              <w:spacing w:line="360" w:lineRule="auto"/>
              <w:ind w:firstLine="480" w:firstLineChars="200"/>
              <w:jc w:val="left"/>
              <w:rPr>
                <w:color w:val="000000"/>
                <w:kern w:val="0"/>
                <w:sz w:val="24"/>
                <w:szCs w:val="22"/>
              </w:rPr>
            </w:pPr>
            <w:r>
              <w:rPr>
                <w:rFonts w:hint="eastAsia"/>
                <w:color w:val="000000"/>
                <w:kern w:val="0"/>
                <w:sz w:val="24"/>
                <w:szCs w:val="22"/>
              </w:rPr>
              <w:t>大气污染物年排放量核算见下表。</w:t>
            </w:r>
          </w:p>
          <w:p w14:paraId="76A2B88B">
            <w:pPr>
              <w:widowControl/>
              <w:adjustRightInd w:val="0"/>
              <w:spacing w:line="360" w:lineRule="auto"/>
              <w:ind w:firstLine="442" w:firstLineChars="200"/>
              <w:jc w:val="center"/>
              <w:rPr>
                <w:b/>
                <w:color w:val="000000"/>
                <w:kern w:val="0"/>
                <w:sz w:val="22"/>
              </w:rPr>
            </w:pPr>
            <w:r>
              <w:rPr>
                <w:rFonts w:hint="eastAsia"/>
                <w:b/>
                <w:color w:val="000000"/>
                <w:kern w:val="0"/>
                <w:sz w:val="22"/>
              </w:rPr>
              <w:t>表</w:t>
            </w:r>
            <w:r>
              <w:rPr>
                <w:b/>
                <w:color w:val="000000"/>
                <w:kern w:val="0"/>
                <w:sz w:val="22"/>
              </w:rPr>
              <w:t xml:space="preserve">4-6 </w:t>
            </w:r>
            <w:r>
              <w:rPr>
                <w:rFonts w:hint="eastAsia"/>
                <w:b/>
                <w:color w:val="000000"/>
                <w:kern w:val="0"/>
                <w:sz w:val="22"/>
              </w:rPr>
              <w:t>大气污染物年排放量核算表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2755"/>
              <w:gridCol w:w="2792"/>
            </w:tblGrid>
            <w:tr w14:paraId="62D4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2749" w:type="dxa"/>
                  <w:tcBorders>
                    <w:top w:val="single" w:color="auto" w:sz="4" w:space="0"/>
                    <w:left w:val="single" w:color="auto" w:sz="4" w:space="0"/>
                    <w:bottom w:val="single" w:color="auto" w:sz="4" w:space="0"/>
                    <w:right w:val="single" w:color="auto" w:sz="4" w:space="0"/>
                  </w:tcBorders>
                  <w:noWrap w:val="0"/>
                  <w:vAlign w:val="top"/>
                </w:tcPr>
                <w:p w14:paraId="1708D314">
                  <w:pPr>
                    <w:widowControl/>
                    <w:jc w:val="center"/>
                    <w:rPr>
                      <w:color w:val="000000"/>
                      <w:kern w:val="0"/>
                      <w:szCs w:val="22"/>
                    </w:rPr>
                  </w:pPr>
                  <w:r>
                    <w:rPr>
                      <w:rFonts w:hint="eastAsia"/>
                      <w:color w:val="000000"/>
                      <w:kern w:val="0"/>
                      <w:szCs w:val="22"/>
                    </w:rPr>
                    <w:t>序号</w:t>
                  </w:r>
                </w:p>
              </w:tc>
              <w:tc>
                <w:tcPr>
                  <w:tcW w:w="2755" w:type="dxa"/>
                  <w:tcBorders>
                    <w:top w:val="single" w:color="auto" w:sz="4" w:space="0"/>
                    <w:left w:val="single" w:color="auto" w:sz="4" w:space="0"/>
                    <w:bottom w:val="single" w:color="auto" w:sz="4" w:space="0"/>
                    <w:right w:val="single" w:color="auto" w:sz="4" w:space="0"/>
                  </w:tcBorders>
                  <w:noWrap w:val="0"/>
                  <w:vAlign w:val="top"/>
                </w:tcPr>
                <w:p w14:paraId="6717F137">
                  <w:pPr>
                    <w:widowControl/>
                    <w:jc w:val="center"/>
                    <w:rPr>
                      <w:color w:val="000000"/>
                      <w:kern w:val="0"/>
                      <w:szCs w:val="22"/>
                    </w:rPr>
                  </w:pPr>
                  <w:r>
                    <w:rPr>
                      <w:rFonts w:hint="eastAsia"/>
                      <w:color w:val="000000"/>
                      <w:kern w:val="0"/>
                      <w:szCs w:val="22"/>
                    </w:rPr>
                    <w:t>污染物</w:t>
                  </w:r>
                </w:p>
              </w:tc>
              <w:tc>
                <w:tcPr>
                  <w:tcW w:w="2792" w:type="dxa"/>
                  <w:tcBorders>
                    <w:top w:val="single" w:color="auto" w:sz="4" w:space="0"/>
                    <w:left w:val="single" w:color="auto" w:sz="4" w:space="0"/>
                    <w:bottom w:val="single" w:color="auto" w:sz="4" w:space="0"/>
                    <w:right w:val="single" w:color="auto" w:sz="4" w:space="0"/>
                  </w:tcBorders>
                  <w:noWrap w:val="0"/>
                  <w:vAlign w:val="top"/>
                </w:tcPr>
                <w:p w14:paraId="103768BF">
                  <w:pPr>
                    <w:widowControl/>
                    <w:jc w:val="center"/>
                    <w:rPr>
                      <w:color w:val="000000"/>
                      <w:kern w:val="0"/>
                      <w:szCs w:val="22"/>
                    </w:rPr>
                  </w:pPr>
                  <w:r>
                    <w:rPr>
                      <w:rFonts w:hint="eastAsia"/>
                      <w:color w:val="000000"/>
                      <w:kern w:val="0"/>
                      <w:szCs w:val="22"/>
                    </w:rPr>
                    <w:t>年排放量</w:t>
                  </w:r>
                  <w:r>
                    <w:rPr>
                      <w:color w:val="000000"/>
                      <w:kern w:val="0"/>
                      <w:szCs w:val="22"/>
                    </w:rPr>
                    <w:t>t/a</w:t>
                  </w:r>
                </w:p>
              </w:tc>
            </w:tr>
            <w:tr w14:paraId="5CCB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dxa"/>
              </w:trPr>
              <w:tc>
                <w:tcPr>
                  <w:tcW w:w="2749" w:type="dxa"/>
                  <w:tcBorders>
                    <w:top w:val="single" w:color="auto" w:sz="4" w:space="0"/>
                    <w:left w:val="single" w:color="auto" w:sz="4" w:space="0"/>
                    <w:bottom w:val="single" w:color="auto" w:sz="4" w:space="0"/>
                    <w:right w:val="single" w:color="auto" w:sz="4" w:space="0"/>
                  </w:tcBorders>
                  <w:noWrap w:val="0"/>
                  <w:vAlign w:val="top"/>
                </w:tcPr>
                <w:p w14:paraId="239A0D74">
                  <w:pPr>
                    <w:widowControl/>
                    <w:jc w:val="center"/>
                    <w:rPr>
                      <w:color w:val="000000"/>
                      <w:kern w:val="0"/>
                      <w:szCs w:val="22"/>
                    </w:rPr>
                  </w:pPr>
                  <w:r>
                    <w:rPr>
                      <w:color w:val="000000"/>
                      <w:kern w:val="0"/>
                      <w:szCs w:val="22"/>
                    </w:rPr>
                    <w:t>1</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284909FB">
                  <w:pPr>
                    <w:widowControl/>
                    <w:adjustRightInd w:val="0"/>
                    <w:jc w:val="center"/>
                    <w:rPr>
                      <w:color w:val="000000"/>
                      <w:kern w:val="0"/>
                      <w:szCs w:val="21"/>
                    </w:rPr>
                  </w:pPr>
                  <w:r>
                    <w:rPr>
                      <w:color w:val="000000"/>
                      <w:kern w:val="0"/>
                      <w:szCs w:val="21"/>
                    </w:rPr>
                    <w:t>甲醇</w:t>
                  </w:r>
                </w:p>
              </w:tc>
              <w:tc>
                <w:tcPr>
                  <w:tcW w:w="2792" w:type="dxa"/>
                  <w:tcBorders>
                    <w:top w:val="single" w:color="auto" w:sz="4" w:space="0"/>
                    <w:left w:val="single" w:color="auto" w:sz="4" w:space="0"/>
                    <w:bottom w:val="single" w:color="auto" w:sz="4" w:space="0"/>
                    <w:right w:val="single" w:color="auto" w:sz="4" w:space="0"/>
                  </w:tcBorders>
                  <w:noWrap w:val="0"/>
                  <w:vAlign w:val="bottom"/>
                </w:tcPr>
                <w:p w14:paraId="7F897DA7">
                  <w:pPr>
                    <w:widowControl/>
                    <w:adjustRightInd w:val="0"/>
                    <w:jc w:val="center"/>
                    <w:rPr>
                      <w:color w:val="000000"/>
                      <w:kern w:val="0"/>
                      <w:szCs w:val="21"/>
                    </w:rPr>
                  </w:pPr>
                  <w:r>
                    <w:rPr>
                      <w:color w:val="000000"/>
                      <w:kern w:val="0"/>
                      <w:szCs w:val="21"/>
                    </w:rPr>
                    <w:t>0.486</w:t>
                  </w:r>
                </w:p>
              </w:tc>
            </w:tr>
          </w:tbl>
          <w:p w14:paraId="7FDB1D13">
            <w:pPr>
              <w:spacing w:line="360" w:lineRule="auto"/>
              <w:ind w:firstLine="480" w:firstLineChars="200"/>
              <w:rPr>
                <w:color w:val="000000"/>
                <w:sz w:val="24"/>
              </w:rPr>
            </w:pPr>
            <w:r>
              <w:rPr>
                <w:rFonts w:hint="eastAsia"/>
                <w:color w:val="000000"/>
                <w:sz w:val="24"/>
              </w:rPr>
              <w:t>（3）非正常排放情况影响分析</w:t>
            </w:r>
          </w:p>
          <w:p w14:paraId="466892BF">
            <w:pPr>
              <w:pStyle w:val="54"/>
              <w:tabs>
                <w:tab w:val="left" w:pos="670"/>
                <w:tab w:val="left" w:pos="671"/>
              </w:tabs>
              <w:spacing w:line="360" w:lineRule="auto"/>
              <w:ind w:left="0" w:firstLine="480" w:firstLineChars="200"/>
              <w:rPr>
                <w:color w:val="000000"/>
                <w:sz w:val="24"/>
              </w:rPr>
            </w:pPr>
            <w:r>
              <w:rPr>
                <w:rFonts w:hint="eastAsia"/>
                <w:color w:val="000000"/>
                <w:sz w:val="24"/>
              </w:rPr>
              <w:t>非正常排放主要考虑废气治理设备故障等情况，</w:t>
            </w:r>
            <w:r>
              <w:rPr>
                <w:color w:val="000000"/>
                <w:sz w:val="24"/>
              </w:rPr>
              <w:t>此种情况下，</w:t>
            </w:r>
            <w:r>
              <w:rPr>
                <w:rFonts w:hint="eastAsia"/>
                <w:color w:val="000000"/>
                <w:sz w:val="24"/>
              </w:rPr>
              <w:t>假设废气处理装置</w:t>
            </w:r>
            <w:r>
              <w:rPr>
                <w:rFonts w:ascii="宋体" w:hAnsi="宋体"/>
                <w:color w:val="000000"/>
                <w:sz w:val="24"/>
              </w:rPr>
              <w:t>“</w:t>
            </w:r>
            <w:r>
              <w:rPr>
                <w:rFonts w:hint="eastAsia" w:ascii="宋体" w:hAnsi="宋体"/>
                <w:color w:val="000000"/>
                <w:sz w:val="24"/>
              </w:rPr>
              <w:t>活性炭吸附</w:t>
            </w:r>
            <w:r>
              <w:rPr>
                <w:rFonts w:ascii="宋体" w:hAnsi="宋体"/>
                <w:color w:val="000000"/>
                <w:sz w:val="24"/>
              </w:rPr>
              <w:t>”</w:t>
            </w:r>
            <w:r>
              <w:rPr>
                <w:color w:val="000000"/>
                <w:sz w:val="24"/>
              </w:rPr>
              <w:t>装置处理效率</w:t>
            </w:r>
            <w:r>
              <w:rPr>
                <w:rFonts w:hint="eastAsia"/>
                <w:color w:val="000000"/>
                <w:sz w:val="24"/>
              </w:rPr>
              <w:t>0%的情况，</w:t>
            </w:r>
            <w:r>
              <w:rPr>
                <w:color w:val="000000"/>
                <w:sz w:val="24"/>
              </w:rPr>
              <w:t>有组织废气非正常排放条件及源强见下表。</w:t>
            </w:r>
          </w:p>
          <w:p w14:paraId="7AD6812B">
            <w:pPr>
              <w:widowControl/>
              <w:ind w:firstLine="482"/>
              <w:jc w:val="center"/>
              <w:rPr>
                <w:b/>
                <w:bCs/>
                <w:color w:val="000000"/>
              </w:rPr>
            </w:pPr>
            <w:r>
              <w:rPr>
                <w:rFonts w:hint="eastAsia"/>
                <w:b/>
                <w:bCs/>
                <w:color w:val="000000"/>
              </w:rPr>
              <w:t>表</w:t>
            </w:r>
            <w:r>
              <w:rPr>
                <w:b/>
                <w:bCs/>
                <w:color w:val="000000"/>
              </w:rPr>
              <w:t xml:space="preserve">4-7  </w:t>
            </w:r>
            <w:r>
              <w:rPr>
                <w:rFonts w:hint="eastAsia"/>
                <w:b/>
                <w:bCs/>
                <w:color w:val="000000"/>
              </w:rPr>
              <w:t>非正常排放参数表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966"/>
              <w:gridCol w:w="968"/>
              <w:gridCol w:w="1683"/>
              <w:gridCol w:w="1297"/>
              <w:gridCol w:w="1220"/>
            </w:tblGrid>
            <w:tr w14:paraId="4F4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Pr>
              <w:tc>
                <w:tcPr>
                  <w:tcW w:w="709" w:type="pct"/>
                  <w:noWrap w:val="0"/>
                  <w:vAlign w:val="center"/>
                </w:tcPr>
                <w:p w14:paraId="508386B9">
                  <w:pPr>
                    <w:widowControl/>
                    <w:jc w:val="center"/>
                    <w:rPr>
                      <w:color w:val="000000"/>
                      <w:szCs w:val="21"/>
                    </w:rPr>
                  </w:pPr>
                  <w:r>
                    <w:rPr>
                      <w:color w:val="000000"/>
                      <w:szCs w:val="21"/>
                    </w:rPr>
                    <w:t>非正常排放源</w:t>
                  </w:r>
                </w:p>
              </w:tc>
              <w:tc>
                <w:tcPr>
                  <w:tcW w:w="1182" w:type="pct"/>
                  <w:noWrap w:val="0"/>
                  <w:vAlign w:val="center"/>
                </w:tcPr>
                <w:p w14:paraId="6CB4B2D2">
                  <w:pPr>
                    <w:widowControl/>
                    <w:jc w:val="center"/>
                    <w:rPr>
                      <w:color w:val="000000"/>
                      <w:szCs w:val="21"/>
                    </w:rPr>
                  </w:pPr>
                  <w:r>
                    <w:rPr>
                      <w:color w:val="000000"/>
                      <w:szCs w:val="21"/>
                    </w:rPr>
                    <w:t>非正常排放原因</w:t>
                  </w:r>
                </w:p>
              </w:tc>
              <w:tc>
                <w:tcPr>
                  <w:tcW w:w="582" w:type="pct"/>
                  <w:noWrap w:val="0"/>
                  <w:vAlign w:val="center"/>
                </w:tcPr>
                <w:p w14:paraId="6E91C4D0">
                  <w:pPr>
                    <w:widowControl/>
                    <w:jc w:val="center"/>
                    <w:rPr>
                      <w:color w:val="000000"/>
                      <w:szCs w:val="21"/>
                    </w:rPr>
                  </w:pPr>
                  <w:r>
                    <w:rPr>
                      <w:color w:val="000000"/>
                      <w:szCs w:val="21"/>
                    </w:rPr>
                    <w:t>污染物</w:t>
                  </w:r>
                </w:p>
              </w:tc>
              <w:tc>
                <w:tcPr>
                  <w:tcW w:w="1012" w:type="pct"/>
                  <w:noWrap w:val="0"/>
                  <w:vAlign w:val="center"/>
                </w:tcPr>
                <w:p w14:paraId="3FF87EF0">
                  <w:pPr>
                    <w:widowControl/>
                    <w:jc w:val="center"/>
                    <w:rPr>
                      <w:color w:val="000000"/>
                      <w:szCs w:val="21"/>
                    </w:rPr>
                  </w:pPr>
                  <w:r>
                    <w:rPr>
                      <w:color w:val="000000"/>
                      <w:szCs w:val="21"/>
                    </w:rPr>
                    <w:t>非正常排放速率（kg/h）</w:t>
                  </w:r>
                </w:p>
              </w:tc>
              <w:tc>
                <w:tcPr>
                  <w:tcW w:w="780" w:type="pct"/>
                  <w:noWrap w:val="0"/>
                  <w:vAlign w:val="center"/>
                </w:tcPr>
                <w:p w14:paraId="3DC3AC23">
                  <w:pPr>
                    <w:widowControl/>
                    <w:jc w:val="center"/>
                    <w:rPr>
                      <w:color w:val="000000"/>
                      <w:szCs w:val="21"/>
                    </w:rPr>
                  </w:pPr>
                  <w:r>
                    <w:rPr>
                      <w:color w:val="000000"/>
                      <w:szCs w:val="21"/>
                    </w:rPr>
                    <w:t>单次持续时间/h</w:t>
                  </w:r>
                </w:p>
              </w:tc>
              <w:tc>
                <w:tcPr>
                  <w:tcW w:w="734" w:type="pct"/>
                  <w:noWrap w:val="0"/>
                  <w:vAlign w:val="center"/>
                </w:tcPr>
                <w:p w14:paraId="1FBAA90D">
                  <w:pPr>
                    <w:widowControl/>
                    <w:jc w:val="center"/>
                    <w:rPr>
                      <w:color w:val="000000"/>
                      <w:szCs w:val="21"/>
                    </w:rPr>
                  </w:pPr>
                  <w:r>
                    <w:rPr>
                      <w:color w:val="000000"/>
                      <w:szCs w:val="21"/>
                    </w:rPr>
                    <w:t>年发生频次/年</w:t>
                  </w:r>
                </w:p>
              </w:tc>
            </w:tr>
            <w:tr w14:paraId="34DE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9" w:type="pct"/>
                  <w:noWrap w:val="0"/>
                  <w:vAlign w:val="center"/>
                </w:tcPr>
                <w:p w14:paraId="05DC3A5B">
                  <w:pPr>
                    <w:widowControl/>
                    <w:jc w:val="center"/>
                    <w:rPr>
                      <w:rFonts w:hint="eastAsia"/>
                      <w:color w:val="000000"/>
                      <w:szCs w:val="21"/>
                    </w:rPr>
                  </w:pPr>
                  <w:r>
                    <w:rPr>
                      <w:color w:val="000000"/>
                      <w:szCs w:val="21"/>
                    </w:rPr>
                    <w:t>除湿间</w:t>
                  </w:r>
                </w:p>
              </w:tc>
              <w:tc>
                <w:tcPr>
                  <w:tcW w:w="1182" w:type="pct"/>
                  <w:noWrap w:val="0"/>
                  <w:vAlign w:val="center"/>
                </w:tcPr>
                <w:p w14:paraId="4D742963">
                  <w:pPr>
                    <w:widowControl/>
                    <w:jc w:val="center"/>
                    <w:rPr>
                      <w:color w:val="000000"/>
                      <w:szCs w:val="21"/>
                    </w:rPr>
                  </w:pPr>
                  <w:r>
                    <w:rPr>
                      <w:color w:val="000000"/>
                      <w:szCs w:val="21"/>
                    </w:rPr>
                    <w:t>活性炭吸附装置失效</w:t>
                  </w:r>
                  <w:r>
                    <w:rPr>
                      <w:rFonts w:hint="eastAsia"/>
                      <w:color w:val="000000"/>
                      <w:szCs w:val="21"/>
                    </w:rPr>
                    <w:t>，</w:t>
                  </w:r>
                  <w:r>
                    <w:rPr>
                      <w:color w:val="000000"/>
                      <w:szCs w:val="21"/>
                    </w:rPr>
                    <w:t>处理效率为</w:t>
                  </w:r>
                  <w:r>
                    <w:rPr>
                      <w:rFonts w:hint="eastAsia"/>
                      <w:color w:val="000000"/>
                      <w:szCs w:val="21"/>
                    </w:rPr>
                    <w:t>0</w:t>
                  </w:r>
                </w:p>
              </w:tc>
              <w:tc>
                <w:tcPr>
                  <w:tcW w:w="582" w:type="pct"/>
                  <w:noWrap w:val="0"/>
                  <w:vAlign w:val="center"/>
                </w:tcPr>
                <w:p w14:paraId="56CFDCE5">
                  <w:pPr>
                    <w:widowControl/>
                    <w:jc w:val="center"/>
                    <w:rPr>
                      <w:color w:val="000000"/>
                      <w:szCs w:val="21"/>
                    </w:rPr>
                  </w:pPr>
                  <w:r>
                    <w:rPr>
                      <w:color w:val="000000"/>
                      <w:szCs w:val="21"/>
                    </w:rPr>
                    <w:t>甲醇</w:t>
                  </w:r>
                </w:p>
              </w:tc>
              <w:tc>
                <w:tcPr>
                  <w:tcW w:w="1012" w:type="pct"/>
                  <w:noWrap w:val="0"/>
                  <w:vAlign w:val="center"/>
                </w:tcPr>
                <w:p w14:paraId="51B48D27">
                  <w:pPr>
                    <w:widowControl/>
                    <w:jc w:val="center"/>
                    <w:rPr>
                      <w:color w:val="000000"/>
                      <w:szCs w:val="21"/>
                    </w:rPr>
                  </w:pPr>
                  <w:r>
                    <w:rPr>
                      <w:color w:val="000000"/>
                      <w:szCs w:val="21"/>
                    </w:rPr>
                    <w:t>1.56</w:t>
                  </w:r>
                </w:p>
              </w:tc>
              <w:tc>
                <w:tcPr>
                  <w:tcW w:w="780" w:type="pct"/>
                  <w:noWrap w:val="0"/>
                  <w:vAlign w:val="center"/>
                </w:tcPr>
                <w:p w14:paraId="0DBD96AF">
                  <w:pPr>
                    <w:widowControl/>
                    <w:jc w:val="center"/>
                    <w:rPr>
                      <w:color w:val="000000"/>
                      <w:szCs w:val="21"/>
                    </w:rPr>
                  </w:pPr>
                  <w:r>
                    <w:rPr>
                      <w:color w:val="000000"/>
                      <w:szCs w:val="21"/>
                    </w:rPr>
                    <w:t>1</w:t>
                  </w:r>
                </w:p>
              </w:tc>
              <w:tc>
                <w:tcPr>
                  <w:tcW w:w="734" w:type="pct"/>
                  <w:noWrap w:val="0"/>
                  <w:vAlign w:val="center"/>
                </w:tcPr>
                <w:p w14:paraId="12647A77">
                  <w:pPr>
                    <w:widowControl/>
                    <w:jc w:val="center"/>
                    <w:rPr>
                      <w:color w:val="000000"/>
                      <w:szCs w:val="21"/>
                    </w:rPr>
                  </w:pPr>
                  <w:r>
                    <w:rPr>
                      <w:color w:val="000000"/>
                      <w:szCs w:val="21"/>
                    </w:rPr>
                    <w:t>1</w:t>
                  </w:r>
                </w:p>
              </w:tc>
            </w:tr>
          </w:tbl>
          <w:p w14:paraId="08B6DA94">
            <w:pPr>
              <w:adjustRightInd w:val="0"/>
              <w:snapToGrid w:val="0"/>
              <w:spacing w:line="360" w:lineRule="auto"/>
              <w:ind w:firstLine="480" w:firstLineChars="200"/>
              <w:rPr>
                <w:b/>
                <w:bCs/>
                <w:color w:val="000000"/>
                <w:sz w:val="24"/>
              </w:rPr>
            </w:pPr>
            <w:r>
              <w:rPr>
                <w:rFonts w:hint="eastAsia"/>
                <w:color w:val="000000"/>
                <w:sz w:val="24"/>
              </w:rPr>
              <w:t>DA001</w:t>
            </w:r>
            <w:r>
              <w:rPr>
                <w:color w:val="000000"/>
                <w:sz w:val="24"/>
              </w:rPr>
              <w:t>排气筒</w:t>
            </w:r>
            <w:r>
              <w:rPr>
                <w:rFonts w:hint="eastAsia"/>
                <w:color w:val="000000"/>
                <w:sz w:val="24"/>
              </w:rPr>
              <w:t>甲醇</w:t>
            </w:r>
            <w:r>
              <w:rPr>
                <w:color w:val="000000"/>
                <w:sz w:val="24"/>
              </w:rPr>
              <w:t>非正常排放对区域环境会产生一定影响，为避免废气污染对厂内员工、周围环境造成影响，建设单位日常运行期间应对</w:t>
            </w:r>
            <w:r>
              <w:rPr>
                <w:rFonts w:hint="eastAsia"/>
                <w:color w:val="000000"/>
                <w:sz w:val="24"/>
              </w:rPr>
              <w:t>活性炭吸附装置</w:t>
            </w:r>
            <w:r>
              <w:rPr>
                <w:color w:val="000000"/>
                <w:sz w:val="24"/>
              </w:rPr>
              <w:t>进行维护和管理，杜绝非正常排放。若发生非正常排放，立即停产检修或及时更换</w:t>
            </w:r>
            <w:r>
              <w:rPr>
                <w:rFonts w:hint="eastAsia"/>
                <w:color w:val="000000"/>
                <w:sz w:val="24"/>
              </w:rPr>
              <w:t>活性炭</w:t>
            </w:r>
            <w:r>
              <w:rPr>
                <w:color w:val="000000"/>
                <w:sz w:val="24"/>
              </w:rPr>
              <w:t>，找出非正常排放的来源。</w:t>
            </w:r>
          </w:p>
          <w:p w14:paraId="42B68374">
            <w:pPr>
              <w:spacing w:line="360" w:lineRule="auto"/>
              <w:ind w:firstLine="482" w:firstLineChars="200"/>
              <w:rPr>
                <w:color w:val="000000"/>
                <w:sz w:val="24"/>
              </w:rPr>
            </w:pPr>
            <w:r>
              <w:rPr>
                <w:rFonts w:hint="eastAsia"/>
                <w:b/>
                <w:bCs/>
                <w:color w:val="000000"/>
                <w:sz w:val="24"/>
              </w:rPr>
              <w:t>3、</w:t>
            </w:r>
            <w:r>
              <w:rPr>
                <w:b/>
                <w:bCs/>
                <w:color w:val="000000"/>
                <w:sz w:val="24"/>
              </w:rPr>
              <w:t>废气治理措</w:t>
            </w:r>
            <w:r>
              <w:rPr>
                <w:b/>
                <w:color w:val="000000"/>
                <w:sz w:val="24"/>
              </w:rPr>
              <w:t>施可行技术分析</w:t>
            </w:r>
          </w:p>
          <w:p w14:paraId="6BA12012">
            <w:pPr>
              <w:widowControl/>
              <w:snapToGrid w:val="0"/>
              <w:spacing w:line="360" w:lineRule="auto"/>
              <w:ind w:firstLine="480" w:firstLineChars="200"/>
              <w:rPr>
                <w:rFonts w:hint="eastAsia"/>
                <w:color w:val="000000"/>
                <w:sz w:val="24"/>
              </w:rPr>
            </w:pPr>
            <w:r>
              <w:rPr>
                <w:rFonts w:hint="eastAsia"/>
                <w:color w:val="000000"/>
                <w:sz w:val="24"/>
              </w:rPr>
              <w:t>（1）有组织废气处理措施可行性分析</w:t>
            </w:r>
          </w:p>
          <w:p w14:paraId="0D799FAE">
            <w:pPr>
              <w:widowControl/>
              <w:snapToGrid w:val="0"/>
              <w:spacing w:line="360" w:lineRule="auto"/>
              <w:ind w:firstLine="480" w:firstLineChars="200"/>
              <w:rPr>
                <w:rFonts w:hint="eastAsia"/>
                <w:color w:val="000000"/>
                <w:sz w:val="24"/>
              </w:rPr>
            </w:pPr>
            <w:r>
              <w:rPr>
                <w:rFonts w:hint="eastAsia"/>
                <w:color w:val="000000"/>
                <w:sz w:val="24"/>
              </w:rPr>
              <w:t>有机废气（甲醇）：根据《排污许可申请与核发技术规范 总则》（HJ942-2018）和《2</w:t>
            </w:r>
            <w:r>
              <w:rPr>
                <w:color w:val="000000"/>
                <w:sz w:val="24"/>
              </w:rPr>
              <w:t>43工艺美术及礼仪用品</w:t>
            </w:r>
            <w:r>
              <w:rPr>
                <w:rFonts w:hint="eastAsia"/>
                <w:color w:val="000000"/>
                <w:sz w:val="24"/>
              </w:rPr>
              <w:t>制造行业系数手册》，生产有机废气污染防治推荐可行技术主要有吸附</w:t>
            </w:r>
            <w:r>
              <w:rPr>
                <w:color w:val="000000"/>
                <w:sz w:val="24"/>
              </w:rPr>
              <w:t>/</w:t>
            </w:r>
            <w:r>
              <w:rPr>
                <w:rFonts w:hint="eastAsia"/>
                <w:color w:val="000000"/>
                <w:sz w:val="24"/>
              </w:rPr>
              <w:t>蒸汽解吸、活性炭吸附</w:t>
            </w:r>
            <w:r>
              <w:rPr>
                <w:color w:val="000000"/>
                <w:sz w:val="24"/>
              </w:rPr>
              <w:t>/</w:t>
            </w:r>
            <w:r>
              <w:rPr>
                <w:rFonts w:hint="eastAsia"/>
                <w:color w:val="000000"/>
                <w:sz w:val="24"/>
              </w:rPr>
              <w:t>脱附催化燃烧法、其他（活性炭纤维或沸石吸附</w:t>
            </w:r>
            <w:r>
              <w:rPr>
                <w:color w:val="000000"/>
                <w:sz w:val="24"/>
              </w:rPr>
              <w:t>/</w:t>
            </w:r>
            <w:r>
              <w:rPr>
                <w:rFonts w:hint="eastAsia"/>
                <w:color w:val="000000"/>
                <w:sz w:val="24"/>
              </w:rPr>
              <w:t>脱附</w:t>
            </w:r>
            <w:r>
              <w:rPr>
                <w:color w:val="000000"/>
                <w:sz w:val="24"/>
              </w:rPr>
              <w:t>/</w:t>
            </w:r>
            <w:r>
              <w:rPr>
                <w:rFonts w:hint="eastAsia"/>
                <w:color w:val="000000"/>
                <w:sz w:val="24"/>
              </w:rPr>
              <w:t>催化氧化）、光解等，本项目采用活性炭吸附装置吸附，属于可行技术之一。</w:t>
            </w:r>
          </w:p>
          <w:p w14:paraId="421112C1">
            <w:pPr>
              <w:widowControl/>
              <w:snapToGrid w:val="0"/>
              <w:spacing w:line="360" w:lineRule="auto"/>
              <w:ind w:firstLine="480" w:firstLineChars="200"/>
              <w:rPr>
                <w:rFonts w:hint="eastAsia"/>
                <w:color w:val="000000"/>
                <w:sz w:val="24"/>
              </w:rPr>
            </w:pPr>
            <w:r>
              <w:rPr>
                <w:rFonts w:hint="eastAsia"/>
                <w:color w:val="000000"/>
                <w:sz w:val="24"/>
              </w:rPr>
              <w:t>活性炭吸附装置原理：利用活性炭或炭纤维表面的高比表面积对废气中挥发性有机化合物进行吸附，从而达到净化效果。</w:t>
            </w:r>
          </w:p>
          <w:p w14:paraId="753CF387">
            <w:pPr>
              <w:widowControl/>
              <w:snapToGrid w:val="0"/>
              <w:spacing w:line="360" w:lineRule="auto"/>
              <w:ind w:firstLine="480" w:firstLineChars="200"/>
              <w:rPr>
                <w:rFonts w:hint="eastAsia"/>
                <w:color w:val="000000"/>
                <w:sz w:val="24"/>
              </w:rPr>
            </w:pPr>
            <w:r>
              <w:rPr>
                <w:rFonts w:hint="eastAsia"/>
                <w:color w:val="000000"/>
                <w:sz w:val="24"/>
              </w:rPr>
              <w:t>优点：在短时间内能吸附一定的污染物，主要是针对总挥发性有机物和异味。物理吸附，产品本身无二次污染。</w:t>
            </w:r>
          </w:p>
          <w:p w14:paraId="28D4B971">
            <w:pPr>
              <w:adjustRightInd w:val="0"/>
              <w:snapToGrid w:val="0"/>
              <w:spacing w:line="360" w:lineRule="auto"/>
              <w:ind w:firstLine="480" w:firstLineChars="200"/>
              <w:rPr>
                <w:bCs/>
                <w:color w:val="000000"/>
                <w:sz w:val="24"/>
              </w:rPr>
            </w:pPr>
            <w:r>
              <w:rPr>
                <w:rFonts w:hint="eastAsia"/>
                <w:bCs/>
                <w:color w:val="000000"/>
                <w:sz w:val="24"/>
              </w:rPr>
              <w:t>缺点：活性炭很容易达到吸附饱和，吸附达到饱和不再具有吸附能力时，就必须更换过滤材料，如不及时更换，其所吸附的污染物等将随时被释放出来形成二次污染。活性吸附饱和后，需要经过活化处理才能二次使用。</w:t>
            </w:r>
          </w:p>
          <w:p w14:paraId="5B72D640">
            <w:pPr>
              <w:adjustRightInd w:val="0"/>
              <w:snapToGrid w:val="0"/>
              <w:spacing w:line="360" w:lineRule="auto"/>
              <w:ind w:firstLine="480" w:firstLineChars="200"/>
              <w:rPr>
                <w:rFonts w:hint="eastAsia"/>
                <w:bCs/>
                <w:color w:val="000000"/>
                <w:sz w:val="24"/>
              </w:rPr>
            </w:pPr>
            <w:r>
              <w:rPr>
                <w:rFonts w:hint="eastAsia"/>
                <w:bCs/>
                <w:color w:val="000000"/>
                <w:sz w:val="24"/>
              </w:rPr>
              <w:t>活性炭吸附装置由活性炭、排气管和排风机、排气筒等组成。该装置在系统主风机的作用下，废气从塔进风口处进入吸附塔体内的各吸附单元，利用高性能活性炭吸附剂固体本身的表面作用力将有机废气分子吸附质吸附附着在吸附剂表面，经吸附后干净气体透过吸附单元进入塔体内的净化室并汇集至风口排出。根据参考目前国内现行的处理有机废气有效的方法，本项目产生的有机废气（甲醇）</w:t>
            </w:r>
            <w:r>
              <w:rPr>
                <w:rFonts w:hint="eastAsia"/>
                <w:color w:val="000000"/>
                <w:sz w:val="24"/>
              </w:rPr>
              <w:t>通过设置引风机在负压状态将产生的废气通过管道引入1套三级活性炭吸附装置</w:t>
            </w:r>
            <w:r>
              <w:rPr>
                <w:rFonts w:hint="eastAsia"/>
                <w:bCs/>
                <w:color w:val="000000"/>
                <w:sz w:val="24"/>
              </w:rPr>
              <w:t>处理后由15m高排气筒（DA001）排放。</w:t>
            </w:r>
          </w:p>
          <w:p w14:paraId="5C956405">
            <w:pPr>
              <w:adjustRightInd w:val="0"/>
              <w:snapToGrid w:val="0"/>
              <w:spacing w:line="360" w:lineRule="auto"/>
              <w:ind w:firstLine="480" w:firstLineChars="200"/>
              <w:rPr>
                <w:color w:val="000000"/>
                <w:sz w:val="24"/>
              </w:rPr>
            </w:pPr>
            <w:r>
              <w:rPr>
                <w:rFonts w:hint="eastAsia"/>
                <w:bCs/>
                <w:color w:val="000000"/>
                <w:sz w:val="24"/>
              </w:rPr>
              <w:t>综上所述，项目采用“活性炭吸附装置”处理有机废气是合理、可行的。</w:t>
            </w:r>
          </w:p>
          <w:p w14:paraId="0DB3B011">
            <w:pPr>
              <w:spacing w:line="360" w:lineRule="auto"/>
              <w:ind w:firstLine="480" w:firstLineChars="200"/>
              <w:rPr>
                <w:color w:val="000000"/>
                <w:sz w:val="24"/>
              </w:rPr>
            </w:pPr>
            <w:r>
              <w:rPr>
                <w:rFonts w:hint="eastAsia"/>
                <w:color w:val="000000"/>
                <w:sz w:val="24"/>
              </w:rPr>
              <w:t>（2）</w:t>
            </w:r>
            <w:r>
              <w:rPr>
                <w:color w:val="000000"/>
                <w:sz w:val="24"/>
              </w:rPr>
              <w:t>无组织排放废气排放控制措施符合性分析</w:t>
            </w:r>
          </w:p>
          <w:p w14:paraId="6B5F6F3A">
            <w:pPr>
              <w:spacing w:line="360" w:lineRule="auto"/>
              <w:ind w:firstLine="480" w:firstLineChars="200"/>
              <w:rPr>
                <w:color w:val="000000"/>
                <w:szCs w:val="21"/>
              </w:rPr>
            </w:pPr>
            <w:r>
              <w:rPr>
                <w:color w:val="000000"/>
                <w:sz w:val="24"/>
              </w:rPr>
              <w:t>项目挥发性无组织废气排放控制措施与《挥发性有机物无组织排放控制标准》（GB37822-2019）相关要求符合性分析</w:t>
            </w:r>
            <w:r>
              <w:rPr>
                <w:rFonts w:hint="eastAsia"/>
                <w:color w:val="000000"/>
                <w:sz w:val="24"/>
              </w:rPr>
              <w:t>见下表</w:t>
            </w:r>
            <w:r>
              <w:rPr>
                <w:color w:val="000000"/>
                <w:sz w:val="24"/>
              </w:rPr>
              <w:t>。</w:t>
            </w:r>
          </w:p>
          <w:p w14:paraId="09DA89BC">
            <w:pPr>
              <w:adjustRightInd w:val="0"/>
              <w:snapToGrid w:val="0"/>
              <w:spacing w:line="360" w:lineRule="auto"/>
              <w:jc w:val="center"/>
              <w:rPr>
                <w:b/>
                <w:color w:val="000000"/>
                <w:szCs w:val="21"/>
              </w:rPr>
            </w:pPr>
            <w:r>
              <w:rPr>
                <w:b/>
                <w:color w:val="000000"/>
                <w:szCs w:val="21"/>
              </w:rPr>
              <w:t>表4-8</w:t>
            </w:r>
            <w:r>
              <w:rPr>
                <w:rFonts w:hint="eastAsia"/>
                <w:b/>
                <w:color w:val="000000"/>
                <w:szCs w:val="21"/>
              </w:rPr>
              <w:t xml:space="preserve"> </w:t>
            </w:r>
            <w:r>
              <w:rPr>
                <w:b/>
                <w:color w:val="000000"/>
                <w:szCs w:val="21"/>
              </w:rPr>
              <w:t xml:space="preserve"> 项目与《挥发性有机物无组织排放控制标准》符合性分析</w:t>
            </w:r>
          </w:p>
          <w:tbl>
            <w:tblPr>
              <w:tblStyle w:val="20"/>
              <w:tblW w:w="8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3494"/>
              <w:gridCol w:w="3332"/>
              <w:gridCol w:w="873"/>
            </w:tblGrid>
            <w:tr w14:paraId="43B26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559" w:type="dxa"/>
                  <w:noWrap w:val="0"/>
                  <w:vAlign w:val="center"/>
                </w:tcPr>
                <w:p w14:paraId="5A61F6CF">
                  <w:pPr>
                    <w:pStyle w:val="48"/>
                    <w:ind w:left="185" w:right="166"/>
                    <w:jc w:val="center"/>
                    <w:rPr>
                      <w:rFonts w:hint="eastAsia"/>
                      <w:b/>
                      <w:color w:val="000000"/>
                      <w:szCs w:val="21"/>
                    </w:rPr>
                  </w:pPr>
                  <w:r>
                    <w:rPr>
                      <w:rFonts w:hint="eastAsia"/>
                      <w:b/>
                      <w:color w:val="000000"/>
                      <w:szCs w:val="21"/>
                    </w:rPr>
                    <w:t>序号</w:t>
                  </w:r>
                </w:p>
              </w:tc>
              <w:tc>
                <w:tcPr>
                  <w:tcW w:w="3494" w:type="dxa"/>
                  <w:noWrap w:val="0"/>
                  <w:vAlign w:val="center"/>
                </w:tcPr>
                <w:p w14:paraId="172071AC">
                  <w:pPr>
                    <w:pStyle w:val="48"/>
                    <w:ind w:left="185" w:right="166"/>
                    <w:jc w:val="center"/>
                    <w:rPr>
                      <w:rFonts w:hint="eastAsia"/>
                      <w:b/>
                      <w:color w:val="000000"/>
                      <w:szCs w:val="21"/>
                    </w:rPr>
                  </w:pPr>
                  <w:r>
                    <w:rPr>
                      <w:rFonts w:hint="eastAsia"/>
                      <w:b/>
                      <w:color w:val="000000"/>
                      <w:szCs w:val="21"/>
                    </w:rPr>
                    <w:t>《挥发性有机物无组织排放控制</w:t>
                  </w:r>
                </w:p>
                <w:p w14:paraId="31F18196">
                  <w:pPr>
                    <w:pStyle w:val="48"/>
                    <w:ind w:left="185" w:right="166"/>
                    <w:jc w:val="center"/>
                    <w:rPr>
                      <w:rFonts w:hint="eastAsia"/>
                      <w:b/>
                      <w:color w:val="000000"/>
                      <w:szCs w:val="21"/>
                    </w:rPr>
                  </w:pPr>
                  <w:r>
                    <w:rPr>
                      <w:rFonts w:hint="eastAsia"/>
                      <w:b/>
                      <w:color w:val="000000"/>
                      <w:szCs w:val="21"/>
                    </w:rPr>
                    <w:t>标准》要求</w:t>
                  </w:r>
                </w:p>
              </w:tc>
              <w:tc>
                <w:tcPr>
                  <w:tcW w:w="3332" w:type="dxa"/>
                  <w:noWrap w:val="0"/>
                  <w:vAlign w:val="center"/>
                </w:tcPr>
                <w:p w14:paraId="71241FED">
                  <w:pPr>
                    <w:pStyle w:val="48"/>
                    <w:spacing w:before="135"/>
                    <w:ind w:left="1069" w:right="1058"/>
                    <w:jc w:val="center"/>
                    <w:rPr>
                      <w:rFonts w:ascii="Times New Roman" w:hAnsi="Times New Roman" w:cs="Times New Roman"/>
                      <w:b/>
                      <w:color w:val="000000"/>
                      <w:szCs w:val="21"/>
                    </w:rPr>
                  </w:pPr>
                  <w:r>
                    <w:rPr>
                      <w:rFonts w:ascii="Times New Roman" w:hAnsi="Times New Roman" w:cs="Times New Roman"/>
                      <w:b/>
                      <w:color w:val="000000"/>
                      <w:szCs w:val="21"/>
                    </w:rPr>
                    <w:t>本项目情况</w:t>
                  </w:r>
                </w:p>
              </w:tc>
              <w:tc>
                <w:tcPr>
                  <w:tcW w:w="873" w:type="dxa"/>
                  <w:noWrap w:val="0"/>
                  <w:vAlign w:val="center"/>
                </w:tcPr>
                <w:p w14:paraId="002F2C11">
                  <w:pPr>
                    <w:pStyle w:val="48"/>
                    <w:ind w:left="170" w:right="163"/>
                    <w:jc w:val="center"/>
                    <w:rPr>
                      <w:rFonts w:ascii="Times New Roman" w:hAnsi="Times New Roman" w:cs="Times New Roman"/>
                      <w:b/>
                      <w:color w:val="000000"/>
                      <w:szCs w:val="21"/>
                    </w:rPr>
                  </w:pPr>
                  <w:r>
                    <w:rPr>
                      <w:rFonts w:ascii="Times New Roman" w:hAnsi="Times New Roman" w:cs="Times New Roman"/>
                      <w:b/>
                      <w:color w:val="000000"/>
                      <w:szCs w:val="21"/>
                    </w:rPr>
                    <w:t>符合</w:t>
                  </w:r>
                </w:p>
                <w:p w14:paraId="2BA8DBF2">
                  <w:pPr>
                    <w:pStyle w:val="48"/>
                    <w:spacing w:before="2" w:line="253" w:lineRule="exact"/>
                    <w:ind w:left="7"/>
                    <w:jc w:val="center"/>
                    <w:rPr>
                      <w:rFonts w:ascii="Times New Roman" w:hAnsi="Times New Roman" w:cs="Times New Roman"/>
                      <w:b/>
                      <w:color w:val="000000"/>
                      <w:szCs w:val="21"/>
                    </w:rPr>
                  </w:pPr>
                  <w:r>
                    <w:rPr>
                      <w:rFonts w:ascii="Times New Roman" w:hAnsi="Times New Roman" w:cs="Times New Roman"/>
                      <w:b/>
                      <w:color w:val="000000"/>
                      <w:w w:val="99"/>
                      <w:szCs w:val="21"/>
                    </w:rPr>
                    <w:t>性</w:t>
                  </w:r>
                </w:p>
              </w:tc>
            </w:tr>
            <w:tr w14:paraId="2E09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559" w:type="dxa"/>
                  <w:noWrap w:val="0"/>
                  <w:vAlign w:val="center"/>
                </w:tcPr>
                <w:p w14:paraId="1A1D1B15">
                  <w:pPr>
                    <w:adjustRightInd w:val="0"/>
                    <w:snapToGrid w:val="0"/>
                    <w:jc w:val="center"/>
                    <w:rPr>
                      <w:color w:val="000000"/>
                      <w:szCs w:val="21"/>
                    </w:rPr>
                  </w:pPr>
                  <w:r>
                    <w:rPr>
                      <w:color w:val="000000"/>
                      <w:szCs w:val="21"/>
                    </w:rPr>
                    <w:t>1</w:t>
                  </w:r>
                </w:p>
              </w:tc>
              <w:tc>
                <w:tcPr>
                  <w:tcW w:w="3494" w:type="dxa"/>
                  <w:noWrap w:val="0"/>
                  <w:vAlign w:val="center"/>
                </w:tcPr>
                <w:p w14:paraId="0D6D2C86">
                  <w:pPr>
                    <w:adjustRightInd w:val="0"/>
                    <w:snapToGrid w:val="0"/>
                    <w:jc w:val="center"/>
                    <w:rPr>
                      <w:color w:val="000000"/>
                      <w:szCs w:val="21"/>
                    </w:rPr>
                  </w:pPr>
                  <w:r>
                    <w:rPr>
                      <w:color w:val="000000"/>
                      <w:szCs w:val="21"/>
                    </w:rPr>
                    <w:t>5.1.1 VOCs物料储存于</w:t>
                  </w:r>
                  <w:r>
                    <w:rPr>
                      <w:rFonts w:hint="eastAsia"/>
                      <w:color w:val="000000"/>
                      <w:szCs w:val="21"/>
                    </w:rPr>
                    <w:t>半密闭</w:t>
                  </w:r>
                  <w:r>
                    <w:rPr>
                      <w:color w:val="000000"/>
                      <w:szCs w:val="21"/>
                    </w:rPr>
                    <w:t>的容器、包装袋、储罐、储库、料仓中。</w:t>
                  </w:r>
                </w:p>
              </w:tc>
              <w:tc>
                <w:tcPr>
                  <w:tcW w:w="3332" w:type="dxa"/>
                  <w:noWrap w:val="0"/>
                  <w:vAlign w:val="center"/>
                </w:tcPr>
                <w:p w14:paraId="10341B7C">
                  <w:pPr>
                    <w:adjustRightInd w:val="0"/>
                    <w:snapToGrid w:val="0"/>
                    <w:jc w:val="center"/>
                    <w:rPr>
                      <w:rFonts w:hint="eastAsia"/>
                      <w:color w:val="000000"/>
                      <w:szCs w:val="21"/>
                    </w:rPr>
                  </w:pPr>
                  <w:r>
                    <w:rPr>
                      <w:color w:val="000000"/>
                      <w:szCs w:val="21"/>
                    </w:rPr>
                    <w:t>项目</w:t>
                  </w:r>
                  <w:r>
                    <w:rPr>
                      <w:rFonts w:hint="eastAsia"/>
                      <w:color w:val="000000"/>
                      <w:szCs w:val="21"/>
                    </w:rPr>
                    <w:t>原辅料为鲜花、甘油、食用色素、甲醇，涉及</w:t>
                  </w:r>
                  <w:r>
                    <w:rPr>
                      <w:color w:val="000000"/>
                      <w:szCs w:val="21"/>
                    </w:rPr>
                    <w:t xml:space="preserve"> VOCs物料</w:t>
                  </w:r>
                  <w:r>
                    <w:rPr>
                      <w:rFonts w:hint="eastAsia"/>
                      <w:color w:val="000000"/>
                      <w:szCs w:val="21"/>
                    </w:rPr>
                    <w:t>为甲醇，甲醇通过汽车运输直接导入脱色桶和染色桶内，不在项目区暂存，脱色桶和染色桶位于半密闭的厂房内，且用防火布覆盖，除湿间设置“三级活性炭吸附装置+15m排气筒”</w:t>
                  </w:r>
                  <w:r>
                    <w:rPr>
                      <w:rFonts w:hint="eastAsia" w:cs="宋体"/>
                      <w:color w:val="000000"/>
                    </w:rPr>
                    <w:t>处理废气</w:t>
                  </w:r>
                </w:p>
              </w:tc>
              <w:tc>
                <w:tcPr>
                  <w:tcW w:w="873" w:type="dxa"/>
                  <w:noWrap w:val="0"/>
                  <w:vAlign w:val="center"/>
                </w:tcPr>
                <w:p w14:paraId="1A10C961">
                  <w:pPr>
                    <w:adjustRightInd w:val="0"/>
                    <w:snapToGrid w:val="0"/>
                    <w:jc w:val="center"/>
                    <w:rPr>
                      <w:color w:val="000000"/>
                      <w:szCs w:val="21"/>
                    </w:rPr>
                  </w:pPr>
                  <w:r>
                    <w:rPr>
                      <w:color w:val="000000"/>
                      <w:szCs w:val="21"/>
                    </w:rPr>
                    <w:t>符合</w:t>
                  </w:r>
                </w:p>
              </w:tc>
            </w:tr>
            <w:tr w14:paraId="4EBC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559" w:type="dxa"/>
                  <w:noWrap w:val="0"/>
                  <w:vAlign w:val="center"/>
                </w:tcPr>
                <w:p w14:paraId="60060C7D">
                  <w:pPr>
                    <w:adjustRightInd w:val="0"/>
                    <w:snapToGrid w:val="0"/>
                    <w:jc w:val="center"/>
                    <w:rPr>
                      <w:color w:val="000000"/>
                      <w:szCs w:val="21"/>
                    </w:rPr>
                  </w:pPr>
                </w:p>
                <w:p w14:paraId="463B6BDC">
                  <w:pPr>
                    <w:adjustRightInd w:val="0"/>
                    <w:snapToGrid w:val="0"/>
                    <w:jc w:val="center"/>
                    <w:rPr>
                      <w:color w:val="000000"/>
                      <w:szCs w:val="21"/>
                    </w:rPr>
                  </w:pPr>
                </w:p>
                <w:p w14:paraId="316BCCDA">
                  <w:pPr>
                    <w:adjustRightInd w:val="0"/>
                    <w:snapToGrid w:val="0"/>
                    <w:jc w:val="center"/>
                    <w:rPr>
                      <w:color w:val="000000"/>
                      <w:szCs w:val="21"/>
                    </w:rPr>
                  </w:pPr>
                  <w:r>
                    <w:rPr>
                      <w:color w:val="000000"/>
                      <w:szCs w:val="21"/>
                    </w:rPr>
                    <w:t>2</w:t>
                  </w:r>
                </w:p>
              </w:tc>
              <w:tc>
                <w:tcPr>
                  <w:tcW w:w="3494" w:type="dxa"/>
                  <w:noWrap w:val="0"/>
                  <w:vAlign w:val="center"/>
                </w:tcPr>
                <w:p w14:paraId="78BB8572">
                  <w:pPr>
                    <w:adjustRightInd w:val="0"/>
                    <w:snapToGrid w:val="0"/>
                    <w:jc w:val="center"/>
                    <w:rPr>
                      <w:color w:val="000000"/>
                      <w:szCs w:val="21"/>
                    </w:rPr>
                  </w:pPr>
                  <w:r>
                    <w:rPr>
                      <w:color w:val="000000"/>
                      <w:szCs w:val="21"/>
                    </w:rPr>
                    <w:t>5.1.2 盛装VOCs的容器或包装袋应存放于室内，或存放于设置有雨棚、遮阳和防渗设施的专用场地。盛装有 VOCs物料的容器或包装袋在非取用状态时应加盖、封口，保持</w:t>
                  </w:r>
                  <w:r>
                    <w:rPr>
                      <w:rFonts w:hint="eastAsia"/>
                      <w:color w:val="000000"/>
                      <w:szCs w:val="21"/>
                    </w:rPr>
                    <w:t>半密闭</w:t>
                  </w:r>
                  <w:r>
                    <w:rPr>
                      <w:color w:val="000000"/>
                      <w:szCs w:val="21"/>
                    </w:rPr>
                    <w:t>。</w:t>
                  </w:r>
                </w:p>
              </w:tc>
              <w:tc>
                <w:tcPr>
                  <w:tcW w:w="3332" w:type="dxa"/>
                  <w:noWrap w:val="0"/>
                  <w:vAlign w:val="center"/>
                </w:tcPr>
                <w:p w14:paraId="0AF0C7FA">
                  <w:pPr>
                    <w:adjustRightInd w:val="0"/>
                    <w:snapToGrid w:val="0"/>
                    <w:jc w:val="center"/>
                    <w:rPr>
                      <w:color w:val="000000"/>
                      <w:szCs w:val="21"/>
                    </w:rPr>
                  </w:pPr>
                  <w:r>
                    <w:rPr>
                      <w:rFonts w:hint="eastAsia"/>
                      <w:color w:val="000000"/>
                      <w:szCs w:val="21"/>
                    </w:rPr>
                    <w:t>本项目涉及</w:t>
                  </w:r>
                  <w:r>
                    <w:rPr>
                      <w:color w:val="000000"/>
                      <w:szCs w:val="21"/>
                    </w:rPr>
                    <w:t xml:space="preserve"> VOCs物料</w:t>
                  </w:r>
                  <w:r>
                    <w:rPr>
                      <w:rFonts w:hint="eastAsia"/>
                      <w:color w:val="000000"/>
                      <w:szCs w:val="21"/>
                    </w:rPr>
                    <w:t>为甲醇，甲醇通过汽车运输直接导入脱色桶和染色桶内，不在项目区暂存，脱色桶和染色桶位于半密闭的厂房内，且用防火布覆盖</w:t>
                  </w:r>
                  <w:r>
                    <w:rPr>
                      <w:color w:val="000000"/>
                      <w:szCs w:val="21"/>
                    </w:rPr>
                    <w:t>。</w:t>
                  </w:r>
                </w:p>
              </w:tc>
              <w:tc>
                <w:tcPr>
                  <w:tcW w:w="873" w:type="dxa"/>
                  <w:noWrap w:val="0"/>
                  <w:vAlign w:val="center"/>
                </w:tcPr>
                <w:p w14:paraId="05612370">
                  <w:pPr>
                    <w:adjustRightInd w:val="0"/>
                    <w:snapToGrid w:val="0"/>
                    <w:jc w:val="center"/>
                    <w:rPr>
                      <w:color w:val="000000"/>
                    </w:rPr>
                  </w:pPr>
                </w:p>
                <w:p w14:paraId="34CCC1D2">
                  <w:pPr>
                    <w:adjustRightInd w:val="0"/>
                    <w:snapToGrid w:val="0"/>
                    <w:jc w:val="center"/>
                    <w:rPr>
                      <w:color w:val="000000"/>
                    </w:rPr>
                  </w:pPr>
                </w:p>
                <w:p w14:paraId="7E319140">
                  <w:pPr>
                    <w:adjustRightInd w:val="0"/>
                    <w:snapToGrid w:val="0"/>
                    <w:jc w:val="center"/>
                    <w:rPr>
                      <w:color w:val="000000"/>
                    </w:rPr>
                  </w:pPr>
                  <w:r>
                    <w:rPr>
                      <w:color w:val="000000"/>
                    </w:rPr>
                    <w:t>符合</w:t>
                  </w:r>
                </w:p>
                <w:p w14:paraId="13D3F3D7">
                  <w:pPr>
                    <w:jc w:val="center"/>
                    <w:rPr>
                      <w:color w:val="000000"/>
                    </w:rPr>
                  </w:pPr>
                </w:p>
                <w:p w14:paraId="025F2888">
                  <w:pPr>
                    <w:jc w:val="center"/>
                    <w:rPr>
                      <w:color w:val="000000"/>
                    </w:rPr>
                  </w:pPr>
                </w:p>
              </w:tc>
            </w:tr>
            <w:tr w14:paraId="0F80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559" w:type="dxa"/>
                  <w:noWrap w:val="0"/>
                  <w:vAlign w:val="center"/>
                </w:tcPr>
                <w:p w14:paraId="74081537">
                  <w:pPr>
                    <w:adjustRightInd w:val="0"/>
                    <w:snapToGrid w:val="0"/>
                    <w:jc w:val="center"/>
                    <w:rPr>
                      <w:color w:val="000000"/>
                      <w:szCs w:val="21"/>
                    </w:rPr>
                  </w:pPr>
                </w:p>
                <w:p w14:paraId="795C373D">
                  <w:pPr>
                    <w:adjustRightInd w:val="0"/>
                    <w:snapToGrid w:val="0"/>
                    <w:jc w:val="center"/>
                    <w:rPr>
                      <w:color w:val="000000"/>
                      <w:szCs w:val="21"/>
                    </w:rPr>
                  </w:pPr>
                </w:p>
                <w:p w14:paraId="38838EF7">
                  <w:pPr>
                    <w:adjustRightInd w:val="0"/>
                    <w:snapToGrid w:val="0"/>
                    <w:jc w:val="center"/>
                    <w:rPr>
                      <w:color w:val="000000"/>
                      <w:szCs w:val="21"/>
                    </w:rPr>
                  </w:pPr>
                  <w:r>
                    <w:rPr>
                      <w:color w:val="000000"/>
                      <w:szCs w:val="21"/>
                    </w:rPr>
                    <w:t>3</w:t>
                  </w:r>
                </w:p>
              </w:tc>
              <w:tc>
                <w:tcPr>
                  <w:tcW w:w="3494" w:type="dxa"/>
                  <w:noWrap w:val="0"/>
                  <w:vAlign w:val="center"/>
                </w:tcPr>
                <w:p w14:paraId="37756934">
                  <w:pPr>
                    <w:adjustRightInd w:val="0"/>
                    <w:snapToGrid w:val="0"/>
                    <w:jc w:val="center"/>
                    <w:rPr>
                      <w:color w:val="000000"/>
                      <w:szCs w:val="21"/>
                    </w:rPr>
                  </w:pPr>
                  <w:r>
                    <w:rPr>
                      <w:color w:val="000000"/>
                      <w:szCs w:val="21"/>
                    </w:rPr>
                    <w:t>6.1.2 粉状、粒状VOCs物料应采用气力输送时设备、管状带式输送机、螺旋输送机等</w:t>
                  </w:r>
                  <w:r>
                    <w:rPr>
                      <w:rFonts w:hint="eastAsia"/>
                      <w:color w:val="000000"/>
                      <w:szCs w:val="21"/>
                    </w:rPr>
                    <w:t>半密闭</w:t>
                  </w:r>
                  <w:r>
                    <w:rPr>
                      <w:color w:val="000000"/>
                      <w:szCs w:val="21"/>
                    </w:rPr>
                    <w:t>输送方式，或采用</w:t>
                  </w:r>
                  <w:r>
                    <w:rPr>
                      <w:rFonts w:hint="eastAsia"/>
                      <w:color w:val="000000"/>
                      <w:szCs w:val="21"/>
                    </w:rPr>
                    <w:t>半密闭</w:t>
                  </w:r>
                  <w:r>
                    <w:rPr>
                      <w:color w:val="000000"/>
                      <w:szCs w:val="21"/>
                    </w:rPr>
                    <w:t>的包装袋、容器或者罐车进行物料转移。</w:t>
                  </w:r>
                </w:p>
              </w:tc>
              <w:tc>
                <w:tcPr>
                  <w:tcW w:w="3332" w:type="dxa"/>
                  <w:noWrap w:val="0"/>
                  <w:vAlign w:val="center"/>
                </w:tcPr>
                <w:p w14:paraId="12C2A9ED">
                  <w:pPr>
                    <w:adjustRightInd w:val="0"/>
                    <w:snapToGrid w:val="0"/>
                    <w:jc w:val="center"/>
                    <w:rPr>
                      <w:rFonts w:hint="eastAsia"/>
                      <w:color w:val="000000"/>
                      <w:szCs w:val="21"/>
                    </w:rPr>
                  </w:pPr>
                  <w:r>
                    <w:rPr>
                      <w:rFonts w:hint="eastAsia"/>
                      <w:color w:val="000000"/>
                      <w:szCs w:val="21"/>
                    </w:rPr>
                    <w:t>本项目涉及</w:t>
                  </w:r>
                  <w:r>
                    <w:rPr>
                      <w:color w:val="000000"/>
                      <w:szCs w:val="21"/>
                    </w:rPr>
                    <w:t xml:space="preserve"> VOCs物料</w:t>
                  </w:r>
                  <w:r>
                    <w:rPr>
                      <w:rFonts w:hint="eastAsia"/>
                      <w:color w:val="000000"/>
                      <w:szCs w:val="21"/>
                    </w:rPr>
                    <w:t>为甲醇，项目不涉及</w:t>
                  </w:r>
                  <w:r>
                    <w:rPr>
                      <w:color w:val="000000"/>
                      <w:szCs w:val="21"/>
                    </w:rPr>
                    <w:t>粉状、粒状VOCs物料</w:t>
                  </w:r>
                  <w:r>
                    <w:rPr>
                      <w:rFonts w:hint="eastAsia"/>
                      <w:color w:val="000000"/>
                      <w:szCs w:val="21"/>
                    </w:rPr>
                    <w:t>。</w:t>
                  </w:r>
                </w:p>
              </w:tc>
              <w:tc>
                <w:tcPr>
                  <w:tcW w:w="873" w:type="dxa"/>
                  <w:noWrap w:val="0"/>
                  <w:vAlign w:val="center"/>
                </w:tcPr>
                <w:p w14:paraId="61A595C5">
                  <w:pPr>
                    <w:adjustRightInd w:val="0"/>
                    <w:snapToGrid w:val="0"/>
                    <w:jc w:val="center"/>
                    <w:rPr>
                      <w:color w:val="000000"/>
                      <w:szCs w:val="21"/>
                    </w:rPr>
                  </w:pPr>
                </w:p>
                <w:p w14:paraId="7E18C302">
                  <w:pPr>
                    <w:adjustRightInd w:val="0"/>
                    <w:snapToGrid w:val="0"/>
                    <w:jc w:val="center"/>
                    <w:rPr>
                      <w:color w:val="000000"/>
                      <w:szCs w:val="21"/>
                    </w:rPr>
                  </w:pPr>
                </w:p>
                <w:p w14:paraId="0335B5D5">
                  <w:pPr>
                    <w:adjustRightInd w:val="0"/>
                    <w:snapToGrid w:val="0"/>
                    <w:jc w:val="center"/>
                    <w:rPr>
                      <w:color w:val="000000"/>
                      <w:szCs w:val="21"/>
                    </w:rPr>
                  </w:pPr>
                  <w:r>
                    <w:rPr>
                      <w:color w:val="000000"/>
                      <w:szCs w:val="21"/>
                    </w:rPr>
                    <w:t>符合</w:t>
                  </w:r>
                </w:p>
              </w:tc>
            </w:tr>
            <w:tr w14:paraId="2033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559" w:type="dxa"/>
                  <w:noWrap w:val="0"/>
                  <w:vAlign w:val="center"/>
                </w:tcPr>
                <w:p w14:paraId="78F9A34E">
                  <w:pPr>
                    <w:adjustRightInd w:val="0"/>
                    <w:snapToGrid w:val="0"/>
                    <w:jc w:val="center"/>
                    <w:rPr>
                      <w:color w:val="000000"/>
                      <w:szCs w:val="21"/>
                    </w:rPr>
                  </w:pPr>
                </w:p>
                <w:p w14:paraId="63AFE0BA">
                  <w:pPr>
                    <w:adjustRightInd w:val="0"/>
                    <w:snapToGrid w:val="0"/>
                    <w:jc w:val="center"/>
                    <w:rPr>
                      <w:color w:val="000000"/>
                      <w:szCs w:val="21"/>
                    </w:rPr>
                  </w:pPr>
                </w:p>
                <w:p w14:paraId="454DE62B">
                  <w:pPr>
                    <w:adjustRightInd w:val="0"/>
                    <w:snapToGrid w:val="0"/>
                    <w:jc w:val="center"/>
                    <w:rPr>
                      <w:color w:val="000000"/>
                      <w:szCs w:val="21"/>
                    </w:rPr>
                  </w:pPr>
                  <w:r>
                    <w:rPr>
                      <w:color w:val="000000"/>
                      <w:szCs w:val="21"/>
                    </w:rPr>
                    <w:t>4</w:t>
                  </w:r>
                </w:p>
              </w:tc>
              <w:tc>
                <w:tcPr>
                  <w:tcW w:w="3494" w:type="dxa"/>
                  <w:noWrap w:val="0"/>
                  <w:vAlign w:val="center"/>
                </w:tcPr>
                <w:p w14:paraId="2CF7B5D7">
                  <w:pPr>
                    <w:adjustRightInd w:val="0"/>
                    <w:snapToGrid w:val="0"/>
                    <w:jc w:val="center"/>
                    <w:rPr>
                      <w:color w:val="000000"/>
                      <w:szCs w:val="21"/>
                    </w:rPr>
                  </w:pPr>
                  <w:r>
                    <w:rPr>
                      <w:color w:val="000000"/>
                      <w:szCs w:val="21"/>
                    </w:rPr>
                    <w:t>7.1.1 b）粉状、粒状VOCs料物料应采用气力输送或采用</w:t>
                  </w:r>
                  <w:r>
                    <w:rPr>
                      <w:rFonts w:hint="eastAsia"/>
                      <w:color w:val="000000"/>
                      <w:szCs w:val="21"/>
                    </w:rPr>
                    <w:t>半密闭</w:t>
                  </w:r>
                  <w:r>
                    <w:rPr>
                      <w:color w:val="000000"/>
                      <w:szCs w:val="21"/>
                    </w:rPr>
                    <w:t>固体投料器等方式</w:t>
                  </w:r>
                  <w:r>
                    <w:rPr>
                      <w:rFonts w:hint="eastAsia"/>
                      <w:color w:val="000000"/>
                      <w:szCs w:val="21"/>
                    </w:rPr>
                    <w:t>半密闭</w:t>
                  </w:r>
                  <w:r>
                    <w:rPr>
                      <w:color w:val="000000"/>
                      <w:szCs w:val="21"/>
                    </w:rPr>
                    <w:t>投加。无法</w:t>
                  </w:r>
                  <w:r>
                    <w:rPr>
                      <w:rFonts w:hint="eastAsia"/>
                      <w:color w:val="000000"/>
                      <w:szCs w:val="21"/>
                    </w:rPr>
                    <w:t>半密闭</w:t>
                  </w:r>
                  <w:r>
                    <w:rPr>
                      <w:color w:val="000000"/>
                      <w:szCs w:val="21"/>
                    </w:rPr>
                    <w:t>投加的，应在</w:t>
                  </w:r>
                  <w:r>
                    <w:rPr>
                      <w:rFonts w:hint="eastAsia"/>
                      <w:color w:val="000000"/>
                      <w:szCs w:val="21"/>
                    </w:rPr>
                    <w:t>半密闭</w:t>
                  </w:r>
                  <w:r>
                    <w:rPr>
                      <w:color w:val="000000"/>
                      <w:szCs w:val="21"/>
                    </w:rPr>
                    <w:t>空间内操作，或进行局部气体收集，废气应排至除尘设施、VOCs废气收集处理系统。</w:t>
                  </w:r>
                </w:p>
              </w:tc>
              <w:tc>
                <w:tcPr>
                  <w:tcW w:w="3332" w:type="dxa"/>
                  <w:noWrap w:val="0"/>
                  <w:vAlign w:val="center"/>
                </w:tcPr>
                <w:p w14:paraId="592CFFAB">
                  <w:pPr>
                    <w:adjustRightInd w:val="0"/>
                    <w:snapToGrid w:val="0"/>
                    <w:jc w:val="center"/>
                    <w:rPr>
                      <w:color w:val="000000"/>
                      <w:szCs w:val="21"/>
                    </w:rPr>
                  </w:pPr>
                  <w:r>
                    <w:rPr>
                      <w:rFonts w:hint="eastAsia"/>
                      <w:color w:val="000000"/>
                      <w:szCs w:val="21"/>
                    </w:rPr>
                    <w:t>本项目涉及</w:t>
                  </w:r>
                  <w:r>
                    <w:rPr>
                      <w:color w:val="000000"/>
                      <w:szCs w:val="21"/>
                    </w:rPr>
                    <w:t xml:space="preserve"> VOCs物料</w:t>
                  </w:r>
                  <w:r>
                    <w:rPr>
                      <w:rFonts w:hint="eastAsia"/>
                      <w:color w:val="000000"/>
                      <w:szCs w:val="21"/>
                    </w:rPr>
                    <w:t>为甲醇，项目不涉及</w:t>
                  </w:r>
                  <w:r>
                    <w:rPr>
                      <w:color w:val="000000"/>
                      <w:szCs w:val="21"/>
                    </w:rPr>
                    <w:t>粉状、粒状VOCs物料</w:t>
                  </w:r>
                  <w:r>
                    <w:rPr>
                      <w:rFonts w:hint="eastAsia"/>
                      <w:color w:val="000000"/>
                      <w:szCs w:val="21"/>
                    </w:rPr>
                    <w:t>。除湿间设置“三级活性炭吸附装置+15m排气筒”</w:t>
                  </w:r>
                  <w:r>
                    <w:rPr>
                      <w:rFonts w:hint="eastAsia" w:cs="宋体"/>
                      <w:color w:val="000000"/>
                    </w:rPr>
                    <w:t>处理废气</w:t>
                  </w:r>
                  <w:r>
                    <w:rPr>
                      <w:rFonts w:hint="eastAsia"/>
                      <w:color w:val="000000"/>
                      <w:szCs w:val="21"/>
                    </w:rPr>
                    <w:t>。</w:t>
                  </w:r>
                </w:p>
              </w:tc>
              <w:tc>
                <w:tcPr>
                  <w:tcW w:w="873" w:type="dxa"/>
                  <w:noWrap w:val="0"/>
                  <w:vAlign w:val="center"/>
                </w:tcPr>
                <w:p w14:paraId="18A093A6">
                  <w:pPr>
                    <w:adjustRightInd w:val="0"/>
                    <w:snapToGrid w:val="0"/>
                    <w:jc w:val="center"/>
                    <w:rPr>
                      <w:color w:val="000000"/>
                      <w:szCs w:val="21"/>
                    </w:rPr>
                  </w:pPr>
                </w:p>
                <w:p w14:paraId="6B885C55">
                  <w:pPr>
                    <w:adjustRightInd w:val="0"/>
                    <w:snapToGrid w:val="0"/>
                    <w:jc w:val="center"/>
                    <w:rPr>
                      <w:color w:val="000000"/>
                      <w:szCs w:val="21"/>
                    </w:rPr>
                  </w:pPr>
                </w:p>
                <w:p w14:paraId="5050561A">
                  <w:pPr>
                    <w:adjustRightInd w:val="0"/>
                    <w:snapToGrid w:val="0"/>
                    <w:jc w:val="center"/>
                    <w:rPr>
                      <w:color w:val="000000"/>
                      <w:szCs w:val="21"/>
                    </w:rPr>
                  </w:pPr>
                  <w:r>
                    <w:rPr>
                      <w:color w:val="000000"/>
                      <w:szCs w:val="21"/>
                    </w:rPr>
                    <w:t>符合</w:t>
                  </w:r>
                </w:p>
              </w:tc>
            </w:tr>
            <w:tr w14:paraId="409C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0" w:hRule="atLeast"/>
                <w:jc w:val="center"/>
              </w:trPr>
              <w:tc>
                <w:tcPr>
                  <w:tcW w:w="559" w:type="dxa"/>
                  <w:noWrap w:val="0"/>
                  <w:vAlign w:val="center"/>
                </w:tcPr>
                <w:p w14:paraId="5A85F3BE">
                  <w:pPr>
                    <w:adjustRightInd w:val="0"/>
                    <w:snapToGrid w:val="0"/>
                    <w:jc w:val="center"/>
                    <w:rPr>
                      <w:color w:val="000000"/>
                      <w:szCs w:val="21"/>
                    </w:rPr>
                  </w:pPr>
                </w:p>
                <w:p w14:paraId="0ECCCFBD">
                  <w:pPr>
                    <w:adjustRightInd w:val="0"/>
                    <w:snapToGrid w:val="0"/>
                    <w:jc w:val="center"/>
                    <w:rPr>
                      <w:color w:val="000000"/>
                      <w:szCs w:val="21"/>
                    </w:rPr>
                  </w:pPr>
                </w:p>
                <w:p w14:paraId="09730FC1">
                  <w:pPr>
                    <w:adjustRightInd w:val="0"/>
                    <w:snapToGrid w:val="0"/>
                    <w:jc w:val="center"/>
                    <w:rPr>
                      <w:color w:val="000000"/>
                      <w:szCs w:val="21"/>
                    </w:rPr>
                  </w:pPr>
                </w:p>
                <w:p w14:paraId="4321F82C">
                  <w:pPr>
                    <w:adjustRightInd w:val="0"/>
                    <w:snapToGrid w:val="0"/>
                    <w:jc w:val="center"/>
                    <w:rPr>
                      <w:color w:val="000000"/>
                      <w:szCs w:val="21"/>
                    </w:rPr>
                  </w:pPr>
                  <w:r>
                    <w:rPr>
                      <w:color w:val="000000"/>
                      <w:szCs w:val="21"/>
                    </w:rPr>
                    <w:t>5</w:t>
                  </w:r>
                </w:p>
              </w:tc>
              <w:tc>
                <w:tcPr>
                  <w:tcW w:w="3494" w:type="dxa"/>
                  <w:noWrap w:val="0"/>
                  <w:vAlign w:val="center"/>
                </w:tcPr>
                <w:p w14:paraId="45E38DD3">
                  <w:pPr>
                    <w:adjustRightInd w:val="0"/>
                    <w:snapToGrid w:val="0"/>
                    <w:jc w:val="center"/>
                    <w:rPr>
                      <w:color w:val="000000"/>
                      <w:szCs w:val="21"/>
                    </w:rPr>
                  </w:pPr>
                  <w:r>
                    <w:rPr>
                      <w:color w:val="000000"/>
                      <w:szCs w:val="21"/>
                    </w:rPr>
                    <w:t>7.2.2 有机聚合物产品用于制品生产过程，在混合/混炼、塑炼/ 塑化/熔炼、加工成型（挤出/注射/压制/压延/发泡/纺丝等）等作业中应采用</w:t>
                  </w:r>
                  <w:r>
                    <w:rPr>
                      <w:rFonts w:hint="eastAsia"/>
                      <w:color w:val="000000"/>
                      <w:szCs w:val="21"/>
                    </w:rPr>
                    <w:t>半密闭</w:t>
                  </w:r>
                  <w:r>
                    <w:rPr>
                      <w:color w:val="000000"/>
                      <w:szCs w:val="21"/>
                    </w:rPr>
                    <w:t>设备或者在</w:t>
                  </w:r>
                  <w:r>
                    <w:rPr>
                      <w:rFonts w:hint="eastAsia"/>
                      <w:color w:val="000000"/>
                      <w:szCs w:val="21"/>
                    </w:rPr>
                    <w:t>半密闭</w:t>
                  </w:r>
                  <w:r>
                    <w:rPr>
                      <w:color w:val="000000"/>
                      <w:szCs w:val="21"/>
                    </w:rPr>
                    <w:t>空间内操作，废气应排至 VOCs 废气收集处理系统；无法</w:t>
                  </w:r>
                  <w:r>
                    <w:rPr>
                      <w:rFonts w:hint="eastAsia"/>
                      <w:color w:val="000000"/>
                      <w:szCs w:val="21"/>
                    </w:rPr>
                    <w:t>半密闭</w:t>
                  </w:r>
                  <w:r>
                    <w:rPr>
                      <w:color w:val="000000"/>
                      <w:szCs w:val="21"/>
                    </w:rPr>
                    <w:t>的，应采取局部气体收集措施，废气应排至VOCs废气收集处理系统。</w:t>
                  </w:r>
                </w:p>
              </w:tc>
              <w:tc>
                <w:tcPr>
                  <w:tcW w:w="3332" w:type="dxa"/>
                  <w:noWrap w:val="0"/>
                  <w:vAlign w:val="center"/>
                </w:tcPr>
                <w:p w14:paraId="25178D3A">
                  <w:pPr>
                    <w:adjustRightInd w:val="0"/>
                    <w:snapToGrid w:val="0"/>
                    <w:jc w:val="center"/>
                    <w:rPr>
                      <w:color w:val="000000"/>
                      <w:szCs w:val="21"/>
                    </w:rPr>
                  </w:pPr>
                  <w:r>
                    <w:rPr>
                      <w:rFonts w:hint="eastAsia"/>
                      <w:color w:val="000000"/>
                      <w:szCs w:val="21"/>
                    </w:rPr>
                    <w:t>本项目染色、脱色环节在半密闭的厂房内进行，且染色、脱色环节采用防火布覆盖，除湿间设置“三级活性炭吸附装置+15m排气筒”</w:t>
                  </w:r>
                  <w:r>
                    <w:rPr>
                      <w:rFonts w:hint="eastAsia" w:cs="宋体"/>
                      <w:color w:val="000000"/>
                    </w:rPr>
                    <w:t>处理废气</w:t>
                  </w:r>
                  <w:r>
                    <w:rPr>
                      <w:color w:val="000000"/>
                      <w:szCs w:val="21"/>
                    </w:rPr>
                    <w:t>。</w:t>
                  </w:r>
                </w:p>
              </w:tc>
              <w:tc>
                <w:tcPr>
                  <w:tcW w:w="873" w:type="dxa"/>
                  <w:noWrap w:val="0"/>
                  <w:vAlign w:val="center"/>
                </w:tcPr>
                <w:p w14:paraId="56DF70A5">
                  <w:pPr>
                    <w:adjustRightInd w:val="0"/>
                    <w:snapToGrid w:val="0"/>
                    <w:jc w:val="center"/>
                    <w:rPr>
                      <w:color w:val="000000"/>
                      <w:szCs w:val="21"/>
                    </w:rPr>
                  </w:pPr>
                </w:p>
                <w:p w14:paraId="364AC1FE">
                  <w:pPr>
                    <w:adjustRightInd w:val="0"/>
                    <w:snapToGrid w:val="0"/>
                    <w:jc w:val="center"/>
                    <w:rPr>
                      <w:color w:val="000000"/>
                      <w:szCs w:val="21"/>
                    </w:rPr>
                  </w:pPr>
                </w:p>
                <w:p w14:paraId="760A610E">
                  <w:pPr>
                    <w:adjustRightInd w:val="0"/>
                    <w:snapToGrid w:val="0"/>
                    <w:jc w:val="center"/>
                    <w:rPr>
                      <w:color w:val="000000"/>
                      <w:szCs w:val="21"/>
                    </w:rPr>
                  </w:pPr>
                </w:p>
                <w:p w14:paraId="0C40D933">
                  <w:pPr>
                    <w:adjustRightInd w:val="0"/>
                    <w:snapToGrid w:val="0"/>
                    <w:jc w:val="center"/>
                    <w:rPr>
                      <w:color w:val="000000"/>
                      <w:szCs w:val="21"/>
                    </w:rPr>
                  </w:pPr>
                  <w:r>
                    <w:rPr>
                      <w:color w:val="000000"/>
                      <w:szCs w:val="21"/>
                    </w:rPr>
                    <w:t>符合</w:t>
                  </w:r>
                </w:p>
              </w:tc>
            </w:tr>
          </w:tbl>
          <w:p w14:paraId="2A7BAB8F">
            <w:pPr>
              <w:spacing w:line="360" w:lineRule="auto"/>
              <w:ind w:firstLine="480" w:firstLineChars="200"/>
              <w:rPr>
                <w:color w:val="000000"/>
                <w:sz w:val="24"/>
              </w:rPr>
            </w:pPr>
            <w:r>
              <w:rPr>
                <w:color w:val="000000"/>
                <w:sz w:val="24"/>
              </w:rPr>
              <w:t>根据以上分析，本项目采取的挥发性有机</w:t>
            </w:r>
            <w:r>
              <w:rPr>
                <w:rFonts w:hint="eastAsia"/>
                <w:color w:val="000000"/>
                <w:sz w:val="24"/>
              </w:rPr>
              <w:t>废气</w:t>
            </w:r>
            <w:r>
              <w:rPr>
                <w:color w:val="000000"/>
                <w:sz w:val="24"/>
              </w:rPr>
              <w:t>无组织排放控制措施满足《挥发性有机物无组织排放控制标准》（GB37822-2019）要求。</w:t>
            </w:r>
          </w:p>
          <w:p w14:paraId="334B9117">
            <w:pPr>
              <w:spacing w:line="360" w:lineRule="auto"/>
              <w:ind w:firstLine="482" w:firstLineChars="200"/>
              <w:rPr>
                <w:b/>
                <w:bCs/>
                <w:color w:val="000000"/>
                <w:sz w:val="24"/>
              </w:rPr>
            </w:pPr>
            <w:r>
              <w:rPr>
                <w:rFonts w:hint="eastAsia"/>
                <w:b/>
                <w:bCs/>
                <w:color w:val="000000"/>
                <w:sz w:val="24"/>
              </w:rPr>
              <w:t>4、</w:t>
            </w:r>
            <w:r>
              <w:rPr>
                <w:b/>
                <w:bCs/>
                <w:color w:val="000000"/>
                <w:sz w:val="24"/>
              </w:rPr>
              <w:t>监测要求</w:t>
            </w:r>
          </w:p>
          <w:p w14:paraId="46EBA509">
            <w:pPr>
              <w:spacing w:line="360" w:lineRule="auto"/>
              <w:ind w:firstLine="480" w:firstLineChars="200"/>
              <w:rPr>
                <w:color w:val="000000"/>
                <w:sz w:val="24"/>
              </w:rPr>
            </w:pPr>
            <w:r>
              <w:rPr>
                <w:rFonts w:hint="eastAsia"/>
                <w:color w:val="000000"/>
                <w:sz w:val="24"/>
              </w:rPr>
              <w:t>本项目运营期大气污染源监测计划</w:t>
            </w:r>
            <w:r>
              <w:rPr>
                <w:color w:val="000000"/>
                <w:sz w:val="24"/>
              </w:rPr>
              <w:t>如下表所示。</w:t>
            </w:r>
          </w:p>
          <w:p w14:paraId="76B96C60">
            <w:pPr>
              <w:spacing w:line="360" w:lineRule="auto"/>
              <w:jc w:val="center"/>
              <w:rPr>
                <w:b/>
                <w:bCs/>
                <w:color w:val="000000"/>
                <w:szCs w:val="21"/>
              </w:rPr>
            </w:pPr>
            <w:r>
              <w:rPr>
                <w:b/>
                <w:bCs/>
                <w:color w:val="000000"/>
                <w:szCs w:val="21"/>
              </w:rPr>
              <w:t>表4-9 大气环境监测计划一览表</w:t>
            </w:r>
          </w:p>
          <w:tbl>
            <w:tblPr>
              <w:tblStyle w:val="20"/>
              <w:tblW w:w="797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504"/>
              <w:gridCol w:w="3106"/>
              <w:gridCol w:w="1186"/>
            </w:tblGrid>
            <w:tr w14:paraId="2E5DC1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182" w:type="dxa"/>
                  <w:noWrap w:val="0"/>
                  <w:vAlign w:val="center"/>
                </w:tcPr>
                <w:p w14:paraId="45469B3C">
                  <w:pPr>
                    <w:jc w:val="center"/>
                    <w:rPr>
                      <w:b/>
                      <w:bCs/>
                      <w:color w:val="000000"/>
                      <w:szCs w:val="21"/>
                    </w:rPr>
                  </w:pPr>
                  <w:r>
                    <w:rPr>
                      <w:b/>
                      <w:bCs/>
                      <w:color w:val="000000"/>
                      <w:szCs w:val="21"/>
                    </w:rPr>
                    <w:t>排放形式</w:t>
                  </w:r>
                </w:p>
              </w:tc>
              <w:tc>
                <w:tcPr>
                  <w:tcW w:w="2504" w:type="dxa"/>
                  <w:noWrap w:val="0"/>
                  <w:vAlign w:val="center"/>
                </w:tcPr>
                <w:p w14:paraId="6253A770">
                  <w:pPr>
                    <w:jc w:val="center"/>
                    <w:rPr>
                      <w:b/>
                      <w:bCs/>
                      <w:color w:val="000000"/>
                      <w:szCs w:val="21"/>
                    </w:rPr>
                  </w:pPr>
                  <w:r>
                    <w:rPr>
                      <w:b/>
                      <w:bCs/>
                      <w:color w:val="000000"/>
                      <w:szCs w:val="21"/>
                    </w:rPr>
                    <w:t>监测点位</w:t>
                  </w:r>
                </w:p>
              </w:tc>
              <w:tc>
                <w:tcPr>
                  <w:tcW w:w="3106" w:type="dxa"/>
                  <w:noWrap w:val="0"/>
                  <w:vAlign w:val="center"/>
                </w:tcPr>
                <w:p w14:paraId="60F680C5">
                  <w:pPr>
                    <w:jc w:val="center"/>
                    <w:rPr>
                      <w:b/>
                      <w:bCs/>
                      <w:color w:val="000000"/>
                      <w:szCs w:val="21"/>
                    </w:rPr>
                  </w:pPr>
                  <w:r>
                    <w:rPr>
                      <w:b/>
                      <w:bCs/>
                      <w:color w:val="000000"/>
                      <w:szCs w:val="21"/>
                    </w:rPr>
                    <w:t>监测指标</w:t>
                  </w:r>
                </w:p>
              </w:tc>
              <w:tc>
                <w:tcPr>
                  <w:tcW w:w="1186" w:type="dxa"/>
                  <w:noWrap w:val="0"/>
                  <w:vAlign w:val="center"/>
                </w:tcPr>
                <w:p w14:paraId="5C0D1C74">
                  <w:pPr>
                    <w:jc w:val="center"/>
                    <w:rPr>
                      <w:b/>
                      <w:bCs/>
                      <w:color w:val="000000"/>
                      <w:szCs w:val="21"/>
                    </w:rPr>
                  </w:pPr>
                  <w:r>
                    <w:rPr>
                      <w:b/>
                      <w:bCs/>
                      <w:color w:val="000000"/>
                      <w:szCs w:val="21"/>
                    </w:rPr>
                    <w:t>监测频次</w:t>
                  </w:r>
                </w:p>
              </w:tc>
            </w:tr>
            <w:tr w14:paraId="34987F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9" w:hRule="atLeast"/>
                <w:jc w:val="center"/>
              </w:trPr>
              <w:tc>
                <w:tcPr>
                  <w:tcW w:w="1182" w:type="dxa"/>
                  <w:noWrap w:val="0"/>
                  <w:vAlign w:val="center"/>
                </w:tcPr>
                <w:p w14:paraId="6B37D0A7">
                  <w:pPr>
                    <w:jc w:val="center"/>
                    <w:rPr>
                      <w:color w:val="000000"/>
                      <w:szCs w:val="21"/>
                    </w:rPr>
                  </w:pPr>
                  <w:r>
                    <w:rPr>
                      <w:color w:val="000000"/>
                      <w:szCs w:val="21"/>
                    </w:rPr>
                    <w:t>无组织</w:t>
                  </w:r>
                </w:p>
              </w:tc>
              <w:tc>
                <w:tcPr>
                  <w:tcW w:w="2504" w:type="dxa"/>
                  <w:noWrap w:val="0"/>
                  <w:vAlign w:val="center"/>
                </w:tcPr>
                <w:p w14:paraId="44C63220">
                  <w:pPr>
                    <w:jc w:val="center"/>
                    <w:rPr>
                      <w:rFonts w:hint="eastAsia"/>
                      <w:color w:val="000000"/>
                      <w:szCs w:val="21"/>
                    </w:rPr>
                  </w:pPr>
                  <w:r>
                    <w:rPr>
                      <w:color w:val="000000"/>
                      <w:szCs w:val="21"/>
                    </w:rPr>
                    <w:t>上风向1个，下风向</w:t>
                  </w:r>
                  <w:r>
                    <w:rPr>
                      <w:rFonts w:hint="eastAsia"/>
                      <w:color w:val="000000"/>
                      <w:szCs w:val="21"/>
                    </w:rPr>
                    <w:t>3</w:t>
                  </w:r>
                  <w:r>
                    <w:rPr>
                      <w:color w:val="000000"/>
                      <w:szCs w:val="21"/>
                    </w:rPr>
                    <w:t>个</w:t>
                  </w:r>
                </w:p>
              </w:tc>
              <w:tc>
                <w:tcPr>
                  <w:tcW w:w="3106" w:type="dxa"/>
                  <w:noWrap w:val="0"/>
                  <w:vAlign w:val="center"/>
                </w:tcPr>
                <w:p w14:paraId="12E452DC">
                  <w:pPr>
                    <w:jc w:val="center"/>
                    <w:rPr>
                      <w:color w:val="000000"/>
                      <w:szCs w:val="21"/>
                    </w:rPr>
                  </w:pPr>
                  <w:r>
                    <w:rPr>
                      <w:rFonts w:hint="eastAsia"/>
                      <w:color w:val="000000"/>
                      <w:szCs w:val="21"/>
                    </w:rPr>
                    <w:t>甲醇</w:t>
                  </w:r>
                </w:p>
              </w:tc>
              <w:tc>
                <w:tcPr>
                  <w:tcW w:w="1186" w:type="dxa"/>
                  <w:noWrap w:val="0"/>
                  <w:vAlign w:val="center"/>
                </w:tcPr>
                <w:p w14:paraId="2768A68F">
                  <w:pPr>
                    <w:jc w:val="center"/>
                    <w:rPr>
                      <w:rFonts w:hint="eastAsia"/>
                      <w:color w:val="000000"/>
                      <w:szCs w:val="21"/>
                    </w:rPr>
                  </w:pPr>
                  <w:r>
                    <w:rPr>
                      <w:color w:val="000000"/>
                      <w:szCs w:val="21"/>
                    </w:rPr>
                    <w:t>验收监测</w:t>
                  </w:r>
                </w:p>
              </w:tc>
            </w:tr>
            <w:tr w14:paraId="758C06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6" w:hRule="atLeast"/>
                <w:jc w:val="center"/>
              </w:trPr>
              <w:tc>
                <w:tcPr>
                  <w:tcW w:w="1182" w:type="dxa"/>
                  <w:noWrap w:val="0"/>
                  <w:vAlign w:val="center"/>
                </w:tcPr>
                <w:p w14:paraId="06FE61E7">
                  <w:pPr>
                    <w:jc w:val="center"/>
                    <w:rPr>
                      <w:color w:val="000000"/>
                      <w:szCs w:val="21"/>
                    </w:rPr>
                  </w:pPr>
                  <w:r>
                    <w:rPr>
                      <w:color w:val="000000"/>
                      <w:szCs w:val="21"/>
                    </w:rPr>
                    <w:t>有组织</w:t>
                  </w:r>
                </w:p>
              </w:tc>
              <w:tc>
                <w:tcPr>
                  <w:tcW w:w="2504" w:type="dxa"/>
                  <w:noWrap w:val="0"/>
                  <w:vAlign w:val="center"/>
                </w:tcPr>
                <w:p w14:paraId="084C380A">
                  <w:pPr>
                    <w:jc w:val="center"/>
                    <w:rPr>
                      <w:rFonts w:hint="eastAsia"/>
                      <w:color w:val="000000"/>
                      <w:szCs w:val="21"/>
                    </w:rPr>
                  </w:pPr>
                  <w:r>
                    <w:rPr>
                      <w:color w:val="000000"/>
                      <w:szCs w:val="21"/>
                    </w:rPr>
                    <w:t>DA001排气筒</w:t>
                  </w:r>
                  <w:r>
                    <w:rPr>
                      <w:rFonts w:hint="eastAsia"/>
                      <w:color w:val="000000"/>
                      <w:szCs w:val="21"/>
                    </w:rPr>
                    <w:t>进出口</w:t>
                  </w:r>
                </w:p>
              </w:tc>
              <w:tc>
                <w:tcPr>
                  <w:tcW w:w="3106" w:type="dxa"/>
                  <w:noWrap w:val="0"/>
                  <w:vAlign w:val="center"/>
                </w:tcPr>
                <w:p w14:paraId="35782FA4">
                  <w:pPr>
                    <w:jc w:val="center"/>
                    <w:rPr>
                      <w:rFonts w:hint="eastAsia"/>
                      <w:color w:val="000000"/>
                      <w:szCs w:val="21"/>
                    </w:rPr>
                  </w:pPr>
                  <w:r>
                    <w:rPr>
                      <w:rFonts w:hint="eastAsia"/>
                      <w:color w:val="000000"/>
                      <w:szCs w:val="21"/>
                    </w:rPr>
                    <w:t>甲醇</w:t>
                  </w:r>
                </w:p>
              </w:tc>
              <w:tc>
                <w:tcPr>
                  <w:tcW w:w="1186" w:type="dxa"/>
                  <w:noWrap w:val="0"/>
                  <w:vAlign w:val="center"/>
                </w:tcPr>
                <w:p w14:paraId="1A78B68B">
                  <w:pPr>
                    <w:jc w:val="center"/>
                    <w:rPr>
                      <w:color w:val="000000"/>
                      <w:szCs w:val="21"/>
                    </w:rPr>
                  </w:pPr>
                  <w:r>
                    <w:rPr>
                      <w:color w:val="000000"/>
                      <w:szCs w:val="21"/>
                    </w:rPr>
                    <w:t>验收监测</w:t>
                  </w:r>
                </w:p>
              </w:tc>
            </w:tr>
            <w:tr w14:paraId="44148E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6" w:hRule="atLeast"/>
                <w:jc w:val="center"/>
              </w:trPr>
              <w:tc>
                <w:tcPr>
                  <w:tcW w:w="1182" w:type="dxa"/>
                  <w:noWrap w:val="0"/>
                  <w:vAlign w:val="center"/>
                </w:tcPr>
                <w:p w14:paraId="7398CDE1">
                  <w:pPr>
                    <w:jc w:val="center"/>
                    <w:rPr>
                      <w:color w:val="000000"/>
                      <w:szCs w:val="21"/>
                    </w:rPr>
                  </w:pPr>
                  <w:r>
                    <w:rPr>
                      <w:color w:val="000000"/>
                      <w:szCs w:val="21"/>
                    </w:rPr>
                    <w:t>无组织</w:t>
                  </w:r>
                </w:p>
              </w:tc>
              <w:tc>
                <w:tcPr>
                  <w:tcW w:w="2504" w:type="dxa"/>
                  <w:noWrap w:val="0"/>
                  <w:vAlign w:val="center"/>
                </w:tcPr>
                <w:p w14:paraId="51825261">
                  <w:pPr>
                    <w:jc w:val="center"/>
                    <w:rPr>
                      <w:color w:val="000000"/>
                      <w:szCs w:val="21"/>
                    </w:rPr>
                  </w:pPr>
                  <w:r>
                    <w:rPr>
                      <w:color w:val="000000"/>
                      <w:szCs w:val="21"/>
                    </w:rPr>
                    <w:t>厂房外</w:t>
                  </w:r>
                </w:p>
              </w:tc>
              <w:tc>
                <w:tcPr>
                  <w:tcW w:w="3106" w:type="dxa"/>
                  <w:noWrap w:val="0"/>
                  <w:vAlign w:val="center"/>
                </w:tcPr>
                <w:p w14:paraId="70C4D441">
                  <w:pPr>
                    <w:jc w:val="center"/>
                    <w:rPr>
                      <w:rFonts w:hint="eastAsia"/>
                      <w:color w:val="000000"/>
                      <w:szCs w:val="21"/>
                    </w:rPr>
                  </w:pPr>
                  <w:r>
                    <w:rPr>
                      <w:rFonts w:hint="eastAsia"/>
                      <w:color w:val="000000"/>
                      <w:szCs w:val="21"/>
                    </w:rPr>
                    <w:t>非甲烷总烃</w:t>
                  </w:r>
                </w:p>
              </w:tc>
              <w:tc>
                <w:tcPr>
                  <w:tcW w:w="1186" w:type="dxa"/>
                  <w:noWrap w:val="0"/>
                  <w:vAlign w:val="center"/>
                </w:tcPr>
                <w:p w14:paraId="0E05C52C">
                  <w:pPr>
                    <w:jc w:val="center"/>
                    <w:rPr>
                      <w:color w:val="000000"/>
                      <w:szCs w:val="21"/>
                    </w:rPr>
                  </w:pPr>
                  <w:r>
                    <w:rPr>
                      <w:color w:val="000000"/>
                      <w:szCs w:val="21"/>
                    </w:rPr>
                    <w:t>验收监测</w:t>
                  </w:r>
                </w:p>
              </w:tc>
            </w:tr>
          </w:tbl>
          <w:p w14:paraId="4967ABF0">
            <w:pPr>
              <w:spacing w:line="360" w:lineRule="auto"/>
              <w:ind w:firstLine="482" w:firstLineChars="200"/>
              <w:rPr>
                <w:b/>
                <w:bCs/>
                <w:color w:val="000000"/>
                <w:sz w:val="24"/>
              </w:rPr>
            </w:pPr>
            <w:r>
              <w:rPr>
                <w:rFonts w:hint="eastAsia"/>
                <w:b/>
                <w:bCs/>
                <w:color w:val="000000"/>
                <w:sz w:val="24"/>
              </w:rPr>
              <w:t>5、</w:t>
            </w:r>
            <w:r>
              <w:rPr>
                <w:b/>
                <w:bCs/>
                <w:color w:val="000000"/>
                <w:sz w:val="24"/>
              </w:rPr>
              <w:t>结论</w:t>
            </w:r>
          </w:p>
          <w:p w14:paraId="03F81C1B">
            <w:pPr>
              <w:spacing w:line="360" w:lineRule="auto"/>
              <w:ind w:firstLine="480" w:firstLineChars="200"/>
              <w:rPr>
                <w:color w:val="000000"/>
                <w:sz w:val="24"/>
              </w:rPr>
            </w:pPr>
            <w:r>
              <w:rPr>
                <w:color w:val="000000"/>
                <w:sz w:val="24"/>
              </w:rPr>
              <w:t>项目有组织废气中</w:t>
            </w:r>
            <w:r>
              <w:rPr>
                <w:rFonts w:hint="eastAsia"/>
                <w:color w:val="000000"/>
                <w:sz w:val="24"/>
              </w:rPr>
              <w:t>甲醇通过设置“三级活性炭吸附装置+15m排气筒”处理后达标外排。</w:t>
            </w:r>
            <w:r>
              <w:rPr>
                <w:color w:val="000000"/>
                <w:sz w:val="24"/>
              </w:rPr>
              <w:t>排放浓度可达到</w:t>
            </w:r>
            <w:r>
              <w:rPr>
                <w:color w:val="000000"/>
                <w:sz w:val="24"/>
                <w:szCs w:val="22"/>
              </w:rPr>
              <w:t>《大气污染物综合排放</w:t>
            </w:r>
            <w:r>
              <w:rPr>
                <w:color w:val="000000"/>
                <w:sz w:val="24"/>
              </w:rPr>
              <w:t>标准》（GB16297-1996）中表2标准中限值。</w:t>
            </w:r>
            <w:r>
              <w:rPr>
                <w:bCs/>
                <w:color w:val="000000"/>
                <w:sz w:val="24"/>
              </w:rPr>
              <w:t>生产车间内无组织废气，通过加强车间通风换气</w:t>
            </w:r>
            <w:r>
              <w:rPr>
                <w:rFonts w:hint="eastAsia"/>
                <w:bCs/>
                <w:color w:val="000000"/>
                <w:sz w:val="24"/>
              </w:rPr>
              <w:t>及自然沉降</w:t>
            </w:r>
            <w:r>
              <w:rPr>
                <w:bCs/>
                <w:color w:val="000000"/>
                <w:sz w:val="24"/>
              </w:rPr>
              <w:t>后，对环境影响较小。</w:t>
            </w:r>
          </w:p>
          <w:p w14:paraId="389A80F7">
            <w:pPr>
              <w:spacing w:line="360" w:lineRule="auto"/>
              <w:ind w:firstLine="480" w:firstLineChars="200"/>
              <w:rPr>
                <w:color w:val="000000"/>
                <w:sz w:val="24"/>
              </w:rPr>
            </w:pPr>
            <w:r>
              <w:rPr>
                <w:color w:val="000000"/>
                <w:sz w:val="24"/>
              </w:rPr>
              <w:t>综上，本项目运营期在采取环评提出的各项措施后，对大气环境影响是可以接受的。</w:t>
            </w:r>
          </w:p>
          <w:p w14:paraId="5E97CC2C">
            <w:pPr>
              <w:spacing w:line="360" w:lineRule="auto"/>
              <w:ind w:firstLine="482" w:firstLineChars="200"/>
              <w:rPr>
                <w:b/>
                <w:bCs/>
                <w:color w:val="000000"/>
                <w:sz w:val="28"/>
                <w:szCs w:val="28"/>
              </w:rPr>
            </w:pPr>
            <w:r>
              <w:rPr>
                <w:rFonts w:hint="eastAsia"/>
                <w:b/>
                <w:bCs/>
                <w:color w:val="000000"/>
                <w:sz w:val="24"/>
              </w:rPr>
              <w:t>二、</w:t>
            </w:r>
            <w:r>
              <w:rPr>
                <w:b/>
                <w:bCs/>
                <w:color w:val="000000"/>
                <w:sz w:val="28"/>
                <w:szCs w:val="28"/>
              </w:rPr>
              <w:t>废</w:t>
            </w:r>
            <w:r>
              <w:rPr>
                <w:rFonts w:hint="eastAsia"/>
                <w:b/>
                <w:bCs/>
                <w:color w:val="000000"/>
                <w:sz w:val="28"/>
                <w:szCs w:val="28"/>
              </w:rPr>
              <w:t>水</w:t>
            </w:r>
            <w:r>
              <w:rPr>
                <w:b/>
                <w:color w:val="000000"/>
                <w:sz w:val="28"/>
                <w:szCs w:val="28"/>
              </w:rPr>
              <w:t>影响分析</w:t>
            </w:r>
            <w:r>
              <w:rPr>
                <w:b/>
                <w:bCs/>
                <w:color w:val="000000"/>
                <w:sz w:val="28"/>
                <w:szCs w:val="28"/>
              </w:rPr>
              <w:t>及保护措施</w:t>
            </w:r>
          </w:p>
          <w:p w14:paraId="7E5F3743">
            <w:pPr>
              <w:wordWrap w:val="0"/>
              <w:spacing w:line="360" w:lineRule="auto"/>
              <w:ind w:firstLine="482" w:firstLineChars="200"/>
              <w:rPr>
                <w:rFonts w:hint="eastAsia"/>
                <w:b/>
                <w:bCs/>
                <w:color w:val="000000"/>
                <w:sz w:val="24"/>
              </w:rPr>
            </w:pPr>
            <w:r>
              <w:rPr>
                <w:rFonts w:hint="eastAsia"/>
                <w:b/>
                <w:bCs/>
                <w:color w:val="000000"/>
                <w:sz w:val="24"/>
              </w:rPr>
              <w:t>1、项目废水去向</w:t>
            </w:r>
          </w:p>
          <w:p w14:paraId="5676498F">
            <w:pPr>
              <w:pStyle w:val="19"/>
              <w:tabs>
                <w:tab w:val="left" w:pos="420"/>
                <w:tab w:val="left" w:pos="870"/>
                <w:tab w:val="left" w:pos="3150"/>
              </w:tabs>
              <w:spacing w:line="360" w:lineRule="auto"/>
              <w:ind w:firstLine="480"/>
              <w:rPr>
                <w:rFonts w:hint="eastAsia"/>
                <w:color w:val="000000"/>
                <w:sz w:val="24"/>
              </w:rPr>
            </w:pPr>
            <w:r>
              <w:rPr>
                <w:color w:val="000000"/>
                <w:sz w:val="24"/>
              </w:rPr>
              <w:t>根据水平衡可知，项目生活污水</w:t>
            </w:r>
            <w:r>
              <w:rPr>
                <w:rFonts w:hint="eastAsia"/>
                <w:color w:val="000000"/>
                <w:sz w:val="24"/>
              </w:rPr>
              <w:t>产生量为0.9</w:t>
            </w:r>
            <w:r>
              <w:rPr>
                <w:color w:val="000000"/>
                <w:sz w:val="24"/>
              </w:rPr>
              <w:t>2</w:t>
            </w:r>
            <w:r>
              <w:rPr>
                <w:rFonts w:hint="eastAsia"/>
                <w:color w:val="000000"/>
                <w:sz w:val="24"/>
              </w:rPr>
              <w:t>m</w:t>
            </w:r>
            <w:r>
              <w:rPr>
                <w:rFonts w:hint="eastAsia"/>
                <w:color w:val="000000"/>
                <w:sz w:val="24"/>
                <w:vertAlign w:val="superscript"/>
              </w:rPr>
              <w:t>3</w:t>
            </w:r>
            <w:r>
              <w:rPr>
                <w:rFonts w:hint="eastAsia"/>
                <w:color w:val="000000"/>
                <w:sz w:val="24"/>
              </w:rPr>
              <w:t>/d，办公生活区食堂废水经隔油池预处理后连同其余办公生活污水一起排入化粪池，</w:t>
            </w:r>
            <w:bookmarkStart w:id="17" w:name="_Hlk129790284"/>
            <w:r>
              <w:rPr>
                <w:rFonts w:hint="eastAsia"/>
                <w:color w:val="000000"/>
                <w:sz w:val="24"/>
              </w:rPr>
              <w:t>定期清掏用于周边旱地施肥。</w:t>
            </w:r>
            <w:bookmarkEnd w:id="17"/>
          </w:p>
          <w:p w14:paraId="3CB0B276">
            <w:pPr>
              <w:snapToGrid w:val="0"/>
              <w:spacing w:line="360" w:lineRule="auto"/>
              <w:ind w:firstLine="482" w:firstLineChars="200"/>
              <w:rPr>
                <w:rFonts w:hint="eastAsia"/>
                <w:b/>
                <w:color w:val="000000"/>
                <w:sz w:val="24"/>
              </w:rPr>
            </w:pPr>
            <w:r>
              <w:rPr>
                <w:rFonts w:hint="eastAsia"/>
                <w:b/>
                <w:color w:val="000000"/>
                <w:sz w:val="24"/>
              </w:rPr>
              <w:t>2、</w:t>
            </w:r>
            <w:r>
              <w:rPr>
                <w:rFonts w:hint="eastAsia" w:ascii="宋体" w:cs="宋体"/>
                <w:b/>
                <w:color w:val="000000"/>
                <w:kern w:val="0"/>
                <w:sz w:val="24"/>
              </w:rPr>
              <w:t>废水不外排措施有效性评价</w:t>
            </w:r>
          </w:p>
          <w:p w14:paraId="1CF0832F">
            <w:pPr>
              <w:snapToGrid w:val="0"/>
              <w:spacing w:line="360" w:lineRule="auto"/>
              <w:ind w:firstLine="480" w:firstLineChars="200"/>
              <w:rPr>
                <w:bCs/>
                <w:color w:val="000000"/>
                <w:sz w:val="24"/>
              </w:rPr>
            </w:pPr>
            <w:r>
              <w:rPr>
                <w:bCs/>
                <w:color w:val="000000"/>
                <w:sz w:val="24"/>
              </w:rPr>
              <w:t>（1）隔油池设置的可行性</w:t>
            </w:r>
          </w:p>
          <w:p w14:paraId="47855A66">
            <w:pPr>
              <w:snapToGrid w:val="0"/>
              <w:spacing w:line="360" w:lineRule="auto"/>
              <w:ind w:firstLine="480" w:firstLineChars="200"/>
              <w:rPr>
                <w:color w:val="000000"/>
                <w:sz w:val="24"/>
              </w:rPr>
            </w:pPr>
            <w:r>
              <w:rPr>
                <w:color w:val="000000"/>
                <w:sz w:val="24"/>
              </w:rPr>
              <w:t>根据工程分析，项目食堂废水产生量为</w:t>
            </w:r>
            <w:r>
              <w:rPr>
                <w:rFonts w:hint="eastAsia"/>
                <w:color w:val="000000"/>
                <w:sz w:val="24"/>
              </w:rPr>
              <w:t>0.</w:t>
            </w:r>
            <w:r>
              <w:rPr>
                <w:color w:val="000000"/>
                <w:sz w:val="24"/>
              </w:rPr>
              <w:t>48m</w:t>
            </w:r>
            <w:r>
              <w:rPr>
                <w:color w:val="000000"/>
                <w:sz w:val="24"/>
                <w:vertAlign w:val="superscript"/>
              </w:rPr>
              <w:t>3</w:t>
            </w:r>
            <w:r>
              <w:rPr>
                <w:color w:val="000000"/>
                <w:sz w:val="24"/>
              </w:rPr>
              <w:t>/d，考虑食堂运行时间为4h，则食堂废水产生量为</w:t>
            </w:r>
            <w:r>
              <w:rPr>
                <w:rFonts w:hint="eastAsia"/>
                <w:color w:val="000000"/>
                <w:sz w:val="24"/>
              </w:rPr>
              <w:t>0.12</w:t>
            </w:r>
            <w:r>
              <w:rPr>
                <w:color w:val="000000"/>
                <w:sz w:val="24"/>
              </w:rPr>
              <w:t>m</w:t>
            </w:r>
            <w:r>
              <w:rPr>
                <w:color w:val="000000"/>
                <w:sz w:val="24"/>
                <w:vertAlign w:val="superscript"/>
              </w:rPr>
              <w:t>3</w:t>
            </w:r>
            <w:r>
              <w:rPr>
                <w:color w:val="000000"/>
                <w:sz w:val="24"/>
              </w:rPr>
              <w:t>/h，隔油池废水停留时间约为30min考虑，且预留25%的存油空间，</w:t>
            </w:r>
            <w:r>
              <w:rPr>
                <w:rFonts w:hint="eastAsia"/>
                <w:color w:val="000000"/>
                <w:sz w:val="24"/>
              </w:rPr>
              <w:t>按1.2的安全系数考虑，</w:t>
            </w:r>
            <w:r>
              <w:rPr>
                <w:color w:val="000000"/>
                <w:sz w:val="24"/>
              </w:rPr>
              <w:t>则隔油池理论容积应不小于</w:t>
            </w:r>
            <w:r>
              <w:rPr>
                <w:rFonts w:hint="eastAsia"/>
                <w:color w:val="000000"/>
                <w:sz w:val="24"/>
              </w:rPr>
              <w:t>0.1</w:t>
            </w:r>
            <w:r>
              <w:rPr>
                <w:color w:val="000000"/>
                <w:sz w:val="24"/>
              </w:rPr>
              <w:t>m</w:t>
            </w:r>
            <w:r>
              <w:rPr>
                <w:color w:val="000000"/>
                <w:sz w:val="24"/>
                <w:vertAlign w:val="superscript"/>
              </w:rPr>
              <w:t>3</w:t>
            </w:r>
            <w:r>
              <w:rPr>
                <w:color w:val="000000"/>
                <w:sz w:val="24"/>
              </w:rPr>
              <w:t>。因此，本项目设置1座</w:t>
            </w:r>
            <w:r>
              <w:rPr>
                <w:rFonts w:hint="eastAsia"/>
                <w:color w:val="000000"/>
                <w:sz w:val="24"/>
              </w:rPr>
              <w:t>0.5</w:t>
            </w:r>
            <w:r>
              <w:rPr>
                <w:color w:val="000000"/>
                <w:sz w:val="24"/>
              </w:rPr>
              <w:t>m</w:t>
            </w:r>
            <w:r>
              <w:rPr>
                <w:color w:val="000000"/>
                <w:sz w:val="24"/>
                <w:vertAlign w:val="superscript"/>
              </w:rPr>
              <w:t>3</w:t>
            </w:r>
            <w:r>
              <w:rPr>
                <w:color w:val="000000"/>
                <w:sz w:val="24"/>
              </w:rPr>
              <w:t>的隔油池，可满足食堂废水的处理需求，该措施合理可行。</w:t>
            </w:r>
          </w:p>
          <w:p w14:paraId="74197A37">
            <w:pPr>
              <w:snapToGrid w:val="0"/>
              <w:spacing w:line="360" w:lineRule="auto"/>
              <w:ind w:firstLine="480" w:firstLineChars="200"/>
              <w:rPr>
                <w:bCs/>
                <w:color w:val="000000"/>
                <w:sz w:val="24"/>
              </w:rPr>
            </w:pPr>
            <w:r>
              <w:rPr>
                <w:bCs/>
                <w:color w:val="000000"/>
                <w:sz w:val="24"/>
              </w:rPr>
              <w:t>（2）化粪池设置的可行性</w:t>
            </w:r>
          </w:p>
          <w:p w14:paraId="450B618F">
            <w:pPr>
              <w:snapToGrid w:val="0"/>
              <w:spacing w:line="360" w:lineRule="auto"/>
              <w:ind w:firstLine="480" w:firstLineChars="200"/>
              <w:rPr>
                <w:color w:val="000000"/>
                <w:sz w:val="24"/>
              </w:rPr>
            </w:pPr>
            <w:r>
              <w:rPr>
                <w:rFonts w:hint="eastAsia"/>
                <w:color w:val="000000"/>
                <w:sz w:val="24"/>
              </w:rPr>
              <w:t>根据项目场地地势条件及平面规划，项目区化粪池位于卫生间旁，用于收集经隔油池预处理后的食堂废水、员工卫生间及淋浴间废水。根据工程分析，项目区内生活污水产生量总为0.9</w:t>
            </w:r>
            <w:r>
              <w:rPr>
                <w:color w:val="000000"/>
                <w:sz w:val="24"/>
              </w:rPr>
              <w:t>2m</w:t>
            </w:r>
            <w:r>
              <w:rPr>
                <w:color w:val="000000"/>
                <w:sz w:val="24"/>
                <w:vertAlign w:val="superscript"/>
              </w:rPr>
              <w:t>3</w:t>
            </w:r>
            <w:r>
              <w:rPr>
                <w:color w:val="000000"/>
                <w:sz w:val="24"/>
              </w:rPr>
              <w:t>/d</w:t>
            </w:r>
            <w:r>
              <w:rPr>
                <w:rFonts w:hint="eastAsia"/>
                <w:color w:val="000000"/>
                <w:sz w:val="24"/>
              </w:rPr>
              <w:t>。</w:t>
            </w:r>
            <w:r>
              <w:rPr>
                <w:color w:val="000000"/>
                <w:sz w:val="24"/>
              </w:rPr>
              <w:t>化粪池停留时间一般取12-24</w:t>
            </w:r>
            <w:r>
              <w:rPr>
                <w:rFonts w:hint="eastAsia"/>
                <w:color w:val="000000"/>
                <w:sz w:val="24"/>
              </w:rPr>
              <w:t>h</w:t>
            </w:r>
            <w:r>
              <w:rPr>
                <w:color w:val="000000"/>
                <w:sz w:val="24"/>
              </w:rPr>
              <w:t>，本次评价停留时间以24h计，</w:t>
            </w:r>
            <w:r>
              <w:rPr>
                <w:rFonts w:hint="eastAsia"/>
                <w:color w:val="000000"/>
                <w:sz w:val="24"/>
              </w:rPr>
              <w:t>安全系数取</w:t>
            </w:r>
            <w:r>
              <w:rPr>
                <w:color w:val="000000"/>
                <w:sz w:val="24"/>
              </w:rPr>
              <w:t>1.2</w:t>
            </w:r>
            <w:r>
              <w:rPr>
                <w:rFonts w:hint="eastAsia"/>
                <w:color w:val="000000"/>
                <w:sz w:val="24"/>
              </w:rPr>
              <w:t>，因此，项目区化粪池容积为</w:t>
            </w:r>
            <w:r>
              <w:rPr>
                <w:color w:val="000000"/>
                <w:sz w:val="24"/>
              </w:rPr>
              <w:t>2</w:t>
            </w:r>
            <w:r>
              <w:rPr>
                <w:rFonts w:hint="eastAsia"/>
                <w:color w:val="000000"/>
                <w:sz w:val="24"/>
              </w:rPr>
              <w:t>0</w:t>
            </w:r>
            <w:r>
              <w:rPr>
                <w:color w:val="000000"/>
                <w:sz w:val="24"/>
              </w:rPr>
              <w:t>m</w:t>
            </w:r>
            <w:r>
              <w:rPr>
                <w:color w:val="000000"/>
                <w:sz w:val="24"/>
                <w:vertAlign w:val="superscript"/>
              </w:rPr>
              <w:t>3</w:t>
            </w:r>
            <w:r>
              <w:rPr>
                <w:rFonts w:hint="eastAsia"/>
                <w:color w:val="000000"/>
                <w:sz w:val="24"/>
              </w:rPr>
              <w:t>，</w:t>
            </w:r>
            <w:r>
              <w:rPr>
                <w:color w:val="000000"/>
                <w:sz w:val="24"/>
              </w:rPr>
              <w:t>能满足</w:t>
            </w:r>
            <w:r>
              <w:rPr>
                <w:rFonts w:hint="eastAsia"/>
                <w:color w:val="000000"/>
                <w:sz w:val="24"/>
              </w:rPr>
              <w:t>项目区</w:t>
            </w:r>
            <w:r>
              <w:rPr>
                <w:color w:val="000000"/>
                <w:sz w:val="24"/>
              </w:rPr>
              <w:t>生活污水处理要求</w:t>
            </w:r>
            <w:r>
              <w:rPr>
                <w:rFonts w:hint="eastAsia"/>
                <w:color w:val="000000"/>
                <w:sz w:val="24"/>
              </w:rPr>
              <w:t>，化粪池处理措施可行。</w:t>
            </w:r>
          </w:p>
          <w:p w14:paraId="7CB91BC4">
            <w:pPr>
              <w:snapToGrid w:val="0"/>
              <w:spacing w:line="360" w:lineRule="auto"/>
              <w:ind w:firstLine="480" w:firstLineChars="200"/>
              <w:rPr>
                <w:rFonts w:hint="eastAsia"/>
                <w:color w:val="000000"/>
                <w:sz w:val="24"/>
              </w:rPr>
            </w:pPr>
            <w:r>
              <w:rPr>
                <w:rFonts w:hint="eastAsia"/>
                <w:color w:val="000000"/>
                <w:sz w:val="24"/>
                <w:szCs w:val="21"/>
              </w:rPr>
              <w:t>综上，项目区内产生的办公生活污水得到合理处置</w:t>
            </w:r>
            <w:r>
              <w:rPr>
                <w:rFonts w:hint="eastAsia"/>
                <w:color w:val="000000"/>
                <w:sz w:val="24"/>
              </w:rPr>
              <w:t>。</w:t>
            </w:r>
            <w:r>
              <w:rPr>
                <w:rFonts w:hint="eastAsia"/>
                <w:color w:val="000000"/>
                <w:sz w:val="24"/>
                <w:szCs w:val="21"/>
              </w:rPr>
              <w:t>因此，项目采取的污水处理措施是可行、可靠的。采取以上措后，项目运营</w:t>
            </w:r>
            <w:r>
              <w:rPr>
                <w:rFonts w:hint="eastAsia"/>
                <w:color w:val="000000"/>
                <w:sz w:val="24"/>
              </w:rPr>
              <w:t>对地表水环境影响小。</w:t>
            </w:r>
          </w:p>
          <w:p w14:paraId="2A117C89">
            <w:pPr>
              <w:spacing w:line="360" w:lineRule="auto"/>
              <w:ind w:firstLine="482" w:firstLineChars="200"/>
              <w:rPr>
                <w:b/>
                <w:bCs/>
                <w:color w:val="000000"/>
                <w:sz w:val="28"/>
                <w:szCs w:val="28"/>
              </w:rPr>
            </w:pPr>
            <w:r>
              <w:rPr>
                <w:rFonts w:hint="eastAsia"/>
                <w:b/>
                <w:bCs/>
                <w:color w:val="000000"/>
                <w:sz w:val="24"/>
              </w:rPr>
              <w:t>三、</w:t>
            </w:r>
            <w:r>
              <w:rPr>
                <w:rFonts w:hint="eastAsia"/>
                <w:b/>
                <w:bCs/>
                <w:color w:val="000000"/>
                <w:sz w:val="28"/>
                <w:szCs w:val="28"/>
              </w:rPr>
              <w:t>噪声</w:t>
            </w:r>
            <w:r>
              <w:rPr>
                <w:b/>
                <w:color w:val="000000"/>
                <w:sz w:val="28"/>
                <w:szCs w:val="28"/>
              </w:rPr>
              <w:t>影响分析</w:t>
            </w:r>
            <w:r>
              <w:rPr>
                <w:b/>
                <w:bCs/>
                <w:color w:val="000000"/>
                <w:sz w:val="28"/>
                <w:szCs w:val="28"/>
              </w:rPr>
              <w:t>及保护措施</w:t>
            </w:r>
          </w:p>
          <w:p w14:paraId="383C9AE2">
            <w:pPr>
              <w:spacing w:line="360" w:lineRule="auto"/>
              <w:ind w:firstLine="482" w:firstLineChars="200"/>
              <w:rPr>
                <w:b/>
                <w:color w:val="000000"/>
                <w:sz w:val="24"/>
              </w:rPr>
            </w:pPr>
            <w:r>
              <w:rPr>
                <w:rFonts w:hint="eastAsia"/>
                <w:b/>
                <w:color w:val="000000"/>
                <w:sz w:val="24"/>
              </w:rPr>
              <w:t>1、</w:t>
            </w:r>
            <w:r>
              <w:rPr>
                <w:b/>
                <w:color w:val="000000"/>
                <w:sz w:val="24"/>
              </w:rPr>
              <w:t>噪声产排情况</w:t>
            </w:r>
          </w:p>
          <w:p w14:paraId="4A1455F9">
            <w:pPr>
              <w:spacing w:line="360" w:lineRule="auto"/>
              <w:ind w:firstLine="480" w:firstLineChars="200"/>
              <w:rPr>
                <w:color w:val="000000"/>
                <w:sz w:val="24"/>
              </w:rPr>
            </w:pPr>
            <w:r>
              <w:rPr>
                <w:color w:val="000000"/>
                <w:sz w:val="24"/>
              </w:rPr>
              <w:t>项目主要产噪设备、噪声防治措施等情况详见</w:t>
            </w:r>
            <w:r>
              <w:rPr>
                <w:rFonts w:hint="eastAsia"/>
                <w:color w:val="000000"/>
                <w:sz w:val="24"/>
              </w:rPr>
              <w:t>下</w:t>
            </w:r>
            <w:r>
              <w:rPr>
                <w:color w:val="000000"/>
                <w:sz w:val="24"/>
              </w:rPr>
              <w:t>表。</w:t>
            </w:r>
          </w:p>
          <w:p w14:paraId="08326D0C">
            <w:pPr>
              <w:spacing w:line="360" w:lineRule="auto"/>
              <w:jc w:val="center"/>
              <w:rPr>
                <w:b/>
                <w:bCs/>
                <w:color w:val="000000"/>
                <w:szCs w:val="21"/>
              </w:rPr>
            </w:pPr>
          </w:p>
          <w:p w14:paraId="23525A1A">
            <w:pPr>
              <w:spacing w:line="360" w:lineRule="auto"/>
              <w:jc w:val="center"/>
              <w:rPr>
                <w:b/>
                <w:bCs/>
                <w:color w:val="000000"/>
                <w:szCs w:val="21"/>
              </w:rPr>
            </w:pPr>
          </w:p>
          <w:p w14:paraId="4A79FDF3">
            <w:pPr>
              <w:spacing w:line="360" w:lineRule="auto"/>
              <w:jc w:val="center"/>
              <w:rPr>
                <w:b/>
                <w:bCs/>
                <w:color w:val="000000"/>
                <w:szCs w:val="21"/>
              </w:rPr>
            </w:pPr>
          </w:p>
          <w:p w14:paraId="09B456CB">
            <w:pPr>
              <w:spacing w:line="360" w:lineRule="auto"/>
              <w:jc w:val="center"/>
              <w:rPr>
                <w:b/>
                <w:bCs/>
                <w:color w:val="000000"/>
                <w:szCs w:val="21"/>
              </w:rPr>
            </w:pPr>
          </w:p>
          <w:p w14:paraId="0876C2FF">
            <w:pPr>
              <w:spacing w:line="360" w:lineRule="auto"/>
              <w:jc w:val="center"/>
              <w:rPr>
                <w:color w:val="000000"/>
              </w:rPr>
            </w:pPr>
            <w:r>
              <w:rPr>
                <w:b/>
                <w:bCs/>
                <w:color w:val="000000"/>
                <w:szCs w:val="21"/>
              </w:rPr>
              <w:t>表4-10</w:t>
            </w:r>
            <w:r>
              <w:rPr>
                <w:rFonts w:hint="eastAsia"/>
                <w:b/>
                <w:bCs/>
                <w:color w:val="000000"/>
                <w:szCs w:val="21"/>
              </w:rPr>
              <w:t xml:space="preserve"> </w:t>
            </w:r>
            <w:r>
              <w:rPr>
                <w:b/>
                <w:bCs/>
                <w:color w:val="000000"/>
                <w:szCs w:val="21"/>
              </w:rPr>
              <w:t xml:space="preserve"> 项目主要产噪设备情况表</w:t>
            </w:r>
          </w:p>
          <w:tbl>
            <w:tblPr>
              <w:tblStyle w:val="20"/>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662"/>
              <w:gridCol w:w="659"/>
              <w:gridCol w:w="659"/>
              <w:gridCol w:w="579"/>
              <w:gridCol w:w="483"/>
              <w:gridCol w:w="1636"/>
              <w:gridCol w:w="552"/>
              <w:gridCol w:w="555"/>
              <w:gridCol w:w="725"/>
              <w:gridCol w:w="704"/>
              <w:gridCol w:w="748"/>
            </w:tblGrid>
            <w:tr w14:paraId="375E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6" w:hRule="atLeast"/>
                <w:jc w:val="center"/>
              </w:trPr>
              <w:tc>
                <w:tcPr>
                  <w:tcW w:w="332" w:type="dxa"/>
                  <w:vMerge w:val="restart"/>
                  <w:noWrap w:val="0"/>
                  <w:vAlign w:val="center"/>
                </w:tcPr>
                <w:p w14:paraId="2F92EB13">
                  <w:pPr>
                    <w:widowControl/>
                    <w:jc w:val="center"/>
                    <w:rPr>
                      <w:b/>
                      <w:bCs/>
                      <w:color w:val="000000"/>
                      <w:kern w:val="0"/>
                      <w:szCs w:val="21"/>
                      <w:lang w:bidi="ar"/>
                    </w:rPr>
                  </w:pPr>
                  <w:r>
                    <w:rPr>
                      <w:b/>
                      <w:bCs/>
                      <w:color w:val="000000"/>
                      <w:kern w:val="0"/>
                      <w:szCs w:val="21"/>
                      <w:lang w:bidi="ar"/>
                    </w:rPr>
                    <w:t>建筑物名称</w:t>
                  </w:r>
                </w:p>
              </w:tc>
              <w:tc>
                <w:tcPr>
                  <w:tcW w:w="662" w:type="dxa"/>
                  <w:vMerge w:val="restart"/>
                  <w:noWrap w:val="0"/>
                  <w:vAlign w:val="center"/>
                </w:tcPr>
                <w:p w14:paraId="6955E909">
                  <w:pPr>
                    <w:widowControl/>
                    <w:jc w:val="center"/>
                    <w:rPr>
                      <w:b/>
                      <w:bCs/>
                      <w:color w:val="000000"/>
                      <w:kern w:val="0"/>
                      <w:szCs w:val="21"/>
                      <w:lang w:bidi="ar"/>
                    </w:rPr>
                  </w:pPr>
                  <w:r>
                    <w:rPr>
                      <w:b/>
                      <w:bCs/>
                      <w:color w:val="000000"/>
                      <w:kern w:val="0"/>
                      <w:szCs w:val="21"/>
                      <w:lang w:bidi="ar"/>
                    </w:rPr>
                    <w:t>声源名称</w:t>
                  </w:r>
                </w:p>
              </w:tc>
              <w:tc>
                <w:tcPr>
                  <w:tcW w:w="659" w:type="dxa"/>
                  <w:vMerge w:val="restart"/>
                  <w:noWrap w:val="0"/>
                  <w:vAlign w:val="center"/>
                </w:tcPr>
                <w:p w14:paraId="57CAF28D">
                  <w:pPr>
                    <w:widowControl/>
                    <w:jc w:val="center"/>
                    <w:rPr>
                      <w:b/>
                      <w:bCs/>
                      <w:color w:val="000000"/>
                      <w:kern w:val="0"/>
                      <w:szCs w:val="21"/>
                      <w:lang w:bidi="ar"/>
                    </w:rPr>
                  </w:pPr>
                  <w:r>
                    <w:rPr>
                      <w:b/>
                      <w:bCs/>
                      <w:color w:val="000000"/>
                      <w:kern w:val="0"/>
                      <w:szCs w:val="21"/>
                      <w:lang w:bidi="ar"/>
                    </w:rPr>
                    <w:t>数量</w:t>
                  </w:r>
                </w:p>
              </w:tc>
              <w:tc>
                <w:tcPr>
                  <w:tcW w:w="659" w:type="dxa"/>
                  <w:vMerge w:val="restart"/>
                  <w:noWrap w:val="0"/>
                  <w:vAlign w:val="center"/>
                </w:tcPr>
                <w:p w14:paraId="4615E266">
                  <w:pPr>
                    <w:widowControl/>
                    <w:jc w:val="center"/>
                    <w:rPr>
                      <w:b/>
                      <w:bCs/>
                      <w:color w:val="000000"/>
                      <w:kern w:val="0"/>
                      <w:szCs w:val="21"/>
                      <w:lang w:bidi="ar"/>
                    </w:rPr>
                  </w:pPr>
                  <w:r>
                    <w:rPr>
                      <w:b/>
                      <w:bCs/>
                      <w:color w:val="000000"/>
                      <w:kern w:val="0"/>
                      <w:szCs w:val="21"/>
                      <w:lang w:bidi="ar"/>
                    </w:rPr>
                    <w:t>型号</w:t>
                  </w:r>
                </w:p>
              </w:tc>
              <w:tc>
                <w:tcPr>
                  <w:tcW w:w="579" w:type="dxa"/>
                  <w:vMerge w:val="restart"/>
                  <w:noWrap w:val="0"/>
                  <w:vAlign w:val="center"/>
                </w:tcPr>
                <w:p w14:paraId="2DC9041C">
                  <w:pPr>
                    <w:widowControl/>
                    <w:jc w:val="center"/>
                    <w:rPr>
                      <w:b/>
                      <w:bCs/>
                      <w:color w:val="000000"/>
                      <w:kern w:val="0"/>
                      <w:szCs w:val="21"/>
                      <w:lang w:bidi="ar"/>
                    </w:rPr>
                  </w:pPr>
                  <w:r>
                    <w:rPr>
                      <w:b/>
                      <w:bCs/>
                      <w:color w:val="000000"/>
                      <w:kern w:val="0"/>
                      <w:szCs w:val="21"/>
                      <w:lang w:bidi="ar"/>
                    </w:rPr>
                    <w:t>声功率级dB(A)</w:t>
                  </w:r>
                </w:p>
              </w:tc>
              <w:tc>
                <w:tcPr>
                  <w:tcW w:w="483" w:type="dxa"/>
                  <w:vMerge w:val="restart"/>
                  <w:noWrap w:val="0"/>
                  <w:vAlign w:val="center"/>
                </w:tcPr>
                <w:p w14:paraId="42C0460C">
                  <w:pPr>
                    <w:widowControl/>
                    <w:jc w:val="center"/>
                    <w:rPr>
                      <w:b/>
                      <w:bCs/>
                      <w:color w:val="000000"/>
                      <w:kern w:val="0"/>
                      <w:szCs w:val="21"/>
                      <w:lang w:bidi="ar"/>
                    </w:rPr>
                  </w:pPr>
                  <w:r>
                    <w:rPr>
                      <w:b/>
                      <w:bCs/>
                      <w:color w:val="000000"/>
                      <w:kern w:val="0"/>
                      <w:szCs w:val="21"/>
                      <w:lang w:bidi="ar"/>
                    </w:rPr>
                    <w:t>声源控制措施</w:t>
                  </w:r>
                </w:p>
              </w:tc>
              <w:tc>
                <w:tcPr>
                  <w:tcW w:w="1636" w:type="dxa"/>
                  <w:noWrap w:val="0"/>
                  <w:vAlign w:val="center"/>
                </w:tcPr>
                <w:p w14:paraId="261D90E0">
                  <w:pPr>
                    <w:widowControl/>
                    <w:jc w:val="center"/>
                    <w:rPr>
                      <w:b/>
                      <w:bCs/>
                      <w:color w:val="000000"/>
                      <w:kern w:val="0"/>
                      <w:szCs w:val="21"/>
                      <w:lang w:bidi="ar"/>
                    </w:rPr>
                  </w:pPr>
                  <w:r>
                    <w:rPr>
                      <w:b/>
                      <w:bCs/>
                      <w:color w:val="000000"/>
                      <w:kern w:val="0"/>
                      <w:szCs w:val="21"/>
                      <w:lang w:bidi="ar"/>
                    </w:rPr>
                    <w:t>空间相对位置/m</w:t>
                  </w:r>
                </w:p>
              </w:tc>
              <w:tc>
                <w:tcPr>
                  <w:tcW w:w="552" w:type="dxa"/>
                  <w:vMerge w:val="restart"/>
                  <w:noWrap w:val="0"/>
                  <w:vAlign w:val="center"/>
                </w:tcPr>
                <w:p w14:paraId="5D56D690">
                  <w:pPr>
                    <w:widowControl/>
                    <w:jc w:val="center"/>
                    <w:rPr>
                      <w:b/>
                      <w:bCs/>
                      <w:color w:val="000000"/>
                      <w:kern w:val="0"/>
                      <w:szCs w:val="21"/>
                      <w:lang w:bidi="ar"/>
                    </w:rPr>
                  </w:pPr>
                  <w:r>
                    <w:rPr>
                      <w:b/>
                      <w:bCs/>
                      <w:color w:val="000000"/>
                      <w:kern w:val="0"/>
                      <w:szCs w:val="21"/>
                      <w:lang w:bidi="ar"/>
                    </w:rPr>
                    <w:t>距室内边界距离/m</w:t>
                  </w:r>
                </w:p>
              </w:tc>
              <w:tc>
                <w:tcPr>
                  <w:tcW w:w="555" w:type="dxa"/>
                  <w:vMerge w:val="restart"/>
                  <w:noWrap w:val="0"/>
                  <w:vAlign w:val="center"/>
                </w:tcPr>
                <w:p w14:paraId="1F1A69FB">
                  <w:pPr>
                    <w:widowControl/>
                    <w:jc w:val="center"/>
                    <w:rPr>
                      <w:b/>
                      <w:bCs/>
                      <w:color w:val="000000"/>
                      <w:kern w:val="0"/>
                      <w:szCs w:val="21"/>
                      <w:lang w:bidi="ar"/>
                    </w:rPr>
                  </w:pPr>
                  <w:r>
                    <w:rPr>
                      <w:b/>
                      <w:bCs/>
                      <w:color w:val="000000"/>
                      <w:kern w:val="0"/>
                      <w:szCs w:val="21"/>
                      <w:lang w:bidi="ar"/>
                    </w:rPr>
                    <w:t>室内边界声级/dB(A)</w:t>
                  </w:r>
                </w:p>
              </w:tc>
              <w:tc>
                <w:tcPr>
                  <w:tcW w:w="725" w:type="dxa"/>
                  <w:vMerge w:val="restart"/>
                  <w:noWrap w:val="0"/>
                  <w:vAlign w:val="center"/>
                </w:tcPr>
                <w:p w14:paraId="78445372">
                  <w:pPr>
                    <w:widowControl/>
                    <w:jc w:val="center"/>
                    <w:rPr>
                      <w:b/>
                      <w:bCs/>
                      <w:color w:val="000000"/>
                      <w:kern w:val="0"/>
                      <w:szCs w:val="21"/>
                      <w:lang w:bidi="ar"/>
                    </w:rPr>
                  </w:pPr>
                  <w:r>
                    <w:rPr>
                      <w:b/>
                      <w:bCs/>
                      <w:color w:val="000000"/>
                      <w:kern w:val="0"/>
                      <w:szCs w:val="21"/>
                      <w:lang w:bidi="ar"/>
                    </w:rPr>
                    <w:t>建筑物插入损失/dB(A)</w:t>
                  </w:r>
                </w:p>
              </w:tc>
              <w:tc>
                <w:tcPr>
                  <w:tcW w:w="1452" w:type="dxa"/>
                  <w:gridSpan w:val="2"/>
                  <w:noWrap w:val="0"/>
                  <w:vAlign w:val="center"/>
                </w:tcPr>
                <w:p w14:paraId="46B2ED88">
                  <w:pPr>
                    <w:widowControl/>
                    <w:jc w:val="center"/>
                    <w:rPr>
                      <w:b/>
                      <w:bCs/>
                      <w:color w:val="000000"/>
                      <w:kern w:val="0"/>
                      <w:szCs w:val="21"/>
                      <w:lang w:bidi="ar"/>
                    </w:rPr>
                  </w:pPr>
                  <w:r>
                    <w:rPr>
                      <w:b/>
                      <w:bCs/>
                      <w:color w:val="000000"/>
                      <w:kern w:val="0"/>
                      <w:szCs w:val="21"/>
                      <w:lang w:bidi="ar"/>
                    </w:rPr>
                    <w:t>建筑物外噪声</w:t>
                  </w:r>
                </w:p>
              </w:tc>
            </w:tr>
            <w:tr w14:paraId="67C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0" w:hRule="atLeast"/>
                <w:jc w:val="center"/>
              </w:trPr>
              <w:tc>
                <w:tcPr>
                  <w:tcW w:w="332" w:type="dxa"/>
                  <w:vMerge w:val="continue"/>
                  <w:noWrap w:val="0"/>
                  <w:vAlign w:val="center"/>
                </w:tcPr>
                <w:p w14:paraId="2FDA234D">
                  <w:pPr>
                    <w:widowControl/>
                    <w:jc w:val="center"/>
                    <w:rPr>
                      <w:color w:val="000000"/>
                      <w:kern w:val="0"/>
                      <w:szCs w:val="21"/>
                      <w:lang w:bidi="ar"/>
                    </w:rPr>
                  </w:pPr>
                </w:p>
              </w:tc>
              <w:tc>
                <w:tcPr>
                  <w:tcW w:w="662" w:type="dxa"/>
                  <w:vMerge w:val="continue"/>
                  <w:noWrap w:val="0"/>
                  <w:vAlign w:val="center"/>
                </w:tcPr>
                <w:p w14:paraId="34C1A85C">
                  <w:pPr>
                    <w:widowControl/>
                    <w:jc w:val="center"/>
                    <w:rPr>
                      <w:color w:val="000000"/>
                      <w:kern w:val="0"/>
                      <w:szCs w:val="21"/>
                      <w:lang w:bidi="ar"/>
                    </w:rPr>
                  </w:pPr>
                </w:p>
              </w:tc>
              <w:tc>
                <w:tcPr>
                  <w:tcW w:w="659" w:type="dxa"/>
                  <w:vMerge w:val="continue"/>
                  <w:noWrap w:val="0"/>
                  <w:vAlign w:val="center"/>
                </w:tcPr>
                <w:p w14:paraId="23F66DCE">
                  <w:pPr>
                    <w:widowControl/>
                    <w:jc w:val="center"/>
                    <w:rPr>
                      <w:color w:val="000000"/>
                      <w:kern w:val="0"/>
                      <w:szCs w:val="21"/>
                      <w:lang w:bidi="ar"/>
                    </w:rPr>
                  </w:pPr>
                </w:p>
              </w:tc>
              <w:tc>
                <w:tcPr>
                  <w:tcW w:w="659" w:type="dxa"/>
                  <w:vMerge w:val="continue"/>
                  <w:noWrap w:val="0"/>
                  <w:vAlign w:val="center"/>
                </w:tcPr>
                <w:p w14:paraId="6B9180CA">
                  <w:pPr>
                    <w:widowControl/>
                    <w:jc w:val="center"/>
                    <w:rPr>
                      <w:color w:val="000000"/>
                      <w:kern w:val="0"/>
                      <w:szCs w:val="21"/>
                      <w:lang w:bidi="ar"/>
                    </w:rPr>
                  </w:pPr>
                </w:p>
              </w:tc>
              <w:tc>
                <w:tcPr>
                  <w:tcW w:w="579" w:type="dxa"/>
                  <w:vMerge w:val="continue"/>
                  <w:noWrap w:val="0"/>
                  <w:vAlign w:val="center"/>
                </w:tcPr>
                <w:p w14:paraId="19B04CBC">
                  <w:pPr>
                    <w:widowControl/>
                    <w:jc w:val="center"/>
                    <w:rPr>
                      <w:color w:val="000000"/>
                      <w:kern w:val="0"/>
                      <w:szCs w:val="21"/>
                      <w:lang w:bidi="ar"/>
                    </w:rPr>
                  </w:pPr>
                </w:p>
              </w:tc>
              <w:tc>
                <w:tcPr>
                  <w:tcW w:w="483" w:type="dxa"/>
                  <w:vMerge w:val="continue"/>
                  <w:noWrap w:val="0"/>
                  <w:vAlign w:val="center"/>
                </w:tcPr>
                <w:p w14:paraId="427E6929">
                  <w:pPr>
                    <w:widowControl/>
                    <w:jc w:val="center"/>
                    <w:rPr>
                      <w:color w:val="000000"/>
                      <w:kern w:val="0"/>
                      <w:szCs w:val="21"/>
                      <w:lang w:bidi="ar"/>
                    </w:rPr>
                  </w:pPr>
                </w:p>
              </w:tc>
              <w:tc>
                <w:tcPr>
                  <w:tcW w:w="1636" w:type="dxa"/>
                  <w:noWrap w:val="0"/>
                  <w:vAlign w:val="center"/>
                </w:tcPr>
                <w:p w14:paraId="55F7ABA8">
                  <w:pPr>
                    <w:widowControl/>
                    <w:jc w:val="center"/>
                    <w:rPr>
                      <w:b/>
                      <w:bCs/>
                      <w:color w:val="000000"/>
                      <w:kern w:val="0"/>
                      <w:szCs w:val="21"/>
                      <w:lang w:bidi="ar"/>
                    </w:rPr>
                  </w:pPr>
                  <w:r>
                    <w:rPr>
                      <w:b/>
                      <w:bCs/>
                      <w:color w:val="000000"/>
                      <w:kern w:val="0"/>
                      <w:szCs w:val="21"/>
                      <w:lang w:bidi="ar"/>
                    </w:rPr>
                    <w:t>X，Y，Z</w:t>
                  </w:r>
                </w:p>
              </w:tc>
              <w:tc>
                <w:tcPr>
                  <w:tcW w:w="552" w:type="dxa"/>
                  <w:vMerge w:val="continue"/>
                  <w:noWrap w:val="0"/>
                  <w:vAlign w:val="center"/>
                </w:tcPr>
                <w:p w14:paraId="40F56E13">
                  <w:pPr>
                    <w:widowControl/>
                    <w:jc w:val="center"/>
                    <w:rPr>
                      <w:color w:val="000000"/>
                      <w:kern w:val="0"/>
                      <w:szCs w:val="21"/>
                      <w:lang w:bidi="ar"/>
                    </w:rPr>
                  </w:pPr>
                </w:p>
              </w:tc>
              <w:tc>
                <w:tcPr>
                  <w:tcW w:w="555" w:type="dxa"/>
                  <w:vMerge w:val="continue"/>
                  <w:noWrap w:val="0"/>
                  <w:vAlign w:val="center"/>
                </w:tcPr>
                <w:p w14:paraId="243CF45F">
                  <w:pPr>
                    <w:widowControl/>
                    <w:jc w:val="center"/>
                    <w:rPr>
                      <w:color w:val="000000"/>
                      <w:kern w:val="0"/>
                      <w:szCs w:val="21"/>
                      <w:lang w:bidi="ar"/>
                    </w:rPr>
                  </w:pPr>
                </w:p>
              </w:tc>
              <w:tc>
                <w:tcPr>
                  <w:tcW w:w="725" w:type="dxa"/>
                  <w:vMerge w:val="continue"/>
                  <w:noWrap w:val="0"/>
                  <w:vAlign w:val="center"/>
                </w:tcPr>
                <w:p w14:paraId="0F46CAD8">
                  <w:pPr>
                    <w:widowControl/>
                    <w:jc w:val="center"/>
                    <w:rPr>
                      <w:color w:val="000000"/>
                      <w:kern w:val="0"/>
                      <w:szCs w:val="21"/>
                      <w:lang w:bidi="ar"/>
                    </w:rPr>
                  </w:pPr>
                </w:p>
              </w:tc>
              <w:tc>
                <w:tcPr>
                  <w:tcW w:w="704" w:type="dxa"/>
                  <w:noWrap w:val="0"/>
                  <w:vAlign w:val="center"/>
                </w:tcPr>
                <w:p w14:paraId="4E151501">
                  <w:pPr>
                    <w:widowControl/>
                    <w:jc w:val="center"/>
                    <w:rPr>
                      <w:b/>
                      <w:bCs/>
                      <w:color w:val="000000"/>
                      <w:kern w:val="0"/>
                      <w:szCs w:val="21"/>
                      <w:lang w:bidi="ar"/>
                    </w:rPr>
                  </w:pPr>
                  <w:r>
                    <w:rPr>
                      <w:b/>
                      <w:bCs/>
                      <w:color w:val="000000"/>
                      <w:kern w:val="0"/>
                      <w:szCs w:val="21"/>
                      <w:lang w:bidi="ar"/>
                    </w:rPr>
                    <w:t>声压级/dB(A)</w:t>
                  </w:r>
                </w:p>
              </w:tc>
              <w:tc>
                <w:tcPr>
                  <w:tcW w:w="748" w:type="dxa"/>
                  <w:noWrap w:val="0"/>
                  <w:vAlign w:val="center"/>
                </w:tcPr>
                <w:p w14:paraId="40B84D3B">
                  <w:pPr>
                    <w:widowControl/>
                    <w:jc w:val="center"/>
                    <w:rPr>
                      <w:b/>
                      <w:bCs/>
                      <w:color w:val="000000"/>
                      <w:kern w:val="0"/>
                      <w:szCs w:val="21"/>
                      <w:lang w:bidi="ar"/>
                    </w:rPr>
                  </w:pPr>
                  <w:r>
                    <w:rPr>
                      <w:b/>
                      <w:bCs/>
                      <w:color w:val="000000"/>
                      <w:kern w:val="0"/>
                      <w:szCs w:val="21"/>
                      <w:lang w:bidi="ar"/>
                    </w:rPr>
                    <w:t>建筑物外距离/m</w:t>
                  </w:r>
                </w:p>
              </w:tc>
            </w:tr>
            <w:tr w14:paraId="43CE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6" w:hRule="atLeast"/>
                <w:jc w:val="center"/>
              </w:trPr>
              <w:tc>
                <w:tcPr>
                  <w:tcW w:w="332" w:type="dxa"/>
                  <w:noWrap w:val="0"/>
                  <w:vAlign w:val="center"/>
                </w:tcPr>
                <w:p w14:paraId="5D0664B9">
                  <w:pPr>
                    <w:widowControl/>
                    <w:jc w:val="center"/>
                    <w:rPr>
                      <w:color w:val="000000"/>
                      <w:kern w:val="0"/>
                      <w:szCs w:val="21"/>
                      <w:lang w:bidi="ar"/>
                    </w:rPr>
                  </w:pPr>
                  <w:r>
                    <w:rPr>
                      <w:color w:val="000000"/>
                      <w:kern w:val="0"/>
                      <w:szCs w:val="21"/>
                      <w:lang w:bidi="ar"/>
                    </w:rPr>
                    <w:t>除湿间</w:t>
                  </w:r>
                </w:p>
              </w:tc>
              <w:tc>
                <w:tcPr>
                  <w:tcW w:w="662" w:type="dxa"/>
                  <w:noWrap w:val="0"/>
                  <w:vAlign w:val="center"/>
                </w:tcPr>
                <w:p w14:paraId="155CD033">
                  <w:pPr>
                    <w:jc w:val="center"/>
                    <w:rPr>
                      <w:color w:val="000000"/>
                      <w:szCs w:val="21"/>
                    </w:rPr>
                  </w:pPr>
                  <w:r>
                    <w:rPr>
                      <w:color w:val="000000"/>
                      <w:szCs w:val="21"/>
                    </w:rPr>
                    <w:t>除湿机</w:t>
                  </w:r>
                </w:p>
              </w:tc>
              <w:tc>
                <w:tcPr>
                  <w:tcW w:w="659" w:type="dxa"/>
                  <w:noWrap w:val="0"/>
                  <w:vAlign w:val="center"/>
                </w:tcPr>
                <w:p w14:paraId="40BB864D">
                  <w:pPr>
                    <w:widowControl/>
                    <w:jc w:val="center"/>
                    <w:rPr>
                      <w:color w:val="000000"/>
                      <w:kern w:val="0"/>
                      <w:szCs w:val="21"/>
                      <w:lang w:bidi="ar"/>
                    </w:rPr>
                  </w:pPr>
                  <w:r>
                    <w:rPr>
                      <w:rFonts w:hint="eastAsia"/>
                      <w:color w:val="000000"/>
                      <w:kern w:val="0"/>
                      <w:szCs w:val="21"/>
                      <w:lang w:bidi="ar"/>
                    </w:rPr>
                    <w:t>1</w:t>
                  </w:r>
                  <w:r>
                    <w:rPr>
                      <w:color w:val="000000"/>
                      <w:kern w:val="0"/>
                      <w:szCs w:val="21"/>
                      <w:lang w:bidi="ar"/>
                    </w:rPr>
                    <w:t>台</w:t>
                  </w:r>
                </w:p>
              </w:tc>
              <w:tc>
                <w:tcPr>
                  <w:tcW w:w="659" w:type="dxa"/>
                  <w:noWrap w:val="0"/>
                  <w:vAlign w:val="center"/>
                </w:tcPr>
                <w:p w14:paraId="651DEF7B">
                  <w:pPr>
                    <w:widowControl/>
                    <w:jc w:val="center"/>
                    <w:rPr>
                      <w:color w:val="000000"/>
                      <w:kern w:val="0"/>
                      <w:szCs w:val="21"/>
                      <w:lang w:bidi="ar"/>
                    </w:rPr>
                  </w:pPr>
                  <w:r>
                    <w:rPr>
                      <w:color w:val="000000"/>
                      <w:kern w:val="0"/>
                      <w:szCs w:val="21"/>
                      <w:lang w:bidi="ar"/>
                    </w:rPr>
                    <w:t>/</w:t>
                  </w:r>
                </w:p>
              </w:tc>
              <w:tc>
                <w:tcPr>
                  <w:tcW w:w="579" w:type="dxa"/>
                  <w:noWrap w:val="0"/>
                  <w:vAlign w:val="center"/>
                </w:tcPr>
                <w:p w14:paraId="73036849">
                  <w:pPr>
                    <w:widowControl/>
                    <w:jc w:val="center"/>
                    <w:rPr>
                      <w:color w:val="000000"/>
                      <w:kern w:val="0"/>
                      <w:szCs w:val="21"/>
                      <w:lang w:bidi="ar"/>
                    </w:rPr>
                  </w:pPr>
                  <w:r>
                    <w:rPr>
                      <w:color w:val="000000"/>
                      <w:kern w:val="0"/>
                      <w:szCs w:val="21"/>
                      <w:lang w:bidi="ar"/>
                    </w:rPr>
                    <w:t>70</w:t>
                  </w:r>
                </w:p>
              </w:tc>
              <w:tc>
                <w:tcPr>
                  <w:tcW w:w="483" w:type="dxa"/>
                  <w:vMerge w:val="continue"/>
                  <w:noWrap w:val="0"/>
                  <w:vAlign w:val="center"/>
                </w:tcPr>
                <w:p w14:paraId="6D965AB1">
                  <w:pPr>
                    <w:widowControl/>
                    <w:jc w:val="center"/>
                    <w:rPr>
                      <w:color w:val="000000"/>
                      <w:kern w:val="0"/>
                      <w:szCs w:val="21"/>
                      <w:lang w:bidi="ar"/>
                    </w:rPr>
                  </w:pPr>
                </w:p>
              </w:tc>
              <w:tc>
                <w:tcPr>
                  <w:tcW w:w="1636" w:type="dxa"/>
                  <w:noWrap w:val="0"/>
                  <w:vAlign w:val="center"/>
                </w:tcPr>
                <w:p w14:paraId="05D2C955">
                  <w:pPr>
                    <w:widowControl/>
                    <w:jc w:val="center"/>
                    <w:rPr>
                      <w:color w:val="000000"/>
                      <w:kern w:val="0"/>
                      <w:szCs w:val="21"/>
                      <w:lang w:bidi="ar"/>
                    </w:rPr>
                  </w:pPr>
                  <w:r>
                    <w:rPr>
                      <w:rFonts w:hint="eastAsia"/>
                      <w:color w:val="000000"/>
                      <w:kern w:val="0"/>
                      <w:szCs w:val="21"/>
                      <w:lang w:bidi="ar"/>
                    </w:rPr>
                    <w:t>-15.62</w:t>
                  </w:r>
                  <w:r>
                    <w:rPr>
                      <w:color w:val="000000"/>
                      <w:kern w:val="0"/>
                      <w:szCs w:val="21"/>
                      <w:lang w:bidi="ar"/>
                    </w:rPr>
                    <w:t>，</w:t>
                  </w:r>
                  <w:r>
                    <w:rPr>
                      <w:rFonts w:hint="eastAsia"/>
                      <w:color w:val="000000"/>
                      <w:kern w:val="0"/>
                      <w:szCs w:val="21"/>
                      <w:lang w:bidi="ar"/>
                    </w:rPr>
                    <w:t>-15.6</w:t>
                  </w:r>
                  <w:r>
                    <w:rPr>
                      <w:color w:val="000000"/>
                      <w:kern w:val="0"/>
                      <w:szCs w:val="21"/>
                      <w:lang w:bidi="ar"/>
                    </w:rPr>
                    <w:t>，0</w:t>
                  </w:r>
                </w:p>
              </w:tc>
              <w:tc>
                <w:tcPr>
                  <w:tcW w:w="552" w:type="dxa"/>
                  <w:noWrap w:val="0"/>
                  <w:vAlign w:val="center"/>
                </w:tcPr>
                <w:p w14:paraId="6425E4ED">
                  <w:pPr>
                    <w:widowControl/>
                    <w:jc w:val="center"/>
                    <w:rPr>
                      <w:color w:val="000000"/>
                      <w:kern w:val="0"/>
                      <w:szCs w:val="21"/>
                      <w:lang w:bidi="ar"/>
                    </w:rPr>
                  </w:pPr>
                  <w:r>
                    <w:rPr>
                      <w:color w:val="000000"/>
                      <w:kern w:val="0"/>
                      <w:szCs w:val="21"/>
                      <w:lang w:bidi="ar"/>
                    </w:rPr>
                    <w:t>1</w:t>
                  </w:r>
                </w:p>
              </w:tc>
              <w:tc>
                <w:tcPr>
                  <w:tcW w:w="555" w:type="dxa"/>
                  <w:noWrap w:val="0"/>
                  <w:vAlign w:val="center"/>
                </w:tcPr>
                <w:p w14:paraId="671396C1">
                  <w:pPr>
                    <w:widowControl/>
                    <w:jc w:val="center"/>
                    <w:rPr>
                      <w:color w:val="000000"/>
                      <w:kern w:val="0"/>
                      <w:szCs w:val="21"/>
                      <w:lang w:bidi="ar"/>
                    </w:rPr>
                  </w:pPr>
                  <w:r>
                    <w:rPr>
                      <w:color w:val="000000"/>
                      <w:kern w:val="0"/>
                      <w:szCs w:val="21"/>
                      <w:lang w:bidi="ar"/>
                    </w:rPr>
                    <w:t>70</w:t>
                  </w:r>
                </w:p>
              </w:tc>
              <w:tc>
                <w:tcPr>
                  <w:tcW w:w="725" w:type="dxa"/>
                  <w:noWrap w:val="0"/>
                  <w:vAlign w:val="center"/>
                </w:tcPr>
                <w:p w14:paraId="4F4FD594">
                  <w:pPr>
                    <w:widowControl/>
                    <w:jc w:val="center"/>
                    <w:rPr>
                      <w:color w:val="000000"/>
                      <w:kern w:val="0"/>
                      <w:szCs w:val="21"/>
                      <w:lang w:bidi="ar"/>
                    </w:rPr>
                  </w:pPr>
                  <w:r>
                    <w:rPr>
                      <w:color w:val="000000"/>
                      <w:kern w:val="0"/>
                      <w:szCs w:val="21"/>
                      <w:lang w:bidi="ar"/>
                    </w:rPr>
                    <w:t>20</w:t>
                  </w:r>
                </w:p>
              </w:tc>
              <w:tc>
                <w:tcPr>
                  <w:tcW w:w="704" w:type="dxa"/>
                  <w:noWrap w:val="0"/>
                  <w:vAlign w:val="center"/>
                </w:tcPr>
                <w:p w14:paraId="296820F2">
                  <w:pPr>
                    <w:widowControl/>
                    <w:jc w:val="center"/>
                    <w:rPr>
                      <w:color w:val="000000"/>
                      <w:kern w:val="0"/>
                      <w:szCs w:val="21"/>
                      <w:lang w:bidi="ar"/>
                    </w:rPr>
                  </w:pPr>
                  <w:r>
                    <w:rPr>
                      <w:color w:val="000000"/>
                      <w:kern w:val="0"/>
                      <w:szCs w:val="21"/>
                      <w:lang w:bidi="ar"/>
                    </w:rPr>
                    <w:t>50</w:t>
                  </w:r>
                </w:p>
              </w:tc>
              <w:tc>
                <w:tcPr>
                  <w:tcW w:w="748" w:type="dxa"/>
                  <w:noWrap w:val="0"/>
                  <w:vAlign w:val="center"/>
                </w:tcPr>
                <w:p w14:paraId="41FB3F2C">
                  <w:pPr>
                    <w:widowControl/>
                    <w:jc w:val="center"/>
                    <w:rPr>
                      <w:color w:val="000000"/>
                      <w:kern w:val="0"/>
                      <w:szCs w:val="21"/>
                      <w:lang w:bidi="ar"/>
                    </w:rPr>
                  </w:pPr>
                  <w:r>
                    <w:rPr>
                      <w:color w:val="000000"/>
                      <w:kern w:val="0"/>
                      <w:szCs w:val="21"/>
                      <w:lang w:bidi="ar"/>
                    </w:rPr>
                    <w:t>1</w:t>
                  </w:r>
                </w:p>
              </w:tc>
            </w:tr>
          </w:tbl>
          <w:p w14:paraId="567E4944">
            <w:pPr>
              <w:spacing w:line="360" w:lineRule="auto"/>
              <w:ind w:firstLine="482" w:firstLineChars="200"/>
              <w:rPr>
                <w:b/>
                <w:bCs/>
                <w:color w:val="000000"/>
                <w:sz w:val="24"/>
              </w:rPr>
            </w:pPr>
            <w:r>
              <w:rPr>
                <w:rFonts w:hint="eastAsia"/>
                <w:b/>
                <w:color w:val="000000"/>
                <w:sz w:val="24"/>
              </w:rPr>
              <w:t>2、</w:t>
            </w:r>
            <w:r>
              <w:rPr>
                <w:b/>
                <w:bCs/>
                <w:color w:val="000000"/>
                <w:sz w:val="24"/>
              </w:rPr>
              <w:t>声环境影响分析</w:t>
            </w:r>
          </w:p>
          <w:p w14:paraId="0E21DC40">
            <w:pPr>
              <w:autoSpaceDE w:val="0"/>
              <w:autoSpaceDN w:val="0"/>
              <w:spacing w:line="360" w:lineRule="auto"/>
              <w:ind w:firstLine="482" w:firstLineChars="200"/>
              <w:jc w:val="left"/>
              <w:rPr>
                <w:b/>
                <w:bCs/>
                <w:color w:val="000000"/>
                <w:sz w:val="24"/>
              </w:rPr>
            </w:pPr>
            <w:r>
              <w:rPr>
                <w:rFonts w:hint="eastAsia"/>
                <w:b/>
                <w:bCs/>
                <w:color w:val="000000"/>
                <w:sz w:val="24"/>
              </w:rPr>
              <w:t>（1）</w:t>
            </w:r>
            <w:r>
              <w:rPr>
                <w:b/>
                <w:bCs/>
                <w:color w:val="000000"/>
                <w:sz w:val="24"/>
              </w:rPr>
              <w:t>预测模式</w:t>
            </w:r>
          </w:p>
          <w:p w14:paraId="2C844C92">
            <w:pPr>
              <w:spacing w:line="360" w:lineRule="auto"/>
              <w:ind w:firstLine="480"/>
              <w:rPr>
                <w:color w:val="000000"/>
                <w:kern w:val="0"/>
                <w:sz w:val="24"/>
              </w:rPr>
            </w:pPr>
            <w:r>
              <w:rPr>
                <w:color w:val="000000"/>
                <w:kern w:val="0"/>
                <w:sz w:val="24"/>
              </w:rPr>
              <w:t>根据《环境影响评价技术导则 声环境》（HJ2.4-2021），声源位于室内，室内声源可采用等效室外声源声功率级法进行计算。</w:t>
            </w:r>
          </w:p>
          <w:p w14:paraId="59F4656C">
            <w:pPr>
              <w:spacing w:line="360" w:lineRule="auto"/>
              <w:ind w:firstLine="480"/>
              <w:jc w:val="center"/>
              <w:rPr>
                <w:color w:val="000000"/>
                <w:kern w:val="0"/>
                <w:sz w:val="24"/>
              </w:rPr>
            </w:pPr>
            <w:r>
              <w:rPr>
                <w:color w:val="000000"/>
                <w:kern w:val="0"/>
                <w:sz w:val="24"/>
              </w:rPr>
              <w:t>Lp2=Lp1-(TL+6)</w:t>
            </w:r>
          </w:p>
          <w:p w14:paraId="4F1B18B5">
            <w:pPr>
              <w:spacing w:line="360" w:lineRule="auto"/>
              <w:ind w:firstLine="480"/>
              <w:jc w:val="left"/>
              <w:rPr>
                <w:color w:val="000000"/>
                <w:kern w:val="0"/>
                <w:sz w:val="24"/>
              </w:rPr>
            </w:pPr>
            <w:r>
              <w:rPr>
                <w:color w:val="000000"/>
                <w:kern w:val="0"/>
                <w:sz w:val="24"/>
              </w:rPr>
              <w:t>式中：Lp1——靠近开口处（或窗户）室内某倍频带的声压级或A声级，dB；</w:t>
            </w:r>
          </w:p>
          <w:p w14:paraId="570B799D">
            <w:pPr>
              <w:spacing w:line="360" w:lineRule="auto"/>
              <w:ind w:firstLine="480"/>
              <w:jc w:val="left"/>
              <w:rPr>
                <w:color w:val="000000"/>
                <w:kern w:val="0"/>
                <w:sz w:val="24"/>
              </w:rPr>
            </w:pPr>
            <w:r>
              <w:rPr>
                <w:color w:val="000000"/>
                <w:kern w:val="0"/>
                <w:sz w:val="24"/>
              </w:rPr>
              <w:t>Lp2——靠近开口处（或窗户）室外某倍频带的声压级或A声级，dB；</w:t>
            </w:r>
          </w:p>
          <w:p w14:paraId="2BE34E44">
            <w:pPr>
              <w:spacing w:line="360" w:lineRule="auto"/>
              <w:ind w:firstLine="480"/>
              <w:jc w:val="left"/>
              <w:rPr>
                <w:color w:val="000000"/>
                <w:kern w:val="0"/>
                <w:sz w:val="24"/>
              </w:rPr>
            </w:pPr>
            <w:r>
              <w:rPr>
                <w:color w:val="000000"/>
                <w:kern w:val="0"/>
                <w:sz w:val="24"/>
              </w:rPr>
              <w:t>TL——隔墙（或窗户）倍频带或A声级的隔声量，dB。</w:t>
            </w:r>
          </w:p>
          <w:p w14:paraId="647C865A">
            <w:pPr>
              <w:spacing w:line="360" w:lineRule="auto"/>
              <w:ind w:firstLine="480"/>
              <w:jc w:val="left"/>
              <w:rPr>
                <w:color w:val="000000"/>
                <w:kern w:val="0"/>
                <w:sz w:val="24"/>
              </w:rPr>
            </w:pPr>
            <w:r>
              <w:rPr>
                <w:color w:val="000000"/>
                <w:kern w:val="0"/>
                <w:sz w:val="24"/>
              </w:rPr>
              <w:t>设第i个室外声源在预测点产生的A声级为LAi，在T时间内该声源工作时间为ti；第j个等效室外声源在预测点产生的A声级为LAj，在T时间内该声源工作时间为tj，则</w:t>
            </w:r>
            <w:r>
              <w:rPr>
                <w:rFonts w:hint="eastAsia"/>
                <w:color w:val="000000"/>
                <w:kern w:val="0"/>
                <w:sz w:val="24"/>
              </w:rPr>
              <w:t>项目</w:t>
            </w:r>
            <w:r>
              <w:rPr>
                <w:color w:val="000000"/>
                <w:kern w:val="0"/>
                <w:sz w:val="24"/>
              </w:rPr>
              <w:t>声源对预测点产生的贡献值（Leqg）为：</w:t>
            </w:r>
          </w:p>
          <w:p w14:paraId="4B34E193">
            <w:pPr>
              <w:spacing w:line="360" w:lineRule="auto"/>
              <w:jc w:val="center"/>
              <w:rPr>
                <w:color w:val="000000"/>
                <w:kern w:val="0"/>
                <w:sz w:val="24"/>
              </w:rPr>
            </w:pPr>
            <w:r>
              <w:rPr>
                <w:color w:val="000000"/>
                <w:sz w:val="24"/>
              </w:rPr>
              <w:drawing>
                <wp:inline distT="0" distB="0" distL="114300" distR="114300">
                  <wp:extent cx="2846070" cy="554355"/>
                  <wp:effectExtent l="0" t="0" r="11430" b="17145"/>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2"/>
                          <a:stretch>
                            <a:fillRect/>
                          </a:stretch>
                        </pic:blipFill>
                        <pic:spPr>
                          <a:xfrm>
                            <a:off x="0" y="0"/>
                            <a:ext cx="2846070" cy="554355"/>
                          </a:xfrm>
                          <a:prstGeom prst="rect">
                            <a:avLst/>
                          </a:prstGeom>
                          <a:noFill/>
                          <a:ln>
                            <a:noFill/>
                          </a:ln>
                        </pic:spPr>
                      </pic:pic>
                    </a:graphicData>
                  </a:graphic>
                </wp:inline>
              </w:drawing>
            </w:r>
          </w:p>
          <w:p w14:paraId="00C3950C">
            <w:pPr>
              <w:spacing w:line="360" w:lineRule="auto"/>
              <w:ind w:firstLine="480"/>
              <w:jc w:val="left"/>
              <w:rPr>
                <w:color w:val="000000"/>
                <w:kern w:val="0"/>
                <w:sz w:val="24"/>
              </w:rPr>
            </w:pPr>
            <w:r>
              <w:rPr>
                <w:color w:val="000000"/>
                <w:kern w:val="0"/>
                <w:sz w:val="24"/>
              </w:rPr>
              <w:t>式中：Leqg——建设项目声源在预测点产生的噪声贡献值，dB；</w:t>
            </w:r>
          </w:p>
          <w:p w14:paraId="4494863B">
            <w:pPr>
              <w:spacing w:line="360" w:lineRule="auto"/>
              <w:ind w:firstLine="480"/>
              <w:jc w:val="left"/>
              <w:rPr>
                <w:color w:val="000000"/>
                <w:kern w:val="0"/>
                <w:sz w:val="24"/>
              </w:rPr>
            </w:pPr>
            <w:r>
              <w:rPr>
                <w:color w:val="000000"/>
                <w:kern w:val="0"/>
                <w:sz w:val="24"/>
              </w:rPr>
              <w:t>T——用于计算等效声级的时间，s；</w:t>
            </w:r>
          </w:p>
          <w:p w14:paraId="47E5B6D7">
            <w:pPr>
              <w:spacing w:line="360" w:lineRule="auto"/>
              <w:ind w:firstLine="480"/>
              <w:jc w:val="left"/>
              <w:rPr>
                <w:color w:val="000000"/>
                <w:kern w:val="0"/>
                <w:sz w:val="24"/>
              </w:rPr>
            </w:pPr>
            <w:r>
              <w:rPr>
                <w:color w:val="000000"/>
                <w:kern w:val="0"/>
                <w:sz w:val="24"/>
              </w:rPr>
              <w:t>N——室外声源个数；</w:t>
            </w:r>
          </w:p>
          <w:p w14:paraId="22609604">
            <w:pPr>
              <w:spacing w:line="360" w:lineRule="auto"/>
              <w:ind w:firstLine="480"/>
              <w:jc w:val="left"/>
              <w:rPr>
                <w:color w:val="000000"/>
                <w:kern w:val="0"/>
                <w:sz w:val="24"/>
              </w:rPr>
            </w:pPr>
            <w:r>
              <w:rPr>
                <w:color w:val="000000"/>
                <w:kern w:val="0"/>
                <w:sz w:val="24"/>
              </w:rPr>
              <w:t>t</w:t>
            </w:r>
            <w:r>
              <w:rPr>
                <w:color w:val="000000"/>
                <w:kern w:val="0"/>
                <w:sz w:val="24"/>
                <w:vertAlign w:val="subscript"/>
              </w:rPr>
              <w:t xml:space="preserve"> i </w:t>
            </w:r>
            <w:r>
              <w:rPr>
                <w:color w:val="000000"/>
                <w:kern w:val="0"/>
                <w:sz w:val="24"/>
              </w:rPr>
              <w:t>——在T时间内i声源工作时间，s；</w:t>
            </w:r>
          </w:p>
          <w:p w14:paraId="7135B4A2">
            <w:pPr>
              <w:spacing w:line="360" w:lineRule="auto"/>
              <w:ind w:firstLine="480"/>
              <w:jc w:val="left"/>
              <w:rPr>
                <w:color w:val="000000"/>
                <w:kern w:val="0"/>
                <w:sz w:val="24"/>
              </w:rPr>
            </w:pPr>
            <w:r>
              <w:rPr>
                <w:color w:val="000000"/>
                <w:kern w:val="0"/>
                <w:sz w:val="24"/>
              </w:rPr>
              <w:t>M——等效室外声源个数；</w:t>
            </w:r>
          </w:p>
          <w:p w14:paraId="77976B1A">
            <w:pPr>
              <w:autoSpaceDE w:val="0"/>
              <w:autoSpaceDN w:val="0"/>
              <w:spacing w:line="360" w:lineRule="auto"/>
              <w:ind w:firstLine="480" w:firstLineChars="200"/>
              <w:jc w:val="left"/>
              <w:rPr>
                <w:color w:val="000000"/>
                <w:sz w:val="24"/>
              </w:rPr>
            </w:pPr>
            <w:r>
              <w:rPr>
                <w:color w:val="000000"/>
                <w:kern w:val="0"/>
                <w:sz w:val="24"/>
              </w:rPr>
              <w:t>t</w:t>
            </w:r>
            <w:r>
              <w:rPr>
                <w:color w:val="000000"/>
                <w:kern w:val="0"/>
                <w:sz w:val="24"/>
                <w:vertAlign w:val="subscript"/>
              </w:rPr>
              <w:t xml:space="preserve"> j </w:t>
            </w:r>
            <w:r>
              <w:rPr>
                <w:color w:val="000000"/>
                <w:kern w:val="0"/>
                <w:sz w:val="24"/>
              </w:rPr>
              <w:t>——在T时间内j声源工作时间，s。</w:t>
            </w:r>
          </w:p>
          <w:p w14:paraId="475E656A">
            <w:pPr>
              <w:spacing w:line="360" w:lineRule="auto"/>
              <w:ind w:firstLine="482" w:firstLineChars="200"/>
              <w:rPr>
                <w:b/>
                <w:bCs/>
                <w:color w:val="000000"/>
                <w:sz w:val="24"/>
              </w:rPr>
            </w:pPr>
            <w:r>
              <w:rPr>
                <w:rFonts w:hint="eastAsia"/>
                <w:b/>
                <w:bCs/>
                <w:color w:val="000000"/>
                <w:sz w:val="24"/>
              </w:rPr>
              <w:t>（2）</w:t>
            </w:r>
            <w:r>
              <w:rPr>
                <w:b/>
                <w:bCs/>
                <w:color w:val="000000"/>
                <w:sz w:val="24"/>
              </w:rPr>
              <w:t>预测结果</w:t>
            </w:r>
          </w:p>
          <w:p w14:paraId="0BAB7EAF">
            <w:pPr>
              <w:spacing w:line="360" w:lineRule="auto"/>
              <w:ind w:firstLine="573"/>
              <w:rPr>
                <w:b/>
                <w:color w:val="000000"/>
                <w:sz w:val="24"/>
              </w:rPr>
            </w:pPr>
            <w:r>
              <w:rPr>
                <w:color w:val="000000"/>
                <w:sz w:val="24"/>
              </w:rPr>
              <w:t>通过预测模型计算，预测结果见</w:t>
            </w:r>
            <w:r>
              <w:rPr>
                <w:rFonts w:hint="eastAsia"/>
                <w:color w:val="000000"/>
                <w:sz w:val="24"/>
              </w:rPr>
              <w:t>下</w:t>
            </w:r>
            <w:r>
              <w:rPr>
                <w:color w:val="000000"/>
                <w:sz w:val="24"/>
              </w:rPr>
              <w:t>表。</w:t>
            </w:r>
          </w:p>
          <w:p w14:paraId="45FB8598">
            <w:pPr>
              <w:spacing w:line="360" w:lineRule="auto"/>
              <w:jc w:val="center"/>
              <w:rPr>
                <w:b/>
                <w:color w:val="000000"/>
                <w:szCs w:val="21"/>
              </w:rPr>
            </w:pPr>
            <w:r>
              <w:rPr>
                <w:b/>
                <w:color w:val="000000"/>
                <w:szCs w:val="21"/>
              </w:rPr>
              <w:t>表4-</w:t>
            </w:r>
            <w:r>
              <w:rPr>
                <w:rFonts w:hint="eastAsia"/>
                <w:b/>
                <w:color w:val="000000"/>
                <w:szCs w:val="21"/>
              </w:rPr>
              <w:t>1</w:t>
            </w:r>
            <w:r>
              <w:rPr>
                <w:b/>
                <w:color w:val="000000"/>
                <w:szCs w:val="21"/>
              </w:rPr>
              <w:t>1</w:t>
            </w:r>
            <w:r>
              <w:rPr>
                <w:rFonts w:hint="eastAsia"/>
                <w:b/>
                <w:color w:val="000000"/>
                <w:szCs w:val="21"/>
              </w:rPr>
              <w:t xml:space="preserve">  </w:t>
            </w:r>
            <w:r>
              <w:rPr>
                <w:b/>
                <w:color w:val="000000"/>
                <w:szCs w:val="21"/>
              </w:rPr>
              <w:t>厂界噪声贡献值预测结果单位：dB（A）</w:t>
            </w:r>
          </w:p>
          <w:tbl>
            <w:tblPr>
              <w:tblStyle w:val="20"/>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67"/>
              <w:gridCol w:w="805"/>
              <w:gridCol w:w="751"/>
              <w:gridCol w:w="815"/>
              <w:gridCol w:w="750"/>
              <w:gridCol w:w="815"/>
              <w:gridCol w:w="758"/>
              <w:gridCol w:w="815"/>
              <w:gridCol w:w="807"/>
            </w:tblGrid>
            <w:tr w14:paraId="3B0E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9" w:hRule="atLeast"/>
                <w:jc w:val="center"/>
              </w:trPr>
              <w:tc>
                <w:tcPr>
                  <w:tcW w:w="1333" w:type="dxa"/>
                  <w:vMerge w:val="restart"/>
                  <w:noWrap w:val="0"/>
                  <w:vAlign w:val="center"/>
                </w:tcPr>
                <w:p w14:paraId="59BFAD24">
                  <w:pPr>
                    <w:jc w:val="center"/>
                    <w:rPr>
                      <w:b/>
                      <w:bCs/>
                      <w:color w:val="000000"/>
                      <w:szCs w:val="21"/>
                    </w:rPr>
                  </w:pPr>
                  <w:r>
                    <w:rPr>
                      <w:b/>
                      <w:bCs/>
                      <w:color w:val="000000"/>
                      <w:szCs w:val="21"/>
                    </w:rPr>
                    <w:t>噪声源</w:t>
                  </w:r>
                </w:p>
              </w:tc>
              <w:tc>
                <w:tcPr>
                  <w:tcW w:w="767" w:type="dxa"/>
                  <w:vMerge w:val="restart"/>
                  <w:noWrap w:val="0"/>
                  <w:vAlign w:val="center"/>
                </w:tcPr>
                <w:p w14:paraId="49B4D39B">
                  <w:pPr>
                    <w:jc w:val="center"/>
                    <w:rPr>
                      <w:b/>
                      <w:bCs/>
                      <w:color w:val="000000"/>
                      <w:szCs w:val="21"/>
                    </w:rPr>
                  </w:pPr>
                  <w:r>
                    <w:rPr>
                      <w:b/>
                      <w:bCs/>
                      <w:color w:val="000000"/>
                      <w:szCs w:val="21"/>
                    </w:rPr>
                    <w:t>最大噪声值</w:t>
                  </w:r>
                </w:p>
              </w:tc>
              <w:tc>
                <w:tcPr>
                  <w:tcW w:w="1556" w:type="dxa"/>
                  <w:gridSpan w:val="2"/>
                  <w:noWrap w:val="0"/>
                  <w:vAlign w:val="center"/>
                </w:tcPr>
                <w:p w14:paraId="605F97B3">
                  <w:pPr>
                    <w:jc w:val="center"/>
                    <w:rPr>
                      <w:b/>
                      <w:bCs/>
                      <w:color w:val="000000"/>
                      <w:szCs w:val="21"/>
                    </w:rPr>
                  </w:pPr>
                  <w:r>
                    <w:rPr>
                      <w:b/>
                      <w:bCs/>
                      <w:color w:val="000000"/>
                      <w:szCs w:val="21"/>
                    </w:rPr>
                    <w:t>厂界东</w:t>
                  </w:r>
                </w:p>
              </w:tc>
              <w:tc>
                <w:tcPr>
                  <w:tcW w:w="1565" w:type="dxa"/>
                  <w:gridSpan w:val="2"/>
                  <w:noWrap w:val="0"/>
                  <w:vAlign w:val="center"/>
                </w:tcPr>
                <w:p w14:paraId="7F6B302B">
                  <w:pPr>
                    <w:jc w:val="center"/>
                    <w:rPr>
                      <w:b/>
                      <w:bCs/>
                      <w:color w:val="000000"/>
                      <w:szCs w:val="21"/>
                    </w:rPr>
                  </w:pPr>
                  <w:r>
                    <w:rPr>
                      <w:b/>
                      <w:bCs/>
                      <w:color w:val="000000"/>
                      <w:szCs w:val="21"/>
                    </w:rPr>
                    <w:t>厂界南</w:t>
                  </w:r>
                </w:p>
              </w:tc>
              <w:tc>
                <w:tcPr>
                  <w:tcW w:w="1573" w:type="dxa"/>
                  <w:gridSpan w:val="2"/>
                  <w:noWrap w:val="0"/>
                  <w:vAlign w:val="center"/>
                </w:tcPr>
                <w:p w14:paraId="6E32DC50">
                  <w:pPr>
                    <w:jc w:val="center"/>
                    <w:rPr>
                      <w:b/>
                      <w:bCs/>
                      <w:color w:val="000000"/>
                      <w:szCs w:val="21"/>
                    </w:rPr>
                  </w:pPr>
                  <w:r>
                    <w:rPr>
                      <w:b/>
                      <w:bCs/>
                      <w:color w:val="000000"/>
                      <w:szCs w:val="21"/>
                    </w:rPr>
                    <w:t>厂界西</w:t>
                  </w:r>
                </w:p>
              </w:tc>
              <w:tc>
                <w:tcPr>
                  <w:tcW w:w="1622" w:type="dxa"/>
                  <w:gridSpan w:val="2"/>
                  <w:noWrap w:val="0"/>
                  <w:vAlign w:val="center"/>
                </w:tcPr>
                <w:p w14:paraId="1E3B4099">
                  <w:pPr>
                    <w:jc w:val="center"/>
                    <w:rPr>
                      <w:b/>
                      <w:bCs/>
                      <w:color w:val="000000"/>
                      <w:szCs w:val="21"/>
                    </w:rPr>
                  </w:pPr>
                  <w:r>
                    <w:rPr>
                      <w:b/>
                      <w:bCs/>
                      <w:color w:val="000000"/>
                      <w:szCs w:val="21"/>
                    </w:rPr>
                    <w:t>厂界北</w:t>
                  </w:r>
                </w:p>
              </w:tc>
            </w:tr>
            <w:tr w14:paraId="7A22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jc w:val="center"/>
              </w:trPr>
              <w:tc>
                <w:tcPr>
                  <w:tcW w:w="1333" w:type="dxa"/>
                  <w:vMerge w:val="continue"/>
                  <w:noWrap w:val="0"/>
                  <w:vAlign w:val="center"/>
                </w:tcPr>
                <w:p w14:paraId="24FF8820">
                  <w:pPr>
                    <w:jc w:val="center"/>
                    <w:rPr>
                      <w:b/>
                      <w:bCs/>
                      <w:color w:val="000000"/>
                      <w:szCs w:val="21"/>
                    </w:rPr>
                  </w:pPr>
                </w:p>
              </w:tc>
              <w:tc>
                <w:tcPr>
                  <w:tcW w:w="767" w:type="dxa"/>
                  <w:vMerge w:val="continue"/>
                  <w:noWrap w:val="0"/>
                  <w:vAlign w:val="center"/>
                </w:tcPr>
                <w:p w14:paraId="6E5C228A">
                  <w:pPr>
                    <w:jc w:val="center"/>
                    <w:rPr>
                      <w:b/>
                      <w:bCs/>
                      <w:color w:val="000000"/>
                      <w:szCs w:val="21"/>
                    </w:rPr>
                  </w:pPr>
                </w:p>
              </w:tc>
              <w:tc>
                <w:tcPr>
                  <w:tcW w:w="805" w:type="dxa"/>
                  <w:noWrap w:val="0"/>
                  <w:vAlign w:val="center"/>
                </w:tcPr>
                <w:p w14:paraId="38804AB1">
                  <w:pPr>
                    <w:jc w:val="center"/>
                    <w:rPr>
                      <w:b/>
                      <w:bCs/>
                      <w:color w:val="000000"/>
                      <w:szCs w:val="21"/>
                    </w:rPr>
                  </w:pPr>
                  <w:r>
                    <w:rPr>
                      <w:b/>
                      <w:bCs/>
                      <w:color w:val="000000"/>
                      <w:szCs w:val="21"/>
                    </w:rPr>
                    <w:t>距离（m）</w:t>
                  </w:r>
                </w:p>
              </w:tc>
              <w:tc>
                <w:tcPr>
                  <w:tcW w:w="751" w:type="dxa"/>
                  <w:noWrap w:val="0"/>
                  <w:vAlign w:val="center"/>
                </w:tcPr>
                <w:p w14:paraId="4B4FB95B">
                  <w:pPr>
                    <w:jc w:val="center"/>
                    <w:rPr>
                      <w:b/>
                      <w:bCs/>
                      <w:color w:val="000000"/>
                      <w:szCs w:val="21"/>
                    </w:rPr>
                  </w:pPr>
                  <w:r>
                    <w:rPr>
                      <w:b/>
                      <w:bCs/>
                      <w:color w:val="000000"/>
                      <w:szCs w:val="21"/>
                    </w:rPr>
                    <w:t>贡献值</w:t>
                  </w:r>
                </w:p>
              </w:tc>
              <w:tc>
                <w:tcPr>
                  <w:tcW w:w="815" w:type="dxa"/>
                  <w:noWrap w:val="0"/>
                  <w:vAlign w:val="center"/>
                </w:tcPr>
                <w:p w14:paraId="2B090D4D">
                  <w:pPr>
                    <w:jc w:val="center"/>
                    <w:rPr>
                      <w:b/>
                      <w:bCs/>
                      <w:color w:val="000000"/>
                      <w:szCs w:val="21"/>
                    </w:rPr>
                  </w:pPr>
                  <w:r>
                    <w:rPr>
                      <w:b/>
                      <w:bCs/>
                      <w:color w:val="000000"/>
                      <w:szCs w:val="21"/>
                    </w:rPr>
                    <w:t>距离（m）</w:t>
                  </w:r>
                </w:p>
              </w:tc>
              <w:tc>
                <w:tcPr>
                  <w:tcW w:w="750" w:type="dxa"/>
                  <w:noWrap w:val="0"/>
                  <w:vAlign w:val="center"/>
                </w:tcPr>
                <w:p w14:paraId="14315D14">
                  <w:pPr>
                    <w:jc w:val="center"/>
                    <w:rPr>
                      <w:b/>
                      <w:bCs/>
                      <w:color w:val="000000"/>
                      <w:szCs w:val="21"/>
                    </w:rPr>
                  </w:pPr>
                  <w:r>
                    <w:rPr>
                      <w:b/>
                      <w:bCs/>
                      <w:color w:val="000000"/>
                      <w:szCs w:val="21"/>
                    </w:rPr>
                    <w:t>贡献值</w:t>
                  </w:r>
                </w:p>
              </w:tc>
              <w:tc>
                <w:tcPr>
                  <w:tcW w:w="815" w:type="dxa"/>
                  <w:noWrap w:val="0"/>
                  <w:vAlign w:val="center"/>
                </w:tcPr>
                <w:p w14:paraId="570ED6DC">
                  <w:pPr>
                    <w:jc w:val="center"/>
                    <w:rPr>
                      <w:b/>
                      <w:bCs/>
                      <w:color w:val="000000"/>
                      <w:szCs w:val="21"/>
                    </w:rPr>
                  </w:pPr>
                  <w:r>
                    <w:rPr>
                      <w:b/>
                      <w:bCs/>
                      <w:color w:val="000000"/>
                      <w:szCs w:val="21"/>
                    </w:rPr>
                    <w:t>距离（m）</w:t>
                  </w:r>
                </w:p>
              </w:tc>
              <w:tc>
                <w:tcPr>
                  <w:tcW w:w="758" w:type="dxa"/>
                  <w:noWrap w:val="0"/>
                  <w:vAlign w:val="center"/>
                </w:tcPr>
                <w:p w14:paraId="33E053A7">
                  <w:pPr>
                    <w:jc w:val="center"/>
                    <w:rPr>
                      <w:b/>
                      <w:bCs/>
                      <w:color w:val="000000"/>
                      <w:szCs w:val="21"/>
                    </w:rPr>
                  </w:pPr>
                  <w:r>
                    <w:rPr>
                      <w:b/>
                      <w:bCs/>
                      <w:color w:val="000000"/>
                      <w:szCs w:val="21"/>
                    </w:rPr>
                    <w:t>贡献值</w:t>
                  </w:r>
                </w:p>
              </w:tc>
              <w:tc>
                <w:tcPr>
                  <w:tcW w:w="815" w:type="dxa"/>
                  <w:noWrap w:val="0"/>
                  <w:vAlign w:val="center"/>
                </w:tcPr>
                <w:p w14:paraId="5D341F9C">
                  <w:pPr>
                    <w:jc w:val="center"/>
                    <w:rPr>
                      <w:b/>
                      <w:bCs/>
                      <w:color w:val="000000"/>
                      <w:szCs w:val="21"/>
                    </w:rPr>
                  </w:pPr>
                  <w:r>
                    <w:rPr>
                      <w:b/>
                      <w:bCs/>
                      <w:color w:val="000000"/>
                      <w:szCs w:val="21"/>
                    </w:rPr>
                    <w:t>距离（m）</w:t>
                  </w:r>
                </w:p>
              </w:tc>
              <w:tc>
                <w:tcPr>
                  <w:tcW w:w="807" w:type="dxa"/>
                  <w:noWrap w:val="0"/>
                  <w:vAlign w:val="center"/>
                </w:tcPr>
                <w:p w14:paraId="2C175E36">
                  <w:pPr>
                    <w:jc w:val="center"/>
                    <w:rPr>
                      <w:b/>
                      <w:bCs/>
                      <w:color w:val="000000"/>
                      <w:szCs w:val="21"/>
                    </w:rPr>
                  </w:pPr>
                  <w:r>
                    <w:rPr>
                      <w:b/>
                      <w:bCs/>
                      <w:color w:val="000000"/>
                      <w:szCs w:val="21"/>
                    </w:rPr>
                    <w:t>贡献值</w:t>
                  </w:r>
                </w:p>
              </w:tc>
            </w:tr>
            <w:tr w14:paraId="6C94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9" w:hRule="atLeast"/>
                <w:jc w:val="center"/>
              </w:trPr>
              <w:tc>
                <w:tcPr>
                  <w:tcW w:w="1333" w:type="dxa"/>
                  <w:noWrap w:val="0"/>
                  <w:vAlign w:val="center"/>
                </w:tcPr>
                <w:p w14:paraId="6B500207">
                  <w:pPr>
                    <w:jc w:val="center"/>
                    <w:rPr>
                      <w:rFonts w:hint="eastAsia"/>
                      <w:color w:val="000000"/>
                      <w:kern w:val="0"/>
                      <w:szCs w:val="21"/>
                      <w:lang w:bidi="ar"/>
                    </w:rPr>
                  </w:pPr>
                  <w:r>
                    <w:rPr>
                      <w:color w:val="000000"/>
                      <w:szCs w:val="21"/>
                    </w:rPr>
                    <w:t>除湿机</w:t>
                  </w:r>
                </w:p>
              </w:tc>
              <w:tc>
                <w:tcPr>
                  <w:tcW w:w="767" w:type="dxa"/>
                  <w:noWrap w:val="0"/>
                  <w:vAlign w:val="center"/>
                </w:tcPr>
                <w:p w14:paraId="610E159E">
                  <w:pPr>
                    <w:widowControl/>
                    <w:jc w:val="center"/>
                    <w:rPr>
                      <w:rFonts w:hint="eastAsia" w:cs="宋体"/>
                      <w:color w:val="000000"/>
                      <w:szCs w:val="21"/>
                    </w:rPr>
                  </w:pPr>
                  <w:r>
                    <w:rPr>
                      <w:color w:val="000000"/>
                      <w:kern w:val="0"/>
                      <w:szCs w:val="21"/>
                      <w:lang w:bidi="ar"/>
                    </w:rPr>
                    <w:t>70</w:t>
                  </w:r>
                </w:p>
              </w:tc>
              <w:tc>
                <w:tcPr>
                  <w:tcW w:w="805" w:type="dxa"/>
                  <w:noWrap w:val="0"/>
                  <w:vAlign w:val="center"/>
                </w:tcPr>
                <w:p w14:paraId="37E26529">
                  <w:pPr>
                    <w:widowControl/>
                    <w:jc w:val="center"/>
                    <w:rPr>
                      <w:rFonts w:cs="宋体"/>
                      <w:color w:val="000000"/>
                      <w:szCs w:val="21"/>
                    </w:rPr>
                  </w:pPr>
                  <w:r>
                    <w:rPr>
                      <w:rFonts w:hint="eastAsia" w:cs="宋体"/>
                      <w:color w:val="000000"/>
                      <w:szCs w:val="21"/>
                    </w:rPr>
                    <w:t>33</w:t>
                  </w:r>
                </w:p>
              </w:tc>
              <w:tc>
                <w:tcPr>
                  <w:tcW w:w="751" w:type="dxa"/>
                  <w:noWrap w:val="0"/>
                  <w:vAlign w:val="center"/>
                </w:tcPr>
                <w:p w14:paraId="0062ABF7">
                  <w:pPr>
                    <w:widowControl/>
                    <w:jc w:val="center"/>
                    <w:rPr>
                      <w:rFonts w:cs="宋体"/>
                      <w:color w:val="000000"/>
                      <w:szCs w:val="21"/>
                    </w:rPr>
                  </w:pPr>
                  <w:r>
                    <w:rPr>
                      <w:rFonts w:hint="eastAsia" w:cs="宋体"/>
                      <w:color w:val="000000"/>
                      <w:szCs w:val="21"/>
                    </w:rPr>
                    <w:t>39.6</w:t>
                  </w:r>
                </w:p>
              </w:tc>
              <w:tc>
                <w:tcPr>
                  <w:tcW w:w="815" w:type="dxa"/>
                  <w:noWrap w:val="0"/>
                  <w:vAlign w:val="center"/>
                </w:tcPr>
                <w:p w14:paraId="5044C626">
                  <w:pPr>
                    <w:widowControl/>
                    <w:jc w:val="center"/>
                    <w:rPr>
                      <w:rFonts w:cs="宋体"/>
                      <w:color w:val="000000"/>
                      <w:szCs w:val="21"/>
                    </w:rPr>
                  </w:pPr>
                  <w:r>
                    <w:rPr>
                      <w:rFonts w:hint="eastAsia" w:cs="宋体"/>
                      <w:color w:val="000000"/>
                      <w:szCs w:val="21"/>
                    </w:rPr>
                    <w:t>67</w:t>
                  </w:r>
                </w:p>
              </w:tc>
              <w:tc>
                <w:tcPr>
                  <w:tcW w:w="750" w:type="dxa"/>
                  <w:noWrap w:val="0"/>
                  <w:vAlign w:val="center"/>
                </w:tcPr>
                <w:p w14:paraId="0167D118">
                  <w:pPr>
                    <w:widowControl/>
                    <w:jc w:val="center"/>
                    <w:rPr>
                      <w:rFonts w:cs="宋体"/>
                      <w:color w:val="000000"/>
                      <w:szCs w:val="21"/>
                    </w:rPr>
                  </w:pPr>
                  <w:r>
                    <w:rPr>
                      <w:rFonts w:hint="eastAsia" w:cs="宋体"/>
                      <w:color w:val="000000"/>
                      <w:szCs w:val="21"/>
                    </w:rPr>
                    <w:t>33.5</w:t>
                  </w:r>
                </w:p>
              </w:tc>
              <w:tc>
                <w:tcPr>
                  <w:tcW w:w="815" w:type="dxa"/>
                  <w:noWrap w:val="0"/>
                  <w:vAlign w:val="center"/>
                </w:tcPr>
                <w:p w14:paraId="5B792E0F">
                  <w:pPr>
                    <w:widowControl/>
                    <w:jc w:val="center"/>
                    <w:rPr>
                      <w:rFonts w:cs="宋体"/>
                      <w:color w:val="000000"/>
                      <w:szCs w:val="21"/>
                    </w:rPr>
                  </w:pPr>
                  <w:r>
                    <w:rPr>
                      <w:rFonts w:hint="eastAsia" w:cs="宋体"/>
                      <w:color w:val="000000"/>
                      <w:szCs w:val="21"/>
                    </w:rPr>
                    <w:t>105</w:t>
                  </w:r>
                </w:p>
              </w:tc>
              <w:tc>
                <w:tcPr>
                  <w:tcW w:w="758" w:type="dxa"/>
                  <w:noWrap w:val="0"/>
                  <w:vAlign w:val="center"/>
                </w:tcPr>
                <w:p w14:paraId="4B555025">
                  <w:pPr>
                    <w:widowControl/>
                    <w:jc w:val="center"/>
                    <w:rPr>
                      <w:rFonts w:cs="宋体"/>
                      <w:color w:val="000000"/>
                      <w:szCs w:val="21"/>
                    </w:rPr>
                  </w:pPr>
                  <w:r>
                    <w:rPr>
                      <w:rFonts w:hint="eastAsia" w:cs="宋体"/>
                      <w:color w:val="000000"/>
                      <w:szCs w:val="21"/>
                    </w:rPr>
                    <w:t>29.6</w:t>
                  </w:r>
                </w:p>
              </w:tc>
              <w:tc>
                <w:tcPr>
                  <w:tcW w:w="815" w:type="dxa"/>
                  <w:noWrap w:val="0"/>
                  <w:vAlign w:val="center"/>
                </w:tcPr>
                <w:p w14:paraId="10EF7156">
                  <w:pPr>
                    <w:widowControl/>
                    <w:jc w:val="center"/>
                    <w:rPr>
                      <w:rFonts w:cs="宋体"/>
                      <w:color w:val="000000"/>
                      <w:szCs w:val="21"/>
                    </w:rPr>
                  </w:pPr>
                  <w:r>
                    <w:rPr>
                      <w:rFonts w:hint="eastAsia" w:cs="宋体"/>
                      <w:color w:val="000000"/>
                      <w:szCs w:val="21"/>
                    </w:rPr>
                    <w:t>101</w:t>
                  </w:r>
                </w:p>
              </w:tc>
              <w:tc>
                <w:tcPr>
                  <w:tcW w:w="807" w:type="dxa"/>
                  <w:noWrap w:val="0"/>
                  <w:vAlign w:val="center"/>
                </w:tcPr>
                <w:p w14:paraId="2FA18D3D">
                  <w:pPr>
                    <w:widowControl/>
                    <w:jc w:val="center"/>
                    <w:rPr>
                      <w:rFonts w:cs="宋体"/>
                      <w:color w:val="000000"/>
                      <w:szCs w:val="21"/>
                    </w:rPr>
                  </w:pPr>
                  <w:r>
                    <w:rPr>
                      <w:rFonts w:hint="eastAsia" w:cs="宋体"/>
                      <w:color w:val="000000"/>
                      <w:szCs w:val="21"/>
                    </w:rPr>
                    <w:t>29.9</w:t>
                  </w:r>
                </w:p>
              </w:tc>
            </w:tr>
            <w:tr w14:paraId="260A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9" w:hRule="atLeast"/>
                <w:jc w:val="center"/>
              </w:trPr>
              <w:tc>
                <w:tcPr>
                  <w:tcW w:w="2100" w:type="dxa"/>
                  <w:gridSpan w:val="2"/>
                  <w:noWrap w:val="0"/>
                  <w:vAlign w:val="center"/>
                </w:tcPr>
                <w:p w14:paraId="054961FD">
                  <w:pPr>
                    <w:widowControl/>
                    <w:jc w:val="center"/>
                    <w:rPr>
                      <w:rFonts w:hint="eastAsia" w:cs="宋体"/>
                      <w:color w:val="000000"/>
                      <w:szCs w:val="21"/>
                    </w:rPr>
                  </w:pPr>
                  <w:r>
                    <w:rPr>
                      <w:color w:val="000000"/>
                      <w:szCs w:val="21"/>
                    </w:rPr>
                    <w:t>厂界最大贡献值</w:t>
                  </w:r>
                </w:p>
              </w:tc>
              <w:tc>
                <w:tcPr>
                  <w:tcW w:w="805" w:type="dxa"/>
                  <w:noWrap w:val="0"/>
                  <w:vAlign w:val="center"/>
                </w:tcPr>
                <w:p w14:paraId="5282CDC0">
                  <w:pPr>
                    <w:widowControl/>
                    <w:jc w:val="center"/>
                    <w:rPr>
                      <w:rFonts w:hint="eastAsia" w:cs="宋体"/>
                      <w:color w:val="000000"/>
                      <w:szCs w:val="21"/>
                    </w:rPr>
                  </w:pPr>
                  <w:r>
                    <w:rPr>
                      <w:rFonts w:hint="eastAsia" w:cs="宋体"/>
                      <w:color w:val="000000"/>
                      <w:szCs w:val="21"/>
                    </w:rPr>
                    <w:t>--</w:t>
                  </w:r>
                </w:p>
              </w:tc>
              <w:tc>
                <w:tcPr>
                  <w:tcW w:w="751" w:type="dxa"/>
                  <w:noWrap w:val="0"/>
                  <w:vAlign w:val="center"/>
                </w:tcPr>
                <w:p w14:paraId="31CFACD5">
                  <w:pPr>
                    <w:widowControl/>
                    <w:jc w:val="center"/>
                    <w:rPr>
                      <w:rFonts w:cs="宋体"/>
                      <w:color w:val="000000"/>
                      <w:szCs w:val="21"/>
                    </w:rPr>
                  </w:pPr>
                  <w:r>
                    <w:rPr>
                      <w:rFonts w:hint="eastAsia" w:cs="宋体"/>
                      <w:color w:val="000000"/>
                      <w:szCs w:val="21"/>
                    </w:rPr>
                    <w:t>43.4</w:t>
                  </w:r>
                </w:p>
              </w:tc>
              <w:tc>
                <w:tcPr>
                  <w:tcW w:w="815" w:type="dxa"/>
                  <w:noWrap w:val="0"/>
                  <w:vAlign w:val="center"/>
                </w:tcPr>
                <w:p w14:paraId="4DB68501">
                  <w:pPr>
                    <w:widowControl/>
                    <w:jc w:val="center"/>
                    <w:rPr>
                      <w:rFonts w:hint="eastAsia" w:cs="宋体"/>
                      <w:color w:val="000000"/>
                      <w:szCs w:val="21"/>
                    </w:rPr>
                  </w:pPr>
                  <w:r>
                    <w:rPr>
                      <w:rFonts w:hint="eastAsia" w:cs="宋体"/>
                      <w:color w:val="000000"/>
                      <w:szCs w:val="21"/>
                    </w:rPr>
                    <w:t>--</w:t>
                  </w:r>
                </w:p>
              </w:tc>
              <w:tc>
                <w:tcPr>
                  <w:tcW w:w="750" w:type="dxa"/>
                  <w:noWrap w:val="0"/>
                  <w:vAlign w:val="center"/>
                </w:tcPr>
                <w:p w14:paraId="108E474F">
                  <w:pPr>
                    <w:widowControl/>
                    <w:jc w:val="center"/>
                    <w:rPr>
                      <w:rFonts w:cs="宋体"/>
                      <w:color w:val="000000"/>
                      <w:szCs w:val="21"/>
                    </w:rPr>
                  </w:pPr>
                  <w:r>
                    <w:rPr>
                      <w:rFonts w:hint="eastAsia" w:cs="宋体"/>
                      <w:color w:val="000000"/>
                      <w:szCs w:val="21"/>
                    </w:rPr>
                    <w:t>33.5</w:t>
                  </w:r>
                </w:p>
              </w:tc>
              <w:tc>
                <w:tcPr>
                  <w:tcW w:w="815" w:type="dxa"/>
                  <w:noWrap w:val="0"/>
                  <w:vAlign w:val="center"/>
                </w:tcPr>
                <w:p w14:paraId="20A5D818">
                  <w:pPr>
                    <w:widowControl/>
                    <w:jc w:val="center"/>
                    <w:rPr>
                      <w:rFonts w:hint="eastAsia" w:cs="宋体"/>
                      <w:color w:val="000000"/>
                      <w:szCs w:val="21"/>
                    </w:rPr>
                  </w:pPr>
                  <w:r>
                    <w:rPr>
                      <w:rFonts w:hint="eastAsia" w:cs="宋体"/>
                      <w:color w:val="000000"/>
                      <w:szCs w:val="21"/>
                    </w:rPr>
                    <w:t>--</w:t>
                  </w:r>
                </w:p>
              </w:tc>
              <w:tc>
                <w:tcPr>
                  <w:tcW w:w="758" w:type="dxa"/>
                  <w:noWrap w:val="0"/>
                  <w:vAlign w:val="center"/>
                </w:tcPr>
                <w:p w14:paraId="4FDF06BA">
                  <w:pPr>
                    <w:widowControl/>
                    <w:jc w:val="center"/>
                    <w:rPr>
                      <w:rFonts w:cs="宋体"/>
                      <w:color w:val="000000"/>
                      <w:szCs w:val="21"/>
                    </w:rPr>
                  </w:pPr>
                  <w:r>
                    <w:rPr>
                      <w:rFonts w:hint="eastAsia" w:cs="宋体"/>
                      <w:color w:val="000000"/>
                      <w:szCs w:val="21"/>
                    </w:rPr>
                    <w:t>36.5</w:t>
                  </w:r>
                </w:p>
              </w:tc>
              <w:tc>
                <w:tcPr>
                  <w:tcW w:w="815" w:type="dxa"/>
                  <w:noWrap w:val="0"/>
                  <w:vAlign w:val="center"/>
                </w:tcPr>
                <w:p w14:paraId="4A6DC6AC">
                  <w:pPr>
                    <w:widowControl/>
                    <w:jc w:val="center"/>
                    <w:rPr>
                      <w:rFonts w:hint="eastAsia" w:cs="宋体"/>
                      <w:color w:val="000000"/>
                      <w:szCs w:val="21"/>
                    </w:rPr>
                  </w:pPr>
                  <w:r>
                    <w:rPr>
                      <w:rFonts w:hint="eastAsia" w:cs="宋体"/>
                      <w:color w:val="000000"/>
                      <w:szCs w:val="21"/>
                    </w:rPr>
                    <w:t>--</w:t>
                  </w:r>
                </w:p>
              </w:tc>
              <w:tc>
                <w:tcPr>
                  <w:tcW w:w="807" w:type="dxa"/>
                  <w:noWrap w:val="0"/>
                  <w:vAlign w:val="center"/>
                </w:tcPr>
                <w:p w14:paraId="415E662E">
                  <w:pPr>
                    <w:widowControl/>
                    <w:jc w:val="center"/>
                    <w:rPr>
                      <w:rFonts w:cs="宋体"/>
                      <w:color w:val="000000"/>
                      <w:szCs w:val="21"/>
                    </w:rPr>
                  </w:pPr>
                  <w:r>
                    <w:rPr>
                      <w:rFonts w:hint="eastAsia" w:cs="宋体"/>
                      <w:color w:val="000000"/>
                      <w:szCs w:val="21"/>
                    </w:rPr>
                    <w:t>43.4</w:t>
                  </w:r>
                </w:p>
              </w:tc>
            </w:tr>
            <w:tr w14:paraId="0516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9" w:hRule="atLeast"/>
                <w:jc w:val="center"/>
              </w:trPr>
              <w:tc>
                <w:tcPr>
                  <w:tcW w:w="2100" w:type="dxa"/>
                  <w:gridSpan w:val="2"/>
                  <w:noWrap w:val="0"/>
                  <w:vAlign w:val="center"/>
                </w:tcPr>
                <w:p w14:paraId="1B7EC354">
                  <w:pPr>
                    <w:widowControl/>
                    <w:jc w:val="center"/>
                    <w:rPr>
                      <w:rFonts w:hint="eastAsia" w:cs="宋体"/>
                      <w:color w:val="000000"/>
                      <w:szCs w:val="21"/>
                    </w:rPr>
                  </w:pPr>
                  <w:r>
                    <w:rPr>
                      <w:rFonts w:hint="eastAsia" w:cs="宋体"/>
                      <w:color w:val="000000"/>
                      <w:szCs w:val="21"/>
                    </w:rPr>
                    <w:t>噪声排放标准限值</w:t>
                  </w:r>
                </w:p>
              </w:tc>
              <w:tc>
                <w:tcPr>
                  <w:tcW w:w="6316" w:type="dxa"/>
                  <w:gridSpan w:val="8"/>
                  <w:noWrap w:val="0"/>
                  <w:vAlign w:val="center"/>
                </w:tcPr>
                <w:p w14:paraId="3051171A">
                  <w:pPr>
                    <w:widowControl/>
                    <w:jc w:val="center"/>
                    <w:rPr>
                      <w:rFonts w:hint="eastAsia" w:cs="宋体"/>
                      <w:color w:val="000000"/>
                      <w:szCs w:val="21"/>
                    </w:rPr>
                  </w:pPr>
                  <w:r>
                    <w:rPr>
                      <w:rFonts w:hint="eastAsia" w:cs="宋体"/>
                      <w:color w:val="000000"/>
                      <w:szCs w:val="21"/>
                    </w:rPr>
                    <w:t>昼间≤60dB（A）、夜间≤50dB（A）</w:t>
                  </w:r>
                </w:p>
              </w:tc>
            </w:tr>
            <w:tr w14:paraId="726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1" w:hRule="atLeast"/>
                <w:jc w:val="center"/>
              </w:trPr>
              <w:tc>
                <w:tcPr>
                  <w:tcW w:w="2100" w:type="dxa"/>
                  <w:gridSpan w:val="2"/>
                  <w:noWrap w:val="0"/>
                  <w:vAlign w:val="center"/>
                </w:tcPr>
                <w:p w14:paraId="49751530">
                  <w:pPr>
                    <w:widowControl/>
                    <w:jc w:val="center"/>
                    <w:rPr>
                      <w:rFonts w:hint="eastAsia" w:cs="宋体"/>
                      <w:color w:val="000000"/>
                      <w:szCs w:val="21"/>
                    </w:rPr>
                  </w:pPr>
                  <w:r>
                    <w:rPr>
                      <w:rFonts w:hint="eastAsia" w:cs="宋体"/>
                      <w:color w:val="000000"/>
                      <w:szCs w:val="21"/>
                    </w:rPr>
                    <w:t>达标情况</w:t>
                  </w:r>
                </w:p>
              </w:tc>
              <w:tc>
                <w:tcPr>
                  <w:tcW w:w="805" w:type="dxa"/>
                  <w:noWrap w:val="0"/>
                  <w:vAlign w:val="center"/>
                </w:tcPr>
                <w:p w14:paraId="32C8133D">
                  <w:pPr>
                    <w:widowControl/>
                    <w:jc w:val="center"/>
                    <w:rPr>
                      <w:rFonts w:hint="eastAsia" w:cs="宋体"/>
                      <w:color w:val="000000"/>
                      <w:szCs w:val="21"/>
                    </w:rPr>
                  </w:pPr>
                  <w:r>
                    <w:rPr>
                      <w:rFonts w:hint="eastAsia" w:cs="宋体"/>
                      <w:color w:val="000000"/>
                      <w:szCs w:val="21"/>
                    </w:rPr>
                    <w:t>--</w:t>
                  </w:r>
                </w:p>
              </w:tc>
              <w:tc>
                <w:tcPr>
                  <w:tcW w:w="751" w:type="dxa"/>
                  <w:noWrap w:val="0"/>
                  <w:vAlign w:val="center"/>
                </w:tcPr>
                <w:p w14:paraId="4D398502">
                  <w:pPr>
                    <w:widowControl/>
                    <w:jc w:val="center"/>
                    <w:rPr>
                      <w:rFonts w:hint="eastAsia" w:cs="宋体"/>
                      <w:color w:val="000000"/>
                      <w:szCs w:val="21"/>
                    </w:rPr>
                  </w:pPr>
                  <w:r>
                    <w:rPr>
                      <w:rFonts w:hint="eastAsia" w:cs="宋体"/>
                      <w:color w:val="000000"/>
                      <w:szCs w:val="21"/>
                    </w:rPr>
                    <w:t>达标</w:t>
                  </w:r>
                </w:p>
              </w:tc>
              <w:tc>
                <w:tcPr>
                  <w:tcW w:w="815" w:type="dxa"/>
                  <w:noWrap w:val="0"/>
                  <w:vAlign w:val="center"/>
                </w:tcPr>
                <w:p w14:paraId="69EC22F0">
                  <w:pPr>
                    <w:widowControl/>
                    <w:jc w:val="center"/>
                    <w:rPr>
                      <w:rFonts w:hint="eastAsia" w:cs="宋体"/>
                      <w:color w:val="000000"/>
                      <w:szCs w:val="21"/>
                    </w:rPr>
                  </w:pPr>
                  <w:r>
                    <w:rPr>
                      <w:rFonts w:hint="eastAsia" w:cs="宋体"/>
                      <w:color w:val="000000"/>
                      <w:szCs w:val="21"/>
                    </w:rPr>
                    <w:t>--</w:t>
                  </w:r>
                </w:p>
              </w:tc>
              <w:tc>
                <w:tcPr>
                  <w:tcW w:w="750" w:type="dxa"/>
                  <w:noWrap w:val="0"/>
                  <w:vAlign w:val="center"/>
                </w:tcPr>
                <w:p w14:paraId="5586B00E">
                  <w:pPr>
                    <w:widowControl/>
                    <w:jc w:val="center"/>
                    <w:rPr>
                      <w:rFonts w:hint="eastAsia" w:cs="宋体"/>
                      <w:color w:val="000000"/>
                      <w:szCs w:val="21"/>
                    </w:rPr>
                  </w:pPr>
                  <w:r>
                    <w:rPr>
                      <w:rFonts w:hint="eastAsia" w:cs="宋体"/>
                      <w:color w:val="000000"/>
                      <w:szCs w:val="21"/>
                    </w:rPr>
                    <w:t>达标</w:t>
                  </w:r>
                </w:p>
              </w:tc>
              <w:tc>
                <w:tcPr>
                  <w:tcW w:w="815" w:type="dxa"/>
                  <w:noWrap w:val="0"/>
                  <w:vAlign w:val="center"/>
                </w:tcPr>
                <w:p w14:paraId="3169BF64">
                  <w:pPr>
                    <w:widowControl/>
                    <w:jc w:val="center"/>
                    <w:rPr>
                      <w:rFonts w:hint="eastAsia" w:cs="宋体"/>
                      <w:color w:val="000000"/>
                      <w:szCs w:val="21"/>
                    </w:rPr>
                  </w:pPr>
                  <w:r>
                    <w:rPr>
                      <w:rFonts w:hint="eastAsia" w:cs="宋体"/>
                      <w:color w:val="000000"/>
                      <w:szCs w:val="21"/>
                    </w:rPr>
                    <w:t>--</w:t>
                  </w:r>
                </w:p>
              </w:tc>
              <w:tc>
                <w:tcPr>
                  <w:tcW w:w="758" w:type="dxa"/>
                  <w:noWrap w:val="0"/>
                  <w:vAlign w:val="center"/>
                </w:tcPr>
                <w:p w14:paraId="333E994C">
                  <w:pPr>
                    <w:widowControl/>
                    <w:jc w:val="center"/>
                    <w:rPr>
                      <w:rFonts w:hint="eastAsia" w:cs="宋体"/>
                      <w:color w:val="000000"/>
                      <w:szCs w:val="21"/>
                    </w:rPr>
                  </w:pPr>
                  <w:r>
                    <w:rPr>
                      <w:rFonts w:hint="eastAsia" w:cs="宋体"/>
                      <w:color w:val="000000"/>
                      <w:szCs w:val="21"/>
                    </w:rPr>
                    <w:t>达标</w:t>
                  </w:r>
                </w:p>
              </w:tc>
              <w:tc>
                <w:tcPr>
                  <w:tcW w:w="815" w:type="dxa"/>
                  <w:noWrap w:val="0"/>
                  <w:vAlign w:val="center"/>
                </w:tcPr>
                <w:p w14:paraId="7D203092">
                  <w:pPr>
                    <w:widowControl/>
                    <w:jc w:val="center"/>
                    <w:rPr>
                      <w:rFonts w:hint="eastAsia" w:cs="宋体"/>
                      <w:color w:val="000000"/>
                      <w:szCs w:val="21"/>
                    </w:rPr>
                  </w:pPr>
                  <w:r>
                    <w:rPr>
                      <w:rFonts w:hint="eastAsia" w:cs="宋体"/>
                      <w:color w:val="000000"/>
                      <w:szCs w:val="21"/>
                    </w:rPr>
                    <w:t>--</w:t>
                  </w:r>
                </w:p>
              </w:tc>
              <w:tc>
                <w:tcPr>
                  <w:tcW w:w="807" w:type="dxa"/>
                  <w:noWrap w:val="0"/>
                  <w:vAlign w:val="center"/>
                </w:tcPr>
                <w:p w14:paraId="4F7D285E">
                  <w:pPr>
                    <w:widowControl/>
                    <w:jc w:val="center"/>
                    <w:rPr>
                      <w:rFonts w:hint="eastAsia" w:cs="宋体"/>
                      <w:color w:val="000000"/>
                      <w:szCs w:val="21"/>
                    </w:rPr>
                  </w:pPr>
                  <w:r>
                    <w:rPr>
                      <w:rFonts w:hint="eastAsia" w:cs="宋体"/>
                      <w:color w:val="000000"/>
                      <w:szCs w:val="21"/>
                    </w:rPr>
                    <w:t>达标</w:t>
                  </w:r>
                </w:p>
              </w:tc>
            </w:tr>
          </w:tbl>
          <w:p w14:paraId="57030812">
            <w:pPr>
              <w:spacing w:line="360" w:lineRule="auto"/>
              <w:jc w:val="center"/>
              <w:rPr>
                <w:b/>
                <w:color w:val="000000"/>
                <w:szCs w:val="21"/>
              </w:rPr>
            </w:pPr>
            <w:r>
              <w:rPr>
                <w:b/>
                <w:color w:val="000000"/>
                <w:szCs w:val="21"/>
              </w:rPr>
              <w:t>表4-</w:t>
            </w:r>
            <w:r>
              <w:rPr>
                <w:rFonts w:hint="eastAsia"/>
                <w:b/>
                <w:color w:val="000000"/>
                <w:szCs w:val="21"/>
              </w:rPr>
              <w:t>1</w:t>
            </w:r>
            <w:r>
              <w:rPr>
                <w:b/>
                <w:color w:val="000000"/>
                <w:szCs w:val="21"/>
              </w:rPr>
              <w:t>2</w:t>
            </w:r>
            <w:r>
              <w:rPr>
                <w:rFonts w:hint="eastAsia"/>
                <w:b/>
                <w:color w:val="000000"/>
                <w:szCs w:val="21"/>
              </w:rPr>
              <w:t xml:space="preserve">  敏感目标</w:t>
            </w:r>
            <w:r>
              <w:rPr>
                <w:b/>
                <w:color w:val="000000"/>
                <w:szCs w:val="21"/>
              </w:rPr>
              <w:t>噪声预测结果单位：dB（A）</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695"/>
              <w:gridCol w:w="914"/>
              <w:gridCol w:w="819"/>
              <w:gridCol w:w="819"/>
              <w:gridCol w:w="819"/>
              <w:gridCol w:w="819"/>
              <w:gridCol w:w="824"/>
              <w:gridCol w:w="573"/>
              <w:gridCol w:w="1077"/>
            </w:tblGrid>
            <w:tr w14:paraId="0AB1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noWrap w:val="0"/>
                  <w:vAlign w:val="center"/>
                </w:tcPr>
                <w:p w14:paraId="122651EF">
                  <w:pPr>
                    <w:widowControl/>
                    <w:spacing w:line="360" w:lineRule="auto"/>
                    <w:jc w:val="center"/>
                    <w:textAlignment w:val="center"/>
                    <w:rPr>
                      <w:b/>
                      <w:bCs/>
                      <w:color w:val="000000"/>
                    </w:rPr>
                  </w:pPr>
                  <w:r>
                    <w:rPr>
                      <w:rFonts w:hint="eastAsia"/>
                      <w:b/>
                      <w:bCs/>
                      <w:color w:val="000000"/>
                      <w:kern w:val="0"/>
                      <w:sz w:val="18"/>
                      <w:szCs w:val="18"/>
                      <w:lang w:bidi="ar"/>
                    </w:rPr>
                    <w:t>敏感目标</w:t>
                  </w:r>
                  <w:r>
                    <w:rPr>
                      <w:b/>
                      <w:bCs/>
                      <w:color w:val="000000"/>
                      <w:kern w:val="0"/>
                      <w:sz w:val="18"/>
                      <w:szCs w:val="18"/>
                      <w:lang w:bidi="ar"/>
                    </w:rPr>
                    <w:t>名称</w:t>
                  </w:r>
                </w:p>
              </w:tc>
              <w:tc>
                <w:tcPr>
                  <w:tcW w:w="418" w:type="pct"/>
                  <w:noWrap w:val="0"/>
                  <w:vAlign w:val="center"/>
                </w:tcPr>
                <w:p w14:paraId="727650B3">
                  <w:pPr>
                    <w:widowControl/>
                    <w:spacing w:line="360" w:lineRule="auto"/>
                    <w:jc w:val="center"/>
                    <w:textAlignment w:val="center"/>
                    <w:rPr>
                      <w:b/>
                      <w:bCs/>
                      <w:color w:val="000000"/>
                    </w:rPr>
                  </w:pPr>
                  <w:r>
                    <w:rPr>
                      <w:b/>
                      <w:bCs/>
                      <w:color w:val="000000"/>
                      <w:kern w:val="0"/>
                      <w:sz w:val="18"/>
                      <w:szCs w:val="18"/>
                      <w:lang w:bidi="ar"/>
                    </w:rPr>
                    <w:t>X(m)</w:t>
                  </w:r>
                </w:p>
              </w:tc>
              <w:tc>
                <w:tcPr>
                  <w:tcW w:w="549" w:type="pct"/>
                  <w:noWrap w:val="0"/>
                  <w:vAlign w:val="center"/>
                </w:tcPr>
                <w:p w14:paraId="0186BBE1">
                  <w:pPr>
                    <w:widowControl/>
                    <w:spacing w:line="360" w:lineRule="auto"/>
                    <w:jc w:val="center"/>
                    <w:textAlignment w:val="center"/>
                    <w:rPr>
                      <w:b/>
                      <w:bCs/>
                      <w:color w:val="000000"/>
                    </w:rPr>
                  </w:pPr>
                  <w:r>
                    <w:rPr>
                      <w:b/>
                      <w:bCs/>
                      <w:color w:val="000000"/>
                      <w:kern w:val="0"/>
                      <w:sz w:val="18"/>
                      <w:szCs w:val="18"/>
                      <w:lang w:bidi="ar"/>
                    </w:rPr>
                    <w:t>Y(m)</w:t>
                  </w:r>
                </w:p>
              </w:tc>
              <w:tc>
                <w:tcPr>
                  <w:tcW w:w="492" w:type="pct"/>
                  <w:noWrap w:val="0"/>
                  <w:vAlign w:val="center"/>
                </w:tcPr>
                <w:p w14:paraId="3B647818">
                  <w:pPr>
                    <w:widowControl/>
                    <w:spacing w:line="360" w:lineRule="auto"/>
                    <w:jc w:val="center"/>
                    <w:textAlignment w:val="center"/>
                    <w:rPr>
                      <w:b/>
                      <w:bCs/>
                      <w:color w:val="000000"/>
                    </w:rPr>
                  </w:pPr>
                  <w:r>
                    <w:rPr>
                      <w:b/>
                      <w:bCs/>
                      <w:color w:val="000000"/>
                      <w:kern w:val="0"/>
                      <w:sz w:val="18"/>
                      <w:szCs w:val="18"/>
                      <w:lang w:bidi="ar"/>
                    </w:rPr>
                    <w:t>贡献值(dB)</w:t>
                  </w:r>
                </w:p>
              </w:tc>
              <w:tc>
                <w:tcPr>
                  <w:tcW w:w="492" w:type="pct"/>
                  <w:noWrap w:val="0"/>
                  <w:vAlign w:val="center"/>
                </w:tcPr>
                <w:p w14:paraId="3F3D2A03">
                  <w:pPr>
                    <w:widowControl/>
                    <w:spacing w:line="360" w:lineRule="auto"/>
                    <w:jc w:val="center"/>
                    <w:textAlignment w:val="center"/>
                    <w:rPr>
                      <w:b/>
                      <w:bCs/>
                      <w:color w:val="000000"/>
                    </w:rPr>
                  </w:pPr>
                  <w:r>
                    <w:rPr>
                      <w:b/>
                      <w:bCs/>
                      <w:color w:val="000000"/>
                      <w:kern w:val="0"/>
                      <w:sz w:val="18"/>
                      <w:szCs w:val="18"/>
                      <w:lang w:bidi="ar"/>
                    </w:rPr>
                    <w:t>背景值(dB)</w:t>
                  </w:r>
                </w:p>
              </w:tc>
              <w:tc>
                <w:tcPr>
                  <w:tcW w:w="492" w:type="pct"/>
                  <w:noWrap w:val="0"/>
                  <w:vAlign w:val="center"/>
                </w:tcPr>
                <w:p w14:paraId="0C2CD99E">
                  <w:pPr>
                    <w:widowControl/>
                    <w:spacing w:line="360" w:lineRule="auto"/>
                    <w:jc w:val="center"/>
                    <w:textAlignment w:val="center"/>
                    <w:rPr>
                      <w:b/>
                      <w:bCs/>
                      <w:color w:val="000000"/>
                    </w:rPr>
                  </w:pPr>
                  <w:r>
                    <w:rPr>
                      <w:b/>
                      <w:bCs/>
                      <w:color w:val="000000"/>
                      <w:kern w:val="0"/>
                      <w:sz w:val="18"/>
                      <w:szCs w:val="18"/>
                      <w:lang w:bidi="ar"/>
                    </w:rPr>
                    <w:t>叠加值(dB)</w:t>
                  </w:r>
                </w:p>
              </w:tc>
              <w:tc>
                <w:tcPr>
                  <w:tcW w:w="492" w:type="pct"/>
                  <w:noWrap w:val="0"/>
                  <w:vAlign w:val="center"/>
                </w:tcPr>
                <w:p w14:paraId="4D42EDD6">
                  <w:pPr>
                    <w:widowControl/>
                    <w:spacing w:line="360" w:lineRule="auto"/>
                    <w:jc w:val="center"/>
                    <w:textAlignment w:val="center"/>
                    <w:rPr>
                      <w:b/>
                      <w:bCs/>
                      <w:color w:val="000000"/>
                    </w:rPr>
                  </w:pPr>
                  <w:r>
                    <w:rPr>
                      <w:b/>
                      <w:bCs/>
                      <w:color w:val="000000"/>
                      <w:kern w:val="0"/>
                      <w:sz w:val="18"/>
                      <w:szCs w:val="18"/>
                      <w:lang w:bidi="ar"/>
                    </w:rPr>
                    <w:t>功能区类型</w:t>
                  </w:r>
                </w:p>
              </w:tc>
              <w:tc>
                <w:tcPr>
                  <w:tcW w:w="495" w:type="pct"/>
                  <w:noWrap w:val="0"/>
                  <w:vAlign w:val="center"/>
                </w:tcPr>
                <w:p w14:paraId="3A0D9740">
                  <w:pPr>
                    <w:widowControl/>
                    <w:spacing w:line="360" w:lineRule="auto"/>
                    <w:jc w:val="center"/>
                    <w:textAlignment w:val="center"/>
                    <w:rPr>
                      <w:b/>
                      <w:bCs/>
                      <w:color w:val="000000"/>
                    </w:rPr>
                  </w:pPr>
                  <w:r>
                    <w:rPr>
                      <w:b/>
                      <w:bCs/>
                      <w:color w:val="000000"/>
                      <w:kern w:val="0"/>
                      <w:sz w:val="18"/>
                      <w:szCs w:val="18"/>
                      <w:lang w:bidi="ar"/>
                    </w:rPr>
                    <w:t>标准值</w:t>
                  </w:r>
                </w:p>
              </w:tc>
              <w:tc>
                <w:tcPr>
                  <w:tcW w:w="344" w:type="pct"/>
                  <w:noWrap w:val="0"/>
                  <w:vAlign w:val="center"/>
                </w:tcPr>
                <w:p w14:paraId="11509DEC">
                  <w:pPr>
                    <w:widowControl/>
                    <w:spacing w:line="360" w:lineRule="auto"/>
                    <w:jc w:val="center"/>
                    <w:textAlignment w:val="center"/>
                    <w:rPr>
                      <w:b/>
                      <w:bCs/>
                      <w:color w:val="000000"/>
                    </w:rPr>
                  </w:pPr>
                  <w:r>
                    <w:rPr>
                      <w:b/>
                      <w:bCs/>
                      <w:color w:val="000000"/>
                      <w:kern w:val="0"/>
                      <w:sz w:val="18"/>
                      <w:szCs w:val="18"/>
                      <w:lang w:bidi="ar"/>
                    </w:rPr>
                    <w:t>是否达标</w:t>
                  </w:r>
                </w:p>
              </w:tc>
              <w:tc>
                <w:tcPr>
                  <w:tcW w:w="647" w:type="pct"/>
                  <w:noWrap w:val="0"/>
                  <w:vAlign w:val="center"/>
                </w:tcPr>
                <w:p w14:paraId="02643475">
                  <w:pPr>
                    <w:widowControl/>
                    <w:spacing w:line="360" w:lineRule="auto"/>
                    <w:jc w:val="center"/>
                    <w:textAlignment w:val="center"/>
                    <w:rPr>
                      <w:b/>
                      <w:bCs/>
                      <w:color w:val="000000"/>
                    </w:rPr>
                  </w:pPr>
                  <w:r>
                    <w:rPr>
                      <w:b/>
                      <w:bCs/>
                      <w:color w:val="000000"/>
                      <w:kern w:val="0"/>
                      <w:sz w:val="18"/>
                      <w:szCs w:val="18"/>
                      <w:lang w:bidi="ar"/>
                    </w:rPr>
                    <w:t>与标准差值</w:t>
                  </w:r>
                </w:p>
              </w:tc>
            </w:tr>
            <w:tr w14:paraId="1D94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71" w:type="pct"/>
                  <w:noWrap w:val="0"/>
                  <w:vAlign w:val="center"/>
                </w:tcPr>
                <w:p w14:paraId="0C3959C8">
                  <w:pPr>
                    <w:widowControl/>
                    <w:spacing w:line="360" w:lineRule="auto"/>
                    <w:jc w:val="center"/>
                    <w:textAlignment w:val="center"/>
                    <w:rPr>
                      <w:rFonts w:hint="eastAsia"/>
                      <w:color w:val="000000"/>
                    </w:rPr>
                  </w:pPr>
                  <w:r>
                    <w:rPr>
                      <w:rFonts w:hint="eastAsia"/>
                      <w:color w:val="000000"/>
                      <w:kern w:val="0"/>
                      <w:sz w:val="18"/>
                      <w:szCs w:val="18"/>
                      <w:lang w:bidi="ar"/>
                    </w:rPr>
                    <w:t>板桥社区养老院</w:t>
                  </w:r>
                </w:p>
              </w:tc>
              <w:tc>
                <w:tcPr>
                  <w:tcW w:w="418" w:type="pct"/>
                  <w:noWrap w:val="0"/>
                  <w:vAlign w:val="center"/>
                </w:tcPr>
                <w:p w14:paraId="1E41388A">
                  <w:pPr>
                    <w:widowControl/>
                    <w:spacing w:line="360" w:lineRule="auto"/>
                    <w:jc w:val="center"/>
                    <w:textAlignment w:val="center"/>
                    <w:rPr>
                      <w:color w:val="000000"/>
                    </w:rPr>
                  </w:pPr>
                  <w:r>
                    <w:rPr>
                      <w:rFonts w:hint="eastAsia"/>
                      <w:color w:val="000000"/>
                      <w:kern w:val="0"/>
                      <w:sz w:val="18"/>
                      <w:szCs w:val="18"/>
                      <w:lang w:bidi="ar"/>
                    </w:rPr>
                    <w:t>17.36</w:t>
                  </w:r>
                </w:p>
              </w:tc>
              <w:tc>
                <w:tcPr>
                  <w:tcW w:w="549" w:type="pct"/>
                  <w:noWrap w:val="0"/>
                  <w:vAlign w:val="center"/>
                </w:tcPr>
                <w:p w14:paraId="30B0C153">
                  <w:pPr>
                    <w:widowControl/>
                    <w:spacing w:line="360" w:lineRule="auto"/>
                    <w:jc w:val="center"/>
                    <w:textAlignment w:val="center"/>
                    <w:rPr>
                      <w:color w:val="000000"/>
                    </w:rPr>
                  </w:pPr>
                  <w:r>
                    <w:rPr>
                      <w:rFonts w:hint="eastAsia"/>
                      <w:color w:val="000000"/>
                      <w:kern w:val="0"/>
                      <w:sz w:val="18"/>
                      <w:szCs w:val="18"/>
                      <w:lang w:bidi="ar"/>
                    </w:rPr>
                    <w:t>19.21</w:t>
                  </w:r>
                </w:p>
              </w:tc>
              <w:tc>
                <w:tcPr>
                  <w:tcW w:w="492" w:type="pct"/>
                  <w:noWrap w:val="0"/>
                  <w:vAlign w:val="center"/>
                </w:tcPr>
                <w:p w14:paraId="1528C2E4">
                  <w:pPr>
                    <w:widowControl/>
                    <w:spacing w:line="360" w:lineRule="auto"/>
                    <w:jc w:val="center"/>
                    <w:textAlignment w:val="center"/>
                    <w:rPr>
                      <w:color w:val="000000"/>
                    </w:rPr>
                  </w:pPr>
                  <w:r>
                    <w:rPr>
                      <w:rFonts w:hint="eastAsia"/>
                      <w:color w:val="000000"/>
                      <w:kern w:val="0"/>
                      <w:sz w:val="18"/>
                      <w:szCs w:val="18"/>
                      <w:lang w:bidi="ar"/>
                    </w:rPr>
                    <w:t>18.03</w:t>
                  </w:r>
                </w:p>
              </w:tc>
              <w:tc>
                <w:tcPr>
                  <w:tcW w:w="492" w:type="pct"/>
                  <w:noWrap w:val="0"/>
                  <w:vAlign w:val="center"/>
                </w:tcPr>
                <w:p w14:paraId="366C447F">
                  <w:pPr>
                    <w:widowControl/>
                    <w:spacing w:line="360" w:lineRule="auto"/>
                    <w:jc w:val="center"/>
                    <w:textAlignment w:val="center"/>
                    <w:rPr>
                      <w:color w:val="000000"/>
                    </w:rPr>
                  </w:pPr>
                  <w:r>
                    <w:rPr>
                      <w:rFonts w:hint="eastAsia"/>
                      <w:color w:val="000000"/>
                      <w:kern w:val="0"/>
                      <w:sz w:val="18"/>
                      <w:szCs w:val="18"/>
                      <w:lang w:bidi="ar"/>
                    </w:rPr>
                    <w:t>昼间54夜间43</w:t>
                  </w:r>
                </w:p>
              </w:tc>
              <w:tc>
                <w:tcPr>
                  <w:tcW w:w="492" w:type="pct"/>
                  <w:noWrap w:val="0"/>
                  <w:vAlign w:val="center"/>
                </w:tcPr>
                <w:p w14:paraId="21AA5BFA">
                  <w:pPr>
                    <w:widowControl/>
                    <w:spacing w:line="360" w:lineRule="auto"/>
                    <w:jc w:val="center"/>
                    <w:textAlignment w:val="center"/>
                    <w:rPr>
                      <w:color w:val="000000"/>
                    </w:rPr>
                  </w:pPr>
                  <w:r>
                    <w:rPr>
                      <w:rFonts w:hint="eastAsia"/>
                      <w:color w:val="000000"/>
                      <w:kern w:val="0"/>
                      <w:sz w:val="18"/>
                      <w:szCs w:val="18"/>
                      <w:lang w:bidi="ar"/>
                    </w:rPr>
                    <w:t>昼间54夜间43</w:t>
                  </w:r>
                </w:p>
              </w:tc>
              <w:tc>
                <w:tcPr>
                  <w:tcW w:w="492" w:type="pct"/>
                  <w:noWrap w:val="0"/>
                  <w:vAlign w:val="center"/>
                </w:tcPr>
                <w:p w14:paraId="425ADDB8">
                  <w:pPr>
                    <w:widowControl/>
                    <w:spacing w:line="360" w:lineRule="auto"/>
                    <w:jc w:val="center"/>
                    <w:textAlignment w:val="center"/>
                    <w:rPr>
                      <w:color w:val="000000"/>
                    </w:rPr>
                  </w:pPr>
                  <w:r>
                    <w:rPr>
                      <w:color w:val="000000"/>
                      <w:kern w:val="0"/>
                      <w:sz w:val="18"/>
                      <w:szCs w:val="18"/>
                      <w:lang w:bidi="ar"/>
                    </w:rPr>
                    <w:t>2类</w:t>
                  </w:r>
                </w:p>
              </w:tc>
              <w:tc>
                <w:tcPr>
                  <w:tcW w:w="495" w:type="pct"/>
                  <w:noWrap w:val="0"/>
                  <w:vAlign w:val="center"/>
                </w:tcPr>
                <w:p w14:paraId="273E4D5B">
                  <w:pPr>
                    <w:widowControl/>
                    <w:spacing w:line="360" w:lineRule="auto"/>
                    <w:jc w:val="center"/>
                    <w:textAlignment w:val="center"/>
                    <w:rPr>
                      <w:color w:val="000000"/>
                      <w:kern w:val="0"/>
                      <w:sz w:val="18"/>
                      <w:szCs w:val="18"/>
                      <w:lang w:bidi="ar"/>
                    </w:rPr>
                  </w:pPr>
                  <w:r>
                    <w:rPr>
                      <w:rFonts w:hint="eastAsia"/>
                      <w:color w:val="000000"/>
                      <w:kern w:val="0"/>
                      <w:sz w:val="18"/>
                      <w:szCs w:val="18"/>
                      <w:lang w:bidi="ar"/>
                    </w:rPr>
                    <w:t>昼间</w:t>
                  </w:r>
                  <w:r>
                    <w:rPr>
                      <w:color w:val="000000"/>
                      <w:kern w:val="0"/>
                      <w:sz w:val="18"/>
                      <w:szCs w:val="18"/>
                      <w:lang w:bidi="ar"/>
                    </w:rPr>
                    <w:t>60</w:t>
                  </w:r>
                </w:p>
                <w:p w14:paraId="273BB7A9">
                  <w:pPr>
                    <w:widowControl/>
                    <w:spacing w:line="360" w:lineRule="auto"/>
                    <w:jc w:val="center"/>
                    <w:textAlignment w:val="center"/>
                    <w:rPr>
                      <w:color w:val="000000"/>
                    </w:rPr>
                  </w:pPr>
                  <w:r>
                    <w:rPr>
                      <w:rFonts w:hint="eastAsia"/>
                      <w:color w:val="000000"/>
                      <w:kern w:val="0"/>
                      <w:sz w:val="18"/>
                      <w:szCs w:val="18"/>
                      <w:lang w:bidi="ar"/>
                    </w:rPr>
                    <w:t>夜间50</w:t>
                  </w:r>
                </w:p>
              </w:tc>
              <w:tc>
                <w:tcPr>
                  <w:tcW w:w="344" w:type="pct"/>
                  <w:noWrap w:val="0"/>
                  <w:vAlign w:val="center"/>
                </w:tcPr>
                <w:p w14:paraId="765B0872">
                  <w:pPr>
                    <w:widowControl/>
                    <w:spacing w:line="360" w:lineRule="auto"/>
                    <w:jc w:val="center"/>
                    <w:textAlignment w:val="center"/>
                    <w:rPr>
                      <w:color w:val="000000"/>
                    </w:rPr>
                  </w:pPr>
                  <w:r>
                    <w:rPr>
                      <w:color w:val="000000"/>
                      <w:kern w:val="0"/>
                      <w:sz w:val="18"/>
                      <w:szCs w:val="18"/>
                      <w:lang w:bidi="ar"/>
                    </w:rPr>
                    <w:t>是</w:t>
                  </w:r>
                </w:p>
              </w:tc>
              <w:tc>
                <w:tcPr>
                  <w:tcW w:w="647" w:type="pct"/>
                  <w:noWrap w:val="0"/>
                  <w:vAlign w:val="center"/>
                </w:tcPr>
                <w:p w14:paraId="5D2267E6">
                  <w:pPr>
                    <w:widowControl/>
                    <w:spacing w:line="360" w:lineRule="auto"/>
                    <w:jc w:val="center"/>
                    <w:textAlignment w:val="center"/>
                    <w:rPr>
                      <w:rFonts w:hint="eastAsia"/>
                      <w:color w:val="000000"/>
                      <w:kern w:val="0"/>
                      <w:sz w:val="18"/>
                      <w:szCs w:val="18"/>
                      <w:lang w:bidi="ar"/>
                    </w:rPr>
                  </w:pPr>
                  <w:r>
                    <w:rPr>
                      <w:rFonts w:hint="eastAsia"/>
                      <w:color w:val="000000"/>
                      <w:kern w:val="0"/>
                      <w:sz w:val="18"/>
                      <w:szCs w:val="18"/>
                      <w:lang w:bidi="ar"/>
                    </w:rPr>
                    <w:t>昼间-6</w:t>
                  </w:r>
                </w:p>
                <w:p w14:paraId="1F6680FD">
                  <w:pPr>
                    <w:widowControl/>
                    <w:spacing w:line="360" w:lineRule="auto"/>
                    <w:jc w:val="center"/>
                    <w:textAlignment w:val="center"/>
                    <w:rPr>
                      <w:color w:val="000000"/>
                    </w:rPr>
                  </w:pPr>
                  <w:r>
                    <w:rPr>
                      <w:rFonts w:hint="eastAsia"/>
                      <w:color w:val="000000"/>
                      <w:kern w:val="0"/>
                      <w:sz w:val="18"/>
                      <w:szCs w:val="18"/>
                      <w:lang w:bidi="ar"/>
                    </w:rPr>
                    <w:t>夜间-6.99</w:t>
                  </w:r>
                </w:p>
              </w:tc>
            </w:tr>
          </w:tbl>
          <w:p w14:paraId="65333237">
            <w:pPr>
              <w:spacing w:line="360" w:lineRule="auto"/>
              <w:ind w:firstLine="480" w:firstLineChars="200"/>
              <w:rPr>
                <w:color w:val="000000"/>
                <w:sz w:val="24"/>
              </w:rPr>
            </w:pPr>
            <w:r>
              <w:rPr>
                <w:color w:val="000000"/>
                <w:sz w:val="24"/>
              </w:rPr>
              <w:t>由表4-</w:t>
            </w:r>
            <w:r>
              <w:rPr>
                <w:rFonts w:hint="eastAsia"/>
                <w:color w:val="000000"/>
                <w:sz w:val="24"/>
              </w:rPr>
              <w:t>1</w:t>
            </w:r>
            <w:r>
              <w:rPr>
                <w:color w:val="000000"/>
                <w:sz w:val="24"/>
              </w:rPr>
              <w:t>1可知，项目运营期假设各设备同时运行，其噪声对厂界的贡献值较小。在项目实际运营过程中，各设备均为间歇噪声，无所有设备同时使用的现象，经过选用低噪声设备、设备基础减震、设备安装在</w:t>
            </w:r>
            <w:r>
              <w:rPr>
                <w:rFonts w:hint="eastAsia"/>
                <w:color w:val="000000"/>
                <w:sz w:val="24"/>
              </w:rPr>
              <w:t>密闭</w:t>
            </w:r>
            <w:r>
              <w:rPr>
                <w:color w:val="000000"/>
                <w:sz w:val="24"/>
              </w:rPr>
              <w:t>的车间内，经墙体隔声衰减后，项目运营期厂界噪声值能达到《工业企业厂界环境噪声排放标准》（GB12348-2008）2类标准。</w:t>
            </w:r>
          </w:p>
          <w:p w14:paraId="007554FB">
            <w:pPr>
              <w:spacing w:line="360" w:lineRule="auto"/>
              <w:ind w:firstLine="480" w:firstLineChars="200"/>
              <w:rPr>
                <w:rFonts w:hint="eastAsia"/>
                <w:color w:val="000000"/>
                <w:sz w:val="24"/>
              </w:rPr>
            </w:pPr>
            <w:r>
              <w:rPr>
                <w:rFonts w:hint="eastAsia"/>
                <w:color w:val="000000"/>
                <w:sz w:val="24"/>
              </w:rPr>
              <w:t>由表4-1</w:t>
            </w:r>
            <w:r>
              <w:rPr>
                <w:color w:val="000000"/>
                <w:sz w:val="24"/>
              </w:rPr>
              <w:t>2</w:t>
            </w:r>
            <w:r>
              <w:rPr>
                <w:rFonts w:hint="eastAsia"/>
                <w:color w:val="000000"/>
                <w:sz w:val="24"/>
              </w:rPr>
              <w:t>可知，声环境敏感目标板桥社区养老院处噪声值能达《声环境质量标准》（GB3096-2008）2类标准。</w:t>
            </w:r>
          </w:p>
          <w:p w14:paraId="76C0BAC2">
            <w:pPr>
              <w:spacing w:line="360" w:lineRule="auto"/>
              <w:ind w:firstLine="480" w:firstLineChars="200"/>
              <w:rPr>
                <w:color w:val="000000"/>
                <w:sz w:val="24"/>
              </w:rPr>
            </w:pPr>
            <w:r>
              <w:rPr>
                <w:color w:val="000000"/>
                <w:sz w:val="24"/>
              </w:rPr>
              <w:t>为减少噪声对周边环境的影响，需采取以下措施：</w:t>
            </w:r>
          </w:p>
          <w:p w14:paraId="3AE55363">
            <w:pPr>
              <w:spacing w:line="360" w:lineRule="auto"/>
              <w:ind w:firstLine="480" w:firstLineChars="200"/>
              <w:rPr>
                <w:color w:val="000000"/>
                <w:sz w:val="24"/>
              </w:rPr>
            </w:pPr>
            <w:r>
              <w:rPr>
                <w:color w:val="000000"/>
                <w:sz w:val="24"/>
              </w:rPr>
              <w:t>①加强厂区管理，及时对设备进行检修，确保设备处于良好的运行状态，避免因设备未正常运转而产生的高噪声现象。</w:t>
            </w:r>
          </w:p>
          <w:p w14:paraId="54EE286A">
            <w:pPr>
              <w:spacing w:line="360" w:lineRule="auto"/>
              <w:ind w:firstLine="480" w:firstLineChars="200"/>
              <w:rPr>
                <w:color w:val="000000"/>
                <w:sz w:val="24"/>
              </w:rPr>
            </w:pPr>
            <w:r>
              <w:rPr>
                <w:color w:val="000000"/>
                <w:sz w:val="24"/>
              </w:rPr>
              <w:t>②为减小车辆经过村庄时产生影响，要求运输车辆在经过运输线路旁村庄时，降低车速，文明行驶，严禁鸣笛。</w:t>
            </w:r>
          </w:p>
          <w:p w14:paraId="1265D3C1">
            <w:pPr>
              <w:spacing w:line="360" w:lineRule="auto"/>
              <w:ind w:firstLine="480" w:firstLineChars="200"/>
              <w:rPr>
                <w:color w:val="000000"/>
                <w:sz w:val="24"/>
              </w:rPr>
            </w:pPr>
            <w:r>
              <w:rPr>
                <w:color w:val="000000"/>
                <w:sz w:val="24"/>
              </w:rPr>
              <w:t>采取上述措施后，项目运营噪声对周边环境产生的影响很小，对周围居民影响小。</w:t>
            </w:r>
          </w:p>
          <w:p w14:paraId="6F733822">
            <w:pPr>
              <w:spacing w:line="360" w:lineRule="auto"/>
              <w:ind w:firstLine="482" w:firstLineChars="200"/>
              <w:rPr>
                <w:b/>
                <w:bCs/>
                <w:color w:val="000000"/>
                <w:sz w:val="24"/>
              </w:rPr>
            </w:pPr>
            <w:r>
              <w:rPr>
                <w:rFonts w:hint="eastAsia"/>
                <w:b/>
                <w:color w:val="000000"/>
                <w:sz w:val="24"/>
              </w:rPr>
              <w:t>3、</w:t>
            </w:r>
            <w:r>
              <w:rPr>
                <w:b/>
                <w:bCs/>
                <w:color w:val="000000"/>
                <w:sz w:val="24"/>
              </w:rPr>
              <w:t>环境监测</w:t>
            </w:r>
          </w:p>
          <w:p w14:paraId="4C38C18C">
            <w:pPr>
              <w:pStyle w:val="45"/>
              <w:spacing w:line="360" w:lineRule="auto"/>
              <w:rPr>
                <w:rFonts w:eastAsia="宋体"/>
                <w:color w:val="000000"/>
              </w:rPr>
            </w:pPr>
          </w:p>
          <w:p w14:paraId="2CF9F69C">
            <w:pPr>
              <w:pStyle w:val="45"/>
              <w:spacing w:line="360" w:lineRule="auto"/>
              <w:rPr>
                <w:rFonts w:eastAsia="宋体"/>
                <w:color w:val="000000"/>
              </w:rPr>
            </w:pPr>
            <w:r>
              <w:rPr>
                <w:rFonts w:eastAsia="宋体"/>
                <w:color w:val="000000"/>
              </w:rPr>
              <w:t>表4-</w:t>
            </w:r>
            <w:r>
              <w:rPr>
                <w:rFonts w:hint="eastAsia" w:eastAsia="宋体"/>
                <w:color w:val="000000"/>
              </w:rPr>
              <w:t>1</w:t>
            </w:r>
            <w:r>
              <w:rPr>
                <w:rFonts w:eastAsia="宋体"/>
                <w:color w:val="000000"/>
              </w:rPr>
              <w:t>3</w:t>
            </w:r>
            <w:r>
              <w:rPr>
                <w:rFonts w:hint="eastAsia" w:eastAsia="宋体"/>
                <w:color w:val="000000"/>
              </w:rPr>
              <w:t xml:space="preserve">  </w:t>
            </w:r>
            <w:r>
              <w:rPr>
                <w:rFonts w:eastAsia="宋体"/>
                <w:color w:val="000000"/>
              </w:rPr>
              <w:t>声</w:t>
            </w:r>
            <w:r>
              <w:rPr>
                <w:rFonts w:eastAsia="宋体"/>
                <w:bCs/>
                <w:color w:val="000000"/>
              </w:rPr>
              <w:t>环境监测计划一览表</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91"/>
              <w:gridCol w:w="2858"/>
              <w:gridCol w:w="2858"/>
            </w:tblGrid>
            <w:tr w14:paraId="617C4E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51" w:type="dxa"/>
                  <w:noWrap w:val="0"/>
                  <w:vAlign w:val="center"/>
                </w:tcPr>
                <w:p w14:paraId="3B675190">
                  <w:pPr>
                    <w:pStyle w:val="46"/>
                    <w:spacing w:line="240" w:lineRule="auto"/>
                    <w:rPr>
                      <w:rFonts w:cs="Times New Roman"/>
                      <w:b/>
                      <w:bCs/>
                      <w:color w:val="000000"/>
                    </w:rPr>
                  </w:pPr>
                  <w:r>
                    <w:rPr>
                      <w:rFonts w:cs="Times New Roman"/>
                      <w:b/>
                      <w:bCs/>
                      <w:color w:val="000000"/>
                    </w:rPr>
                    <w:t>编号</w:t>
                  </w:r>
                </w:p>
              </w:tc>
              <w:tc>
                <w:tcPr>
                  <w:tcW w:w="1691" w:type="dxa"/>
                  <w:noWrap w:val="0"/>
                  <w:vAlign w:val="center"/>
                </w:tcPr>
                <w:p w14:paraId="6DD262EC">
                  <w:pPr>
                    <w:pStyle w:val="46"/>
                    <w:spacing w:line="240" w:lineRule="auto"/>
                    <w:rPr>
                      <w:rFonts w:cs="Times New Roman"/>
                      <w:b/>
                      <w:bCs/>
                      <w:color w:val="000000"/>
                    </w:rPr>
                  </w:pPr>
                  <w:r>
                    <w:rPr>
                      <w:rFonts w:cs="Times New Roman"/>
                      <w:b/>
                      <w:bCs/>
                      <w:color w:val="000000"/>
                    </w:rPr>
                    <w:t>监测点位</w:t>
                  </w:r>
                </w:p>
              </w:tc>
              <w:tc>
                <w:tcPr>
                  <w:tcW w:w="2858" w:type="dxa"/>
                  <w:noWrap w:val="0"/>
                  <w:vAlign w:val="top"/>
                </w:tcPr>
                <w:p w14:paraId="005A3EBF">
                  <w:pPr>
                    <w:spacing w:before="24" w:after="24"/>
                    <w:jc w:val="center"/>
                    <w:rPr>
                      <w:b/>
                      <w:bCs/>
                      <w:color w:val="000000"/>
                      <w:szCs w:val="21"/>
                    </w:rPr>
                  </w:pPr>
                  <w:r>
                    <w:rPr>
                      <w:b/>
                      <w:bCs/>
                      <w:color w:val="000000"/>
                      <w:szCs w:val="21"/>
                    </w:rPr>
                    <w:t>监测因子</w:t>
                  </w:r>
                </w:p>
              </w:tc>
              <w:tc>
                <w:tcPr>
                  <w:tcW w:w="2858" w:type="dxa"/>
                  <w:noWrap w:val="0"/>
                  <w:vAlign w:val="top"/>
                </w:tcPr>
                <w:p w14:paraId="56ECE570">
                  <w:pPr>
                    <w:spacing w:before="24" w:after="24"/>
                    <w:jc w:val="center"/>
                    <w:rPr>
                      <w:b/>
                      <w:bCs/>
                      <w:color w:val="000000"/>
                      <w:szCs w:val="21"/>
                    </w:rPr>
                  </w:pPr>
                  <w:r>
                    <w:rPr>
                      <w:b/>
                      <w:bCs/>
                      <w:color w:val="000000"/>
                      <w:szCs w:val="21"/>
                    </w:rPr>
                    <w:t>监测频率</w:t>
                  </w:r>
                </w:p>
              </w:tc>
            </w:tr>
            <w:tr w14:paraId="3A68E8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1" w:type="dxa"/>
                  <w:noWrap w:val="0"/>
                  <w:vAlign w:val="center"/>
                </w:tcPr>
                <w:p w14:paraId="5E240DF4">
                  <w:pPr>
                    <w:pStyle w:val="46"/>
                    <w:spacing w:line="240" w:lineRule="auto"/>
                    <w:rPr>
                      <w:rFonts w:cs="Times New Roman"/>
                      <w:color w:val="000000"/>
                    </w:rPr>
                  </w:pPr>
                  <w:r>
                    <w:rPr>
                      <w:rFonts w:cs="Times New Roman"/>
                      <w:color w:val="000000"/>
                    </w:rPr>
                    <w:t>N1</w:t>
                  </w:r>
                </w:p>
              </w:tc>
              <w:tc>
                <w:tcPr>
                  <w:tcW w:w="1691" w:type="dxa"/>
                  <w:noWrap w:val="0"/>
                  <w:vAlign w:val="center"/>
                </w:tcPr>
                <w:p w14:paraId="21E64F3C">
                  <w:pPr>
                    <w:pStyle w:val="46"/>
                    <w:spacing w:line="240" w:lineRule="auto"/>
                    <w:rPr>
                      <w:rFonts w:cs="Times New Roman"/>
                      <w:color w:val="000000"/>
                    </w:rPr>
                  </w:pPr>
                  <w:r>
                    <w:rPr>
                      <w:rFonts w:cs="Times New Roman"/>
                      <w:color w:val="000000"/>
                    </w:rPr>
                    <w:t>项目东厂界</w:t>
                  </w:r>
                </w:p>
              </w:tc>
              <w:tc>
                <w:tcPr>
                  <w:tcW w:w="2858" w:type="dxa"/>
                  <w:noWrap w:val="0"/>
                  <w:vAlign w:val="center"/>
                </w:tcPr>
                <w:p w14:paraId="6A405A06">
                  <w:pPr>
                    <w:pStyle w:val="47"/>
                    <w:rPr>
                      <w:color w:val="000000"/>
                      <w:szCs w:val="21"/>
                    </w:rPr>
                  </w:pPr>
                  <w:r>
                    <w:rPr>
                      <w:color w:val="000000"/>
                      <w:szCs w:val="21"/>
                    </w:rPr>
                    <w:t>LeqdB(A)</w:t>
                  </w:r>
                </w:p>
              </w:tc>
              <w:tc>
                <w:tcPr>
                  <w:tcW w:w="2858" w:type="dxa"/>
                  <w:vMerge w:val="restart"/>
                  <w:noWrap w:val="0"/>
                  <w:vAlign w:val="center"/>
                </w:tcPr>
                <w:p w14:paraId="413BEBC0">
                  <w:pPr>
                    <w:pStyle w:val="47"/>
                    <w:rPr>
                      <w:color w:val="000000"/>
                      <w:szCs w:val="21"/>
                    </w:rPr>
                  </w:pPr>
                  <w:r>
                    <w:rPr>
                      <w:color w:val="000000"/>
                      <w:szCs w:val="21"/>
                    </w:rPr>
                    <w:t>连续监测2天，昼间、夜间，1次/年</w:t>
                  </w:r>
                </w:p>
              </w:tc>
            </w:tr>
            <w:tr w14:paraId="6E8E79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1" w:type="dxa"/>
                  <w:noWrap w:val="0"/>
                  <w:vAlign w:val="center"/>
                </w:tcPr>
                <w:p w14:paraId="701E6983">
                  <w:pPr>
                    <w:pStyle w:val="46"/>
                    <w:spacing w:line="240" w:lineRule="auto"/>
                    <w:rPr>
                      <w:rFonts w:cs="Times New Roman"/>
                      <w:color w:val="000000"/>
                    </w:rPr>
                  </w:pPr>
                  <w:r>
                    <w:rPr>
                      <w:rFonts w:cs="Times New Roman"/>
                      <w:color w:val="000000"/>
                    </w:rPr>
                    <w:t>N2</w:t>
                  </w:r>
                </w:p>
              </w:tc>
              <w:tc>
                <w:tcPr>
                  <w:tcW w:w="1691" w:type="dxa"/>
                  <w:noWrap w:val="0"/>
                  <w:vAlign w:val="center"/>
                </w:tcPr>
                <w:p w14:paraId="1FCE3FAC">
                  <w:pPr>
                    <w:jc w:val="center"/>
                    <w:rPr>
                      <w:color w:val="000000"/>
                      <w:szCs w:val="21"/>
                    </w:rPr>
                  </w:pPr>
                  <w:r>
                    <w:rPr>
                      <w:color w:val="000000"/>
                      <w:szCs w:val="21"/>
                    </w:rPr>
                    <w:t>项目南厂界</w:t>
                  </w:r>
                </w:p>
              </w:tc>
              <w:tc>
                <w:tcPr>
                  <w:tcW w:w="2858" w:type="dxa"/>
                  <w:noWrap w:val="0"/>
                  <w:vAlign w:val="center"/>
                </w:tcPr>
                <w:p w14:paraId="0DA81FB7">
                  <w:pPr>
                    <w:jc w:val="center"/>
                    <w:rPr>
                      <w:color w:val="000000"/>
                      <w:szCs w:val="21"/>
                    </w:rPr>
                  </w:pPr>
                  <w:r>
                    <w:rPr>
                      <w:color w:val="000000"/>
                      <w:szCs w:val="21"/>
                    </w:rPr>
                    <w:t>LeqdB(A)</w:t>
                  </w:r>
                </w:p>
              </w:tc>
              <w:tc>
                <w:tcPr>
                  <w:tcW w:w="2858" w:type="dxa"/>
                  <w:vMerge w:val="continue"/>
                  <w:noWrap w:val="0"/>
                  <w:vAlign w:val="center"/>
                </w:tcPr>
                <w:p w14:paraId="32A0AFEC">
                  <w:pPr>
                    <w:jc w:val="center"/>
                    <w:rPr>
                      <w:color w:val="000000"/>
                      <w:szCs w:val="21"/>
                    </w:rPr>
                  </w:pPr>
                </w:p>
              </w:tc>
            </w:tr>
            <w:tr w14:paraId="473CA5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1" w:type="dxa"/>
                  <w:noWrap w:val="0"/>
                  <w:vAlign w:val="center"/>
                </w:tcPr>
                <w:p w14:paraId="6C2DEA95">
                  <w:pPr>
                    <w:pStyle w:val="46"/>
                    <w:spacing w:line="240" w:lineRule="auto"/>
                    <w:rPr>
                      <w:rFonts w:cs="Times New Roman"/>
                      <w:color w:val="000000"/>
                    </w:rPr>
                  </w:pPr>
                  <w:r>
                    <w:rPr>
                      <w:rFonts w:cs="Times New Roman"/>
                      <w:color w:val="000000"/>
                    </w:rPr>
                    <w:t>N3</w:t>
                  </w:r>
                </w:p>
              </w:tc>
              <w:tc>
                <w:tcPr>
                  <w:tcW w:w="1691" w:type="dxa"/>
                  <w:noWrap w:val="0"/>
                  <w:vAlign w:val="center"/>
                </w:tcPr>
                <w:p w14:paraId="43DF48C0">
                  <w:pPr>
                    <w:jc w:val="center"/>
                    <w:rPr>
                      <w:color w:val="000000"/>
                      <w:szCs w:val="21"/>
                    </w:rPr>
                  </w:pPr>
                  <w:r>
                    <w:rPr>
                      <w:color w:val="000000"/>
                      <w:szCs w:val="21"/>
                    </w:rPr>
                    <w:t>项目西厂界</w:t>
                  </w:r>
                </w:p>
              </w:tc>
              <w:tc>
                <w:tcPr>
                  <w:tcW w:w="2858" w:type="dxa"/>
                  <w:noWrap w:val="0"/>
                  <w:vAlign w:val="center"/>
                </w:tcPr>
                <w:p w14:paraId="4B5BBB97">
                  <w:pPr>
                    <w:jc w:val="center"/>
                    <w:rPr>
                      <w:color w:val="000000"/>
                      <w:szCs w:val="21"/>
                    </w:rPr>
                  </w:pPr>
                  <w:r>
                    <w:rPr>
                      <w:color w:val="000000"/>
                      <w:szCs w:val="21"/>
                    </w:rPr>
                    <w:t>LeqdB(A)</w:t>
                  </w:r>
                </w:p>
              </w:tc>
              <w:tc>
                <w:tcPr>
                  <w:tcW w:w="2858" w:type="dxa"/>
                  <w:vMerge w:val="continue"/>
                  <w:noWrap w:val="0"/>
                  <w:vAlign w:val="center"/>
                </w:tcPr>
                <w:p w14:paraId="4F1F250A">
                  <w:pPr>
                    <w:jc w:val="center"/>
                    <w:rPr>
                      <w:color w:val="000000"/>
                      <w:szCs w:val="21"/>
                    </w:rPr>
                  </w:pPr>
                </w:p>
              </w:tc>
            </w:tr>
            <w:tr w14:paraId="3AD633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1" w:type="dxa"/>
                  <w:noWrap w:val="0"/>
                  <w:vAlign w:val="center"/>
                </w:tcPr>
                <w:p w14:paraId="71139BCD">
                  <w:pPr>
                    <w:pStyle w:val="46"/>
                    <w:spacing w:line="240" w:lineRule="auto"/>
                    <w:rPr>
                      <w:rFonts w:cs="Times New Roman"/>
                      <w:color w:val="000000"/>
                    </w:rPr>
                  </w:pPr>
                  <w:r>
                    <w:rPr>
                      <w:rFonts w:cs="Times New Roman"/>
                      <w:color w:val="000000"/>
                    </w:rPr>
                    <w:t>N4</w:t>
                  </w:r>
                </w:p>
              </w:tc>
              <w:tc>
                <w:tcPr>
                  <w:tcW w:w="1691" w:type="dxa"/>
                  <w:noWrap w:val="0"/>
                  <w:vAlign w:val="center"/>
                </w:tcPr>
                <w:p w14:paraId="3B66C634">
                  <w:pPr>
                    <w:jc w:val="center"/>
                    <w:rPr>
                      <w:color w:val="000000"/>
                      <w:szCs w:val="21"/>
                    </w:rPr>
                  </w:pPr>
                  <w:r>
                    <w:rPr>
                      <w:color w:val="000000"/>
                      <w:szCs w:val="21"/>
                    </w:rPr>
                    <w:t>项目北厂界</w:t>
                  </w:r>
                </w:p>
              </w:tc>
              <w:tc>
                <w:tcPr>
                  <w:tcW w:w="2858" w:type="dxa"/>
                  <w:noWrap w:val="0"/>
                  <w:vAlign w:val="center"/>
                </w:tcPr>
                <w:p w14:paraId="01E079DF">
                  <w:pPr>
                    <w:jc w:val="center"/>
                    <w:rPr>
                      <w:color w:val="000000"/>
                      <w:szCs w:val="21"/>
                    </w:rPr>
                  </w:pPr>
                  <w:r>
                    <w:rPr>
                      <w:color w:val="000000"/>
                      <w:szCs w:val="21"/>
                    </w:rPr>
                    <w:t>LeqdB(A)</w:t>
                  </w:r>
                </w:p>
              </w:tc>
              <w:tc>
                <w:tcPr>
                  <w:tcW w:w="2858" w:type="dxa"/>
                  <w:vMerge w:val="continue"/>
                  <w:noWrap w:val="0"/>
                  <w:vAlign w:val="center"/>
                </w:tcPr>
                <w:p w14:paraId="5A7E2B8D">
                  <w:pPr>
                    <w:jc w:val="center"/>
                    <w:rPr>
                      <w:color w:val="000000"/>
                      <w:szCs w:val="21"/>
                    </w:rPr>
                  </w:pPr>
                </w:p>
              </w:tc>
            </w:tr>
          </w:tbl>
          <w:p w14:paraId="5CE3EC5D">
            <w:pPr>
              <w:spacing w:line="360" w:lineRule="auto"/>
              <w:ind w:firstLine="482" w:firstLineChars="200"/>
              <w:rPr>
                <w:b/>
                <w:bCs/>
                <w:color w:val="000000"/>
                <w:sz w:val="28"/>
                <w:szCs w:val="28"/>
              </w:rPr>
            </w:pPr>
            <w:r>
              <w:rPr>
                <w:rFonts w:hint="eastAsia"/>
                <w:b/>
                <w:bCs/>
                <w:color w:val="000000"/>
                <w:sz w:val="24"/>
              </w:rPr>
              <w:t>四、</w:t>
            </w:r>
            <w:r>
              <w:rPr>
                <w:rFonts w:hint="eastAsia"/>
                <w:b/>
                <w:bCs/>
                <w:color w:val="000000"/>
                <w:sz w:val="28"/>
                <w:szCs w:val="28"/>
              </w:rPr>
              <w:t>固体废物</w:t>
            </w:r>
          </w:p>
          <w:p w14:paraId="13A15C0E">
            <w:pPr>
              <w:spacing w:line="360" w:lineRule="auto"/>
              <w:ind w:firstLine="482" w:firstLineChars="200"/>
              <w:rPr>
                <w:b/>
                <w:bCs/>
                <w:color w:val="000000"/>
                <w:sz w:val="24"/>
              </w:rPr>
            </w:pPr>
            <w:r>
              <w:rPr>
                <w:rFonts w:hint="eastAsia"/>
                <w:b/>
                <w:bCs/>
                <w:color w:val="000000"/>
                <w:sz w:val="24"/>
              </w:rPr>
              <w:t>（一）固废产排情况</w:t>
            </w:r>
          </w:p>
          <w:p w14:paraId="767F8146">
            <w:pPr>
              <w:spacing w:line="360" w:lineRule="auto"/>
              <w:ind w:firstLine="480" w:firstLineChars="200"/>
              <w:rPr>
                <w:color w:val="000000"/>
                <w:sz w:val="24"/>
              </w:rPr>
            </w:pPr>
            <w:r>
              <w:rPr>
                <w:color w:val="000000"/>
                <w:sz w:val="24"/>
              </w:rPr>
              <w:t>项目运营期产生的固体废物主要为生活垃圾、</w:t>
            </w:r>
            <w:r>
              <w:rPr>
                <w:rFonts w:hint="eastAsia"/>
                <w:color w:val="000000"/>
                <w:sz w:val="24"/>
              </w:rPr>
              <w:t>鲜花残枝叶、破损次品、废包装箱</w:t>
            </w:r>
            <w:r>
              <w:rPr>
                <w:rFonts w:hint="eastAsia"/>
                <w:bCs/>
                <w:color w:val="000000"/>
                <w:sz w:val="24"/>
              </w:rPr>
              <w:t>/瓶</w:t>
            </w:r>
            <w:r>
              <w:rPr>
                <w:rFonts w:hint="eastAsia"/>
                <w:color w:val="000000"/>
                <w:sz w:val="24"/>
              </w:rPr>
              <w:t>、废桶、</w:t>
            </w:r>
            <w:r>
              <w:rPr>
                <w:color w:val="000000"/>
                <w:sz w:val="24"/>
              </w:rPr>
              <w:t>废活性炭、废机油等。</w:t>
            </w:r>
          </w:p>
          <w:p w14:paraId="2C66B8E6">
            <w:pPr>
              <w:spacing w:line="360" w:lineRule="auto"/>
              <w:ind w:firstLine="480" w:firstLineChars="200"/>
              <w:rPr>
                <w:color w:val="000000"/>
                <w:sz w:val="24"/>
              </w:rPr>
            </w:pPr>
            <w:r>
              <w:rPr>
                <w:color w:val="000000"/>
                <w:sz w:val="24"/>
              </w:rPr>
              <w:t>1、生活垃圾</w:t>
            </w:r>
          </w:p>
          <w:p w14:paraId="192A42C9">
            <w:pPr>
              <w:pStyle w:val="7"/>
              <w:spacing w:before="0" w:after="0" w:line="360" w:lineRule="auto"/>
              <w:ind w:right="0" w:firstLine="480" w:firstLineChars="200"/>
              <w:rPr>
                <w:color w:val="000000"/>
                <w:sz w:val="24"/>
              </w:rPr>
            </w:pPr>
            <w:r>
              <w:rPr>
                <w:color w:val="000000"/>
                <w:sz w:val="24"/>
              </w:rPr>
              <w:t>项目运营后厂区工作人员共</w:t>
            </w:r>
            <w:r>
              <w:rPr>
                <w:rFonts w:hint="eastAsia"/>
                <w:color w:val="000000"/>
                <w:sz w:val="24"/>
              </w:rPr>
              <w:t>2</w:t>
            </w:r>
            <w:r>
              <w:rPr>
                <w:color w:val="000000"/>
                <w:sz w:val="24"/>
              </w:rPr>
              <w:t>0人，</w:t>
            </w:r>
            <w:r>
              <w:rPr>
                <w:rFonts w:hint="eastAsia"/>
                <w:color w:val="000000"/>
                <w:sz w:val="24"/>
              </w:rPr>
              <w:t>3人项目区食宿，其余不在项目区住宿，食宿人员</w:t>
            </w:r>
            <w:r>
              <w:rPr>
                <w:color w:val="000000"/>
                <w:sz w:val="24"/>
              </w:rPr>
              <w:t>生活垃圾产生量按</w:t>
            </w:r>
            <w:r>
              <w:rPr>
                <w:rFonts w:hint="eastAsia"/>
                <w:color w:val="000000"/>
                <w:sz w:val="24"/>
              </w:rPr>
              <w:t>1</w:t>
            </w:r>
            <w:r>
              <w:rPr>
                <w:color w:val="000000"/>
                <w:sz w:val="24"/>
              </w:rPr>
              <w:t>kg/人.d计，</w:t>
            </w:r>
            <w:r>
              <w:rPr>
                <w:rFonts w:hint="eastAsia"/>
                <w:color w:val="000000"/>
                <w:sz w:val="24"/>
              </w:rPr>
              <w:t>其余员工</w:t>
            </w:r>
            <w:r>
              <w:rPr>
                <w:color w:val="000000"/>
                <w:sz w:val="24"/>
              </w:rPr>
              <w:t>生活垃圾产生量按0.5kg/人.d计，则运营期生活垃圾产生量为</w:t>
            </w:r>
            <w:r>
              <w:rPr>
                <w:rFonts w:hint="eastAsia"/>
                <w:color w:val="000000"/>
                <w:sz w:val="24"/>
              </w:rPr>
              <w:t>1</w:t>
            </w:r>
            <w:r>
              <w:rPr>
                <w:color w:val="000000"/>
                <w:sz w:val="24"/>
              </w:rPr>
              <w:t>1.5kg/d，</w:t>
            </w:r>
            <w:r>
              <w:rPr>
                <w:rFonts w:hint="eastAsia"/>
                <w:color w:val="000000"/>
                <w:sz w:val="24"/>
              </w:rPr>
              <w:t>3</w:t>
            </w:r>
            <w:r>
              <w:rPr>
                <w:color w:val="000000"/>
                <w:sz w:val="24"/>
              </w:rPr>
              <w:t>.45t/a。生活垃圾经垃圾桶分类收集后委托环卫部门清运处置。</w:t>
            </w:r>
          </w:p>
          <w:p w14:paraId="175DF147">
            <w:pPr>
              <w:pStyle w:val="32"/>
              <w:ind w:left="630" w:firstLine="0" w:firstLineChars="0"/>
              <w:rPr>
                <w:rFonts w:hint="eastAsia" w:cs="宋体"/>
                <w:color w:val="000000"/>
              </w:rPr>
            </w:pPr>
            <w:r>
              <w:rPr>
                <w:rFonts w:hint="eastAsia" w:cs="宋体"/>
                <w:color w:val="000000"/>
              </w:rPr>
              <w:t>2、餐厨垃圾</w:t>
            </w:r>
          </w:p>
          <w:p w14:paraId="1BDE3A50">
            <w:pPr>
              <w:pStyle w:val="32"/>
              <w:ind w:firstLine="480"/>
              <w:rPr>
                <w:rFonts w:cs="宋体"/>
                <w:color w:val="000000"/>
              </w:rPr>
            </w:pPr>
            <w:r>
              <w:rPr>
                <w:rFonts w:hint="eastAsia" w:cs="宋体"/>
                <w:color w:val="000000"/>
              </w:rPr>
              <w:t>餐厨垃圾包括泔水、废弃食材等，产生量按照0.3kg/人</w:t>
            </w:r>
            <w:r>
              <w:rPr>
                <w:rFonts w:cs="宋体"/>
                <w:color w:val="000000"/>
                <w:spacing w:val="-4"/>
              </w:rPr>
              <w:t>·天</w:t>
            </w:r>
            <w:r>
              <w:rPr>
                <w:rFonts w:hint="eastAsia" w:cs="宋体"/>
                <w:color w:val="000000"/>
                <w:spacing w:val="-4"/>
              </w:rPr>
              <w:t>、300d/a计，用餐人员为2</w:t>
            </w:r>
            <w:r>
              <w:rPr>
                <w:rFonts w:cs="宋体"/>
                <w:color w:val="000000"/>
                <w:spacing w:val="-4"/>
              </w:rPr>
              <w:t>0</w:t>
            </w:r>
            <w:r>
              <w:rPr>
                <w:rFonts w:hint="eastAsia" w:cs="宋体"/>
                <w:color w:val="000000"/>
                <w:spacing w:val="-4"/>
              </w:rPr>
              <w:t>人，则餐厨垃圾产生量为</w:t>
            </w:r>
            <w:r>
              <w:rPr>
                <w:rFonts w:cs="宋体"/>
                <w:color w:val="000000"/>
                <w:spacing w:val="-4"/>
              </w:rPr>
              <w:t>6</w:t>
            </w:r>
            <w:r>
              <w:rPr>
                <w:rFonts w:hint="eastAsia" w:cs="宋体"/>
                <w:color w:val="000000"/>
                <w:spacing w:val="-4"/>
              </w:rPr>
              <w:t>kg/d，1.8t/a。</w:t>
            </w:r>
            <w:r>
              <w:rPr>
                <w:rFonts w:hint="eastAsia" w:cs="宋体"/>
                <w:color w:val="000000"/>
              </w:rPr>
              <w:t>餐厨垃圾主要收集于带盖的收集桶，委托有资质单位清运处置，日产日清。</w:t>
            </w:r>
          </w:p>
          <w:p w14:paraId="4AD19331">
            <w:pPr>
              <w:pStyle w:val="32"/>
              <w:ind w:left="630" w:firstLine="0" w:firstLineChars="0"/>
              <w:rPr>
                <w:rFonts w:cs="宋体"/>
                <w:color w:val="000000"/>
              </w:rPr>
            </w:pPr>
            <w:r>
              <w:rPr>
                <w:rFonts w:hint="eastAsia" w:cs="宋体"/>
                <w:color w:val="000000"/>
              </w:rPr>
              <w:t>3、隔油池废油脂</w:t>
            </w:r>
          </w:p>
          <w:p w14:paraId="36F89D40">
            <w:pPr>
              <w:pStyle w:val="32"/>
              <w:ind w:firstLine="480"/>
              <w:rPr>
                <w:rFonts w:cs="宋体"/>
                <w:color w:val="000000"/>
              </w:rPr>
            </w:pPr>
            <w:r>
              <w:rPr>
                <w:rFonts w:hint="eastAsia" w:cs="宋体"/>
                <w:color w:val="000000"/>
              </w:rPr>
              <w:t>厨房隔油池废油脂产生量预计为0.05t/a，委托有资质单位每年进行2~3次清理并外运处置。</w:t>
            </w:r>
          </w:p>
          <w:p w14:paraId="1FB94F9E">
            <w:pPr>
              <w:pStyle w:val="32"/>
              <w:ind w:left="630" w:firstLine="0" w:firstLineChars="0"/>
              <w:rPr>
                <w:rFonts w:cs="宋体"/>
                <w:color w:val="000000"/>
              </w:rPr>
            </w:pPr>
            <w:r>
              <w:rPr>
                <w:rFonts w:hint="eastAsia" w:cs="宋体"/>
                <w:color w:val="000000"/>
              </w:rPr>
              <w:t>4、化粪池污泥</w:t>
            </w:r>
          </w:p>
          <w:p w14:paraId="223D4460">
            <w:pPr>
              <w:pStyle w:val="32"/>
              <w:pBdr>
                <w:top w:val="none" w:color="auto" w:sz="0" w:space="1"/>
                <w:left w:val="none" w:color="auto" w:sz="0" w:space="4"/>
                <w:bottom w:val="none" w:color="auto" w:sz="0" w:space="1"/>
                <w:right w:val="none" w:color="auto" w:sz="0" w:space="4"/>
              </w:pBdr>
              <w:ind w:left="630" w:firstLine="0" w:firstLineChars="0"/>
              <w:rPr>
                <w:rFonts w:cs="宋体"/>
                <w:color w:val="000000"/>
              </w:rPr>
            </w:pPr>
            <w:r>
              <w:rPr>
                <w:rFonts w:cs="宋体"/>
                <w:color w:val="000000"/>
              </w:rPr>
              <w:t>化粪池污泥产生量按</w:t>
            </w:r>
            <w:r>
              <w:rPr>
                <w:rFonts w:hint="eastAsia" w:cs="宋体"/>
                <w:color w:val="000000"/>
              </w:rPr>
              <w:t>1kg/人·d</w:t>
            </w:r>
            <w:r>
              <w:rPr>
                <w:rFonts w:cs="宋体"/>
                <w:color w:val="000000"/>
              </w:rPr>
              <w:t>估算，产生量为</w:t>
            </w:r>
            <w:r>
              <w:rPr>
                <w:rFonts w:hint="eastAsia" w:cs="宋体"/>
                <w:color w:val="000000"/>
              </w:rPr>
              <w:t>20kg/d，6t/a，定期清掏用</w:t>
            </w:r>
          </w:p>
          <w:p w14:paraId="12F3A766">
            <w:pPr>
              <w:pStyle w:val="32"/>
              <w:pBdr>
                <w:top w:val="none" w:color="auto" w:sz="0" w:space="1"/>
                <w:left w:val="none" w:color="auto" w:sz="0" w:space="4"/>
                <w:bottom w:val="none" w:color="auto" w:sz="0" w:space="1"/>
                <w:right w:val="none" w:color="auto" w:sz="0" w:space="4"/>
              </w:pBdr>
              <w:ind w:firstLineChars="0"/>
              <w:rPr>
                <w:rFonts w:hint="eastAsia" w:cs="宋体"/>
                <w:color w:val="000000"/>
              </w:rPr>
            </w:pPr>
            <w:r>
              <w:rPr>
                <w:rFonts w:hint="eastAsia" w:cs="宋体"/>
                <w:color w:val="000000"/>
              </w:rPr>
              <w:t>于周边旱地施肥。</w:t>
            </w:r>
          </w:p>
          <w:p w14:paraId="311E56F1">
            <w:pPr>
              <w:pStyle w:val="32"/>
              <w:ind w:left="630" w:firstLine="0" w:firstLineChars="0"/>
              <w:rPr>
                <w:rFonts w:hint="eastAsia" w:cs="宋体"/>
                <w:color w:val="000000"/>
              </w:rPr>
            </w:pPr>
            <w:r>
              <w:rPr>
                <w:rFonts w:cs="宋体"/>
                <w:color w:val="000000"/>
              </w:rPr>
              <w:t>5、</w:t>
            </w:r>
            <w:r>
              <w:rPr>
                <w:rFonts w:hint="eastAsia" w:cs="宋体"/>
                <w:color w:val="000000"/>
              </w:rPr>
              <w:t>一般生产固废</w:t>
            </w:r>
          </w:p>
          <w:p w14:paraId="0EFCBB98">
            <w:pPr>
              <w:spacing w:line="360" w:lineRule="auto"/>
              <w:ind w:firstLine="480" w:firstLineChars="200"/>
              <w:rPr>
                <w:bCs/>
                <w:color w:val="000000"/>
                <w:sz w:val="24"/>
              </w:rPr>
            </w:pPr>
            <w:r>
              <w:rPr>
                <w:rFonts w:hint="eastAsia"/>
                <w:color w:val="000000"/>
                <w:sz w:val="24"/>
              </w:rPr>
              <w:t>（1）鲜花残枝叶、破损次品</w:t>
            </w:r>
          </w:p>
          <w:p w14:paraId="5261EFEC">
            <w:pPr>
              <w:spacing w:line="360" w:lineRule="auto"/>
              <w:ind w:firstLine="480" w:firstLineChars="200"/>
              <w:rPr>
                <w:rFonts w:hint="eastAsia"/>
                <w:bCs/>
                <w:color w:val="000000"/>
                <w:sz w:val="24"/>
              </w:rPr>
            </w:pPr>
            <w:r>
              <w:rPr>
                <w:rFonts w:hint="eastAsia"/>
                <w:bCs/>
                <w:color w:val="000000"/>
                <w:sz w:val="24"/>
              </w:rPr>
              <w:t>人工对收购的鲜花进行分拣，剔除枝叶，去除破损次品。收购的鲜花</w:t>
            </w:r>
            <w:r>
              <w:rPr>
                <w:bCs/>
                <w:color w:val="000000"/>
                <w:sz w:val="24"/>
              </w:rPr>
              <w:t>量约为</w:t>
            </w:r>
            <w:r>
              <w:rPr>
                <w:rFonts w:hint="eastAsia"/>
                <w:bCs/>
                <w:color w:val="000000"/>
                <w:sz w:val="24"/>
              </w:rPr>
              <w:t>1</w:t>
            </w:r>
            <w:r>
              <w:rPr>
                <w:bCs/>
                <w:color w:val="000000"/>
                <w:sz w:val="24"/>
              </w:rPr>
              <w:t>1t/a，</w:t>
            </w:r>
            <w:r>
              <w:rPr>
                <w:rFonts w:hint="eastAsia"/>
                <w:color w:val="000000"/>
                <w:sz w:val="24"/>
              </w:rPr>
              <w:t>鲜花残枝叶、破损次品产生量为</w:t>
            </w:r>
            <w:r>
              <w:rPr>
                <w:rFonts w:hint="eastAsia"/>
                <w:bCs/>
                <w:color w:val="000000"/>
                <w:sz w:val="24"/>
              </w:rPr>
              <w:t>1</w:t>
            </w:r>
            <w:r>
              <w:rPr>
                <w:bCs/>
                <w:color w:val="000000"/>
                <w:sz w:val="24"/>
              </w:rPr>
              <w:t>t/a，</w:t>
            </w:r>
            <w:r>
              <w:rPr>
                <w:rFonts w:hint="eastAsia"/>
                <w:bCs/>
                <w:color w:val="000000"/>
                <w:sz w:val="24"/>
              </w:rPr>
              <w:t>集中收集后和当地生活垃圾一起处理。</w:t>
            </w:r>
          </w:p>
          <w:p w14:paraId="47356450">
            <w:pPr>
              <w:spacing w:line="360" w:lineRule="auto"/>
              <w:ind w:firstLine="480" w:firstLineChars="200"/>
              <w:rPr>
                <w:bCs/>
                <w:color w:val="000000"/>
                <w:sz w:val="24"/>
              </w:rPr>
            </w:pPr>
            <w:r>
              <w:rPr>
                <w:rFonts w:hint="eastAsia"/>
                <w:bCs/>
                <w:color w:val="000000"/>
                <w:sz w:val="24"/>
              </w:rPr>
              <w:t>（2）废包装箱/瓶</w:t>
            </w:r>
          </w:p>
          <w:p w14:paraId="34FB3140">
            <w:pPr>
              <w:spacing w:line="360" w:lineRule="auto"/>
              <w:ind w:firstLine="480" w:firstLineChars="200"/>
              <w:rPr>
                <w:bCs/>
                <w:color w:val="000000"/>
                <w:sz w:val="24"/>
              </w:rPr>
            </w:pPr>
            <w:r>
              <w:rPr>
                <w:rFonts w:hint="eastAsia"/>
                <w:bCs/>
                <w:color w:val="000000"/>
                <w:sz w:val="24"/>
              </w:rPr>
              <w:t>废包装箱/瓶主要来自原料色素包装箱/瓶，项目使用的色素每瓶500g，每箱10瓶。项目年使用色素80</w:t>
            </w:r>
            <w:r>
              <w:rPr>
                <w:rFonts w:hint="eastAsia"/>
                <w:color w:val="000000"/>
                <w:sz w:val="24"/>
              </w:rPr>
              <w:t>kg</w:t>
            </w:r>
            <w:r>
              <w:rPr>
                <w:rFonts w:hint="eastAsia"/>
                <w:bCs/>
                <w:color w:val="000000"/>
                <w:sz w:val="24"/>
              </w:rPr>
              <w:t>，则每年使用色素160瓶，16箱。包装箱</w:t>
            </w:r>
            <w:r>
              <w:rPr>
                <w:rFonts w:hint="eastAsia"/>
                <w:color w:val="000000"/>
                <w:sz w:val="24"/>
              </w:rPr>
              <w:t>每个重量1kg，包装瓶每个重0.05kg，则年产生</w:t>
            </w:r>
            <w:r>
              <w:rPr>
                <w:rFonts w:hint="eastAsia"/>
                <w:bCs/>
                <w:color w:val="000000"/>
                <w:sz w:val="24"/>
              </w:rPr>
              <w:t>废包装箱/瓶24</w:t>
            </w:r>
            <w:r>
              <w:rPr>
                <w:rFonts w:hint="eastAsia"/>
                <w:color w:val="000000"/>
                <w:sz w:val="24"/>
              </w:rPr>
              <w:t>kg。</w:t>
            </w:r>
            <w:r>
              <w:rPr>
                <w:rFonts w:hint="eastAsia"/>
                <w:bCs/>
                <w:color w:val="000000"/>
                <w:sz w:val="24"/>
              </w:rPr>
              <w:t>项目使用的色素为食品级色素，废包装箱/瓶集中收集后外售给废品回收公司。</w:t>
            </w:r>
          </w:p>
          <w:p w14:paraId="3E591327">
            <w:pPr>
              <w:spacing w:line="360" w:lineRule="auto"/>
              <w:ind w:firstLine="480" w:firstLineChars="200"/>
              <w:rPr>
                <w:rFonts w:hint="eastAsia"/>
                <w:color w:val="000000"/>
                <w:sz w:val="24"/>
              </w:rPr>
            </w:pPr>
            <w:r>
              <w:rPr>
                <w:rFonts w:hint="eastAsia"/>
                <w:color w:val="000000"/>
                <w:sz w:val="24"/>
              </w:rPr>
              <w:t>（3）废桶</w:t>
            </w:r>
          </w:p>
          <w:p w14:paraId="5BBF73CB">
            <w:pPr>
              <w:spacing w:line="360" w:lineRule="auto"/>
              <w:ind w:firstLine="480" w:firstLineChars="200"/>
              <w:rPr>
                <w:rFonts w:hint="eastAsia"/>
                <w:color w:val="000000"/>
                <w:sz w:val="24"/>
              </w:rPr>
            </w:pPr>
            <w:r>
              <w:rPr>
                <w:rFonts w:hint="eastAsia"/>
                <w:bCs/>
                <w:color w:val="000000"/>
                <w:sz w:val="24"/>
              </w:rPr>
              <w:t>废桶主要为甘油存储桶，项目年使用甘油750</w:t>
            </w:r>
            <w:r>
              <w:rPr>
                <w:rFonts w:hint="eastAsia"/>
                <w:color w:val="000000"/>
                <w:sz w:val="24"/>
              </w:rPr>
              <w:t>kg</w:t>
            </w:r>
            <w:r>
              <w:rPr>
                <w:rFonts w:hint="eastAsia"/>
                <w:bCs/>
                <w:color w:val="000000"/>
                <w:sz w:val="24"/>
              </w:rPr>
              <w:t>，甘油每桶重250</w:t>
            </w:r>
            <w:r>
              <w:rPr>
                <w:rFonts w:hint="eastAsia"/>
                <w:color w:val="000000"/>
                <w:sz w:val="24"/>
              </w:rPr>
              <w:t>kg</w:t>
            </w:r>
            <w:r>
              <w:rPr>
                <w:rFonts w:hint="eastAsia"/>
                <w:bCs/>
                <w:color w:val="000000"/>
                <w:sz w:val="24"/>
              </w:rPr>
              <w:t>，每年使用3桶，废桶每个重15</w:t>
            </w:r>
            <w:r>
              <w:rPr>
                <w:rFonts w:hint="eastAsia"/>
                <w:color w:val="000000"/>
                <w:sz w:val="24"/>
              </w:rPr>
              <w:t>kg</w:t>
            </w:r>
            <w:r>
              <w:rPr>
                <w:rFonts w:hint="eastAsia"/>
                <w:bCs/>
                <w:color w:val="000000"/>
                <w:sz w:val="24"/>
              </w:rPr>
              <w:t>，共产生废桶45</w:t>
            </w:r>
            <w:r>
              <w:rPr>
                <w:rFonts w:hint="eastAsia"/>
                <w:color w:val="000000"/>
                <w:sz w:val="24"/>
              </w:rPr>
              <w:t>kg</w:t>
            </w:r>
            <w:r>
              <w:rPr>
                <w:rFonts w:hint="eastAsia"/>
                <w:bCs/>
                <w:color w:val="000000"/>
                <w:sz w:val="24"/>
              </w:rPr>
              <w:t>，废桶由厂家回收。</w:t>
            </w:r>
          </w:p>
          <w:p w14:paraId="183C49C7">
            <w:pPr>
              <w:spacing w:line="360" w:lineRule="auto"/>
              <w:ind w:firstLine="480" w:firstLineChars="200"/>
              <w:rPr>
                <w:bCs/>
                <w:color w:val="000000"/>
                <w:sz w:val="24"/>
              </w:rPr>
            </w:pPr>
            <w:r>
              <w:rPr>
                <w:rFonts w:hint="eastAsia"/>
                <w:bCs/>
                <w:color w:val="000000"/>
                <w:sz w:val="24"/>
              </w:rPr>
              <w:t>3、</w:t>
            </w:r>
            <w:r>
              <w:rPr>
                <w:bCs/>
                <w:color w:val="000000"/>
                <w:sz w:val="24"/>
              </w:rPr>
              <w:t>危险废物</w:t>
            </w:r>
          </w:p>
          <w:p w14:paraId="7E31E0C5">
            <w:pPr>
              <w:spacing w:line="360" w:lineRule="auto"/>
              <w:ind w:firstLine="480" w:firstLineChars="200"/>
              <w:rPr>
                <w:color w:val="000000"/>
                <w:sz w:val="24"/>
              </w:rPr>
            </w:pPr>
            <w:r>
              <w:rPr>
                <w:rFonts w:hint="eastAsia"/>
                <w:color w:val="000000"/>
                <w:sz w:val="24"/>
              </w:rPr>
              <w:t>（1）</w:t>
            </w:r>
            <w:r>
              <w:rPr>
                <w:color w:val="000000"/>
                <w:sz w:val="24"/>
              </w:rPr>
              <w:t>废活性炭</w:t>
            </w:r>
          </w:p>
          <w:p w14:paraId="4E45DEFD">
            <w:pPr>
              <w:spacing w:line="360" w:lineRule="auto"/>
              <w:ind w:firstLine="480" w:firstLineChars="200"/>
              <w:rPr>
                <w:color w:val="000000"/>
                <w:sz w:val="24"/>
              </w:rPr>
            </w:pPr>
            <w:r>
              <w:rPr>
                <w:snapToGrid w:val="0"/>
                <w:color w:val="000000"/>
                <w:kern w:val="0"/>
                <w:sz w:val="24"/>
              </w:rPr>
              <w:t>项目</w:t>
            </w:r>
            <w:r>
              <w:rPr>
                <w:rFonts w:hint="eastAsia"/>
                <w:snapToGrid w:val="0"/>
                <w:color w:val="000000"/>
                <w:kern w:val="0"/>
                <w:sz w:val="24"/>
              </w:rPr>
              <w:t>有机废气经活性炭处理后，挥发性有机物将被活性炭吸附，根据《简明通风设计手册》活性炭吸附有机物量以 0.24kg/kg 活性炭计，</w:t>
            </w:r>
            <w:r>
              <w:rPr>
                <w:color w:val="000000"/>
                <w:sz w:val="24"/>
              </w:rPr>
              <w:t>本项目有组织</w:t>
            </w:r>
            <w:r>
              <w:rPr>
                <w:rFonts w:hint="eastAsia"/>
                <w:color w:val="000000"/>
                <w:sz w:val="24"/>
              </w:rPr>
              <w:t>甲醇</w:t>
            </w:r>
            <w:r>
              <w:rPr>
                <w:color w:val="000000"/>
                <w:sz w:val="24"/>
              </w:rPr>
              <w:t>吸附量为</w:t>
            </w:r>
            <w:r>
              <w:rPr>
                <w:rFonts w:hint="eastAsia"/>
                <w:color w:val="000000"/>
                <w:sz w:val="24"/>
              </w:rPr>
              <w:t>0.</w:t>
            </w:r>
            <w:r>
              <w:rPr>
                <w:color w:val="000000"/>
                <w:sz w:val="24"/>
              </w:rPr>
              <w:t>56t/a，</w:t>
            </w:r>
            <w:r>
              <w:rPr>
                <w:rFonts w:hint="eastAsia"/>
                <w:snapToGrid w:val="0"/>
                <w:color w:val="000000"/>
                <w:kern w:val="0"/>
                <w:sz w:val="24"/>
              </w:rPr>
              <w:t>项目活性炭使用量为</w:t>
            </w:r>
            <w:r>
              <w:rPr>
                <w:snapToGrid w:val="0"/>
                <w:color w:val="000000"/>
                <w:kern w:val="0"/>
                <w:sz w:val="24"/>
              </w:rPr>
              <w:t>2.33</w:t>
            </w:r>
            <w:r>
              <w:rPr>
                <w:rFonts w:hint="eastAsia"/>
                <w:snapToGrid w:val="0"/>
                <w:color w:val="000000"/>
                <w:kern w:val="0"/>
                <w:sz w:val="24"/>
              </w:rPr>
              <w:t>t/a，则废活性炭产生量</w:t>
            </w:r>
            <w:r>
              <w:rPr>
                <w:snapToGrid w:val="0"/>
                <w:color w:val="000000"/>
                <w:kern w:val="0"/>
                <w:sz w:val="24"/>
              </w:rPr>
              <w:t>2.33</w:t>
            </w:r>
            <w:r>
              <w:rPr>
                <w:rFonts w:hint="eastAsia"/>
                <w:snapToGrid w:val="0"/>
                <w:color w:val="000000"/>
                <w:kern w:val="0"/>
                <w:sz w:val="24"/>
              </w:rPr>
              <w:t>t/a。为保证吸附效率，活性炭大约4个月更换一次，每次更换量为0.</w:t>
            </w:r>
            <w:r>
              <w:rPr>
                <w:snapToGrid w:val="0"/>
                <w:color w:val="000000"/>
                <w:kern w:val="0"/>
                <w:sz w:val="24"/>
              </w:rPr>
              <w:t>78</w:t>
            </w:r>
            <w:r>
              <w:rPr>
                <w:rFonts w:hint="eastAsia"/>
                <w:snapToGrid w:val="0"/>
                <w:color w:val="000000"/>
                <w:kern w:val="0"/>
                <w:sz w:val="24"/>
              </w:rPr>
              <w:t>t/次，更换的吸附有机废气后的废活性炭属于《国家危险废物名录》（2021 年版）中“HW49 其他废物中的烟气、VOCs 治理过程（不包括餐饮行业油烟治理过程）产生的废活性炭”，危废代码为 900-039-49，更换后暂存于危废暂存间，定期委托有资质的单位清运处置。</w:t>
            </w:r>
          </w:p>
          <w:p w14:paraId="7907D445">
            <w:pPr>
              <w:spacing w:line="360" w:lineRule="auto"/>
              <w:ind w:firstLine="480" w:firstLineChars="200"/>
              <w:rPr>
                <w:color w:val="000000"/>
                <w:sz w:val="24"/>
              </w:rPr>
            </w:pPr>
            <w:r>
              <w:rPr>
                <w:rFonts w:hint="eastAsia"/>
                <w:color w:val="000000"/>
                <w:sz w:val="24"/>
              </w:rPr>
              <w:t>（2）</w:t>
            </w:r>
            <w:r>
              <w:rPr>
                <w:color w:val="000000"/>
                <w:sz w:val="24"/>
              </w:rPr>
              <w:t>废机油</w:t>
            </w:r>
          </w:p>
          <w:p w14:paraId="05EEA9DC">
            <w:pPr>
              <w:pStyle w:val="7"/>
              <w:spacing w:before="0" w:after="0" w:line="360" w:lineRule="auto"/>
              <w:ind w:firstLine="480" w:firstLineChars="200"/>
              <w:rPr>
                <w:color w:val="000000"/>
                <w:sz w:val="24"/>
                <w:szCs w:val="24"/>
              </w:rPr>
            </w:pPr>
            <w:r>
              <w:rPr>
                <w:color w:val="000000"/>
                <w:sz w:val="24"/>
              </w:rPr>
              <w:t>项目设备检修过程中废机油产生量约为0.01t/a，按照《国家危险废物名录》（2021年版），废机油属于危险废物名录中“HW08废矿物油及含矿物油废物”，废物代码为900-24</w:t>
            </w:r>
            <w:r>
              <w:rPr>
                <w:rFonts w:hint="eastAsia"/>
                <w:color w:val="000000"/>
                <w:sz w:val="24"/>
              </w:rPr>
              <w:t>9</w:t>
            </w:r>
            <w:r>
              <w:rPr>
                <w:color w:val="000000"/>
                <w:sz w:val="24"/>
              </w:rPr>
              <w:t>-08，危险特性T，I。环评提出，使用</w:t>
            </w:r>
            <w:r>
              <w:rPr>
                <w:rFonts w:hint="eastAsia"/>
                <w:color w:val="000000"/>
                <w:sz w:val="24"/>
              </w:rPr>
              <w:t>半密闭</w:t>
            </w:r>
            <w:r>
              <w:rPr>
                <w:color w:val="000000"/>
                <w:sz w:val="24"/>
              </w:rPr>
              <w:t>容器统一收集后于危废暂存间储存，交有资质单位定期清运处置。</w:t>
            </w:r>
            <w:r>
              <w:rPr>
                <w:color w:val="000000"/>
                <w:sz w:val="24"/>
                <w:szCs w:val="24"/>
              </w:rPr>
              <w:t>项目固体废弃物产生与处置情况见</w:t>
            </w:r>
            <w:r>
              <w:rPr>
                <w:rFonts w:hint="eastAsia"/>
                <w:color w:val="000000"/>
                <w:sz w:val="24"/>
                <w:szCs w:val="24"/>
              </w:rPr>
              <w:t>下</w:t>
            </w:r>
            <w:r>
              <w:rPr>
                <w:color w:val="000000"/>
                <w:sz w:val="24"/>
                <w:szCs w:val="24"/>
              </w:rPr>
              <w:t>表。</w:t>
            </w:r>
          </w:p>
          <w:p w14:paraId="31AFBE55">
            <w:pPr>
              <w:spacing w:line="360" w:lineRule="auto"/>
              <w:ind w:firstLine="480" w:firstLineChars="200"/>
              <w:rPr>
                <w:rFonts w:hint="eastAsia"/>
                <w:color w:val="000000"/>
                <w:sz w:val="24"/>
              </w:rPr>
            </w:pPr>
            <w:r>
              <w:rPr>
                <w:rFonts w:hint="eastAsia"/>
                <w:color w:val="000000"/>
                <w:sz w:val="24"/>
              </w:rPr>
              <w:t>（3）脱色、染色废桶</w:t>
            </w:r>
          </w:p>
          <w:p w14:paraId="0A891C17">
            <w:pPr>
              <w:spacing w:line="360" w:lineRule="auto"/>
              <w:ind w:firstLine="480" w:firstLineChars="200"/>
              <w:rPr>
                <w:rFonts w:hint="eastAsia"/>
                <w:bCs/>
                <w:color w:val="000000"/>
                <w:sz w:val="24"/>
              </w:rPr>
            </w:pPr>
            <w:r>
              <w:rPr>
                <w:rFonts w:hint="eastAsia"/>
                <w:bCs/>
                <w:color w:val="000000"/>
                <w:sz w:val="24"/>
              </w:rPr>
              <w:t>脱色、染色均在PE桶内进行，长时间使用会存在老化、破碎需要定期进行更换，更换量每年为2%，项目脱色、染色年使用11</w:t>
            </w:r>
            <w:r>
              <w:rPr>
                <w:bCs/>
                <w:color w:val="000000"/>
                <w:sz w:val="24"/>
              </w:rPr>
              <w:t>00</w:t>
            </w:r>
            <w:r>
              <w:rPr>
                <w:rFonts w:hint="eastAsia"/>
                <w:bCs/>
                <w:color w:val="000000"/>
                <w:sz w:val="24"/>
              </w:rPr>
              <w:t>个桶，每年产生的废PE桶为2</w:t>
            </w:r>
            <w:r>
              <w:rPr>
                <w:bCs/>
                <w:color w:val="000000"/>
                <w:sz w:val="24"/>
              </w:rPr>
              <w:t>2</w:t>
            </w:r>
            <w:r>
              <w:rPr>
                <w:rFonts w:hint="eastAsia"/>
                <w:bCs/>
                <w:color w:val="000000"/>
                <w:sz w:val="24"/>
              </w:rPr>
              <w:t>个，每个重5</w:t>
            </w:r>
            <w:r>
              <w:rPr>
                <w:rFonts w:hint="eastAsia"/>
                <w:color w:val="000000"/>
                <w:sz w:val="24"/>
              </w:rPr>
              <w:t>kg</w:t>
            </w:r>
            <w:r>
              <w:rPr>
                <w:rFonts w:hint="eastAsia"/>
                <w:bCs/>
                <w:color w:val="000000"/>
                <w:sz w:val="24"/>
              </w:rPr>
              <w:t>，共产生废桶0.11</w:t>
            </w:r>
            <w:r>
              <w:rPr>
                <w:rFonts w:hint="eastAsia"/>
                <w:color w:val="000000"/>
                <w:sz w:val="24"/>
              </w:rPr>
              <w:t>t/a</w:t>
            </w:r>
            <w:r>
              <w:rPr>
                <w:rFonts w:hint="eastAsia"/>
                <w:bCs/>
                <w:color w:val="000000"/>
                <w:sz w:val="24"/>
              </w:rPr>
              <w:t>。</w:t>
            </w:r>
            <w:r>
              <w:rPr>
                <w:color w:val="000000"/>
                <w:sz w:val="24"/>
              </w:rPr>
              <w:t>按照《国家危险废物名录》（2021年版），</w:t>
            </w:r>
            <w:r>
              <w:rPr>
                <w:rFonts w:hint="eastAsia"/>
                <w:color w:val="000000"/>
                <w:sz w:val="24"/>
              </w:rPr>
              <w:t>废桶</w:t>
            </w:r>
            <w:r>
              <w:rPr>
                <w:color w:val="000000"/>
                <w:sz w:val="24"/>
              </w:rPr>
              <w:t>属于危险废物名录中“HW</w:t>
            </w:r>
            <w:r>
              <w:rPr>
                <w:rFonts w:hint="eastAsia"/>
                <w:color w:val="000000"/>
                <w:sz w:val="24"/>
              </w:rPr>
              <w:t>49其他废物中含有或沾染毒性、感染性危险废物的废弃包装物、容器、过滤吸附介质</w:t>
            </w:r>
            <w:r>
              <w:rPr>
                <w:color w:val="000000"/>
                <w:sz w:val="24"/>
              </w:rPr>
              <w:t>”，废物代码为900-</w:t>
            </w:r>
            <w:r>
              <w:rPr>
                <w:rFonts w:hint="eastAsia"/>
                <w:color w:val="000000"/>
                <w:sz w:val="24"/>
              </w:rPr>
              <w:t>041</w:t>
            </w:r>
            <w:r>
              <w:rPr>
                <w:color w:val="000000"/>
                <w:sz w:val="24"/>
              </w:rPr>
              <w:t>-</w:t>
            </w:r>
            <w:r>
              <w:rPr>
                <w:rFonts w:hint="eastAsia"/>
                <w:color w:val="000000"/>
                <w:sz w:val="24"/>
              </w:rPr>
              <w:t>49</w:t>
            </w:r>
            <w:r>
              <w:rPr>
                <w:color w:val="000000"/>
                <w:sz w:val="24"/>
              </w:rPr>
              <w:t>，危险特性T，I</w:t>
            </w:r>
            <w:r>
              <w:rPr>
                <w:rFonts w:hint="eastAsia"/>
                <w:color w:val="000000"/>
                <w:sz w:val="24"/>
              </w:rPr>
              <w:t>n</w:t>
            </w:r>
            <w:r>
              <w:rPr>
                <w:color w:val="000000"/>
                <w:sz w:val="24"/>
              </w:rPr>
              <w:t>。环评提出，使用</w:t>
            </w:r>
            <w:r>
              <w:rPr>
                <w:rFonts w:hint="eastAsia"/>
                <w:color w:val="000000"/>
                <w:sz w:val="24"/>
              </w:rPr>
              <w:t>包装</w:t>
            </w:r>
            <w:r>
              <w:rPr>
                <w:color w:val="000000"/>
                <w:sz w:val="24"/>
              </w:rPr>
              <w:t>容器统一收集后于危废暂存间储存，交有资质单位定期清运处置。</w:t>
            </w:r>
          </w:p>
          <w:p w14:paraId="3B52D136">
            <w:pPr>
              <w:pStyle w:val="7"/>
              <w:spacing w:before="0" w:after="0" w:line="360" w:lineRule="auto"/>
              <w:ind w:right="0"/>
              <w:jc w:val="center"/>
              <w:rPr>
                <w:b/>
                <w:bCs/>
                <w:color w:val="000000"/>
                <w:sz w:val="21"/>
                <w:szCs w:val="21"/>
              </w:rPr>
            </w:pPr>
            <w:r>
              <w:rPr>
                <w:b/>
                <w:bCs/>
                <w:color w:val="000000"/>
                <w:sz w:val="21"/>
                <w:szCs w:val="21"/>
              </w:rPr>
              <w:t>表4-</w:t>
            </w:r>
            <w:r>
              <w:rPr>
                <w:rFonts w:hint="eastAsia"/>
                <w:b/>
                <w:bCs/>
                <w:color w:val="000000"/>
                <w:sz w:val="21"/>
                <w:szCs w:val="21"/>
              </w:rPr>
              <w:t>1</w:t>
            </w:r>
            <w:r>
              <w:rPr>
                <w:b/>
                <w:bCs/>
                <w:color w:val="000000"/>
                <w:sz w:val="21"/>
                <w:szCs w:val="21"/>
              </w:rPr>
              <w:t>4</w:t>
            </w:r>
            <w:r>
              <w:rPr>
                <w:rFonts w:hint="eastAsia"/>
                <w:b/>
                <w:bCs/>
                <w:color w:val="000000"/>
                <w:sz w:val="21"/>
                <w:szCs w:val="21"/>
              </w:rPr>
              <w:t xml:space="preserve"> </w:t>
            </w:r>
            <w:r>
              <w:rPr>
                <w:b/>
                <w:bCs/>
                <w:color w:val="000000"/>
                <w:sz w:val="21"/>
                <w:szCs w:val="21"/>
              </w:rPr>
              <w:t xml:space="preserve"> 项目固废产生与处置情况一览表</w:t>
            </w:r>
          </w:p>
          <w:tbl>
            <w:tblPr>
              <w:tblStyle w:val="20"/>
              <w:tblW w:w="8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446"/>
              <w:gridCol w:w="1564"/>
              <w:gridCol w:w="1315"/>
              <w:gridCol w:w="2856"/>
            </w:tblGrid>
            <w:tr w14:paraId="63B8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0" w:hRule="atLeast"/>
                <w:jc w:val="center"/>
              </w:trPr>
              <w:tc>
                <w:tcPr>
                  <w:tcW w:w="1143" w:type="dxa"/>
                  <w:noWrap w:val="0"/>
                  <w:vAlign w:val="center"/>
                </w:tcPr>
                <w:p w14:paraId="52E3BC3F">
                  <w:pPr>
                    <w:pStyle w:val="7"/>
                    <w:spacing w:before="0" w:after="0" w:line="240" w:lineRule="auto"/>
                    <w:ind w:right="0"/>
                    <w:jc w:val="center"/>
                    <w:rPr>
                      <w:b/>
                      <w:bCs/>
                      <w:color w:val="000000"/>
                      <w:sz w:val="21"/>
                      <w:szCs w:val="21"/>
                    </w:rPr>
                  </w:pPr>
                  <w:r>
                    <w:rPr>
                      <w:b/>
                      <w:bCs/>
                      <w:color w:val="000000"/>
                      <w:sz w:val="21"/>
                      <w:szCs w:val="21"/>
                    </w:rPr>
                    <w:t>类别</w:t>
                  </w:r>
                </w:p>
              </w:tc>
              <w:tc>
                <w:tcPr>
                  <w:tcW w:w="1446" w:type="dxa"/>
                  <w:noWrap w:val="0"/>
                  <w:vAlign w:val="center"/>
                </w:tcPr>
                <w:p w14:paraId="04698E9D">
                  <w:pPr>
                    <w:pStyle w:val="7"/>
                    <w:spacing w:before="0" w:after="0" w:line="240" w:lineRule="auto"/>
                    <w:ind w:right="0"/>
                    <w:jc w:val="center"/>
                    <w:rPr>
                      <w:b/>
                      <w:bCs/>
                      <w:color w:val="000000"/>
                      <w:sz w:val="21"/>
                      <w:szCs w:val="21"/>
                    </w:rPr>
                  </w:pPr>
                  <w:r>
                    <w:rPr>
                      <w:b/>
                      <w:bCs/>
                      <w:color w:val="000000"/>
                      <w:sz w:val="21"/>
                      <w:szCs w:val="21"/>
                    </w:rPr>
                    <w:t>名称</w:t>
                  </w:r>
                </w:p>
              </w:tc>
              <w:tc>
                <w:tcPr>
                  <w:tcW w:w="1564" w:type="dxa"/>
                  <w:noWrap w:val="0"/>
                  <w:vAlign w:val="center"/>
                </w:tcPr>
                <w:p w14:paraId="5BF5F884">
                  <w:pPr>
                    <w:pStyle w:val="7"/>
                    <w:spacing w:before="0" w:after="0" w:line="240" w:lineRule="auto"/>
                    <w:ind w:right="0"/>
                    <w:jc w:val="center"/>
                    <w:rPr>
                      <w:b/>
                      <w:bCs/>
                      <w:color w:val="000000"/>
                      <w:sz w:val="21"/>
                      <w:szCs w:val="21"/>
                    </w:rPr>
                  </w:pPr>
                  <w:r>
                    <w:rPr>
                      <w:b/>
                      <w:bCs/>
                      <w:color w:val="000000"/>
                      <w:sz w:val="21"/>
                      <w:szCs w:val="21"/>
                    </w:rPr>
                    <w:t>来源</w:t>
                  </w:r>
                </w:p>
              </w:tc>
              <w:tc>
                <w:tcPr>
                  <w:tcW w:w="1315" w:type="dxa"/>
                  <w:noWrap w:val="0"/>
                  <w:vAlign w:val="center"/>
                </w:tcPr>
                <w:p w14:paraId="2C6814C9">
                  <w:pPr>
                    <w:pStyle w:val="7"/>
                    <w:spacing w:before="0" w:after="0" w:line="240" w:lineRule="auto"/>
                    <w:ind w:right="0"/>
                    <w:jc w:val="center"/>
                    <w:rPr>
                      <w:b/>
                      <w:bCs/>
                      <w:color w:val="000000"/>
                      <w:sz w:val="21"/>
                      <w:szCs w:val="21"/>
                    </w:rPr>
                  </w:pPr>
                  <w:r>
                    <w:rPr>
                      <w:b/>
                      <w:bCs/>
                      <w:color w:val="000000"/>
                      <w:sz w:val="21"/>
                      <w:szCs w:val="21"/>
                    </w:rPr>
                    <w:t>产生量（t/a）</w:t>
                  </w:r>
                </w:p>
              </w:tc>
              <w:tc>
                <w:tcPr>
                  <w:tcW w:w="2856" w:type="dxa"/>
                  <w:noWrap w:val="0"/>
                  <w:vAlign w:val="center"/>
                </w:tcPr>
                <w:p w14:paraId="49B62CBF">
                  <w:pPr>
                    <w:pStyle w:val="7"/>
                    <w:spacing w:before="0" w:after="0" w:line="240" w:lineRule="auto"/>
                    <w:ind w:right="0"/>
                    <w:jc w:val="center"/>
                    <w:rPr>
                      <w:b/>
                      <w:bCs/>
                      <w:color w:val="000000"/>
                      <w:sz w:val="21"/>
                      <w:szCs w:val="21"/>
                    </w:rPr>
                  </w:pPr>
                  <w:r>
                    <w:rPr>
                      <w:b/>
                      <w:bCs/>
                      <w:color w:val="000000"/>
                      <w:sz w:val="21"/>
                      <w:szCs w:val="21"/>
                    </w:rPr>
                    <w:t>处置方式</w:t>
                  </w:r>
                </w:p>
              </w:tc>
            </w:tr>
            <w:tr w14:paraId="001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 w:hRule="atLeast"/>
                <w:jc w:val="center"/>
              </w:trPr>
              <w:tc>
                <w:tcPr>
                  <w:tcW w:w="1143" w:type="dxa"/>
                  <w:vMerge w:val="restart"/>
                  <w:noWrap w:val="0"/>
                  <w:vAlign w:val="center"/>
                </w:tcPr>
                <w:p w14:paraId="349D0DD8">
                  <w:pPr>
                    <w:pStyle w:val="7"/>
                    <w:spacing w:before="0" w:after="0" w:line="240" w:lineRule="auto"/>
                    <w:ind w:right="0"/>
                    <w:jc w:val="center"/>
                    <w:rPr>
                      <w:color w:val="000000"/>
                      <w:sz w:val="21"/>
                      <w:szCs w:val="21"/>
                    </w:rPr>
                  </w:pPr>
                  <w:r>
                    <w:rPr>
                      <w:color w:val="000000"/>
                      <w:sz w:val="21"/>
                      <w:szCs w:val="21"/>
                    </w:rPr>
                    <w:t>生活固废</w:t>
                  </w:r>
                </w:p>
              </w:tc>
              <w:tc>
                <w:tcPr>
                  <w:tcW w:w="1446" w:type="dxa"/>
                  <w:noWrap w:val="0"/>
                  <w:vAlign w:val="center"/>
                </w:tcPr>
                <w:p w14:paraId="79CBADA2">
                  <w:pPr>
                    <w:pStyle w:val="7"/>
                    <w:spacing w:before="0" w:after="0" w:line="240" w:lineRule="auto"/>
                    <w:ind w:right="0"/>
                    <w:jc w:val="center"/>
                    <w:rPr>
                      <w:color w:val="000000"/>
                      <w:sz w:val="21"/>
                      <w:szCs w:val="21"/>
                    </w:rPr>
                  </w:pPr>
                  <w:r>
                    <w:rPr>
                      <w:color w:val="000000"/>
                      <w:sz w:val="21"/>
                      <w:szCs w:val="21"/>
                    </w:rPr>
                    <w:t>生活垃圾</w:t>
                  </w:r>
                </w:p>
              </w:tc>
              <w:tc>
                <w:tcPr>
                  <w:tcW w:w="1564" w:type="dxa"/>
                  <w:noWrap w:val="0"/>
                  <w:vAlign w:val="center"/>
                </w:tcPr>
                <w:p w14:paraId="021709A6">
                  <w:pPr>
                    <w:pStyle w:val="7"/>
                    <w:spacing w:before="0" w:after="0" w:line="240" w:lineRule="auto"/>
                    <w:ind w:right="0"/>
                    <w:jc w:val="center"/>
                    <w:rPr>
                      <w:color w:val="000000"/>
                      <w:sz w:val="21"/>
                      <w:szCs w:val="21"/>
                    </w:rPr>
                  </w:pPr>
                  <w:r>
                    <w:rPr>
                      <w:color w:val="000000"/>
                      <w:sz w:val="21"/>
                      <w:szCs w:val="21"/>
                    </w:rPr>
                    <w:t>员工生活</w:t>
                  </w:r>
                </w:p>
              </w:tc>
              <w:tc>
                <w:tcPr>
                  <w:tcW w:w="1315" w:type="dxa"/>
                  <w:noWrap w:val="0"/>
                  <w:vAlign w:val="center"/>
                </w:tcPr>
                <w:p w14:paraId="32A6D0E2">
                  <w:pPr>
                    <w:pStyle w:val="7"/>
                    <w:spacing w:before="0" w:after="0" w:line="240" w:lineRule="auto"/>
                    <w:ind w:right="0"/>
                    <w:jc w:val="center"/>
                    <w:rPr>
                      <w:color w:val="000000"/>
                      <w:sz w:val="21"/>
                      <w:szCs w:val="21"/>
                    </w:rPr>
                  </w:pPr>
                  <w:r>
                    <w:rPr>
                      <w:rFonts w:hint="eastAsia"/>
                      <w:color w:val="000000"/>
                      <w:sz w:val="21"/>
                      <w:szCs w:val="21"/>
                    </w:rPr>
                    <w:t>3</w:t>
                  </w:r>
                  <w:r>
                    <w:rPr>
                      <w:color w:val="000000"/>
                      <w:sz w:val="21"/>
                      <w:szCs w:val="21"/>
                    </w:rPr>
                    <w:t>.45</w:t>
                  </w:r>
                </w:p>
              </w:tc>
              <w:tc>
                <w:tcPr>
                  <w:tcW w:w="2856" w:type="dxa"/>
                  <w:noWrap w:val="0"/>
                  <w:vAlign w:val="center"/>
                </w:tcPr>
                <w:p w14:paraId="50E16205">
                  <w:pPr>
                    <w:pStyle w:val="7"/>
                    <w:spacing w:before="0" w:after="0" w:line="240" w:lineRule="auto"/>
                    <w:ind w:right="0"/>
                    <w:jc w:val="center"/>
                    <w:rPr>
                      <w:color w:val="000000"/>
                      <w:sz w:val="21"/>
                      <w:szCs w:val="21"/>
                    </w:rPr>
                  </w:pPr>
                  <w:r>
                    <w:rPr>
                      <w:color w:val="000000"/>
                      <w:sz w:val="21"/>
                      <w:szCs w:val="21"/>
                    </w:rPr>
                    <w:t>垃圾桶分类收集后委托环卫部门清运处置</w:t>
                  </w:r>
                </w:p>
              </w:tc>
            </w:tr>
            <w:tr w14:paraId="2F91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 w:hRule="atLeast"/>
                <w:jc w:val="center"/>
              </w:trPr>
              <w:tc>
                <w:tcPr>
                  <w:tcW w:w="1143" w:type="dxa"/>
                  <w:vMerge w:val="continue"/>
                  <w:noWrap w:val="0"/>
                  <w:vAlign w:val="center"/>
                </w:tcPr>
                <w:p w14:paraId="53CD6DDC">
                  <w:pPr>
                    <w:pStyle w:val="7"/>
                    <w:spacing w:before="0" w:after="0" w:line="240" w:lineRule="auto"/>
                    <w:ind w:right="0"/>
                    <w:jc w:val="center"/>
                    <w:rPr>
                      <w:color w:val="000000"/>
                      <w:sz w:val="21"/>
                      <w:szCs w:val="21"/>
                    </w:rPr>
                  </w:pPr>
                </w:p>
              </w:tc>
              <w:tc>
                <w:tcPr>
                  <w:tcW w:w="1446" w:type="dxa"/>
                  <w:noWrap w:val="0"/>
                  <w:vAlign w:val="center"/>
                </w:tcPr>
                <w:p w14:paraId="55318274">
                  <w:pPr>
                    <w:pStyle w:val="7"/>
                    <w:spacing w:before="0" w:after="0" w:line="240" w:lineRule="auto"/>
                    <w:ind w:right="0"/>
                    <w:jc w:val="center"/>
                    <w:rPr>
                      <w:rFonts w:hint="eastAsia"/>
                      <w:color w:val="000000"/>
                      <w:sz w:val="21"/>
                      <w:szCs w:val="21"/>
                    </w:rPr>
                  </w:pPr>
                  <w:r>
                    <w:rPr>
                      <w:rFonts w:hint="eastAsia"/>
                      <w:color w:val="000000"/>
                      <w:sz w:val="21"/>
                      <w:szCs w:val="21"/>
                    </w:rPr>
                    <w:t>餐厨垃圾</w:t>
                  </w:r>
                </w:p>
              </w:tc>
              <w:tc>
                <w:tcPr>
                  <w:tcW w:w="1564" w:type="dxa"/>
                  <w:noWrap w:val="0"/>
                  <w:vAlign w:val="center"/>
                </w:tcPr>
                <w:p w14:paraId="4CD8D8B2">
                  <w:pPr>
                    <w:pStyle w:val="7"/>
                    <w:spacing w:before="0" w:after="0" w:line="240" w:lineRule="auto"/>
                    <w:ind w:right="0"/>
                    <w:jc w:val="center"/>
                    <w:rPr>
                      <w:color w:val="000000"/>
                      <w:sz w:val="21"/>
                      <w:szCs w:val="21"/>
                    </w:rPr>
                  </w:pPr>
                  <w:r>
                    <w:rPr>
                      <w:rFonts w:hint="eastAsia"/>
                      <w:color w:val="000000"/>
                      <w:sz w:val="21"/>
                      <w:szCs w:val="21"/>
                    </w:rPr>
                    <w:t>餐厨垃圾</w:t>
                  </w:r>
                </w:p>
              </w:tc>
              <w:tc>
                <w:tcPr>
                  <w:tcW w:w="1315" w:type="dxa"/>
                  <w:noWrap w:val="0"/>
                  <w:vAlign w:val="center"/>
                </w:tcPr>
                <w:p w14:paraId="26C080AC">
                  <w:pPr>
                    <w:pStyle w:val="7"/>
                    <w:spacing w:before="0" w:after="0" w:line="240" w:lineRule="auto"/>
                    <w:ind w:right="0"/>
                    <w:jc w:val="center"/>
                    <w:rPr>
                      <w:color w:val="000000"/>
                      <w:sz w:val="21"/>
                      <w:szCs w:val="21"/>
                    </w:rPr>
                  </w:pPr>
                  <w:r>
                    <w:rPr>
                      <w:rFonts w:hint="eastAsia"/>
                      <w:color w:val="000000"/>
                      <w:sz w:val="21"/>
                      <w:szCs w:val="21"/>
                    </w:rPr>
                    <w:t>1.8</w:t>
                  </w:r>
                </w:p>
              </w:tc>
              <w:tc>
                <w:tcPr>
                  <w:tcW w:w="2856" w:type="dxa"/>
                  <w:noWrap w:val="0"/>
                  <w:vAlign w:val="center"/>
                </w:tcPr>
                <w:p w14:paraId="3BA7C5C5">
                  <w:pPr>
                    <w:pStyle w:val="7"/>
                    <w:spacing w:before="0" w:after="0" w:line="240" w:lineRule="auto"/>
                    <w:ind w:right="0"/>
                    <w:jc w:val="center"/>
                    <w:rPr>
                      <w:color w:val="000000"/>
                      <w:sz w:val="21"/>
                      <w:szCs w:val="21"/>
                    </w:rPr>
                  </w:pPr>
                  <w:r>
                    <w:rPr>
                      <w:rFonts w:hint="eastAsia"/>
                      <w:color w:val="000000"/>
                      <w:sz w:val="21"/>
                      <w:szCs w:val="21"/>
                    </w:rPr>
                    <w:t>委托有资质单位清运处置，日产日清</w:t>
                  </w:r>
                </w:p>
              </w:tc>
            </w:tr>
            <w:tr w14:paraId="0D46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 w:hRule="atLeast"/>
                <w:jc w:val="center"/>
              </w:trPr>
              <w:tc>
                <w:tcPr>
                  <w:tcW w:w="1143" w:type="dxa"/>
                  <w:vMerge w:val="continue"/>
                  <w:noWrap w:val="0"/>
                  <w:vAlign w:val="center"/>
                </w:tcPr>
                <w:p w14:paraId="64D20F48">
                  <w:pPr>
                    <w:pStyle w:val="7"/>
                    <w:spacing w:before="0" w:after="0" w:line="240" w:lineRule="auto"/>
                    <w:ind w:right="0"/>
                    <w:jc w:val="center"/>
                    <w:rPr>
                      <w:color w:val="000000"/>
                      <w:sz w:val="21"/>
                      <w:szCs w:val="21"/>
                    </w:rPr>
                  </w:pPr>
                </w:p>
              </w:tc>
              <w:tc>
                <w:tcPr>
                  <w:tcW w:w="1446" w:type="dxa"/>
                  <w:noWrap w:val="0"/>
                  <w:vAlign w:val="center"/>
                </w:tcPr>
                <w:p w14:paraId="18575728">
                  <w:pPr>
                    <w:pStyle w:val="7"/>
                    <w:spacing w:before="0" w:after="0" w:line="240" w:lineRule="auto"/>
                    <w:ind w:right="0"/>
                    <w:jc w:val="center"/>
                    <w:rPr>
                      <w:rFonts w:hint="eastAsia"/>
                      <w:color w:val="000000"/>
                      <w:sz w:val="21"/>
                      <w:szCs w:val="21"/>
                    </w:rPr>
                  </w:pPr>
                  <w:r>
                    <w:rPr>
                      <w:rFonts w:hint="eastAsia"/>
                      <w:color w:val="000000"/>
                      <w:sz w:val="21"/>
                      <w:szCs w:val="21"/>
                    </w:rPr>
                    <w:t>废油脂</w:t>
                  </w:r>
                </w:p>
              </w:tc>
              <w:tc>
                <w:tcPr>
                  <w:tcW w:w="1564" w:type="dxa"/>
                  <w:noWrap w:val="0"/>
                  <w:vAlign w:val="center"/>
                </w:tcPr>
                <w:p w14:paraId="051456DA">
                  <w:pPr>
                    <w:pStyle w:val="7"/>
                    <w:spacing w:before="0" w:after="0" w:line="240" w:lineRule="auto"/>
                    <w:ind w:right="0"/>
                    <w:jc w:val="center"/>
                    <w:rPr>
                      <w:color w:val="000000"/>
                      <w:sz w:val="21"/>
                      <w:szCs w:val="21"/>
                    </w:rPr>
                  </w:pPr>
                  <w:r>
                    <w:rPr>
                      <w:rFonts w:hint="eastAsia"/>
                      <w:color w:val="000000"/>
                      <w:sz w:val="21"/>
                      <w:szCs w:val="21"/>
                    </w:rPr>
                    <w:t>废油脂</w:t>
                  </w:r>
                </w:p>
              </w:tc>
              <w:tc>
                <w:tcPr>
                  <w:tcW w:w="1315" w:type="dxa"/>
                  <w:noWrap w:val="0"/>
                  <w:vAlign w:val="center"/>
                </w:tcPr>
                <w:p w14:paraId="2B6195F2">
                  <w:pPr>
                    <w:pStyle w:val="7"/>
                    <w:spacing w:before="0" w:after="0" w:line="240" w:lineRule="auto"/>
                    <w:ind w:right="0"/>
                    <w:jc w:val="center"/>
                    <w:rPr>
                      <w:color w:val="000000"/>
                      <w:sz w:val="21"/>
                      <w:szCs w:val="21"/>
                    </w:rPr>
                  </w:pPr>
                  <w:r>
                    <w:rPr>
                      <w:rFonts w:hint="eastAsia"/>
                      <w:color w:val="000000"/>
                      <w:sz w:val="21"/>
                      <w:szCs w:val="21"/>
                    </w:rPr>
                    <w:t>0.05</w:t>
                  </w:r>
                </w:p>
              </w:tc>
              <w:tc>
                <w:tcPr>
                  <w:tcW w:w="2856" w:type="dxa"/>
                  <w:noWrap w:val="0"/>
                  <w:vAlign w:val="center"/>
                </w:tcPr>
                <w:p w14:paraId="6AFEA3D8">
                  <w:pPr>
                    <w:pStyle w:val="7"/>
                    <w:spacing w:before="0" w:after="0" w:line="240" w:lineRule="auto"/>
                    <w:ind w:right="0"/>
                    <w:jc w:val="center"/>
                    <w:rPr>
                      <w:rFonts w:hint="eastAsia"/>
                      <w:color w:val="000000"/>
                      <w:sz w:val="21"/>
                      <w:szCs w:val="21"/>
                    </w:rPr>
                  </w:pPr>
                  <w:r>
                    <w:rPr>
                      <w:rFonts w:hint="eastAsia"/>
                      <w:color w:val="000000"/>
                      <w:sz w:val="21"/>
                      <w:szCs w:val="21"/>
                    </w:rPr>
                    <w:t>委托有资质单位处置</w:t>
                  </w:r>
                </w:p>
              </w:tc>
            </w:tr>
            <w:tr w14:paraId="565B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 w:hRule="atLeast"/>
                <w:jc w:val="center"/>
              </w:trPr>
              <w:tc>
                <w:tcPr>
                  <w:tcW w:w="1143" w:type="dxa"/>
                  <w:vMerge w:val="continue"/>
                  <w:noWrap w:val="0"/>
                  <w:vAlign w:val="center"/>
                </w:tcPr>
                <w:p w14:paraId="3DDFF9D5">
                  <w:pPr>
                    <w:pStyle w:val="7"/>
                    <w:spacing w:before="0" w:after="0" w:line="240" w:lineRule="auto"/>
                    <w:ind w:right="0"/>
                    <w:jc w:val="center"/>
                    <w:rPr>
                      <w:color w:val="000000"/>
                      <w:sz w:val="21"/>
                      <w:szCs w:val="21"/>
                    </w:rPr>
                  </w:pPr>
                </w:p>
              </w:tc>
              <w:tc>
                <w:tcPr>
                  <w:tcW w:w="1446" w:type="dxa"/>
                  <w:noWrap w:val="0"/>
                  <w:vAlign w:val="center"/>
                </w:tcPr>
                <w:p w14:paraId="6166C2A5">
                  <w:pPr>
                    <w:pStyle w:val="7"/>
                    <w:spacing w:before="0" w:after="0" w:line="240" w:lineRule="auto"/>
                    <w:ind w:right="0"/>
                    <w:jc w:val="center"/>
                    <w:rPr>
                      <w:color w:val="000000"/>
                      <w:sz w:val="21"/>
                      <w:szCs w:val="21"/>
                    </w:rPr>
                  </w:pPr>
                  <w:r>
                    <w:rPr>
                      <w:color w:val="000000"/>
                      <w:sz w:val="21"/>
                      <w:szCs w:val="21"/>
                    </w:rPr>
                    <w:t>化粪池污泥</w:t>
                  </w:r>
                </w:p>
              </w:tc>
              <w:tc>
                <w:tcPr>
                  <w:tcW w:w="1564" w:type="dxa"/>
                  <w:noWrap w:val="0"/>
                  <w:vAlign w:val="center"/>
                </w:tcPr>
                <w:p w14:paraId="0754DE3C">
                  <w:pPr>
                    <w:pStyle w:val="7"/>
                    <w:spacing w:before="0" w:after="0" w:line="240" w:lineRule="auto"/>
                    <w:ind w:right="0"/>
                    <w:jc w:val="center"/>
                    <w:rPr>
                      <w:color w:val="000000"/>
                      <w:sz w:val="21"/>
                      <w:szCs w:val="21"/>
                    </w:rPr>
                  </w:pPr>
                  <w:r>
                    <w:rPr>
                      <w:color w:val="000000"/>
                      <w:sz w:val="21"/>
                      <w:szCs w:val="21"/>
                    </w:rPr>
                    <w:t>化粪池</w:t>
                  </w:r>
                </w:p>
              </w:tc>
              <w:tc>
                <w:tcPr>
                  <w:tcW w:w="1315" w:type="dxa"/>
                  <w:noWrap w:val="0"/>
                  <w:vAlign w:val="center"/>
                </w:tcPr>
                <w:p w14:paraId="769AD572">
                  <w:pPr>
                    <w:pStyle w:val="7"/>
                    <w:spacing w:before="0" w:after="0" w:line="240" w:lineRule="auto"/>
                    <w:ind w:right="0"/>
                    <w:jc w:val="center"/>
                    <w:rPr>
                      <w:rFonts w:hint="eastAsia"/>
                      <w:color w:val="000000"/>
                      <w:sz w:val="21"/>
                      <w:szCs w:val="21"/>
                    </w:rPr>
                  </w:pPr>
                  <w:r>
                    <w:rPr>
                      <w:rFonts w:hint="eastAsia"/>
                      <w:color w:val="000000"/>
                      <w:sz w:val="21"/>
                      <w:szCs w:val="21"/>
                    </w:rPr>
                    <w:t>6.0</w:t>
                  </w:r>
                </w:p>
              </w:tc>
              <w:tc>
                <w:tcPr>
                  <w:tcW w:w="2856" w:type="dxa"/>
                  <w:noWrap w:val="0"/>
                  <w:vAlign w:val="center"/>
                </w:tcPr>
                <w:p w14:paraId="51A704F6">
                  <w:pPr>
                    <w:pStyle w:val="7"/>
                    <w:spacing w:before="0" w:after="0" w:line="240" w:lineRule="auto"/>
                    <w:ind w:right="0"/>
                    <w:jc w:val="center"/>
                    <w:rPr>
                      <w:color w:val="000000"/>
                      <w:sz w:val="21"/>
                      <w:szCs w:val="21"/>
                    </w:rPr>
                  </w:pPr>
                  <w:r>
                    <w:rPr>
                      <w:color w:val="000000"/>
                      <w:sz w:val="21"/>
                      <w:szCs w:val="21"/>
                    </w:rPr>
                    <w:t>垃圾桶分类收集后委托环卫部门清运处置</w:t>
                  </w:r>
                </w:p>
              </w:tc>
            </w:tr>
            <w:tr w14:paraId="72D8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1143" w:type="dxa"/>
                  <w:vMerge w:val="restart"/>
                  <w:noWrap w:val="0"/>
                  <w:vAlign w:val="center"/>
                </w:tcPr>
                <w:p w14:paraId="52D3EDF3">
                  <w:pPr>
                    <w:pStyle w:val="7"/>
                    <w:spacing w:before="0" w:after="0" w:line="240" w:lineRule="auto"/>
                    <w:ind w:right="0"/>
                    <w:jc w:val="center"/>
                    <w:rPr>
                      <w:color w:val="000000"/>
                      <w:sz w:val="21"/>
                      <w:szCs w:val="21"/>
                    </w:rPr>
                  </w:pPr>
                  <w:r>
                    <w:rPr>
                      <w:color w:val="000000"/>
                      <w:sz w:val="21"/>
                      <w:szCs w:val="21"/>
                    </w:rPr>
                    <w:t>一般固废</w:t>
                  </w:r>
                </w:p>
              </w:tc>
              <w:tc>
                <w:tcPr>
                  <w:tcW w:w="1446" w:type="dxa"/>
                  <w:noWrap w:val="0"/>
                  <w:vAlign w:val="center"/>
                </w:tcPr>
                <w:p w14:paraId="635505CE">
                  <w:pPr>
                    <w:pStyle w:val="7"/>
                    <w:spacing w:before="0" w:after="0" w:line="240" w:lineRule="auto"/>
                    <w:ind w:right="0"/>
                    <w:jc w:val="center"/>
                    <w:rPr>
                      <w:color w:val="000000"/>
                      <w:sz w:val="21"/>
                      <w:szCs w:val="21"/>
                    </w:rPr>
                  </w:pPr>
                  <w:r>
                    <w:rPr>
                      <w:rFonts w:hint="eastAsia"/>
                      <w:color w:val="000000"/>
                      <w:sz w:val="21"/>
                      <w:szCs w:val="21"/>
                    </w:rPr>
                    <w:t>鲜花残枝叶、破损次品</w:t>
                  </w:r>
                </w:p>
              </w:tc>
              <w:tc>
                <w:tcPr>
                  <w:tcW w:w="1564" w:type="dxa"/>
                  <w:noWrap w:val="0"/>
                  <w:vAlign w:val="center"/>
                </w:tcPr>
                <w:p w14:paraId="0C0C32F7">
                  <w:pPr>
                    <w:pStyle w:val="7"/>
                    <w:spacing w:before="0" w:after="0" w:line="240" w:lineRule="auto"/>
                    <w:ind w:right="0"/>
                    <w:jc w:val="center"/>
                    <w:rPr>
                      <w:rFonts w:hint="eastAsia"/>
                      <w:color w:val="000000"/>
                      <w:sz w:val="21"/>
                      <w:szCs w:val="21"/>
                    </w:rPr>
                  </w:pPr>
                  <w:r>
                    <w:rPr>
                      <w:rFonts w:hint="eastAsia"/>
                      <w:color w:val="000000"/>
                      <w:sz w:val="21"/>
                      <w:szCs w:val="21"/>
                    </w:rPr>
                    <w:t>鲜花修剪</w:t>
                  </w:r>
                </w:p>
              </w:tc>
              <w:tc>
                <w:tcPr>
                  <w:tcW w:w="1315" w:type="dxa"/>
                  <w:noWrap w:val="0"/>
                  <w:vAlign w:val="center"/>
                </w:tcPr>
                <w:p w14:paraId="7DF3258D">
                  <w:pPr>
                    <w:pStyle w:val="7"/>
                    <w:spacing w:before="0" w:after="0" w:line="240" w:lineRule="auto"/>
                    <w:ind w:right="0"/>
                    <w:jc w:val="center"/>
                    <w:rPr>
                      <w:color w:val="000000"/>
                      <w:sz w:val="21"/>
                      <w:szCs w:val="21"/>
                    </w:rPr>
                  </w:pPr>
                  <w:r>
                    <w:rPr>
                      <w:rFonts w:hint="eastAsia"/>
                      <w:color w:val="000000"/>
                      <w:sz w:val="21"/>
                      <w:szCs w:val="21"/>
                    </w:rPr>
                    <w:t>1</w:t>
                  </w:r>
                </w:p>
              </w:tc>
              <w:tc>
                <w:tcPr>
                  <w:tcW w:w="2856" w:type="dxa"/>
                  <w:noWrap w:val="0"/>
                  <w:vAlign w:val="center"/>
                </w:tcPr>
                <w:p w14:paraId="60F4DA12">
                  <w:pPr>
                    <w:pStyle w:val="7"/>
                    <w:spacing w:before="0" w:after="0" w:line="240" w:lineRule="auto"/>
                    <w:ind w:right="0"/>
                    <w:jc w:val="center"/>
                    <w:rPr>
                      <w:color w:val="000000"/>
                      <w:sz w:val="21"/>
                      <w:szCs w:val="21"/>
                    </w:rPr>
                  </w:pPr>
                  <w:r>
                    <w:rPr>
                      <w:rFonts w:hint="eastAsia"/>
                      <w:bCs/>
                      <w:color w:val="000000"/>
                      <w:sz w:val="24"/>
                    </w:rPr>
                    <w:t>集中收集后和当地生活垃圾一起处理。</w:t>
                  </w:r>
                </w:p>
              </w:tc>
            </w:tr>
            <w:tr w14:paraId="20A8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1143" w:type="dxa"/>
                  <w:vMerge w:val="continue"/>
                  <w:noWrap w:val="0"/>
                  <w:vAlign w:val="center"/>
                </w:tcPr>
                <w:p w14:paraId="52AC58E3">
                  <w:pPr>
                    <w:pStyle w:val="7"/>
                    <w:spacing w:before="0" w:after="0" w:line="240" w:lineRule="auto"/>
                    <w:ind w:right="0"/>
                    <w:jc w:val="center"/>
                    <w:rPr>
                      <w:color w:val="000000"/>
                      <w:sz w:val="21"/>
                      <w:szCs w:val="21"/>
                    </w:rPr>
                  </w:pPr>
                </w:p>
              </w:tc>
              <w:tc>
                <w:tcPr>
                  <w:tcW w:w="1446" w:type="dxa"/>
                  <w:noWrap w:val="0"/>
                  <w:vAlign w:val="center"/>
                </w:tcPr>
                <w:p w14:paraId="542432AD">
                  <w:pPr>
                    <w:pStyle w:val="7"/>
                    <w:spacing w:before="0" w:after="0" w:line="240" w:lineRule="auto"/>
                    <w:ind w:right="0"/>
                    <w:jc w:val="center"/>
                    <w:rPr>
                      <w:rFonts w:hint="eastAsia"/>
                      <w:color w:val="000000"/>
                      <w:sz w:val="21"/>
                      <w:szCs w:val="21"/>
                    </w:rPr>
                  </w:pPr>
                  <w:r>
                    <w:rPr>
                      <w:rFonts w:hint="eastAsia"/>
                      <w:color w:val="000000"/>
                      <w:sz w:val="21"/>
                      <w:szCs w:val="21"/>
                    </w:rPr>
                    <w:t>废包装箱/瓶</w:t>
                  </w:r>
                </w:p>
              </w:tc>
              <w:tc>
                <w:tcPr>
                  <w:tcW w:w="1564" w:type="dxa"/>
                  <w:noWrap w:val="0"/>
                  <w:vAlign w:val="center"/>
                </w:tcPr>
                <w:p w14:paraId="73DC51A6">
                  <w:pPr>
                    <w:pStyle w:val="7"/>
                    <w:spacing w:before="0" w:after="0" w:line="240" w:lineRule="auto"/>
                    <w:ind w:right="0"/>
                    <w:jc w:val="center"/>
                    <w:rPr>
                      <w:rFonts w:hint="eastAsia"/>
                      <w:color w:val="000000"/>
                      <w:sz w:val="21"/>
                      <w:szCs w:val="21"/>
                    </w:rPr>
                  </w:pPr>
                  <w:r>
                    <w:rPr>
                      <w:rFonts w:hint="eastAsia"/>
                      <w:color w:val="000000"/>
                      <w:sz w:val="21"/>
                      <w:szCs w:val="21"/>
                    </w:rPr>
                    <w:t>色素包装箱/瓶</w:t>
                  </w:r>
                </w:p>
              </w:tc>
              <w:tc>
                <w:tcPr>
                  <w:tcW w:w="1315" w:type="dxa"/>
                  <w:noWrap w:val="0"/>
                  <w:vAlign w:val="center"/>
                </w:tcPr>
                <w:p w14:paraId="4C60EE9E">
                  <w:pPr>
                    <w:pStyle w:val="7"/>
                    <w:spacing w:before="0" w:after="0" w:line="240" w:lineRule="auto"/>
                    <w:ind w:right="0"/>
                    <w:jc w:val="center"/>
                    <w:rPr>
                      <w:rFonts w:hint="eastAsia"/>
                      <w:color w:val="000000"/>
                      <w:sz w:val="21"/>
                      <w:szCs w:val="21"/>
                    </w:rPr>
                  </w:pPr>
                  <w:r>
                    <w:rPr>
                      <w:rFonts w:hint="eastAsia"/>
                      <w:color w:val="000000"/>
                      <w:sz w:val="21"/>
                      <w:szCs w:val="21"/>
                    </w:rPr>
                    <w:t>0.024</w:t>
                  </w:r>
                </w:p>
              </w:tc>
              <w:tc>
                <w:tcPr>
                  <w:tcW w:w="2856" w:type="dxa"/>
                  <w:noWrap w:val="0"/>
                  <w:vAlign w:val="center"/>
                </w:tcPr>
                <w:p w14:paraId="677685D8">
                  <w:pPr>
                    <w:pStyle w:val="7"/>
                    <w:spacing w:before="0" w:after="0" w:line="240" w:lineRule="auto"/>
                    <w:ind w:right="0"/>
                    <w:jc w:val="center"/>
                    <w:rPr>
                      <w:rFonts w:hint="eastAsia"/>
                      <w:bCs/>
                      <w:color w:val="000000"/>
                      <w:sz w:val="24"/>
                    </w:rPr>
                  </w:pPr>
                  <w:r>
                    <w:rPr>
                      <w:rFonts w:hint="eastAsia"/>
                      <w:color w:val="000000"/>
                      <w:sz w:val="21"/>
                      <w:szCs w:val="21"/>
                    </w:rPr>
                    <w:t>废包装箱/瓶集中收集后外售给废品回收公司</w:t>
                  </w:r>
                </w:p>
              </w:tc>
            </w:tr>
            <w:tr w14:paraId="0D31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 w:hRule="atLeast"/>
                <w:jc w:val="center"/>
              </w:trPr>
              <w:tc>
                <w:tcPr>
                  <w:tcW w:w="1143" w:type="dxa"/>
                  <w:vMerge w:val="continue"/>
                  <w:noWrap w:val="0"/>
                  <w:vAlign w:val="center"/>
                </w:tcPr>
                <w:p w14:paraId="488EED14">
                  <w:pPr>
                    <w:pStyle w:val="7"/>
                    <w:spacing w:before="0" w:after="0" w:line="240" w:lineRule="auto"/>
                    <w:ind w:right="0"/>
                    <w:jc w:val="center"/>
                    <w:rPr>
                      <w:color w:val="000000"/>
                    </w:rPr>
                  </w:pPr>
                </w:p>
              </w:tc>
              <w:tc>
                <w:tcPr>
                  <w:tcW w:w="1446" w:type="dxa"/>
                  <w:noWrap w:val="0"/>
                  <w:vAlign w:val="center"/>
                </w:tcPr>
                <w:p w14:paraId="7B6547FF">
                  <w:pPr>
                    <w:pStyle w:val="7"/>
                    <w:spacing w:before="0" w:after="0" w:line="240" w:lineRule="auto"/>
                    <w:ind w:right="0"/>
                    <w:jc w:val="center"/>
                    <w:rPr>
                      <w:rFonts w:hint="eastAsia"/>
                      <w:color w:val="000000"/>
                      <w:sz w:val="21"/>
                      <w:szCs w:val="21"/>
                    </w:rPr>
                  </w:pPr>
                  <w:r>
                    <w:rPr>
                      <w:rFonts w:hint="eastAsia"/>
                      <w:color w:val="000000"/>
                      <w:sz w:val="21"/>
                      <w:szCs w:val="21"/>
                    </w:rPr>
                    <w:t>废桶</w:t>
                  </w:r>
                </w:p>
              </w:tc>
              <w:tc>
                <w:tcPr>
                  <w:tcW w:w="1564" w:type="dxa"/>
                  <w:noWrap w:val="0"/>
                  <w:vAlign w:val="center"/>
                </w:tcPr>
                <w:p w14:paraId="1375FBA7">
                  <w:pPr>
                    <w:pStyle w:val="7"/>
                    <w:spacing w:before="0" w:after="0" w:line="240" w:lineRule="auto"/>
                    <w:ind w:right="0"/>
                    <w:jc w:val="center"/>
                    <w:rPr>
                      <w:rFonts w:hint="eastAsia"/>
                      <w:color w:val="000000"/>
                      <w:sz w:val="21"/>
                      <w:szCs w:val="21"/>
                    </w:rPr>
                  </w:pPr>
                  <w:r>
                    <w:rPr>
                      <w:rFonts w:hint="eastAsia"/>
                      <w:color w:val="000000"/>
                      <w:sz w:val="21"/>
                      <w:szCs w:val="21"/>
                    </w:rPr>
                    <w:t>废甘油桶</w:t>
                  </w:r>
                </w:p>
              </w:tc>
              <w:tc>
                <w:tcPr>
                  <w:tcW w:w="1315" w:type="dxa"/>
                  <w:noWrap w:val="0"/>
                  <w:vAlign w:val="center"/>
                </w:tcPr>
                <w:p w14:paraId="16ECD554">
                  <w:pPr>
                    <w:pStyle w:val="7"/>
                    <w:spacing w:before="0" w:after="0" w:line="240" w:lineRule="auto"/>
                    <w:ind w:right="0"/>
                    <w:jc w:val="center"/>
                    <w:rPr>
                      <w:color w:val="000000"/>
                      <w:sz w:val="21"/>
                      <w:szCs w:val="21"/>
                    </w:rPr>
                  </w:pPr>
                  <w:r>
                    <w:rPr>
                      <w:rFonts w:hint="eastAsia"/>
                      <w:color w:val="000000"/>
                      <w:sz w:val="21"/>
                      <w:szCs w:val="21"/>
                    </w:rPr>
                    <w:t>0.024</w:t>
                  </w:r>
                </w:p>
              </w:tc>
              <w:tc>
                <w:tcPr>
                  <w:tcW w:w="2856" w:type="dxa"/>
                  <w:noWrap w:val="0"/>
                  <w:vAlign w:val="center"/>
                </w:tcPr>
                <w:p w14:paraId="01FA29A3">
                  <w:pPr>
                    <w:pStyle w:val="7"/>
                    <w:spacing w:before="0" w:after="0" w:line="240" w:lineRule="auto"/>
                    <w:ind w:right="0"/>
                    <w:jc w:val="center"/>
                    <w:rPr>
                      <w:rFonts w:hint="eastAsia"/>
                      <w:color w:val="000000"/>
                      <w:sz w:val="21"/>
                      <w:szCs w:val="21"/>
                    </w:rPr>
                  </w:pPr>
                  <w:r>
                    <w:rPr>
                      <w:rFonts w:hint="eastAsia"/>
                      <w:color w:val="000000"/>
                      <w:sz w:val="21"/>
                      <w:szCs w:val="21"/>
                    </w:rPr>
                    <w:t>厂家回收</w:t>
                  </w:r>
                </w:p>
              </w:tc>
            </w:tr>
            <w:tr w14:paraId="0C21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 w:hRule="atLeast"/>
                <w:jc w:val="center"/>
              </w:trPr>
              <w:tc>
                <w:tcPr>
                  <w:tcW w:w="1143" w:type="dxa"/>
                  <w:vMerge w:val="restart"/>
                  <w:noWrap w:val="0"/>
                  <w:vAlign w:val="center"/>
                </w:tcPr>
                <w:p w14:paraId="67348F04">
                  <w:pPr>
                    <w:pStyle w:val="7"/>
                    <w:spacing w:before="0" w:after="0" w:line="240" w:lineRule="auto"/>
                    <w:ind w:right="0"/>
                    <w:jc w:val="center"/>
                    <w:rPr>
                      <w:color w:val="000000"/>
                      <w:sz w:val="21"/>
                      <w:szCs w:val="21"/>
                    </w:rPr>
                  </w:pPr>
                  <w:r>
                    <w:rPr>
                      <w:color w:val="000000"/>
                      <w:sz w:val="21"/>
                      <w:szCs w:val="21"/>
                    </w:rPr>
                    <w:t>危险废物</w:t>
                  </w:r>
                </w:p>
              </w:tc>
              <w:tc>
                <w:tcPr>
                  <w:tcW w:w="1446" w:type="dxa"/>
                  <w:noWrap w:val="0"/>
                  <w:vAlign w:val="center"/>
                </w:tcPr>
                <w:p w14:paraId="52891CC9">
                  <w:pPr>
                    <w:pStyle w:val="7"/>
                    <w:spacing w:before="0" w:after="0" w:line="240" w:lineRule="auto"/>
                    <w:ind w:right="0"/>
                    <w:jc w:val="center"/>
                    <w:rPr>
                      <w:color w:val="000000"/>
                      <w:sz w:val="21"/>
                      <w:szCs w:val="21"/>
                    </w:rPr>
                  </w:pPr>
                  <w:r>
                    <w:rPr>
                      <w:color w:val="000000"/>
                      <w:sz w:val="21"/>
                      <w:szCs w:val="21"/>
                    </w:rPr>
                    <w:t>废活性炭</w:t>
                  </w:r>
                </w:p>
              </w:tc>
              <w:tc>
                <w:tcPr>
                  <w:tcW w:w="1564" w:type="dxa"/>
                  <w:noWrap w:val="0"/>
                  <w:vAlign w:val="center"/>
                </w:tcPr>
                <w:p w14:paraId="6BB4E03D">
                  <w:pPr>
                    <w:pStyle w:val="7"/>
                    <w:spacing w:before="0" w:after="0" w:line="240" w:lineRule="auto"/>
                    <w:ind w:right="0"/>
                    <w:jc w:val="center"/>
                    <w:rPr>
                      <w:color w:val="000000"/>
                      <w:sz w:val="21"/>
                      <w:szCs w:val="21"/>
                    </w:rPr>
                  </w:pPr>
                  <w:r>
                    <w:rPr>
                      <w:color w:val="000000"/>
                      <w:sz w:val="21"/>
                      <w:szCs w:val="21"/>
                    </w:rPr>
                    <w:t>废气处理设备</w:t>
                  </w:r>
                </w:p>
              </w:tc>
              <w:tc>
                <w:tcPr>
                  <w:tcW w:w="1315" w:type="dxa"/>
                  <w:noWrap w:val="0"/>
                  <w:vAlign w:val="center"/>
                </w:tcPr>
                <w:p w14:paraId="25FB7914">
                  <w:pPr>
                    <w:pStyle w:val="7"/>
                    <w:spacing w:before="0" w:after="0" w:line="240" w:lineRule="auto"/>
                    <w:ind w:right="0"/>
                    <w:jc w:val="center"/>
                    <w:rPr>
                      <w:color w:val="000000"/>
                      <w:sz w:val="21"/>
                      <w:szCs w:val="21"/>
                    </w:rPr>
                  </w:pPr>
                  <w:r>
                    <w:rPr>
                      <w:color w:val="000000"/>
                      <w:sz w:val="21"/>
                      <w:szCs w:val="21"/>
                    </w:rPr>
                    <w:t>2.33</w:t>
                  </w:r>
                </w:p>
              </w:tc>
              <w:tc>
                <w:tcPr>
                  <w:tcW w:w="2856" w:type="dxa"/>
                  <w:vMerge w:val="restart"/>
                  <w:noWrap w:val="0"/>
                  <w:vAlign w:val="center"/>
                </w:tcPr>
                <w:p w14:paraId="4F92AB21">
                  <w:pPr>
                    <w:pStyle w:val="7"/>
                    <w:spacing w:before="0" w:after="0" w:line="240" w:lineRule="auto"/>
                    <w:ind w:right="0"/>
                    <w:jc w:val="center"/>
                    <w:rPr>
                      <w:color w:val="000000"/>
                      <w:sz w:val="21"/>
                      <w:szCs w:val="21"/>
                    </w:rPr>
                  </w:pPr>
                  <w:r>
                    <w:rPr>
                      <w:color w:val="000000"/>
                      <w:sz w:val="21"/>
                      <w:szCs w:val="21"/>
                    </w:rPr>
                    <w:t>委托具有相应危废处置资质的单位处置</w:t>
                  </w:r>
                </w:p>
              </w:tc>
            </w:tr>
            <w:tr w14:paraId="6C2B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2" w:hRule="atLeast"/>
                <w:jc w:val="center"/>
              </w:trPr>
              <w:tc>
                <w:tcPr>
                  <w:tcW w:w="1143" w:type="dxa"/>
                  <w:vMerge w:val="continue"/>
                  <w:noWrap w:val="0"/>
                  <w:vAlign w:val="center"/>
                </w:tcPr>
                <w:p w14:paraId="1DEC62C8">
                  <w:pPr>
                    <w:pStyle w:val="7"/>
                    <w:spacing w:before="0" w:after="0" w:line="240" w:lineRule="auto"/>
                    <w:ind w:right="0"/>
                    <w:jc w:val="center"/>
                    <w:rPr>
                      <w:color w:val="000000"/>
                      <w:sz w:val="21"/>
                      <w:szCs w:val="21"/>
                    </w:rPr>
                  </w:pPr>
                </w:p>
              </w:tc>
              <w:tc>
                <w:tcPr>
                  <w:tcW w:w="1446" w:type="dxa"/>
                  <w:noWrap w:val="0"/>
                  <w:vAlign w:val="center"/>
                </w:tcPr>
                <w:p w14:paraId="0014BA50">
                  <w:pPr>
                    <w:pStyle w:val="7"/>
                    <w:spacing w:before="0" w:after="0" w:line="240" w:lineRule="auto"/>
                    <w:ind w:right="0"/>
                    <w:jc w:val="center"/>
                    <w:rPr>
                      <w:color w:val="000000"/>
                      <w:sz w:val="21"/>
                      <w:szCs w:val="21"/>
                    </w:rPr>
                  </w:pPr>
                  <w:r>
                    <w:rPr>
                      <w:color w:val="000000"/>
                      <w:sz w:val="21"/>
                      <w:szCs w:val="21"/>
                    </w:rPr>
                    <w:t>废机油</w:t>
                  </w:r>
                </w:p>
              </w:tc>
              <w:tc>
                <w:tcPr>
                  <w:tcW w:w="1564" w:type="dxa"/>
                  <w:noWrap w:val="0"/>
                  <w:vAlign w:val="center"/>
                </w:tcPr>
                <w:p w14:paraId="3737F65A">
                  <w:pPr>
                    <w:pStyle w:val="7"/>
                    <w:spacing w:before="0" w:after="0" w:line="240" w:lineRule="auto"/>
                    <w:ind w:right="0"/>
                    <w:jc w:val="center"/>
                    <w:rPr>
                      <w:color w:val="000000"/>
                      <w:sz w:val="21"/>
                      <w:szCs w:val="21"/>
                    </w:rPr>
                  </w:pPr>
                  <w:r>
                    <w:rPr>
                      <w:color w:val="000000"/>
                      <w:sz w:val="21"/>
                      <w:szCs w:val="21"/>
                    </w:rPr>
                    <w:t>设备维修</w:t>
                  </w:r>
                </w:p>
              </w:tc>
              <w:tc>
                <w:tcPr>
                  <w:tcW w:w="1315" w:type="dxa"/>
                  <w:noWrap w:val="0"/>
                  <w:vAlign w:val="center"/>
                </w:tcPr>
                <w:p w14:paraId="3E1D4093">
                  <w:pPr>
                    <w:pStyle w:val="7"/>
                    <w:spacing w:before="0" w:after="0" w:line="240" w:lineRule="auto"/>
                    <w:ind w:right="0"/>
                    <w:jc w:val="center"/>
                    <w:rPr>
                      <w:color w:val="000000"/>
                      <w:sz w:val="21"/>
                      <w:szCs w:val="21"/>
                    </w:rPr>
                  </w:pPr>
                  <w:r>
                    <w:rPr>
                      <w:color w:val="000000"/>
                      <w:sz w:val="21"/>
                      <w:szCs w:val="21"/>
                    </w:rPr>
                    <w:t>0.01</w:t>
                  </w:r>
                </w:p>
              </w:tc>
              <w:tc>
                <w:tcPr>
                  <w:tcW w:w="2856" w:type="dxa"/>
                  <w:vMerge w:val="continue"/>
                  <w:noWrap w:val="0"/>
                  <w:vAlign w:val="center"/>
                </w:tcPr>
                <w:p w14:paraId="5F9C44E1">
                  <w:pPr>
                    <w:pStyle w:val="7"/>
                    <w:spacing w:before="0" w:after="0" w:line="240" w:lineRule="auto"/>
                    <w:ind w:right="0"/>
                    <w:jc w:val="center"/>
                    <w:rPr>
                      <w:color w:val="000000"/>
                      <w:sz w:val="21"/>
                      <w:szCs w:val="21"/>
                    </w:rPr>
                  </w:pPr>
                </w:p>
              </w:tc>
            </w:tr>
            <w:tr w14:paraId="415A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2" w:hRule="atLeast"/>
                <w:jc w:val="center"/>
              </w:trPr>
              <w:tc>
                <w:tcPr>
                  <w:tcW w:w="1143" w:type="dxa"/>
                  <w:vMerge w:val="continue"/>
                  <w:noWrap w:val="0"/>
                  <w:vAlign w:val="center"/>
                </w:tcPr>
                <w:p w14:paraId="53D5AF31">
                  <w:pPr>
                    <w:pStyle w:val="7"/>
                    <w:spacing w:before="0" w:after="0" w:line="240" w:lineRule="auto"/>
                    <w:ind w:right="0"/>
                    <w:jc w:val="center"/>
                    <w:rPr>
                      <w:color w:val="000000"/>
                      <w:sz w:val="21"/>
                      <w:szCs w:val="21"/>
                    </w:rPr>
                  </w:pPr>
                </w:p>
              </w:tc>
              <w:tc>
                <w:tcPr>
                  <w:tcW w:w="1446" w:type="dxa"/>
                  <w:noWrap w:val="0"/>
                  <w:vAlign w:val="center"/>
                </w:tcPr>
                <w:p w14:paraId="07036568">
                  <w:pPr>
                    <w:pStyle w:val="7"/>
                    <w:spacing w:before="0" w:after="0" w:line="240" w:lineRule="auto"/>
                    <w:ind w:right="0"/>
                    <w:jc w:val="center"/>
                    <w:rPr>
                      <w:color w:val="000000"/>
                      <w:sz w:val="21"/>
                      <w:szCs w:val="21"/>
                    </w:rPr>
                  </w:pPr>
                  <w:r>
                    <w:rPr>
                      <w:rFonts w:hint="eastAsia"/>
                      <w:color w:val="000000"/>
                      <w:sz w:val="21"/>
                      <w:szCs w:val="21"/>
                    </w:rPr>
                    <w:t>脱色、染色废桶</w:t>
                  </w:r>
                </w:p>
              </w:tc>
              <w:tc>
                <w:tcPr>
                  <w:tcW w:w="1564" w:type="dxa"/>
                  <w:noWrap w:val="0"/>
                  <w:vAlign w:val="center"/>
                </w:tcPr>
                <w:p w14:paraId="0A828181">
                  <w:pPr>
                    <w:pStyle w:val="7"/>
                    <w:spacing w:before="0" w:after="0" w:line="240" w:lineRule="auto"/>
                    <w:ind w:right="0"/>
                    <w:jc w:val="center"/>
                    <w:rPr>
                      <w:color w:val="000000"/>
                      <w:sz w:val="21"/>
                      <w:szCs w:val="21"/>
                    </w:rPr>
                  </w:pPr>
                  <w:r>
                    <w:rPr>
                      <w:rFonts w:hint="eastAsia"/>
                      <w:color w:val="000000"/>
                      <w:sz w:val="21"/>
                      <w:szCs w:val="21"/>
                    </w:rPr>
                    <w:t>脱色、染色</w:t>
                  </w:r>
                </w:p>
              </w:tc>
              <w:tc>
                <w:tcPr>
                  <w:tcW w:w="1315" w:type="dxa"/>
                  <w:noWrap w:val="0"/>
                  <w:vAlign w:val="center"/>
                </w:tcPr>
                <w:p w14:paraId="33FC33DE">
                  <w:pPr>
                    <w:pStyle w:val="7"/>
                    <w:spacing w:before="0" w:after="0" w:line="240" w:lineRule="auto"/>
                    <w:ind w:right="0"/>
                    <w:jc w:val="center"/>
                    <w:rPr>
                      <w:color w:val="000000"/>
                      <w:sz w:val="21"/>
                      <w:szCs w:val="21"/>
                    </w:rPr>
                  </w:pPr>
                  <w:r>
                    <w:rPr>
                      <w:rFonts w:hint="eastAsia"/>
                      <w:color w:val="000000"/>
                      <w:sz w:val="21"/>
                      <w:szCs w:val="21"/>
                    </w:rPr>
                    <w:t>0.11</w:t>
                  </w:r>
                </w:p>
              </w:tc>
              <w:tc>
                <w:tcPr>
                  <w:tcW w:w="2856" w:type="dxa"/>
                  <w:vMerge w:val="continue"/>
                  <w:noWrap w:val="0"/>
                  <w:vAlign w:val="center"/>
                </w:tcPr>
                <w:p w14:paraId="150AFE8F">
                  <w:pPr>
                    <w:pStyle w:val="7"/>
                    <w:spacing w:before="0" w:after="0" w:line="240" w:lineRule="auto"/>
                    <w:ind w:right="0"/>
                    <w:jc w:val="center"/>
                    <w:rPr>
                      <w:color w:val="000000"/>
                      <w:sz w:val="21"/>
                      <w:szCs w:val="21"/>
                    </w:rPr>
                  </w:pPr>
                </w:p>
              </w:tc>
            </w:tr>
          </w:tbl>
          <w:p w14:paraId="73486F87">
            <w:pPr>
              <w:spacing w:line="360" w:lineRule="auto"/>
              <w:ind w:firstLine="480" w:firstLineChars="200"/>
              <w:rPr>
                <w:bCs/>
                <w:color w:val="000000"/>
                <w:sz w:val="24"/>
              </w:rPr>
            </w:pPr>
            <w:r>
              <w:rPr>
                <w:bCs/>
                <w:color w:val="000000"/>
                <w:sz w:val="24"/>
              </w:rPr>
              <w:t>根据以上分析，本项目产生的危险固废和一般固废均得到合理有效处置，处置方式均可行，处理率100%。</w:t>
            </w:r>
          </w:p>
          <w:p w14:paraId="2DC2336B">
            <w:pPr>
              <w:pStyle w:val="7"/>
              <w:spacing w:before="0" w:after="0" w:line="360" w:lineRule="auto"/>
              <w:ind w:right="0"/>
              <w:jc w:val="center"/>
              <w:rPr>
                <w:b/>
                <w:bCs/>
                <w:color w:val="000000"/>
                <w:sz w:val="21"/>
                <w:szCs w:val="21"/>
              </w:rPr>
            </w:pPr>
            <w:r>
              <w:rPr>
                <w:b/>
                <w:bCs/>
                <w:color w:val="000000"/>
                <w:sz w:val="21"/>
                <w:szCs w:val="21"/>
              </w:rPr>
              <w:t>表4-</w:t>
            </w:r>
            <w:r>
              <w:rPr>
                <w:rFonts w:hint="eastAsia"/>
                <w:b/>
                <w:bCs/>
                <w:color w:val="000000"/>
                <w:sz w:val="21"/>
                <w:szCs w:val="21"/>
              </w:rPr>
              <w:t>1</w:t>
            </w:r>
            <w:r>
              <w:rPr>
                <w:b/>
                <w:bCs/>
                <w:color w:val="000000"/>
                <w:sz w:val="21"/>
                <w:szCs w:val="21"/>
              </w:rPr>
              <w:t>5</w:t>
            </w:r>
            <w:r>
              <w:rPr>
                <w:rFonts w:hint="eastAsia"/>
                <w:b/>
                <w:bCs/>
                <w:color w:val="000000"/>
                <w:sz w:val="21"/>
                <w:szCs w:val="21"/>
              </w:rPr>
              <w:t xml:space="preserve"> </w:t>
            </w:r>
            <w:r>
              <w:rPr>
                <w:b/>
                <w:bCs/>
                <w:color w:val="000000"/>
                <w:sz w:val="21"/>
                <w:szCs w:val="21"/>
              </w:rPr>
              <w:t xml:space="preserve"> 本项目主要有毒有害物质一览表</w:t>
            </w:r>
          </w:p>
          <w:tbl>
            <w:tblPr>
              <w:tblStyle w:val="20"/>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89"/>
              <w:gridCol w:w="2451"/>
              <w:gridCol w:w="4035"/>
            </w:tblGrid>
            <w:tr w14:paraId="175A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9" w:type="dxa"/>
                  <w:noWrap w:val="0"/>
                  <w:vAlign w:val="center"/>
                </w:tcPr>
                <w:p w14:paraId="16A0778F">
                  <w:pPr>
                    <w:jc w:val="center"/>
                    <w:rPr>
                      <w:b/>
                      <w:color w:val="000000"/>
                      <w:szCs w:val="21"/>
                    </w:rPr>
                  </w:pPr>
                  <w:r>
                    <w:rPr>
                      <w:b/>
                      <w:color w:val="000000"/>
                      <w:szCs w:val="21"/>
                    </w:rPr>
                    <w:t>名称</w:t>
                  </w:r>
                </w:p>
              </w:tc>
              <w:tc>
                <w:tcPr>
                  <w:tcW w:w="889" w:type="dxa"/>
                  <w:noWrap w:val="0"/>
                  <w:vAlign w:val="center"/>
                </w:tcPr>
                <w:p w14:paraId="42CEF6A8">
                  <w:pPr>
                    <w:jc w:val="center"/>
                    <w:rPr>
                      <w:b/>
                      <w:color w:val="000000"/>
                      <w:szCs w:val="21"/>
                    </w:rPr>
                  </w:pPr>
                  <w:r>
                    <w:rPr>
                      <w:b/>
                      <w:color w:val="000000"/>
                      <w:szCs w:val="21"/>
                    </w:rPr>
                    <w:t>危险性类别</w:t>
                  </w:r>
                </w:p>
              </w:tc>
              <w:tc>
                <w:tcPr>
                  <w:tcW w:w="2451" w:type="dxa"/>
                  <w:noWrap w:val="0"/>
                  <w:vAlign w:val="center"/>
                </w:tcPr>
                <w:p w14:paraId="029AA13E">
                  <w:pPr>
                    <w:jc w:val="center"/>
                    <w:rPr>
                      <w:b/>
                      <w:color w:val="000000"/>
                      <w:szCs w:val="21"/>
                    </w:rPr>
                  </w:pPr>
                  <w:r>
                    <w:rPr>
                      <w:b/>
                      <w:color w:val="000000"/>
                      <w:szCs w:val="21"/>
                    </w:rPr>
                    <w:t>物理化学特性</w:t>
                  </w:r>
                </w:p>
              </w:tc>
              <w:tc>
                <w:tcPr>
                  <w:tcW w:w="4035" w:type="dxa"/>
                  <w:noWrap w:val="0"/>
                  <w:vAlign w:val="center"/>
                </w:tcPr>
                <w:p w14:paraId="4C2CA2A8">
                  <w:pPr>
                    <w:jc w:val="center"/>
                    <w:rPr>
                      <w:b/>
                      <w:color w:val="000000"/>
                      <w:szCs w:val="21"/>
                    </w:rPr>
                  </w:pPr>
                  <w:r>
                    <w:rPr>
                      <w:b/>
                      <w:color w:val="000000"/>
                      <w:szCs w:val="21"/>
                    </w:rPr>
                    <w:t>危险特性</w:t>
                  </w:r>
                </w:p>
              </w:tc>
            </w:tr>
            <w:tr w14:paraId="74E8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9" w:type="dxa"/>
                  <w:noWrap w:val="0"/>
                  <w:vAlign w:val="center"/>
                </w:tcPr>
                <w:p w14:paraId="2C42DDC5">
                  <w:pPr>
                    <w:jc w:val="center"/>
                    <w:rPr>
                      <w:bCs/>
                      <w:color w:val="000000"/>
                      <w:szCs w:val="21"/>
                    </w:rPr>
                  </w:pPr>
                  <w:r>
                    <w:rPr>
                      <w:bCs/>
                      <w:color w:val="000000"/>
                      <w:szCs w:val="21"/>
                    </w:rPr>
                    <w:t>废活性炭</w:t>
                  </w:r>
                </w:p>
              </w:tc>
              <w:tc>
                <w:tcPr>
                  <w:tcW w:w="889" w:type="dxa"/>
                  <w:noWrap w:val="0"/>
                  <w:vAlign w:val="center"/>
                </w:tcPr>
                <w:p w14:paraId="206FCD4B">
                  <w:pPr>
                    <w:jc w:val="center"/>
                    <w:rPr>
                      <w:bCs/>
                      <w:color w:val="000000"/>
                      <w:szCs w:val="21"/>
                    </w:rPr>
                  </w:pPr>
                  <w:r>
                    <w:rPr>
                      <w:bCs/>
                      <w:color w:val="000000"/>
                      <w:szCs w:val="21"/>
                    </w:rPr>
                    <w:t>毒性</w:t>
                  </w:r>
                </w:p>
              </w:tc>
              <w:tc>
                <w:tcPr>
                  <w:tcW w:w="2451" w:type="dxa"/>
                  <w:noWrap w:val="0"/>
                  <w:vAlign w:val="center"/>
                </w:tcPr>
                <w:p w14:paraId="4DD8AAAE">
                  <w:pPr>
                    <w:jc w:val="center"/>
                    <w:rPr>
                      <w:bCs/>
                      <w:color w:val="000000"/>
                      <w:szCs w:val="21"/>
                    </w:rPr>
                  </w:pPr>
                  <w:r>
                    <w:rPr>
                      <w:bCs/>
                      <w:color w:val="000000"/>
                      <w:szCs w:val="21"/>
                    </w:rPr>
                    <w:t>黑色多孔的固体炭质</w:t>
                  </w:r>
                </w:p>
              </w:tc>
              <w:tc>
                <w:tcPr>
                  <w:tcW w:w="4035" w:type="dxa"/>
                  <w:noWrap w:val="0"/>
                  <w:vAlign w:val="center"/>
                </w:tcPr>
                <w:p w14:paraId="15A8F7B6">
                  <w:pPr>
                    <w:jc w:val="center"/>
                    <w:rPr>
                      <w:bCs/>
                      <w:color w:val="000000"/>
                      <w:szCs w:val="21"/>
                    </w:rPr>
                  </w:pPr>
                  <w:r>
                    <w:rPr>
                      <w:bCs/>
                      <w:color w:val="000000"/>
                      <w:szCs w:val="21"/>
                    </w:rPr>
                    <w:t>影响人类健康，通过摄入、吸入、皮肤吸收、眼接触而引起毒害，重复接触导致中毒、致癌、致畸、致变等。</w:t>
                  </w:r>
                </w:p>
              </w:tc>
            </w:tr>
            <w:tr w14:paraId="08BD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9" w:type="dxa"/>
                  <w:noWrap w:val="0"/>
                  <w:vAlign w:val="center"/>
                </w:tcPr>
                <w:p w14:paraId="5A408540">
                  <w:pPr>
                    <w:jc w:val="center"/>
                    <w:rPr>
                      <w:bCs/>
                      <w:color w:val="000000"/>
                      <w:szCs w:val="21"/>
                    </w:rPr>
                  </w:pPr>
                  <w:r>
                    <w:rPr>
                      <w:bCs/>
                      <w:color w:val="000000"/>
                      <w:szCs w:val="21"/>
                    </w:rPr>
                    <w:t>甲醇</w:t>
                  </w:r>
                </w:p>
              </w:tc>
              <w:tc>
                <w:tcPr>
                  <w:tcW w:w="889" w:type="dxa"/>
                  <w:noWrap w:val="0"/>
                  <w:vAlign w:val="center"/>
                </w:tcPr>
                <w:p w14:paraId="35024823">
                  <w:pPr>
                    <w:jc w:val="center"/>
                    <w:rPr>
                      <w:bCs/>
                      <w:color w:val="000000"/>
                      <w:szCs w:val="21"/>
                    </w:rPr>
                  </w:pPr>
                  <w:r>
                    <w:rPr>
                      <w:bCs/>
                      <w:color w:val="000000"/>
                      <w:szCs w:val="21"/>
                    </w:rPr>
                    <w:t>毒性</w:t>
                  </w:r>
                </w:p>
              </w:tc>
              <w:tc>
                <w:tcPr>
                  <w:tcW w:w="2451" w:type="dxa"/>
                  <w:noWrap w:val="0"/>
                  <w:vAlign w:val="center"/>
                </w:tcPr>
                <w:p w14:paraId="732DA36D">
                  <w:pPr>
                    <w:jc w:val="center"/>
                    <w:rPr>
                      <w:bCs/>
                      <w:color w:val="000000"/>
                      <w:szCs w:val="21"/>
                    </w:rPr>
                  </w:pPr>
                  <w:r>
                    <w:rPr>
                      <w:color w:val="000000"/>
                      <w:szCs w:val="21"/>
                      <w:shd w:val="clear" w:color="auto" w:fill="FFFFFF"/>
                    </w:rPr>
                    <w:t>化学式为CH</w:t>
                  </w:r>
                  <w:r>
                    <w:rPr>
                      <w:color w:val="000000"/>
                      <w:sz w:val="18"/>
                      <w:szCs w:val="18"/>
                      <w:shd w:val="clear" w:color="auto" w:fill="FFFFFF"/>
                      <w:vertAlign w:val="subscript"/>
                    </w:rPr>
                    <w:t>3</w:t>
                  </w:r>
                  <w:r>
                    <w:rPr>
                      <w:color w:val="000000"/>
                      <w:szCs w:val="21"/>
                      <w:shd w:val="clear" w:color="auto" w:fill="FFFFFF"/>
                    </w:rPr>
                    <w:t>OH/CH</w:t>
                  </w:r>
                  <w:r>
                    <w:rPr>
                      <w:color w:val="000000"/>
                      <w:sz w:val="18"/>
                      <w:szCs w:val="18"/>
                      <w:shd w:val="clear" w:color="auto" w:fill="FFFFFF"/>
                      <w:vertAlign w:val="subscript"/>
                    </w:rPr>
                    <w:t>4</w:t>
                  </w:r>
                  <w:r>
                    <w:rPr>
                      <w:color w:val="000000"/>
                      <w:szCs w:val="21"/>
                      <w:shd w:val="clear" w:color="auto" w:fill="FFFFFF"/>
                    </w:rPr>
                    <w:t>O， CAS号为67-56-1，分子量为32.04，沸点为64.7</w:t>
                  </w:r>
                  <w:r>
                    <w:rPr>
                      <w:rFonts w:hint="eastAsia" w:ascii="宋体" w:hAnsi="宋体" w:cs="宋体"/>
                      <w:color w:val="000000"/>
                      <w:szCs w:val="21"/>
                      <w:shd w:val="clear" w:color="auto" w:fill="FFFFFF"/>
                    </w:rPr>
                    <w:t>℃</w:t>
                  </w:r>
                  <w:r>
                    <w:rPr>
                      <w:color w:val="000000"/>
                      <w:szCs w:val="21"/>
                      <w:shd w:val="clear" w:color="auto" w:fill="FFFFFF"/>
                    </w:rPr>
                    <w:t>。</w:t>
                  </w:r>
                </w:p>
              </w:tc>
              <w:tc>
                <w:tcPr>
                  <w:tcW w:w="4035" w:type="dxa"/>
                  <w:noWrap w:val="0"/>
                  <w:vAlign w:val="center"/>
                </w:tcPr>
                <w:p w14:paraId="211F8946">
                  <w:pPr>
                    <w:jc w:val="center"/>
                    <w:rPr>
                      <w:bCs/>
                      <w:color w:val="000000"/>
                      <w:szCs w:val="21"/>
                    </w:rPr>
                  </w:pPr>
                  <w:r>
                    <w:rPr>
                      <w:rFonts w:hint="eastAsia"/>
                      <w:bCs/>
                      <w:color w:val="000000"/>
                      <w:szCs w:val="21"/>
                    </w:rPr>
                    <w:t>人口服中毒最低剂量约为100mg/kg体重，经口摄入0.3～1g/kg可致死。</w:t>
                  </w:r>
                </w:p>
              </w:tc>
            </w:tr>
            <w:tr w14:paraId="525E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59" w:type="dxa"/>
                  <w:noWrap w:val="0"/>
                  <w:vAlign w:val="center"/>
                </w:tcPr>
                <w:p w14:paraId="756D8FFE">
                  <w:pPr>
                    <w:jc w:val="center"/>
                    <w:rPr>
                      <w:bCs/>
                      <w:color w:val="000000"/>
                      <w:szCs w:val="21"/>
                    </w:rPr>
                  </w:pPr>
                  <w:r>
                    <w:rPr>
                      <w:color w:val="000000"/>
                      <w:szCs w:val="21"/>
                    </w:rPr>
                    <w:t>废机油及含油废物</w:t>
                  </w:r>
                </w:p>
              </w:tc>
              <w:tc>
                <w:tcPr>
                  <w:tcW w:w="889" w:type="dxa"/>
                  <w:noWrap w:val="0"/>
                  <w:vAlign w:val="center"/>
                </w:tcPr>
                <w:p w14:paraId="0976F829">
                  <w:pPr>
                    <w:jc w:val="center"/>
                    <w:rPr>
                      <w:bCs/>
                      <w:color w:val="000000"/>
                      <w:szCs w:val="21"/>
                    </w:rPr>
                  </w:pPr>
                  <w:r>
                    <w:rPr>
                      <w:bCs/>
                      <w:color w:val="000000"/>
                      <w:szCs w:val="21"/>
                    </w:rPr>
                    <w:t>易燃</w:t>
                  </w:r>
                </w:p>
              </w:tc>
              <w:tc>
                <w:tcPr>
                  <w:tcW w:w="2451" w:type="dxa"/>
                  <w:noWrap w:val="0"/>
                  <w:vAlign w:val="center"/>
                </w:tcPr>
                <w:p w14:paraId="69857368">
                  <w:pPr>
                    <w:jc w:val="center"/>
                    <w:rPr>
                      <w:bCs/>
                      <w:color w:val="000000"/>
                      <w:szCs w:val="21"/>
                    </w:rPr>
                  </w:pPr>
                  <w:r>
                    <w:rPr>
                      <w:bCs/>
                      <w:color w:val="000000"/>
                      <w:szCs w:val="21"/>
                    </w:rPr>
                    <w:t>油状液体，淡黄色至褐色，无气味或略带异味。易燃，闪点76℃。临界量2500t。</w:t>
                  </w:r>
                </w:p>
              </w:tc>
              <w:tc>
                <w:tcPr>
                  <w:tcW w:w="4035" w:type="dxa"/>
                  <w:noWrap w:val="0"/>
                  <w:vAlign w:val="center"/>
                </w:tcPr>
                <w:p w14:paraId="12F87B89">
                  <w:pPr>
                    <w:jc w:val="center"/>
                    <w:rPr>
                      <w:bCs/>
                      <w:color w:val="000000"/>
                      <w:szCs w:val="21"/>
                    </w:rPr>
                  </w:pPr>
                  <w:r>
                    <w:rPr>
                      <w:bCs/>
                      <w:color w:val="000000"/>
                      <w:szCs w:val="21"/>
                    </w:rPr>
                    <w:t>急性吸入，可出现乏力、头绿、头箱、恐心，严重者可引起油性肺炎。慢接触者，暴露部位发生油性痤疮和接触性皮炎。可引起神经衰弱综合征，呼吸道和眼刺激症状及慢性油脂性肺有资料报道，接触石油润滑油类的工人，有致癌的病例报告。</w:t>
                  </w:r>
                </w:p>
              </w:tc>
            </w:tr>
          </w:tbl>
          <w:p w14:paraId="5586F21B">
            <w:pPr>
              <w:spacing w:line="360" w:lineRule="auto"/>
              <w:ind w:firstLine="482" w:firstLineChars="200"/>
              <w:rPr>
                <w:b/>
                <w:color w:val="000000"/>
                <w:sz w:val="24"/>
              </w:rPr>
            </w:pPr>
            <w:r>
              <w:rPr>
                <w:b/>
                <w:color w:val="000000"/>
                <w:sz w:val="24"/>
              </w:rPr>
              <w:t>（二）环境管理要求</w:t>
            </w:r>
          </w:p>
          <w:p w14:paraId="62AB746A">
            <w:pPr>
              <w:spacing w:line="360" w:lineRule="auto"/>
              <w:ind w:firstLine="480" w:firstLineChars="200"/>
              <w:rPr>
                <w:bCs/>
                <w:color w:val="000000"/>
                <w:sz w:val="24"/>
              </w:rPr>
            </w:pPr>
            <w:r>
              <w:rPr>
                <w:bCs/>
                <w:color w:val="000000"/>
                <w:sz w:val="24"/>
              </w:rPr>
              <w:t>鉴于各类废物将会在厂区内贮存一段时间，本次环评提出以下要求：</w:t>
            </w:r>
          </w:p>
          <w:p w14:paraId="6ED7A76E">
            <w:pPr>
              <w:spacing w:line="360" w:lineRule="auto"/>
              <w:ind w:firstLine="480" w:firstLineChars="200"/>
              <w:rPr>
                <w:bCs/>
                <w:color w:val="000000"/>
                <w:sz w:val="24"/>
              </w:rPr>
            </w:pPr>
            <w:r>
              <w:rPr>
                <w:rFonts w:hint="eastAsia"/>
                <w:bCs/>
                <w:color w:val="000000"/>
                <w:sz w:val="24"/>
              </w:rPr>
              <w:t>1、</w:t>
            </w:r>
            <w:r>
              <w:rPr>
                <w:bCs/>
                <w:color w:val="000000"/>
                <w:sz w:val="24"/>
              </w:rPr>
              <w:t>安全贮存的技术要求</w:t>
            </w:r>
          </w:p>
          <w:p w14:paraId="528D4F42">
            <w:pPr>
              <w:spacing w:line="360" w:lineRule="auto"/>
              <w:ind w:firstLine="480" w:firstLineChars="200"/>
              <w:rPr>
                <w:bCs/>
                <w:color w:val="000000"/>
                <w:sz w:val="24"/>
              </w:rPr>
            </w:pPr>
            <w:r>
              <w:rPr>
                <w:bCs/>
                <w:color w:val="000000"/>
                <w:sz w:val="24"/>
              </w:rPr>
              <w:t>应按照固体废弃物的性质进行分类收集和暂存。一般固废按照</w:t>
            </w:r>
            <w:r>
              <w:rPr>
                <w:color w:val="000000"/>
                <w:sz w:val="24"/>
              </w:rPr>
              <w:t>《一般工业固体废物贮存和填埋污染控制标准》（GB18599-2020）要求</w:t>
            </w:r>
            <w:r>
              <w:rPr>
                <w:bCs/>
                <w:color w:val="000000"/>
                <w:sz w:val="24"/>
              </w:rPr>
              <w:t>执行，危险废物暂存时应按照《危险废物贮存污染控制标准》</w:t>
            </w:r>
            <w:r>
              <w:rPr>
                <w:rFonts w:hint="eastAsia"/>
                <w:bCs/>
                <w:color w:val="000000"/>
                <w:sz w:val="24"/>
              </w:rPr>
              <w:t>（</w:t>
            </w:r>
            <w:r>
              <w:rPr>
                <w:bCs/>
                <w:color w:val="000000"/>
                <w:sz w:val="24"/>
              </w:rPr>
              <w:t>GB18597-2001</w:t>
            </w:r>
            <w:r>
              <w:rPr>
                <w:rFonts w:hint="eastAsia"/>
                <w:bCs/>
                <w:color w:val="000000"/>
                <w:sz w:val="24"/>
              </w:rPr>
              <w:t>）</w:t>
            </w:r>
            <w:r>
              <w:rPr>
                <w:bCs/>
                <w:color w:val="000000"/>
                <w:sz w:val="24"/>
              </w:rPr>
              <w:t>及其修改单的要求进行贮存。</w:t>
            </w:r>
          </w:p>
          <w:p w14:paraId="4DE8B33E">
            <w:pPr>
              <w:widowControl/>
              <w:spacing w:line="360" w:lineRule="auto"/>
              <w:ind w:firstLine="480" w:firstLineChars="200"/>
              <w:jc w:val="left"/>
              <w:rPr>
                <w:color w:val="000000"/>
              </w:rPr>
            </w:pPr>
            <w:r>
              <w:rPr>
                <w:rFonts w:hint="eastAsia"/>
                <w:color w:val="000000"/>
                <w:kern w:val="0"/>
                <w:sz w:val="24"/>
                <w:lang w:bidi="ar"/>
              </w:rPr>
              <w:t>2、</w:t>
            </w:r>
            <w:r>
              <w:rPr>
                <w:color w:val="000000"/>
                <w:kern w:val="0"/>
                <w:sz w:val="24"/>
                <w:lang w:bidi="ar"/>
              </w:rPr>
              <w:t>一般工业固废贮存技术要求</w:t>
            </w:r>
          </w:p>
          <w:p w14:paraId="14B16F4A">
            <w:pPr>
              <w:widowControl/>
              <w:spacing w:line="360" w:lineRule="auto"/>
              <w:ind w:firstLine="480" w:firstLineChars="200"/>
              <w:rPr>
                <w:color w:val="000000"/>
              </w:rPr>
            </w:pPr>
            <w:r>
              <w:rPr>
                <w:color w:val="000000"/>
                <w:kern w:val="0"/>
                <w:sz w:val="24"/>
                <w:lang w:bidi="ar"/>
              </w:rPr>
              <w:t>一般固废贮存采取防风防雨防晒措施、各类固废应分类收集、装贴环保图形标志；设置符合</w:t>
            </w:r>
            <w:r>
              <w:rPr>
                <w:color w:val="000000"/>
                <w:sz w:val="24"/>
              </w:rPr>
              <w:t>《一般工业固体废物贮存和填埋污染控制标准》（GB18599-2020）</w:t>
            </w:r>
            <w:r>
              <w:rPr>
                <w:color w:val="000000"/>
                <w:kern w:val="0"/>
                <w:sz w:val="24"/>
                <w:lang w:bidi="ar"/>
              </w:rPr>
              <w:t>要求；本项目一般工业固废为固体，贮存在包装袋内，在贮存过程中不会对环境空气、地表水、地下水、土壤等产生影响。</w:t>
            </w:r>
          </w:p>
          <w:p w14:paraId="054C076D">
            <w:pPr>
              <w:spacing w:line="360" w:lineRule="auto"/>
              <w:ind w:firstLine="480" w:firstLineChars="200"/>
              <w:rPr>
                <w:bCs/>
                <w:color w:val="000000"/>
                <w:sz w:val="24"/>
              </w:rPr>
            </w:pPr>
            <w:r>
              <w:rPr>
                <w:color w:val="000000"/>
                <w:kern w:val="0"/>
                <w:sz w:val="24"/>
                <w:lang w:bidi="ar"/>
              </w:rPr>
              <w:t>建设单位应严格按照《中华人民共和国固体废物污染环境防治法》要求，建立健全一般工业固废产生、收集、贮存、运输、利用、处置全过程的污染环境防治责任制度，建立工业固体废物管理台账，如实记录产生一般工业固废的种类、数量、流向、贮存、利用、处置等信息，实现一般工业固体废物可追溯、可查询。</w:t>
            </w:r>
          </w:p>
          <w:p w14:paraId="61E523A4">
            <w:pPr>
              <w:spacing w:line="360" w:lineRule="auto"/>
              <w:ind w:firstLine="480" w:firstLineChars="200"/>
              <w:rPr>
                <w:bCs/>
                <w:color w:val="000000"/>
                <w:sz w:val="24"/>
              </w:rPr>
            </w:pPr>
            <w:r>
              <w:rPr>
                <w:rFonts w:hint="eastAsia"/>
                <w:bCs/>
                <w:color w:val="000000"/>
                <w:sz w:val="24"/>
              </w:rPr>
              <w:t>3、</w:t>
            </w:r>
            <w:r>
              <w:rPr>
                <w:bCs/>
                <w:color w:val="000000"/>
                <w:sz w:val="24"/>
              </w:rPr>
              <w:t>危险废物贮存技术要求</w:t>
            </w:r>
          </w:p>
          <w:p w14:paraId="31C08382">
            <w:pPr>
              <w:spacing w:line="360" w:lineRule="auto"/>
              <w:ind w:firstLine="480" w:firstLineChars="200"/>
              <w:rPr>
                <w:bCs/>
                <w:color w:val="000000"/>
                <w:sz w:val="24"/>
              </w:rPr>
            </w:pPr>
            <w:r>
              <w:rPr>
                <w:bCs/>
                <w:color w:val="000000"/>
                <w:sz w:val="24"/>
              </w:rPr>
              <w:t>按照《危险废物贮存污染控制标准》</w:t>
            </w:r>
            <w:r>
              <w:rPr>
                <w:rFonts w:hint="eastAsia"/>
                <w:bCs/>
                <w:color w:val="000000"/>
                <w:sz w:val="24"/>
              </w:rPr>
              <w:t>（</w:t>
            </w:r>
            <w:r>
              <w:rPr>
                <w:bCs/>
                <w:color w:val="000000"/>
                <w:sz w:val="24"/>
              </w:rPr>
              <w:t>GB18597-2001</w:t>
            </w:r>
            <w:r>
              <w:rPr>
                <w:rFonts w:hint="eastAsia"/>
                <w:bCs/>
                <w:color w:val="000000"/>
                <w:sz w:val="24"/>
              </w:rPr>
              <w:t>）</w:t>
            </w:r>
            <w:r>
              <w:rPr>
                <w:bCs/>
                <w:color w:val="000000"/>
                <w:sz w:val="24"/>
              </w:rPr>
              <w:t>及其修改单的要求进行贮存。环评要求在生产区内设置专门的危废暂存间，危废暂存间建筑面积为5m</w:t>
            </w:r>
            <w:r>
              <w:rPr>
                <w:bCs/>
                <w:color w:val="000000"/>
                <w:sz w:val="24"/>
                <w:vertAlign w:val="superscript"/>
              </w:rPr>
              <w:t>2</w:t>
            </w:r>
            <w:r>
              <w:rPr>
                <w:bCs/>
                <w:color w:val="000000"/>
                <w:sz w:val="24"/>
              </w:rPr>
              <w:t>，为便于收集危险废物，建议设置在现有杂物仓库旁，为</w:t>
            </w:r>
            <w:r>
              <w:rPr>
                <w:rFonts w:hint="eastAsia"/>
                <w:bCs/>
                <w:color w:val="000000"/>
                <w:sz w:val="24"/>
              </w:rPr>
              <w:t>半密闭</w:t>
            </w:r>
            <w:r>
              <w:rPr>
                <w:bCs/>
                <w:color w:val="000000"/>
                <w:sz w:val="24"/>
              </w:rPr>
              <w:t>建筑，暂存间要求具备防渗防漏、防扩散的措施。危废暂存间应设置危险废物识别标志，上锁，钥匙由专人进行管理。</w:t>
            </w:r>
          </w:p>
          <w:p w14:paraId="0AAD3826">
            <w:pPr>
              <w:spacing w:line="360" w:lineRule="auto"/>
              <w:ind w:firstLine="562" w:firstLineChars="200"/>
              <w:rPr>
                <w:bCs/>
                <w:color w:val="000000"/>
                <w:sz w:val="24"/>
              </w:rPr>
            </w:pPr>
            <w:r>
              <w:rPr>
                <w:b/>
                <w:bCs/>
                <w:color w:val="000000"/>
                <w:sz w:val="28"/>
                <w:szCs w:val="28"/>
              </w:rPr>
              <w:t>五、地下水、土壤环境</w:t>
            </w:r>
            <w:r>
              <w:rPr>
                <w:b/>
                <w:color w:val="000000"/>
                <w:sz w:val="28"/>
                <w:szCs w:val="28"/>
              </w:rPr>
              <w:t>影响分析</w:t>
            </w:r>
            <w:r>
              <w:rPr>
                <w:b/>
                <w:bCs/>
                <w:color w:val="000000"/>
                <w:sz w:val="28"/>
                <w:szCs w:val="28"/>
              </w:rPr>
              <w:t>及保护措施</w:t>
            </w:r>
          </w:p>
          <w:p w14:paraId="5580C599">
            <w:pPr>
              <w:spacing w:line="360" w:lineRule="auto"/>
              <w:ind w:firstLine="480" w:firstLineChars="200"/>
              <w:rPr>
                <w:color w:val="000000"/>
                <w:sz w:val="24"/>
              </w:rPr>
            </w:pPr>
            <w:r>
              <w:rPr>
                <w:rFonts w:hint="eastAsia"/>
                <w:color w:val="000000"/>
                <w:sz w:val="24"/>
              </w:rPr>
              <w:t>项目使用的原辅料主要有：鲜花、甘油、食用色素、甲醇、漂白剂、柠檬酸，原辅料均从从市场购买，甲醇通过汽车运输直接导入脱色桶内，食用色素、甘油在仓库内储存。</w:t>
            </w:r>
            <w:r>
              <w:rPr>
                <w:color w:val="000000"/>
                <w:sz w:val="24"/>
              </w:rPr>
              <w:t>车间地面全部采取了硬化处理，车间为半</w:t>
            </w:r>
            <w:r>
              <w:rPr>
                <w:rFonts w:hint="eastAsia"/>
                <w:color w:val="000000"/>
                <w:sz w:val="24"/>
              </w:rPr>
              <w:t>密闭</w:t>
            </w:r>
            <w:r>
              <w:rPr>
                <w:color w:val="000000"/>
                <w:sz w:val="24"/>
              </w:rPr>
              <w:t>车间，不会因降雨产生渗滤液进而污染地下水和土壤。项目产生的固废均能得到妥善处置。项目按照重点防渗区、一般防渗区、简单防渗区进行建设。</w:t>
            </w:r>
          </w:p>
          <w:p w14:paraId="66B20293">
            <w:pPr>
              <w:spacing w:line="360" w:lineRule="auto"/>
              <w:ind w:firstLine="480" w:firstLineChars="200"/>
              <w:rPr>
                <w:color w:val="000000"/>
                <w:sz w:val="24"/>
              </w:rPr>
            </w:pPr>
            <w:r>
              <w:rPr>
                <w:color w:val="000000"/>
                <w:sz w:val="24"/>
              </w:rPr>
              <w:t>危废暂存间地面及裙</w:t>
            </w:r>
            <w:r>
              <w:rPr>
                <w:rFonts w:hint="eastAsia"/>
                <w:color w:val="000000"/>
                <w:sz w:val="24"/>
              </w:rPr>
              <w:t>角</w:t>
            </w:r>
            <w:r>
              <w:rPr>
                <w:color w:val="000000"/>
                <w:sz w:val="24"/>
              </w:rPr>
              <w:t>按《危险废物贮存污染控制标准》（GB18597-2001）的相关要求</w:t>
            </w:r>
            <w:r>
              <w:rPr>
                <w:rFonts w:hint="eastAsia"/>
                <w:color w:val="000000"/>
                <w:sz w:val="24"/>
              </w:rPr>
              <w:t>进行防渗</w:t>
            </w:r>
            <w:r>
              <w:rPr>
                <w:color w:val="000000"/>
                <w:sz w:val="24"/>
              </w:rPr>
              <w:t>，防渗层为至少1m厚粘土层（渗透系数≤10</w:t>
            </w:r>
            <w:r>
              <w:rPr>
                <w:color w:val="000000"/>
                <w:sz w:val="24"/>
                <w:vertAlign w:val="superscript"/>
              </w:rPr>
              <w:t>-7</w:t>
            </w:r>
            <w:r>
              <w:rPr>
                <w:color w:val="000000"/>
                <w:sz w:val="24"/>
              </w:rPr>
              <w:t>cm/s），或2mm厚高密度聚乙烯，或至少2mm厚的其它人工材料，渗透系数≤10</w:t>
            </w:r>
            <w:r>
              <w:rPr>
                <w:color w:val="000000"/>
                <w:sz w:val="24"/>
                <w:vertAlign w:val="superscript"/>
              </w:rPr>
              <w:t>-10</w:t>
            </w:r>
            <w:r>
              <w:rPr>
                <w:color w:val="000000"/>
                <w:sz w:val="24"/>
              </w:rPr>
              <w:t>cm/s；循环水池四周及池底采用强度等级C30抗渗等级P6或以上的商品混凝土浇筑，厚度大于10cm，防渗技术</w:t>
            </w:r>
            <w:r>
              <w:rPr>
                <w:rFonts w:hint="eastAsia"/>
                <w:color w:val="000000"/>
                <w:sz w:val="24"/>
              </w:rPr>
              <w:t>按《环境影响评价技术导则 地下水环境》（HJ610-2016）表7一般防渗区</w:t>
            </w:r>
            <w:r>
              <w:rPr>
                <w:color w:val="000000"/>
                <w:sz w:val="24"/>
              </w:rPr>
              <w:t>要求达到等效黏土防渗层</w:t>
            </w:r>
            <w:r>
              <w:rPr>
                <w:color w:val="000000"/>
                <w:kern w:val="0"/>
                <w:sz w:val="24"/>
              </w:rPr>
              <w:t>Mb≥1.5m，渗透系数K≤1×10</w:t>
            </w:r>
            <w:r>
              <w:rPr>
                <w:color w:val="000000"/>
                <w:kern w:val="0"/>
                <w:sz w:val="24"/>
                <w:vertAlign w:val="superscript"/>
              </w:rPr>
              <w:t>-7</w:t>
            </w:r>
            <w:r>
              <w:rPr>
                <w:color w:val="000000"/>
                <w:kern w:val="0"/>
                <w:sz w:val="24"/>
              </w:rPr>
              <w:t>cm/s</w:t>
            </w:r>
            <w:r>
              <w:rPr>
                <w:color w:val="000000"/>
                <w:sz w:val="24"/>
              </w:rPr>
              <w:t>；除绿化外的其他区域进行水泥硬化处理。</w:t>
            </w:r>
          </w:p>
          <w:p w14:paraId="081661EE">
            <w:pPr>
              <w:spacing w:line="360" w:lineRule="auto"/>
              <w:ind w:firstLine="480" w:firstLineChars="200"/>
              <w:rPr>
                <w:color w:val="000000"/>
                <w:sz w:val="24"/>
              </w:rPr>
            </w:pPr>
            <w:r>
              <w:rPr>
                <w:color w:val="000000"/>
                <w:sz w:val="24"/>
              </w:rPr>
              <w:t>项目建设过程中采取防渗措施可有效防止风险物质下渗进入土壤和地下水，通过加强定期检查消除污染隐患；发现有污染物泄漏或渗漏，及时修补。因此本项目的建设运行对地下水影响可控。</w:t>
            </w:r>
          </w:p>
          <w:p w14:paraId="6B33DA27">
            <w:pPr>
              <w:spacing w:line="360" w:lineRule="auto"/>
              <w:ind w:firstLine="562" w:firstLineChars="200"/>
              <w:rPr>
                <w:bCs/>
                <w:color w:val="000000"/>
                <w:sz w:val="24"/>
              </w:rPr>
            </w:pPr>
            <w:r>
              <w:rPr>
                <w:b/>
                <w:bCs/>
                <w:color w:val="000000"/>
                <w:sz w:val="28"/>
                <w:szCs w:val="28"/>
              </w:rPr>
              <w:t>六、环境风险</w:t>
            </w:r>
            <w:r>
              <w:rPr>
                <w:b/>
                <w:color w:val="000000"/>
                <w:sz w:val="28"/>
                <w:szCs w:val="28"/>
              </w:rPr>
              <w:t>影响分析</w:t>
            </w:r>
            <w:r>
              <w:rPr>
                <w:b/>
                <w:bCs/>
                <w:color w:val="000000"/>
                <w:sz w:val="28"/>
                <w:szCs w:val="28"/>
              </w:rPr>
              <w:t>及保护措施</w:t>
            </w:r>
          </w:p>
          <w:p w14:paraId="6F745187">
            <w:pPr>
              <w:spacing w:line="360" w:lineRule="auto"/>
              <w:ind w:firstLine="482" w:firstLineChars="200"/>
              <w:rPr>
                <w:b/>
                <w:color w:val="000000"/>
                <w:sz w:val="24"/>
              </w:rPr>
            </w:pPr>
            <w:r>
              <w:rPr>
                <w:rFonts w:hint="eastAsia"/>
                <w:b/>
                <w:color w:val="000000"/>
                <w:sz w:val="24"/>
              </w:rPr>
              <w:t>1、</w:t>
            </w:r>
            <w:r>
              <w:rPr>
                <w:b/>
                <w:color w:val="000000"/>
                <w:sz w:val="24"/>
              </w:rPr>
              <w:t>风险源调查</w:t>
            </w:r>
          </w:p>
          <w:p w14:paraId="69F53E85">
            <w:pPr>
              <w:spacing w:line="360" w:lineRule="auto"/>
              <w:ind w:firstLine="480" w:firstLineChars="200"/>
              <w:rPr>
                <w:bCs/>
                <w:color w:val="000000"/>
                <w:sz w:val="24"/>
              </w:rPr>
            </w:pPr>
            <w:r>
              <w:rPr>
                <w:bCs/>
                <w:color w:val="000000"/>
                <w:sz w:val="24"/>
              </w:rPr>
              <w:t>根据《建设项目环境风险评价技术导则》（HJ169-2018）的要求，对项目区可能涉及的风险物质区域，主要从</w:t>
            </w:r>
            <w:r>
              <w:rPr>
                <w:rFonts w:hint="eastAsia"/>
                <w:bCs/>
                <w:color w:val="000000"/>
                <w:sz w:val="24"/>
              </w:rPr>
              <w:t>下</w:t>
            </w:r>
            <w:r>
              <w:rPr>
                <w:bCs/>
                <w:color w:val="000000"/>
                <w:sz w:val="24"/>
              </w:rPr>
              <w:t>表中所列各个方面进行环境风险源调查。</w:t>
            </w:r>
          </w:p>
          <w:p w14:paraId="34482AED">
            <w:pPr>
              <w:spacing w:line="360" w:lineRule="auto"/>
              <w:jc w:val="center"/>
              <w:rPr>
                <w:bCs/>
                <w:color w:val="000000"/>
                <w:szCs w:val="21"/>
              </w:rPr>
            </w:pPr>
            <w:r>
              <w:rPr>
                <w:b/>
                <w:color w:val="000000"/>
                <w:szCs w:val="21"/>
              </w:rPr>
              <w:t>表4-16</w:t>
            </w:r>
            <w:r>
              <w:rPr>
                <w:rFonts w:hint="eastAsia"/>
                <w:b/>
                <w:color w:val="000000"/>
                <w:szCs w:val="21"/>
              </w:rPr>
              <w:t xml:space="preserve"> </w:t>
            </w:r>
            <w:r>
              <w:rPr>
                <w:b/>
                <w:color w:val="000000"/>
                <w:szCs w:val="21"/>
              </w:rPr>
              <w:t xml:space="preserve"> 环境风险源基本情况调查一览表</w:t>
            </w:r>
          </w:p>
          <w:tbl>
            <w:tblPr>
              <w:tblStyle w:val="20"/>
              <w:tblW w:w="8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96"/>
              <w:gridCol w:w="1115"/>
              <w:gridCol w:w="1971"/>
              <w:gridCol w:w="3743"/>
            </w:tblGrid>
            <w:tr w14:paraId="21B7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9" w:type="dxa"/>
                  <w:noWrap w:val="0"/>
                  <w:vAlign w:val="center"/>
                </w:tcPr>
                <w:p w14:paraId="5F98A13B">
                  <w:pPr>
                    <w:jc w:val="center"/>
                    <w:rPr>
                      <w:b/>
                      <w:color w:val="000000"/>
                      <w:szCs w:val="21"/>
                    </w:rPr>
                  </w:pPr>
                  <w:r>
                    <w:rPr>
                      <w:b/>
                      <w:color w:val="000000"/>
                      <w:szCs w:val="21"/>
                    </w:rPr>
                    <w:t>序号</w:t>
                  </w:r>
                </w:p>
              </w:tc>
              <w:tc>
                <w:tcPr>
                  <w:tcW w:w="1811" w:type="dxa"/>
                  <w:gridSpan w:val="2"/>
                  <w:noWrap w:val="0"/>
                  <w:vAlign w:val="center"/>
                </w:tcPr>
                <w:p w14:paraId="52F0D4E8">
                  <w:pPr>
                    <w:jc w:val="center"/>
                    <w:rPr>
                      <w:b/>
                      <w:color w:val="000000"/>
                      <w:szCs w:val="21"/>
                    </w:rPr>
                  </w:pPr>
                  <w:r>
                    <w:rPr>
                      <w:b/>
                      <w:color w:val="000000"/>
                      <w:szCs w:val="21"/>
                    </w:rPr>
                    <w:t>调查对象</w:t>
                  </w:r>
                </w:p>
              </w:tc>
              <w:tc>
                <w:tcPr>
                  <w:tcW w:w="1971" w:type="dxa"/>
                  <w:noWrap w:val="0"/>
                  <w:vAlign w:val="center"/>
                </w:tcPr>
                <w:p w14:paraId="234564D4">
                  <w:pPr>
                    <w:jc w:val="center"/>
                    <w:rPr>
                      <w:b/>
                      <w:color w:val="000000"/>
                      <w:szCs w:val="21"/>
                    </w:rPr>
                  </w:pPr>
                  <w:r>
                    <w:rPr>
                      <w:b/>
                      <w:color w:val="000000"/>
                      <w:szCs w:val="21"/>
                    </w:rPr>
                    <w:t>调查内容</w:t>
                  </w:r>
                </w:p>
              </w:tc>
              <w:tc>
                <w:tcPr>
                  <w:tcW w:w="3743" w:type="dxa"/>
                  <w:noWrap w:val="0"/>
                  <w:vAlign w:val="center"/>
                </w:tcPr>
                <w:p w14:paraId="5DC95937">
                  <w:pPr>
                    <w:jc w:val="center"/>
                    <w:rPr>
                      <w:b/>
                      <w:color w:val="000000"/>
                      <w:szCs w:val="21"/>
                    </w:rPr>
                  </w:pPr>
                  <w:r>
                    <w:rPr>
                      <w:b/>
                      <w:color w:val="000000"/>
                      <w:szCs w:val="21"/>
                    </w:rPr>
                    <w:t>调查结果</w:t>
                  </w:r>
                </w:p>
              </w:tc>
            </w:tr>
            <w:tr w14:paraId="3C38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9" w:hRule="atLeast"/>
              </w:trPr>
              <w:tc>
                <w:tcPr>
                  <w:tcW w:w="709" w:type="dxa"/>
                  <w:vMerge w:val="restart"/>
                  <w:noWrap w:val="0"/>
                  <w:vAlign w:val="center"/>
                </w:tcPr>
                <w:p w14:paraId="0F3F66E1">
                  <w:pPr>
                    <w:jc w:val="center"/>
                    <w:rPr>
                      <w:bCs/>
                      <w:color w:val="000000"/>
                      <w:szCs w:val="21"/>
                    </w:rPr>
                  </w:pPr>
                  <w:r>
                    <w:rPr>
                      <w:bCs/>
                      <w:color w:val="000000"/>
                      <w:szCs w:val="21"/>
                    </w:rPr>
                    <w:t>1</w:t>
                  </w:r>
                </w:p>
              </w:tc>
              <w:tc>
                <w:tcPr>
                  <w:tcW w:w="696" w:type="dxa"/>
                  <w:vMerge w:val="restart"/>
                  <w:noWrap w:val="0"/>
                  <w:vAlign w:val="center"/>
                </w:tcPr>
                <w:p w14:paraId="6BC89719">
                  <w:pPr>
                    <w:jc w:val="center"/>
                    <w:rPr>
                      <w:bCs/>
                      <w:color w:val="000000"/>
                      <w:szCs w:val="21"/>
                    </w:rPr>
                  </w:pPr>
                  <w:r>
                    <w:rPr>
                      <w:bCs/>
                      <w:color w:val="000000"/>
                      <w:szCs w:val="21"/>
                    </w:rPr>
                    <w:t>风险物质</w:t>
                  </w:r>
                </w:p>
              </w:tc>
              <w:tc>
                <w:tcPr>
                  <w:tcW w:w="1115" w:type="dxa"/>
                  <w:noWrap w:val="0"/>
                  <w:vAlign w:val="center"/>
                </w:tcPr>
                <w:p w14:paraId="0FD4095D">
                  <w:pPr>
                    <w:jc w:val="center"/>
                    <w:rPr>
                      <w:bCs/>
                      <w:color w:val="000000"/>
                      <w:szCs w:val="21"/>
                    </w:rPr>
                  </w:pPr>
                  <w:r>
                    <w:rPr>
                      <w:bCs/>
                      <w:color w:val="000000"/>
                      <w:szCs w:val="21"/>
                    </w:rPr>
                    <w:t>危险化学品</w:t>
                  </w:r>
                </w:p>
              </w:tc>
              <w:tc>
                <w:tcPr>
                  <w:tcW w:w="1971" w:type="dxa"/>
                  <w:vMerge w:val="restart"/>
                  <w:noWrap w:val="0"/>
                  <w:vAlign w:val="center"/>
                </w:tcPr>
                <w:p w14:paraId="57663F97">
                  <w:pPr>
                    <w:jc w:val="center"/>
                    <w:rPr>
                      <w:bCs/>
                      <w:color w:val="000000"/>
                      <w:szCs w:val="21"/>
                    </w:rPr>
                  </w:pPr>
                  <w:r>
                    <w:rPr>
                      <w:bCs/>
                      <w:color w:val="000000"/>
                      <w:szCs w:val="21"/>
                    </w:rPr>
                    <w:t>主要针对生产过程中使用的各类风险物质名称及使用量、贮存量进行统计分析</w:t>
                  </w:r>
                </w:p>
              </w:tc>
              <w:tc>
                <w:tcPr>
                  <w:tcW w:w="3743" w:type="dxa"/>
                  <w:vMerge w:val="restart"/>
                  <w:noWrap w:val="0"/>
                  <w:vAlign w:val="center"/>
                </w:tcPr>
                <w:p w14:paraId="1EAF77C0">
                  <w:pPr>
                    <w:jc w:val="center"/>
                    <w:rPr>
                      <w:bCs/>
                      <w:color w:val="000000"/>
                      <w:szCs w:val="21"/>
                    </w:rPr>
                  </w:pPr>
                  <w:r>
                    <w:rPr>
                      <w:bCs/>
                      <w:color w:val="000000"/>
                      <w:szCs w:val="21"/>
                    </w:rPr>
                    <w:t>项目涉及的主要</w:t>
                  </w:r>
                  <w:r>
                    <w:rPr>
                      <w:rFonts w:hint="eastAsia"/>
                      <w:bCs/>
                      <w:color w:val="000000"/>
                      <w:szCs w:val="21"/>
                    </w:rPr>
                    <w:t>原辅料</w:t>
                  </w:r>
                  <w:r>
                    <w:rPr>
                      <w:bCs/>
                      <w:color w:val="000000"/>
                      <w:szCs w:val="21"/>
                    </w:rPr>
                    <w:t>为</w:t>
                  </w:r>
                  <w:r>
                    <w:rPr>
                      <w:rFonts w:hint="eastAsia"/>
                      <w:bCs/>
                      <w:color w:val="000000"/>
                      <w:szCs w:val="21"/>
                    </w:rPr>
                    <w:t>甘油、食用色素、甲醇、漂白剂</w:t>
                  </w:r>
                  <w:r>
                    <w:rPr>
                      <w:bCs/>
                      <w:color w:val="000000"/>
                      <w:szCs w:val="21"/>
                    </w:rPr>
                    <w:t>等，</w:t>
                  </w:r>
                  <w:r>
                    <w:rPr>
                      <w:rFonts w:hint="eastAsia"/>
                      <w:bCs/>
                      <w:color w:val="000000"/>
                      <w:szCs w:val="21"/>
                    </w:rPr>
                    <w:t>甲醇通过汽车运输直接导入脱色桶内，食用色素、甘油在仓库内储存。因此，项目原辅料涉及</w:t>
                  </w:r>
                  <w:r>
                    <w:rPr>
                      <w:bCs/>
                      <w:color w:val="000000"/>
                      <w:szCs w:val="21"/>
                    </w:rPr>
                    <w:t>风险物质</w:t>
                  </w:r>
                  <w:r>
                    <w:rPr>
                      <w:rFonts w:hint="eastAsia"/>
                      <w:bCs/>
                      <w:color w:val="000000"/>
                      <w:szCs w:val="21"/>
                    </w:rPr>
                    <w:t>为甲醇</w:t>
                  </w:r>
                  <w:r>
                    <w:rPr>
                      <w:bCs/>
                      <w:color w:val="000000"/>
                      <w:szCs w:val="21"/>
                    </w:rPr>
                    <w:t>。</w:t>
                  </w:r>
                </w:p>
              </w:tc>
            </w:tr>
            <w:tr w14:paraId="330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9" w:type="dxa"/>
                  <w:vMerge w:val="continue"/>
                  <w:noWrap w:val="0"/>
                  <w:vAlign w:val="center"/>
                </w:tcPr>
                <w:p w14:paraId="057C6753">
                  <w:pPr>
                    <w:jc w:val="center"/>
                    <w:rPr>
                      <w:bCs/>
                      <w:color w:val="000000"/>
                      <w:szCs w:val="21"/>
                    </w:rPr>
                  </w:pPr>
                </w:p>
              </w:tc>
              <w:tc>
                <w:tcPr>
                  <w:tcW w:w="696" w:type="dxa"/>
                  <w:vMerge w:val="continue"/>
                  <w:noWrap w:val="0"/>
                  <w:vAlign w:val="center"/>
                </w:tcPr>
                <w:p w14:paraId="27203B24">
                  <w:pPr>
                    <w:jc w:val="center"/>
                    <w:rPr>
                      <w:bCs/>
                      <w:color w:val="000000"/>
                      <w:szCs w:val="21"/>
                    </w:rPr>
                  </w:pPr>
                </w:p>
              </w:tc>
              <w:tc>
                <w:tcPr>
                  <w:tcW w:w="1115" w:type="dxa"/>
                  <w:noWrap w:val="0"/>
                  <w:vAlign w:val="center"/>
                </w:tcPr>
                <w:p w14:paraId="561CDAC6">
                  <w:pPr>
                    <w:jc w:val="center"/>
                    <w:rPr>
                      <w:bCs/>
                      <w:color w:val="000000"/>
                      <w:szCs w:val="21"/>
                    </w:rPr>
                  </w:pPr>
                  <w:r>
                    <w:rPr>
                      <w:bCs/>
                      <w:color w:val="000000"/>
                      <w:szCs w:val="21"/>
                    </w:rPr>
                    <w:t>其它化学品</w:t>
                  </w:r>
                </w:p>
              </w:tc>
              <w:tc>
                <w:tcPr>
                  <w:tcW w:w="1971" w:type="dxa"/>
                  <w:vMerge w:val="continue"/>
                  <w:noWrap w:val="0"/>
                  <w:vAlign w:val="center"/>
                </w:tcPr>
                <w:p w14:paraId="33B94050">
                  <w:pPr>
                    <w:jc w:val="center"/>
                    <w:rPr>
                      <w:bCs/>
                      <w:color w:val="000000"/>
                      <w:szCs w:val="21"/>
                    </w:rPr>
                  </w:pPr>
                </w:p>
              </w:tc>
              <w:tc>
                <w:tcPr>
                  <w:tcW w:w="3743" w:type="dxa"/>
                  <w:vMerge w:val="continue"/>
                  <w:noWrap w:val="0"/>
                  <w:vAlign w:val="center"/>
                </w:tcPr>
                <w:p w14:paraId="7836C910">
                  <w:pPr>
                    <w:jc w:val="center"/>
                    <w:rPr>
                      <w:bCs/>
                      <w:color w:val="000000"/>
                      <w:szCs w:val="21"/>
                    </w:rPr>
                  </w:pPr>
                </w:p>
              </w:tc>
            </w:tr>
            <w:tr w14:paraId="60C4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7" w:hRule="atLeast"/>
              </w:trPr>
              <w:tc>
                <w:tcPr>
                  <w:tcW w:w="709" w:type="dxa"/>
                  <w:vMerge w:val="restart"/>
                  <w:noWrap w:val="0"/>
                  <w:vAlign w:val="center"/>
                </w:tcPr>
                <w:p w14:paraId="65B48B1E">
                  <w:pPr>
                    <w:jc w:val="center"/>
                    <w:rPr>
                      <w:bCs/>
                      <w:color w:val="000000"/>
                      <w:szCs w:val="21"/>
                    </w:rPr>
                  </w:pPr>
                  <w:r>
                    <w:rPr>
                      <w:bCs/>
                      <w:color w:val="000000"/>
                      <w:szCs w:val="21"/>
                    </w:rPr>
                    <w:t>2</w:t>
                  </w:r>
                </w:p>
              </w:tc>
              <w:tc>
                <w:tcPr>
                  <w:tcW w:w="696" w:type="dxa"/>
                  <w:vMerge w:val="restart"/>
                  <w:noWrap w:val="0"/>
                  <w:vAlign w:val="center"/>
                </w:tcPr>
                <w:p w14:paraId="123E3928">
                  <w:pPr>
                    <w:jc w:val="center"/>
                    <w:rPr>
                      <w:bCs/>
                      <w:color w:val="000000"/>
                      <w:szCs w:val="21"/>
                    </w:rPr>
                  </w:pPr>
                  <w:r>
                    <w:rPr>
                      <w:bCs/>
                      <w:color w:val="000000"/>
                      <w:szCs w:val="21"/>
                    </w:rPr>
                    <w:t>生产系统</w:t>
                  </w:r>
                </w:p>
              </w:tc>
              <w:tc>
                <w:tcPr>
                  <w:tcW w:w="1115" w:type="dxa"/>
                  <w:noWrap w:val="0"/>
                  <w:vAlign w:val="center"/>
                </w:tcPr>
                <w:p w14:paraId="45ED9E13">
                  <w:pPr>
                    <w:jc w:val="center"/>
                    <w:rPr>
                      <w:bCs/>
                      <w:color w:val="000000"/>
                      <w:szCs w:val="21"/>
                    </w:rPr>
                  </w:pPr>
                  <w:r>
                    <w:rPr>
                      <w:bCs/>
                      <w:color w:val="000000"/>
                      <w:szCs w:val="21"/>
                    </w:rPr>
                    <w:t>生产工艺</w:t>
                  </w:r>
                </w:p>
              </w:tc>
              <w:tc>
                <w:tcPr>
                  <w:tcW w:w="1971" w:type="dxa"/>
                  <w:vMerge w:val="restart"/>
                  <w:noWrap w:val="0"/>
                  <w:vAlign w:val="center"/>
                </w:tcPr>
                <w:p w14:paraId="6D3593B5">
                  <w:pPr>
                    <w:jc w:val="center"/>
                    <w:rPr>
                      <w:bCs/>
                      <w:color w:val="000000"/>
                      <w:szCs w:val="21"/>
                    </w:rPr>
                  </w:pPr>
                  <w:r>
                    <w:rPr>
                      <w:bCs/>
                      <w:color w:val="000000"/>
                      <w:szCs w:val="21"/>
                    </w:rPr>
                    <w:t>重点对生产工艺流程的各阶段进行研究，分析哪些设备、设施可能成为环境风险源</w:t>
                  </w:r>
                </w:p>
              </w:tc>
              <w:tc>
                <w:tcPr>
                  <w:tcW w:w="3743" w:type="dxa"/>
                  <w:vMerge w:val="restart"/>
                  <w:noWrap w:val="0"/>
                  <w:vAlign w:val="center"/>
                </w:tcPr>
                <w:p w14:paraId="7E4D222B">
                  <w:pPr>
                    <w:jc w:val="center"/>
                    <w:rPr>
                      <w:bCs/>
                      <w:color w:val="000000"/>
                      <w:szCs w:val="21"/>
                    </w:rPr>
                  </w:pPr>
                  <w:r>
                    <w:rPr>
                      <w:bCs/>
                      <w:color w:val="000000"/>
                      <w:szCs w:val="21"/>
                    </w:rPr>
                    <w:t>项目生产工艺简单，生产工艺不存在环境风险；原料、产品</w:t>
                  </w:r>
                  <w:r>
                    <w:rPr>
                      <w:rFonts w:hint="eastAsia"/>
                      <w:bCs/>
                      <w:color w:val="000000"/>
                      <w:szCs w:val="21"/>
                    </w:rPr>
                    <w:t>堆放区</w:t>
                  </w:r>
                  <w:r>
                    <w:rPr>
                      <w:bCs/>
                      <w:color w:val="000000"/>
                      <w:szCs w:val="21"/>
                    </w:rPr>
                    <w:t>易发生火灾衍生次生污染物产生；危废暂存间存放废机油等外泄会造成环境污染。</w:t>
                  </w:r>
                </w:p>
              </w:tc>
            </w:tr>
            <w:tr w14:paraId="77F1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1" w:hRule="atLeast"/>
              </w:trPr>
              <w:tc>
                <w:tcPr>
                  <w:tcW w:w="709" w:type="dxa"/>
                  <w:vMerge w:val="continue"/>
                  <w:noWrap w:val="0"/>
                  <w:vAlign w:val="center"/>
                </w:tcPr>
                <w:p w14:paraId="403E74AF">
                  <w:pPr>
                    <w:jc w:val="center"/>
                    <w:rPr>
                      <w:bCs/>
                      <w:color w:val="000000"/>
                      <w:szCs w:val="21"/>
                    </w:rPr>
                  </w:pPr>
                </w:p>
              </w:tc>
              <w:tc>
                <w:tcPr>
                  <w:tcW w:w="696" w:type="dxa"/>
                  <w:vMerge w:val="continue"/>
                  <w:noWrap w:val="0"/>
                  <w:vAlign w:val="center"/>
                </w:tcPr>
                <w:p w14:paraId="0BA03B28">
                  <w:pPr>
                    <w:jc w:val="center"/>
                    <w:rPr>
                      <w:bCs/>
                      <w:color w:val="000000"/>
                      <w:szCs w:val="21"/>
                    </w:rPr>
                  </w:pPr>
                </w:p>
              </w:tc>
              <w:tc>
                <w:tcPr>
                  <w:tcW w:w="1115" w:type="dxa"/>
                  <w:noWrap w:val="0"/>
                  <w:vAlign w:val="center"/>
                </w:tcPr>
                <w:p w14:paraId="5F522EAD">
                  <w:pPr>
                    <w:jc w:val="center"/>
                    <w:rPr>
                      <w:bCs/>
                      <w:color w:val="000000"/>
                      <w:szCs w:val="21"/>
                    </w:rPr>
                  </w:pPr>
                  <w:r>
                    <w:rPr>
                      <w:bCs/>
                      <w:color w:val="000000"/>
                      <w:szCs w:val="21"/>
                    </w:rPr>
                    <w:t>生产设施</w:t>
                  </w:r>
                </w:p>
              </w:tc>
              <w:tc>
                <w:tcPr>
                  <w:tcW w:w="1971" w:type="dxa"/>
                  <w:vMerge w:val="continue"/>
                  <w:noWrap w:val="0"/>
                  <w:vAlign w:val="center"/>
                </w:tcPr>
                <w:p w14:paraId="72716823">
                  <w:pPr>
                    <w:jc w:val="center"/>
                    <w:rPr>
                      <w:bCs/>
                      <w:color w:val="000000"/>
                      <w:szCs w:val="21"/>
                    </w:rPr>
                  </w:pPr>
                </w:p>
              </w:tc>
              <w:tc>
                <w:tcPr>
                  <w:tcW w:w="3743" w:type="dxa"/>
                  <w:vMerge w:val="continue"/>
                  <w:noWrap w:val="0"/>
                  <w:vAlign w:val="center"/>
                </w:tcPr>
                <w:p w14:paraId="1B22B8BD">
                  <w:pPr>
                    <w:jc w:val="center"/>
                    <w:rPr>
                      <w:bCs/>
                      <w:color w:val="000000"/>
                      <w:szCs w:val="21"/>
                    </w:rPr>
                  </w:pPr>
                </w:p>
              </w:tc>
            </w:tr>
            <w:tr w14:paraId="33B5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6" w:hRule="atLeast"/>
              </w:trPr>
              <w:tc>
                <w:tcPr>
                  <w:tcW w:w="709" w:type="dxa"/>
                  <w:vMerge w:val="restart"/>
                  <w:noWrap w:val="0"/>
                  <w:vAlign w:val="center"/>
                </w:tcPr>
                <w:p w14:paraId="443E5FE6">
                  <w:pPr>
                    <w:jc w:val="center"/>
                    <w:rPr>
                      <w:bCs/>
                      <w:color w:val="000000"/>
                      <w:szCs w:val="21"/>
                    </w:rPr>
                  </w:pPr>
                  <w:r>
                    <w:rPr>
                      <w:bCs/>
                      <w:color w:val="000000"/>
                      <w:szCs w:val="21"/>
                    </w:rPr>
                    <w:t>3</w:t>
                  </w:r>
                </w:p>
              </w:tc>
              <w:tc>
                <w:tcPr>
                  <w:tcW w:w="696" w:type="dxa"/>
                  <w:vMerge w:val="restart"/>
                  <w:noWrap w:val="0"/>
                  <w:vAlign w:val="center"/>
                </w:tcPr>
                <w:p w14:paraId="7A78A785">
                  <w:pPr>
                    <w:jc w:val="center"/>
                    <w:rPr>
                      <w:bCs/>
                      <w:color w:val="000000"/>
                      <w:szCs w:val="21"/>
                    </w:rPr>
                  </w:pPr>
                  <w:r>
                    <w:rPr>
                      <w:bCs/>
                      <w:color w:val="000000"/>
                      <w:szCs w:val="21"/>
                    </w:rPr>
                    <w:t>污染物及环保设施</w:t>
                  </w:r>
                </w:p>
              </w:tc>
              <w:tc>
                <w:tcPr>
                  <w:tcW w:w="1115" w:type="dxa"/>
                  <w:noWrap w:val="0"/>
                  <w:vAlign w:val="center"/>
                </w:tcPr>
                <w:p w14:paraId="2C9221D6">
                  <w:pPr>
                    <w:jc w:val="center"/>
                    <w:rPr>
                      <w:bCs/>
                      <w:color w:val="000000"/>
                      <w:szCs w:val="21"/>
                    </w:rPr>
                  </w:pPr>
                  <w:r>
                    <w:rPr>
                      <w:bCs/>
                      <w:color w:val="000000"/>
                      <w:szCs w:val="21"/>
                    </w:rPr>
                    <w:t>废气</w:t>
                  </w:r>
                </w:p>
              </w:tc>
              <w:tc>
                <w:tcPr>
                  <w:tcW w:w="1971" w:type="dxa"/>
                  <w:vMerge w:val="restart"/>
                  <w:noWrap w:val="0"/>
                  <w:vAlign w:val="center"/>
                </w:tcPr>
                <w:p w14:paraId="7C6C510B">
                  <w:pPr>
                    <w:jc w:val="center"/>
                    <w:rPr>
                      <w:bCs/>
                      <w:color w:val="000000"/>
                      <w:szCs w:val="21"/>
                    </w:rPr>
                  </w:pPr>
                  <w:r>
                    <w:rPr>
                      <w:bCs/>
                      <w:color w:val="000000"/>
                      <w:szCs w:val="21"/>
                    </w:rPr>
                    <w:t>对项目排放污染物的种类、产生量以及治理工艺进行分析</w:t>
                  </w:r>
                </w:p>
              </w:tc>
              <w:tc>
                <w:tcPr>
                  <w:tcW w:w="3743" w:type="dxa"/>
                  <w:noWrap w:val="0"/>
                  <w:vAlign w:val="center"/>
                </w:tcPr>
                <w:p w14:paraId="37F86A9F">
                  <w:pPr>
                    <w:jc w:val="center"/>
                    <w:rPr>
                      <w:bCs/>
                      <w:color w:val="000000"/>
                      <w:szCs w:val="21"/>
                    </w:rPr>
                  </w:pPr>
                  <w:r>
                    <w:rPr>
                      <w:bCs/>
                      <w:color w:val="000000"/>
                      <w:szCs w:val="21"/>
                    </w:rPr>
                    <w:t>项目废气主要为</w:t>
                  </w:r>
                  <w:r>
                    <w:rPr>
                      <w:rFonts w:hint="eastAsia"/>
                      <w:bCs/>
                      <w:color w:val="000000"/>
                      <w:szCs w:val="21"/>
                    </w:rPr>
                    <w:t>甲醇</w:t>
                  </w:r>
                  <w:r>
                    <w:rPr>
                      <w:bCs/>
                      <w:color w:val="000000"/>
                      <w:szCs w:val="21"/>
                    </w:rPr>
                    <w:t>，经</w:t>
                  </w:r>
                  <w:r>
                    <w:rPr>
                      <w:rFonts w:hint="eastAsia"/>
                      <w:bCs/>
                      <w:color w:val="000000"/>
                      <w:szCs w:val="21"/>
                    </w:rPr>
                    <w:t>负压状态+管道收集+活</w:t>
                  </w:r>
                  <w:r>
                    <w:rPr>
                      <w:bCs/>
                      <w:color w:val="000000"/>
                      <w:szCs w:val="21"/>
                    </w:rPr>
                    <w:t>性炭吸附装置处理后，废气达标排放。项目废气处理装置失效，会导致废气事故性排放。</w:t>
                  </w:r>
                </w:p>
              </w:tc>
            </w:tr>
            <w:tr w14:paraId="44D3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09" w:type="dxa"/>
                  <w:vMerge w:val="continue"/>
                  <w:noWrap w:val="0"/>
                  <w:vAlign w:val="center"/>
                </w:tcPr>
                <w:p w14:paraId="4DB3C516">
                  <w:pPr>
                    <w:jc w:val="center"/>
                    <w:rPr>
                      <w:bCs/>
                      <w:color w:val="000000"/>
                      <w:szCs w:val="21"/>
                    </w:rPr>
                  </w:pPr>
                </w:p>
              </w:tc>
              <w:tc>
                <w:tcPr>
                  <w:tcW w:w="696" w:type="dxa"/>
                  <w:vMerge w:val="continue"/>
                  <w:noWrap w:val="0"/>
                  <w:vAlign w:val="center"/>
                </w:tcPr>
                <w:p w14:paraId="62DCEB5B">
                  <w:pPr>
                    <w:jc w:val="center"/>
                    <w:rPr>
                      <w:bCs/>
                      <w:color w:val="000000"/>
                      <w:szCs w:val="21"/>
                    </w:rPr>
                  </w:pPr>
                </w:p>
              </w:tc>
              <w:tc>
                <w:tcPr>
                  <w:tcW w:w="1115" w:type="dxa"/>
                  <w:noWrap w:val="0"/>
                  <w:vAlign w:val="center"/>
                </w:tcPr>
                <w:p w14:paraId="4AABF3FC">
                  <w:pPr>
                    <w:jc w:val="center"/>
                    <w:rPr>
                      <w:bCs/>
                      <w:color w:val="000000"/>
                      <w:szCs w:val="21"/>
                    </w:rPr>
                  </w:pPr>
                  <w:r>
                    <w:rPr>
                      <w:bCs/>
                      <w:color w:val="000000"/>
                      <w:szCs w:val="21"/>
                    </w:rPr>
                    <w:t>固废</w:t>
                  </w:r>
                </w:p>
              </w:tc>
              <w:tc>
                <w:tcPr>
                  <w:tcW w:w="1971" w:type="dxa"/>
                  <w:vMerge w:val="continue"/>
                  <w:noWrap w:val="0"/>
                  <w:vAlign w:val="center"/>
                </w:tcPr>
                <w:p w14:paraId="03174023">
                  <w:pPr>
                    <w:jc w:val="center"/>
                    <w:rPr>
                      <w:bCs/>
                      <w:color w:val="000000"/>
                      <w:szCs w:val="21"/>
                    </w:rPr>
                  </w:pPr>
                </w:p>
              </w:tc>
              <w:tc>
                <w:tcPr>
                  <w:tcW w:w="3743" w:type="dxa"/>
                  <w:noWrap w:val="0"/>
                  <w:vAlign w:val="center"/>
                </w:tcPr>
                <w:p w14:paraId="666C353F">
                  <w:pPr>
                    <w:jc w:val="center"/>
                    <w:rPr>
                      <w:bCs/>
                      <w:color w:val="000000"/>
                      <w:szCs w:val="21"/>
                    </w:rPr>
                  </w:pPr>
                  <w:r>
                    <w:rPr>
                      <w:bCs/>
                      <w:color w:val="000000"/>
                      <w:szCs w:val="21"/>
                    </w:rPr>
                    <w:t>《建设项目环境风险评价技术导则》（HJ169-2018）附录B、《危险化学品重大危险源辨识》（GB18218-2018），本项目涉及的危险性物质为废机油。</w:t>
                  </w:r>
                </w:p>
              </w:tc>
            </w:tr>
          </w:tbl>
          <w:p w14:paraId="0FA1E5E8">
            <w:pPr>
              <w:spacing w:line="360" w:lineRule="auto"/>
              <w:ind w:firstLine="480" w:firstLineChars="200"/>
              <w:rPr>
                <w:bCs/>
                <w:color w:val="000000"/>
                <w:sz w:val="24"/>
              </w:rPr>
            </w:pPr>
            <w:r>
              <w:rPr>
                <w:bCs/>
                <w:color w:val="000000"/>
                <w:sz w:val="24"/>
              </w:rPr>
              <w:t>根据上表分析可知，本项目涉及的风险源主要为生产</w:t>
            </w:r>
            <w:r>
              <w:rPr>
                <w:rFonts w:hint="eastAsia"/>
                <w:bCs/>
                <w:color w:val="000000"/>
                <w:sz w:val="24"/>
              </w:rPr>
              <w:t>区</w:t>
            </w:r>
            <w:r>
              <w:rPr>
                <w:bCs/>
                <w:color w:val="000000"/>
                <w:sz w:val="24"/>
              </w:rPr>
              <w:t>、废气处理装置及危废暂存间；涉及的环境风险物质为</w:t>
            </w:r>
            <w:r>
              <w:rPr>
                <w:rFonts w:hint="eastAsia"/>
                <w:bCs/>
                <w:color w:val="000000"/>
                <w:sz w:val="24"/>
              </w:rPr>
              <w:t>甲醇、</w:t>
            </w:r>
            <w:r>
              <w:rPr>
                <w:bCs/>
                <w:color w:val="000000"/>
                <w:sz w:val="24"/>
              </w:rPr>
              <w:t>废机油。</w:t>
            </w:r>
          </w:p>
          <w:p w14:paraId="5F7DB414">
            <w:pPr>
              <w:spacing w:line="360" w:lineRule="auto"/>
              <w:ind w:firstLine="482" w:firstLineChars="200"/>
              <w:rPr>
                <w:b/>
                <w:color w:val="000000"/>
                <w:sz w:val="24"/>
              </w:rPr>
            </w:pPr>
            <w:r>
              <w:rPr>
                <w:rFonts w:hint="eastAsia"/>
                <w:b/>
                <w:color w:val="000000"/>
                <w:sz w:val="24"/>
              </w:rPr>
              <w:t>2、</w:t>
            </w:r>
            <w:r>
              <w:rPr>
                <w:b/>
                <w:color w:val="000000"/>
                <w:sz w:val="24"/>
              </w:rPr>
              <w:t>风险物质识别</w:t>
            </w:r>
          </w:p>
          <w:p w14:paraId="64BBE335">
            <w:pPr>
              <w:spacing w:line="360" w:lineRule="auto"/>
              <w:ind w:firstLine="480" w:firstLineChars="200"/>
              <w:rPr>
                <w:bCs/>
                <w:color w:val="000000"/>
                <w:sz w:val="24"/>
              </w:rPr>
            </w:pPr>
            <w:r>
              <w:rPr>
                <w:bCs/>
                <w:color w:val="000000"/>
                <w:sz w:val="24"/>
              </w:rPr>
              <w:t>根据《建设项目环境风险评价技术导则》（HJ169-2018）附录B、《危险化学品重大危险源辨识》（GB18218-2018），本项目涉及的危险性物质为</w:t>
            </w:r>
            <w:r>
              <w:rPr>
                <w:rFonts w:hint="eastAsia"/>
                <w:bCs/>
                <w:color w:val="000000"/>
                <w:sz w:val="24"/>
              </w:rPr>
              <w:t>甲醇、</w:t>
            </w:r>
            <w:r>
              <w:rPr>
                <w:bCs/>
                <w:color w:val="000000"/>
                <w:sz w:val="24"/>
              </w:rPr>
              <w:t>废机油。</w:t>
            </w:r>
            <w:r>
              <w:rPr>
                <w:rFonts w:hint="eastAsia"/>
                <w:bCs/>
                <w:color w:val="000000"/>
                <w:sz w:val="24"/>
              </w:rPr>
              <w:t>甲醇位于脱色、染色桶内，并用防火布覆盖，</w:t>
            </w:r>
            <w:r>
              <w:rPr>
                <w:bCs/>
                <w:color w:val="000000"/>
                <w:sz w:val="24"/>
              </w:rPr>
              <w:t>废机油使用可</w:t>
            </w:r>
            <w:r>
              <w:rPr>
                <w:rFonts w:hint="eastAsia"/>
                <w:bCs/>
                <w:color w:val="000000"/>
                <w:sz w:val="24"/>
              </w:rPr>
              <w:t>半密闭</w:t>
            </w:r>
            <w:r>
              <w:rPr>
                <w:bCs/>
                <w:color w:val="000000"/>
                <w:sz w:val="24"/>
              </w:rPr>
              <w:t>油桶暂存。风险物质与临界量比值计算结果见</w:t>
            </w:r>
            <w:r>
              <w:rPr>
                <w:rFonts w:hint="eastAsia"/>
                <w:bCs/>
                <w:color w:val="000000"/>
                <w:sz w:val="24"/>
              </w:rPr>
              <w:t>下</w:t>
            </w:r>
            <w:r>
              <w:rPr>
                <w:bCs/>
                <w:color w:val="000000"/>
                <w:sz w:val="24"/>
              </w:rPr>
              <w:t>表。</w:t>
            </w:r>
          </w:p>
          <w:p w14:paraId="77D780E9">
            <w:pPr>
              <w:spacing w:line="360" w:lineRule="auto"/>
              <w:jc w:val="center"/>
              <w:rPr>
                <w:b/>
                <w:color w:val="000000"/>
                <w:szCs w:val="21"/>
              </w:rPr>
            </w:pPr>
            <w:r>
              <w:rPr>
                <w:b/>
                <w:color w:val="000000"/>
                <w:szCs w:val="21"/>
              </w:rPr>
              <w:t>表4-17 项目危险物质数量与临界量比值（Q）计算一览表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816"/>
              <w:gridCol w:w="1703"/>
              <w:gridCol w:w="1275"/>
              <w:gridCol w:w="1592"/>
              <w:gridCol w:w="1047"/>
            </w:tblGrid>
            <w:tr w14:paraId="50FC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21" w:hRule="atLeast"/>
                <w:jc w:val="center"/>
              </w:trPr>
              <w:tc>
                <w:tcPr>
                  <w:tcW w:w="764" w:type="dxa"/>
                  <w:noWrap w:val="0"/>
                  <w:vAlign w:val="center"/>
                </w:tcPr>
                <w:p w14:paraId="44BEB9BE">
                  <w:pPr>
                    <w:jc w:val="center"/>
                    <w:rPr>
                      <w:b/>
                      <w:color w:val="000000"/>
                      <w:szCs w:val="21"/>
                    </w:rPr>
                  </w:pPr>
                  <w:r>
                    <w:rPr>
                      <w:b/>
                      <w:color w:val="000000"/>
                      <w:szCs w:val="21"/>
                    </w:rPr>
                    <w:t>序号</w:t>
                  </w:r>
                </w:p>
              </w:tc>
              <w:tc>
                <w:tcPr>
                  <w:tcW w:w="1816" w:type="dxa"/>
                  <w:noWrap w:val="0"/>
                  <w:vAlign w:val="center"/>
                </w:tcPr>
                <w:p w14:paraId="1B6A5F04">
                  <w:pPr>
                    <w:jc w:val="center"/>
                    <w:rPr>
                      <w:b/>
                      <w:color w:val="000000"/>
                      <w:szCs w:val="21"/>
                    </w:rPr>
                  </w:pPr>
                  <w:r>
                    <w:rPr>
                      <w:b/>
                      <w:color w:val="000000"/>
                      <w:szCs w:val="21"/>
                    </w:rPr>
                    <w:t>危险化学品名称</w:t>
                  </w:r>
                </w:p>
              </w:tc>
              <w:tc>
                <w:tcPr>
                  <w:tcW w:w="1703" w:type="dxa"/>
                  <w:tcBorders>
                    <w:right w:val="single" w:color="auto" w:sz="4" w:space="0"/>
                  </w:tcBorders>
                  <w:noWrap w:val="0"/>
                  <w:vAlign w:val="center"/>
                </w:tcPr>
                <w:p w14:paraId="2B2B0A0D">
                  <w:pPr>
                    <w:jc w:val="center"/>
                    <w:rPr>
                      <w:b/>
                      <w:color w:val="000000"/>
                      <w:szCs w:val="21"/>
                    </w:rPr>
                  </w:pPr>
                  <w:r>
                    <w:rPr>
                      <w:b/>
                      <w:color w:val="000000"/>
                      <w:szCs w:val="21"/>
                    </w:rPr>
                    <w:t>实际最大储量（t）</w:t>
                  </w:r>
                </w:p>
              </w:tc>
              <w:tc>
                <w:tcPr>
                  <w:tcW w:w="1275" w:type="dxa"/>
                  <w:tcBorders>
                    <w:left w:val="single" w:color="auto" w:sz="4" w:space="0"/>
                  </w:tcBorders>
                  <w:noWrap w:val="0"/>
                  <w:vAlign w:val="center"/>
                </w:tcPr>
                <w:p w14:paraId="7F1DEA6B">
                  <w:pPr>
                    <w:jc w:val="center"/>
                    <w:rPr>
                      <w:b/>
                      <w:color w:val="000000"/>
                      <w:szCs w:val="21"/>
                    </w:rPr>
                  </w:pPr>
                  <w:r>
                    <w:rPr>
                      <w:b/>
                      <w:color w:val="000000"/>
                      <w:szCs w:val="21"/>
                    </w:rPr>
                    <w:t>临界量（t）</w:t>
                  </w:r>
                </w:p>
              </w:tc>
              <w:tc>
                <w:tcPr>
                  <w:tcW w:w="1592" w:type="dxa"/>
                  <w:noWrap w:val="0"/>
                  <w:vAlign w:val="center"/>
                </w:tcPr>
                <w:p w14:paraId="6E2FF446">
                  <w:pPr>
                    <w:jc w:val="center"/>
                    <w:rPr>
                      <w:b/>
                      <w:color w:val="000000"/>
                      <w:szCs w:val="21"/>
                    </w:rPr>
                  </w:pPr>
                  <w:r>
                    <w:rPr>
                      <w:b/>
                      <w:color w:val="000000"/>
                      <w:szCs w:val="21"/>
                    </w:rPr>
                    <w:t>仓储形式</w:t>
                  </w:r>
                </w:p>
              </w:tc>
              <w:tc>
                <w:tcPr>
                  <w:tcW w:w="1047" w:type="dxa"/>
                  <w:noWrap w:val="0"/>
                  <w:vAlign w:val="center"/>
                </w:tcPr>
                <w:p w14:paraId="37F594C6">
                  <w:pPr>
                    <w:jc w:val="center"/>
                    <w:rPr>
                      <w:b/>
                      <w:color w:val="000000"/>
                      <w:szCs w:val="21"/>
                    </w:rPr>
                  </w:pPr>
                  <w:r>
                    <w:rPr>
                      <w:b/>
                      <w:color w:val="000000"/>
                      <w:szCs w:val="21"/>
                    </w:rPr>
                    <w:t>qn/Qn</w:t>
                  </w:r>
                </w:p>
              </w:tc>
            </w:tr>
            <w:tr w14:paraId="6FA8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30" w:hRule="atLeast"/>
                <w:jc w:val="center"/>
              </w:trPr>
              <w:tc>
                <w:tcPr>
                  <w:tcW w:w="764" w:type="dxa"/>
                  <w:noWrap w:val="0"/>
                  <w:vAlign w:val="center"/>
                </w:tcPr>
                <w:p w14:paraId="733DF1BB">
                  <w:pPr>
                    <w:pStyle w:val="48"/>
                    <w:spacing w:before="32"/>
                    <w:ind w:left="84" w:right="76"/>
                    <w:jc w:val="center"/>
                    <w:rPr>
                      <w:rFonts w:hint="eastAsia" w:ascii="Times New Roman" w:hAnsi="Times New Roman" w:cs="Times New Roman"/>
                      <w:color w:val="000000"/>
                      <w:szCs w:val="21"/>
                      <w:lang w:val="en-US"/>
                    </w:rPr>
                  </w:pPr>
                  <w:r>
                    <w:rPr>
                      <w:rFonts w:hint="eastAsia" w:ascii="Times New Roman" w:hAnsi="Times New Roman" w:cs="Times New Roman"/>
                      <w:color w:val="000000"/>
                      <w:szCs w:val="21"/>
                      <w:lang w:val="en-US"/>
                    </w:rPr>
                    <w:t>1</w:t>
                  </w:r>
                </w:p>
              </w:tc>
              <w:tc>
                <w:tcPr>
                  <w:tcW w:w="1816" w:type="dxa"/>
                  <w:noWrap w:val="0"/>
                  <w:vAlign w:val="center"/>
                </w:tcPr>
                <w:p w14:paraId="4E98674A">
                  <w:pPr>
                    <w:pStyle w:val="48"/>
                    <w:spacing w:before="32"/>
                    <w:ind w:left="84" w:right="76"/>
                    <w:jc w:val="center"/>
                    <w:rPr>
                      <w:rFonts w:hint="eastAsia" w:ascii="Times New Roman" w:hAnsi="Times New Roman" w:cs="Times New Roman"/>
                      <w:color w:val="000000"/>
                      <w:szCs w:val="21"/>
                    </w:rPr>
                  </w:pPr>
                  <w:r>
                    <w:rPr>
                      <w:rFonts w:hint="eastAsia" w:ascii="Times New Roman" w:hAnsi="Times New Roman" w:cs="Times New Roman"/>
                      <w:color w:val="000000"/>
                      <w:szCs w:val="21"/>
                    </w:rPr>
                    <w:t>甲醇</w:t>
                  </w:r>
                </w:p>
              </w:tc>
              <w:tc>
                <w:tcPr>
                  <w:tcW w:w="1703" w:type="dxa"/>
                  <w:tcBorders>
                    <w:right w:val="single" w:color="auto" w:sz="4" w:space="0"/>
                  </w:tcBorders>
                  <w:noWrap w:val="0"/>
                  <w:vAlign w:val="center"/>
                </w:tcPr>
                <w:p w14:paraId="21DD276D">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2.5</w:t>
                  </w:r>
                </w:p>
              </w:tc>
              <w:tc>
                <w:tcPr>
                  <w:tcW w:w="1275" w:type="dxa"/>
                  <w:tcBorders>
                    <w:left w:val="single" w:color="auto" w:sz="4" w:space="0"/>
                  </w:tcBorders>
                  <w:noWrap w:val="0"/>
                  <w:vAlign w:val="center"/>
                </w:tcPr>
                <w:p w14:paraId="3C1E13D1">
                  <w:pPr>
                    <w:pStyle w:val="48"/>
                    <w:spacing w:before="32"/>
                    <w:ind w:left="84" w:right="76"/>
                    <w:jc w:val="center"/>
                    <w:rPr>
                      <w:rFonts w:ascii="Times New Roman" w:hAnsi="Times New Roman" w:cs="Times New Roman"/>
                      <w:color w:val="000000"/>
                      <w:szCs w:val="21"/>
                      <w:lang w:val="en-US"/>
                    </w:rPr>
                  </w:pPr>
                  <w:r>
                    <w:rPr>
                      <w:rFonts w:hint="eastAsia" w:ascii="Times New Roman" w:hAnsi="Times New Roman" w:cs="Times New Roman"/>
                      <w:color w:val="000000"/>
                      <w:szCs w:val="21"/>
                      <w:lang w:val="en-US"/>
                    </w:rPr>
                    <w:t>10</w:t>
                  </w:r>
                </w:p>
              </w:tc>
              <w:tc>
                <w:tcPr>
                  <w:tcW w:w="1592" w:type="dxa"/>
                  <w:noWrap w:val="0"/>
                  <w:vAlign w:val="center"/>
                </w:tcPr>
                <w:p w14:paraId="5AA90987">
                  <w:pPr>
                    <w:pStyle w:val="48"/>
                    <w:spacing w:before="32"/>
                    <w:ind w:left="84" w:right="76"/>
                    <w:jc w:val="center"/>
                    <w:rPr>
                      <w:rFonts w:hint="eastAsia" w:ascii="Times New Roman" w:hAnsi="Times New Roman" w:cs="Times New Roman"/>
                      <w:color w:val="000000"/>
                      <w:szCs w:val="21"/>
                    </w:rPr>
                  </w:pPr>
                  <w:r>
                    <w:rPr>
                      <w:rFonts w:hint="eastAsia" w:ascii="Times New Roman" w:hAnsi="Times New Roman" w:cs="Times New Roman"/>
                      <w:color w:val="000000"/>
                      <w:szCs w:val="21"/>
                    </w:rPr>
                    <w:t>位于生产车间脱色染色桶内</w:t>
                  </w:r>
                </w:p>
              </w:tc>
              <w:tc>
                <w:tcPr>
                  <w:tcW w:w="1047" w:type="dxa"/>
                  <w:noWrap w:val="0"/>
                  <w:vAlign w:val="center"/>
                </w:tcPr>
                <w:p w14:paraId="5E664BFB">
                  <w:pPr>
                    <w:widowControl/>
                    <w:jc w:val="center"/>
                    <w:textAlignment w:val="center"/>
                    <w:rPr>
                      <w:color w:val="000000"/>
                      <w:szCs w:val="21"/>
                    </w:rPr>
                  </w:pPr>
                  <w:r>
                    <w:rPr>
                      <w:color w:val="000000"/>
                      <w:szCs w:val="21"/>
                    </w:rPr>
                    <w:t>0.25</w:t>
                  </w:r>
                </w:p>
              </w:tc>
            </w:tr>
            <w:tr w14:paraId="4EB7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30" w:hRule="atLeast"/>
                <w:jc w:val="center"/>
              </w:trPr>
              <w:tc>
                <w:tcPr>
                  <w:tcW w:w="764" w:type="dxa"/>
                  <w:noWrap w:val="0"/>
                  <w:vAlign w:val="center"/>
                </w:tcPr>
                <w:p w14:paraId="53C1C9BF">
                  <w:pPr>
                    <w:pStyle w:val="48"/>
                    <w:spacing w:before="32"/>
                    <w:ind w:left="84" w:right="76"/>
                    <w:jc w:val="center"/>
                    <w:rPr>
                      <w:rFonts w:hint="eastAsia" w:ascii="Times New Roman" w:hAnsi="Times New Roman" w:cs="Times New Roman"/>
                      <w:color w:val="000000"/>
                      <w:szCs w:val="21"/>
                    </w:rPr>
                  </w:pPr>
                  <w:r>
                    <w:rPr>
                      <w:rFonts w:hint="eastAsia" w:ascii="Times New Roman" w:hAnsi="Times New Roman" w:cs="Times New Roman"/>
                      <w:color w:val="000000"/>
                      <w:szCs w:val="21"/>
                      <w:lang w:val="en-US"/>
                    </w:rPr>
                    <w:t>2</w:t>
                  </w:r>
                </w:p>
              </w:tc>
              <w:tc>
                <w:tcPr>
                  <w:tcW w:w="1816" w:type="dxa"/>
                  <w:noWrap w:val="0"/>
                  <w:vAlign w:val="center"/>
                </w:tcPr>
                <w:p w14:paraId="3CBD8498">
                  <w:pPr>
                    <w:pStyle w:val="48"/>
                    <w:spacing w:before="32"/>
                    <w:ind w:left="84" w:right="76"/>
                    <w:jc w:val="center"/>
                    <w:rPr>
                      <w:rFonts w:ascii="Times New Roman" w:hAnsi="Times New Roman" w:cs="Times New Roman"/>
                      <w:color w:val="000000"/>
                      <w:szCs w:val="21"/>
                    </w:rPr>
                  </w:pPr>
                  <w:r>
                    <w:rPr>
                      <w:rFonts w:ascii="Times New Roman" w:hAnsi="Times New Roman" w:cs="Times New Roman"/>
                      <w:color w:val="000000"/>
                      <w:szCs w:val="21"/>
                    </w:rPr>
                    <w:t>废机油</w:t>
                  </w:r>
                </w:p>
              </w:tc>
              <w:tc>
                <w:tcPr>
                  <w:tcW w:w="1703" w:type="dxa"/>
                  <w:tcBorders>
                    <w:right w:val="single" w:color="auto" w:sz="4" w:space="0"/>
                  </w:tcBorders>
                  <w:noWrap w:val="0"/>
                  <w:vAlign w:val="center"/>
                </w:tcPr>
                <w:p w14:paraId="28458D47">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0.01</w:t>
                  </w:r>
                </w:p>
              </w:tc>
              <w:tc>
                <w:tcPr>
                  <w:tcW w:w="1275" w:type="dxa"/>
                  <w:tcBorders>
                    <w:left w:val="single" w:color="auto" w:sz="4" w:space="0"/>
                  </w:tcBorders>
                  <w:noWrap w:val="0"/>
                  <w:vAlign w:val="center"/>
                </w:tcPr>
                <w:p w14:paraId="56718F86">
                  <w:pPr>
                    <w:pStyle w:val="48"/>
                    <w:spacing w:before="32"/>
                    <w:ind w:left="84" w:right="76"/>
                    <w:jc w:val="center"/>
                    <w:rPr>
                      <w:rFonts w:ascii="Times New Roman" w:hAnsi="Times New Roman" w:cs="Times New Roman"/>
                      <w:color w:val="000000"/>
                      <w:szCs w:val="21"/>
                    </w:rPr>
                  </w:pPr>
                  <w:r>
                    <w:rPr>
                      <w:rFonts w:ascii="Times New Roman" w:hAnsi="Times New Roman" w:cs="Times New Roman"/>
                      <w:color w:val="000000"/>
                      <w:szCs w:val="21"/>
                    </w:rPr>
                    <w:t>2500</w:t>
                  </w:r>
                </w:p>
              </w:tc>
              <w:tc>
                <w:tcPr>
                  <w:tcW w:w="1592" w:type="dxa"/>
                  <w:noWrap w:val="0"/>
                  <w:vAlign w:val="center"/>
                </w:tcPr>
                <w:p w14:paraId="5C55DE3D">
                  <w:pPr>
                    <w:pStyle w:val="48"/>
                    <w:spacing w:before="32"/>
                    <w:ind w:left="84" w:right="76"/>
                    <w:jc w:val="center"/>
                    <w:rPr>
                      <w:rFonts w:ascii="Times New Roman" w:hAnsi="Times New Roman" w:cs="Times New Roman"/>
                      <w:color w:val="000000"/>
                      <w:szCs w:val="21"/>
                    </w:rPr>
                  </w:pPr>
                  <w:r>
                    <w:rPr>
                      <w:rFonts w:ascii="Times New Roman" w:hAnsi="Times New Roman" w:cs="Times New Roman"/>
                      <w:color w:val="000000"/>
                      <w:szCs w:val="21"/>
                    </w:rPr>
                    <w:t>危废暂存间内</w:t>
                  </w:r>
                </w:p>
              </w:tc>
              <w:tc>
                <w:tcPr>
                  <w:tcW w:w="1047" w:type="dxa"/>
                  <w:noWrap w:val="0"/>
                  <w:vAlign w:val="center"/>
                </w:tcPr>
                <w:p w14:paraId="1739C2C6">
                  <w:pPr>
                    <w:widowControl/>
                    <w:jc w:val="center"/>
                    <w:textAlignment w:val="center"/>
                    <w:rPr>
                      <w:color w:val="000000"/>
                      <w:kern w:val="0"/>
                      <w:sz w:val="22"/>
                      <w:szCs w:val="22"/>
                      <w:lang w:bidi="ar"/>
                    </w:rPr>
                  </w:pPr>
                  <w:r>
                    <w:rPr>
                      <w:color w:val="000000"/>
                      <w:kern w:val="0"/>
                      <w:sz w:val="22"/>
                      <w:szCs w:val="22"/>
                      <w:lang w:bidi="ar"/>
                    </w:rPr>
                    <w:t>0.000</w:t>
                  </w:r>
                  <w:r>
                    <w:rPr>
                      <w:rFonts w:hint="eastAsia"/>
                      <w:color w:val="000000"/>
                      <w:kern w:val="0"/>
                      <w:sz w:val="22"/>
                      <w:szCs w:val="22"/>
                      <w:lang w:bidi="ar"/>
                    </w:rPr>
                    <w:t>27</w:t>
                  </w:r>
                  <w:r>
                    <w:rPr>
                      <w:color w:val="000000"/>
                      <w:kern w:val="0"/>
                      <w:sz w:val="22"/>
                      <w:szCs w:val="22"/>
                      <w:lang w:bidi="ar"/>
                    </w:rPr>
                    <w:t>4</w:t>
                  </w:r>
                </w:p>
              </w:tc>
            </w:tr>
            <w:tr w14:paraId="467DB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30" w:hRule="atLeast"/>
                <w:jc w:val="center"/>
              </w:trPr>
              <w:tc>
                <w:tcPr>
                  <w:tcW w:w="764" w:type="dxa"/>
                  <w:noWrap w:val="0"/>
                  <w:vAlign w:val="center"/>
                </w:tcPr>
                <w:p w14:paraId="50A2114D">
                  <w:pPr>
                    <w:pStyle w:val="48"/>
                    <w:spacing w:before="32"/>
                    <w:ind w:left="84" w:right="76"/>
                    <w:jc w:val="center"/>
                    <w:rPr>
                      <w:rFonts w:hint="eastAsia" w:ascii="Times New Roman" w:hAnsi="Times New Roman" w:cs="Times New Roman"/>
                      <w:color w:val="000000"/>
                      <w:szCs w:val="21"/>
                      <w:lang w:val="en-US"/>
                    </w:rPr>
                  </w:pPr>
                  <w:r>
                    <w:rPr>
                      <w:rFonts w:hint="eastAsia" w:ascii="Times New Roman" w:hAnsi="Times New Roman" w:cs="Times New Roman"/>
                      <w:color w:val="000000"/>
                      <w:szCs w:val="21"/>
                      <w:lang w:val="en-US"/>
                    </w:rPr>
                    <w:t>3</w:t>
                  </w:r>
                </w:p>
              </w:tc>
              <w:tc>
                <w:tcPr>
                  <w:tcW w:w="1816" w:type="dxa"/>
                  <w:noWrap w:val="0"/>
                  <w:vAlign w:val="center"/>
                </w:tcPr>
                <w:p w14:paraId="27E17E53">
                  <w:pPr>
                    <w:pStyle w:val="48"/>
                    <w:spacing w:before="32"/>
                    <w:ind w:left="84" w:right="76"/>
                    <w:jc w:val="center"/>
                    <w:rPr>
                      <w:rFonts w:ascii="Times New Roman" w:hAnsi="Times New Roman" w:cs="Times New Roman"/>
                      <w:color w:val="000000"/>
                      <w:szCs w:val="21"/>
                    </w:rPr>
                  </w:pPr>
                  <w:r>
                    <w:rPr>
                      <w:rFonts w:hint="eastAsia" w:ascii="Times New Roman" w:hAnsi="Times New Roman" w:cs="Times New Roman"/>
                      <w:color w:val="000000"/>
                      <w:szCs w:val="21"/>
                    </w:rPr>
                    <w:t>漂白剂</w:t>
                  </w:r>
                </w:p>
              </w:tc>
              <w:tc>
                <w:tcPr>
                  <w:tcW w:w="1703" w:type="dxa"/>
                  <w:tcBorders>
                    <w:right w:val="single" w:color="auto" w:sz="4" w:space="0"/>
                  </w:tcBorders>
                  <w:noWrap w:val="0"/>
                  <w:vAlign w:val="center"/>
                </w:tcPr>
                <w:p w14:paraId="345EBA26">
                  <w:pPr>
                    <w:pStyle w:val="48"/>
                    <w:spacing w:before="32"/>
                    <w:ind w:left="84" w:right="76"/>
                    <w:jc w:val="center"/>
                    <w:rPr>
                      <w:rFonts w:ascii="Times New Roman" w:hAnsi="Times New Roman" w:cs="Times New Roman"/>
                      <w:color w:val="000000"/>
                      <w:szCs w:val="21"/>
                      <w:lang w:val="en-US"/>
                    </w:rPr>
                  </w:pPr>
                  <w:r>
                    <w:rPr>
                      <w:rFonts w:hint="eastAsia" w:ascii="Times New Roman" w:hAnsi="Times New Roman" w:cs="Times New Roman"/>
                      <w:color w:val="000000"/>
                      <w:szCs w:val="21"/>
                      <w:lang w:val="en-US"/>
                    </w:rPr>
                    <w:t>0.</w:t>
                  </w:r>
                  <w:r>
                    <w:rPr>
                      <w:rFonts w:ascii="Times New Roman" w:hAnsi="Times New Roman" w:cs="Times New Roman"/>
                      <w:color w:val="000000"/>
                      <w:szCs w:val="21"/>
                      <w:lang w:val="en-US"/>
                    </w:rPr>
                    <w:t>2</w:t>
                  </w:r>
                </w:p>
              </w:tc>
              <w:tc>
                <w:tcPr>
                  <w:tcW w:w="1275" w:type="dxa"/>
                  <w:tcBorders>
                    <w:left w:val="single" w:color="auto" w:sz="4" w:space="0"/>
                  </w:tcBorders>
                  <w:noWrap w:val="0"/>
                  <w:vAlign w:val="center"/>
                </w:tcPr>
                <w:p w14:paraId="6546372A">
                  <w:pPr>
                    <w:pStyle w:val="48"/>
                    <w:spacing w:before="32"/>
                    <w:ind w:left="84" w:right="76"/>
                    <w:jc w:val="center"/>
                    <w:rPr>
                      <w:rFonts w:ascii="Times New Roman" w:hAnsi="Times New Roman" w:cs="Times New Roman"/>
                      <w:color w:val="000000"/>
                      <w:szCs w:val="21"/>
                    </w:rPr>
                  </w:pPr>
                  <w:r>
                    <w:rPr>
                      <w:rFonts w:hint="eastAsia" w:ascii="Times New Roman" w:hAnsi="Times New Roman" w:cs="Times New Roman"/>
                      <w:color w:val="000000"/>
                      <w:szCs w:val="21"/>
                    </w:rPr>
                    <w:t>5</w:t>
                  </w:r>
                </w:p>
              </w:tc>
              <w:tc>
                <w:tcPr>
                  <w:tcW w:w="1592" w:type="dxa"/>
                  <w:noWrap w:val="0"/>
                  <w:vAlign w:val="center"/>
                </w:tcPr>
                <w:p w14:paraId="73A08323">
                  <w:pPr>
                    <w:pStyle w:val="48"/>
                    <w:spacing w:before="32"/>
                    <w:ind w:left="84" w:right="76"/>
                    <w:jc w:val="center"/>
                    <w:rPr>
                      <w:rFonts w:ascii="Times New Roman" w:hAnsi="Times New Roman" w:cs="Times New Roman"/>
                      <w:color w:val="000000"/>
                      <w:szCs w:val="21"/>
                    </w:rPr>
                  </w:pPr>
                  <w:r>
                    <w:rPr>
                      <w:rFonts w:ascii="Times New Roman" w:hAnsi="Times New Roman" w:cs="Times New Roman"/>
                      <w:color w:val="000000"/>
                      <w:szCs w:val="21"/>
                    </w:rPr>
                    <w:t>脱色车间，瓶装</w:t>
                  </w:r>
                </w:p>
              </w:tc>
              <w:tc>
                <w:tcPr>
                  <w:tcW w:w="1047" w:type="dxa"/>
                  <w:noWrap w:val="0"/>
                  <w:vAlign w:val="center"/>
                </w:tcPr>
                <w:p w14:paraId="3D313091">
                  <w:pPr>
                    <w:widowControl/>
                    <w:jc w:val="center"/>
                    <w:textAlignment w:val="center"/>
                    <w:rPr>
                      <w:color w:val="000000"/>
                      <w:kern w:val="0"/>
                      <w:sz w:val="22"/>
                      <w:szCs w:val="22"/>
                      <w:lang w:bidi="ar"/>
                    </w:rPr>
                  </w:pPr>
                  <w:r>
                    <w:rPr>
                      <w:rFonts w:hint="eastAsia"/>
                      <w:color w:val="000000"/>
                      <w:kern w:val="0"/>
                      <w:sz w:val="22"/>
                      <w:szCs w:val="22"/>
                      <w:lang w:bidi="ar"/>
                    </w:rPr>
                    <w:t>0.04</w:t>
                  </w:r>
                </w:p>
              </w:tc>
            </w:tr>
            <w:tr w14:paraId="03A95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330" w:hRule="atLeast"/>
                <w:jc w:val="center"/>
              </w:trPr>
              <w:tc>
                <w:tcPr>
                  <w:tcW w:w="2580" w:type="dxa"/>
                  <w:gridSpan w:val="2"/>
                  <w:noWrap w:val="0"/>
                  <w:vAlign w:val="center"/>
                </w:tcPr>
                <w:p w14:paraId="0A97709C">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合计</w:t>
                  </w:r>
                </w:p>
              </w:tc>
              <w:tc>
                <w:tcPr>
                  <w:tcW w:w="1703" w:type="dxa"/>
                  <w:tcBorders>
                    <w:right w:val="single" w:color="auto" w:sz="4" w:space="0"/>
                  </w:tcBorders>
                  <w:noWrap w:val="0"/>
                  <w:vAlign w:val="center"/>
                </w:tcPr>
                <w:p w14:paraId="274B933E">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w:t>
                  </w:r>
                </w:p>
              </w:tc>
              <w:tc>
                <w:tcPr>
                  <w:tcW w:w="1275" w:type="dxa"/>
                  <w:tcBorders>
                    <w:left w:val="single" w:color="auto" w:sz="4" w:space="0"/>
                  </w:tcBorders>
                  <w:noWrap w:val="0"/>
                  <w:vAlign w:val="center"/>
                </w:tcPr>
                <w:p w14:paraId="26B7977C">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w:t>
                  </w:r>
                </w:p>
              </w:tc>
              <w:tc>
                <w:tcPr>
                  <w:tcW w:w="1592" w:type="dxa"/>
                  <w:noWrap w:val="0"/>
                  <w:vAlign w:val="center"/>
                </w:tcPr>
                <w:p w14:paraId="5A414283">
                  <w:pPr>
                    <w:pStyle w:val="48"/>
                    <w:spacing w:before="32"/>
                    <w:ind w:left="84" w:right="76"/>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w:t>
                  </w:r>
                </w:p>
              </w:tc>
              <w:tc>
                <w:tcPr>
                  <w:tcW w:w="1047" w:type="dxa"/>
                  <w:noWrap w:val="0"/>
                  <w:vAlign w:val="center"/>
                </w:tcPr>
                <w:p w14:paraId="35B1AD3B">
                  <w:pPr>
                    <w:widowControl/>
                    <w:jc w:val="center"/>
                    <w:textAlignment w:val="center"/>
                    <w:rPr>
                      <w:color w:val="000000"/>
                      <w:szCs w:val="21"/>
                    </w:rPr>
                  </w:pPr>
                  <w:r>
                    <w:rPr>
                      <w:color w:val="000000"/>
                      <w:kern w:val="0"/>
                      <w:sz w:val="22"/>
                      <w:szCs w:val="22"/>
                      <w:lang w:bidi="ar"/>
                    </w:rPr>
                    <w:t>0.290</w:t>
                  </w:r>
                  <w:r>
                    <w:rPr>
                      <w:rFonts w:hint="eastAsia"/>
                      <w:color w:val="000000"/>
                      <w:kern w:val="0"/>
                      <w:sz w:val="22"/>
                      <w:szCs w:val="22"/>
                      <w:lang w:bidi="ar"/>
                    </w:rPr>
                    <w:t>27</w:t>
                  </w:r>
                  <w:r>
                    <w:rPr>
                      <w:color w:val="000000"/>
                      <w:kern w:val="0"/>
                      <w:sz w:val="22"/>
                      <w:szCs w:val="22"/>
                      <w:lang w:bidi="ar"/>
                    </w:rPr>
                    <w:t>4</w:t>
                  </w:r>
                </w:p>
              </w:tc>
            </w:tr>
          </w:tbl>
          <w:p w14:paraId="58E538F5">
            <w:pPr>
              <w:spacing w:line="360" w:lineRule="auto"/>
              <w:ind w:firstLine="480" w:firstLineChars="200"/>
              <w:rPr>
                <w:bCs/>
                <w:color w:val="000000"/>
                <w:sz w:val="24"/>
              </w:rPr>
            </w:pPr>
            <w:r>
              <w:rPr>
                <w:bCs/>
                <w:color w:val="000000"/>
                <w:sz w:val="24"/>
              </w:rPr>
              <w:t>项目危险物质数量与临界量比值（Q）为</w:t>
            </w:r>
            <w:r>
              <w:rPr>
                <w:rFonts w:hint="eastAsia"/>
                <w:bCs/>
                <w:color w:val="000000"/>
                <w:sz w:val="24"/>
              </w:rPr>
              <w:t>0.</w:t>
            </w:r>
            <w:r>
              <w:rPr>
                <w:bCs/>
                <w:color w:val="000000"/>
                <w:sz w:val="24"/>
              </w:rPr>
              <w:t>290</w:t>
            </w:r>
            <w:r>
              <w:rPr>
                <w:rFonts w:hint="eastAsia"/>
                <w:bCs/>
                <w:color w:val="000000"/>
                <w:sz w:val="24"/>
              </w:rPr>
              <w:t>274</w:t>
            </w:r>
            <w:r>
              <w:rPr>
                <w:bCs/>
                <w:color w:val="000000"/>
                <w:sz w:val="24"/>
              </w:rPr>
              <w:t>＜1，风险潜势为Ⅰ，简单分心，且不构成重大风险源。</w:t>
            </w:r>
          </w:p>
          <w:p w14:paraId="4FA415C1">
            <w:pPr>
              <w:spacing w:line="360" w:lineRule="auto"/>
              <w:ind w:firstLine="482" w:firstLineChars="200"/>
              <w:rPr>
                <w:b/>
                <w:color w:val="000000"/>
                <w:sz w:val="24"/>
              </w:rPr>
            </w:pPr>
            <w:r>
              <w:rPr>
                <w:rFonts w:hint="eastAsia"/>
                <w:b/>
                <w:color w:val="000000"/>
                <w:sz w:val="24"/>
              </w:rPr>
              <w:t>3、</w:t>
            </w:r>
            <w:r>
              <w:rPr>
                <w:b/>
                <w:color w:val="000000"/>
                <w:sz w:val="24"/>
              </w:rPr>
              <w:t>影响途径</w:t>
            </w:r>
          </w:p>
          <w:p w14:paraId="1DF62CDC">
            <w:pPr>
              <w:spacing w:line="360" w:lineRule="auto"/>
              <w:ind w:firstLine="480" w:firstLineChars="200"/>
              <w:rPr>
                <w:bCs/>
                <w:color w:val="000000"/>
                <w:sz w:val="24"/>
              </w:rPr>
            </w:pPr>
            <w:r>
              <w:rPr>
                <w:bCs/>
                <w:color w:val="000000"/>
                <w:sz w:val="24"/>
              </w:rPr>
              <w:t>生产</w:t>
            </w:r>
            <w:r>
              <w:rPr>
                <w:rFonts w:hint="eastAsia"/>
                <w:bCs/>
                <w:color w:val="000000"/>
                <w:sz w:val="24"/>
              </w:rPr>
              <w:t>区</w:t>
            </w:r>
            <w:r>
              <w:rPr>
                <w:bCs/>
                <w:color w:val="000000"/>
                <w:sz w:val="24"/>
              </w:rPr>
              <w:t>：项目生产过程中安全措施不到位，极易引发火灾事故。火灾燃烧产生烟气会对厂区周围环境和产生一定的影响。</w:t>
            </w:r>
          </w:p>
          <w:p w14:paraId="6201BEE9">
            <w:pPr>
              <w:spacing w:line="360" w:lineRule="auto"/>
              <w:ind w:firstLine="480" w:firstLineChars="200"/>
              <w:rPr>
                <w:bCs/>
                <w:color w:val="000000"/>
                <w:sz w:val="24"/>
              </w:rPr>
            </w:pPr>
            <w:r>
              <w:rPr>
                <w:bCs/>
                <w:color w:val="000000"/>
                <w:sz w:val="24"/>
              </w:rPr>
              <w:t>甲醇泄漏：若甲醇泄漏，可能造成甲醇废气挥发对周边环境及敏感点造成影响、甲醇渗漏污染地下水和土壤环境。</w:t>
            </w:r>
          </w:p>
          <w:p w14:paraId="321AC35D">
            <w:pPr>
              <w:spacing w:line="360" w:lineRule="auto"/>
              <w:ind w:firstLine="480" w:firstLineChars="200"/>
              <w:rPr>
                <w:bCs/>
                <w:color w:val="000000"/>
                <w:sz w:val="24"/>
              </w:rPr>
            </w:pPr>
            <w:r>
              <w:rPr>
                <w:bCs/>
                <w:color w:val="000000"/>
                <w:sz w:val="24"/>
              </w:rPr>
              <w:t>危废暂存间：危废暂存间影响途径主要是废机油储存容器破裂，废机油出现泄漏、渗漏事故，溢流或者渗漏进入周边土壤和地下水，造成污染。</w:t>
            </w:r>
          </w:p>
          <w:p w14:paraId="5638DB7F">
            <w:pPr>
              <w:spacing w:line="360" w:lineRule="auto"/>
              <w:ind w:firstLine="482" w:firstLineChars="200"/>
              <w:rPr>
                <w:rFonts w:hint="eastAsia"/>
                <w:b/>
                <w:color w:val="000000"/>
                <w:sz w:val="24"/>
              </w:rPr>
            </w:pPr>
            <w:r>
              <w:rPr>
                <w:rFonts w:hint="eastAsia"/>
                <w:b/>
                <w:color w:val="000000"/>
                <w:sz w:val="24"/>
              </w:rPr>
              <w:t>4、风险防范措施</w:t>
            </w:r>
          </w:p>
          <w:p w14:paraId="02149E9F">
            <w:pPr>
              <w:spacing w:line="360" w:lineRule="auto"/>
              <w:ind w:firstLine="480" w:firstLineChars="200"/>
              <w:rPr>
                <w:bCs/>
                <w:color w:val="000000"/>
                <w:sz w:val="24"/>
              </w:rPr>
            </w:pPr>
            <w:r>
              <w:rPr>
                <w:rFonts w:hint="eastAsia"/>
                <w:bCs/>
                <w:color w:val="000000"/>
                <w:sz w:val="24"/>
              </w:rPr>
              <w:t>（1）</w:t>
            </w:r>
            <w:r>
              <w:rPr>
                <w:bCs/>
                <w:color w:val="000000"/>
                <w:sz w:val="24"/>
              </w:rPr>
              <w:t>生产</w:t>
            </w:r>
            <w:r>
              <w:rPr>
                <w:rFonts w:hint="eastAsia"/>
                <w:bCs/>
                <w:color w:val="000000"/>
                <w:sz w:val="24"/>
              </w:rPr>
              <w:t>区</w:t>
            </w:r>
            <w:r>
              <w:rPr>
                <w:bCs/>
                <w:color w:val="000000"/>
                <w:sz w:val="24"/>
              </w:rPr>
              <w:t>风险防范措施</w:t>
            </w:r>
          </w:p>
          <w:p w14:paraId="229DD5EB">
            <w:pPr>
              <w:spacing w:line="360" w:lineRule="auto"/>
              <w:ind w:firstLine="480" w:firstLineChars="200"/>
              <w:rPr>
                <w:bCs/>
                <w:color w:val="000000"/>
                <w:sz w:val="24"/>
              </w:rPr>
            </w:pPr>
            <w:r>
              <w:rPr>
                <w:color w:val="000000"/>
                <w:kern w:val="0"/>
                <w:sz w:val="24"/>
                <w:lang w:bidi="ar"/>
              </w:rPr>
              <w:t>落实责任制，生产车间</w:t>
            </w:r>
            <w:r>
              <w:rPr>
                <w:rFonts w:hint="eastAsia"/>
                <w:color w:val="000000"/>
                <w:kern w:val="0"/>
                <w:sz w:val="24"/>
                <w:lang w:bidi="ar"/>
              </w:rPr>
              <w:t>设置</w:t>
            </w:r>
            <w:r>
              <w:rPr>
                <w:color w:val="000000"/>
                <w:kern w:val="0"/>
                <w:sz w:val="24"/>
                <w:lang w:bidi="ar"/>
              </w:rPr>
              <w:t>负责人看管，确保车间隐患时刻监控，设置火灾自动报警器。</w:t>
            </w:r>
          </w:p>
          <w:p w14:paraId="3593DF40">
            <w:pPr>
              <w:spacing w:line="360" w:lineRule="auto"/>
              <w:ind w:firstLine="480" w:firstLineChars="200"/>
              <w:rPr>
                <w:color w:val="000000"/>
                <w:kern w:val="0"/>
                <w:sz w:val="24"/>
                <w:lang w:bidi="ar"/>
              </w:rPr>
            </w:pPr>
            <w:r>
              <w:rPr>
                <w:rFonts w:hint="eastAsia"/>
                <w:color w:val="000000"/>
                <w:kern w:val="0"/>
                <w:sz w:val="24"/>
                <w:lang w:bidi="ar"/>
              </w:rPr>
              <w:t>（2）</w:t>
            </w:r>
            <w:r>
              <w:rPr>
                <w:bCs/>
                <w:color w:val="000000"/>
                <w:sz w:val="24"/>
              </w:rPr>
              <w:t>甲醇泄漏</w:t>
            </w:r>
            <w:r>
              <w:rPr>
                <w:color w:val="000000"/>
                <w:kern w:val="0"/>
                <w:sz w:val="24"/>
                <w:lang w:bidi="ar"/>
              </w:rPr>
              <w:t>风险防范措施</w:t>
            </w:r>
          </w:p>
          <w:p w14:paraId="0247A57A">
            <w:pPr>
              <w:spacing w:line="360" w:lineRule="auto"/>
              <w:ind w:firstLine="480" w:firstLineChars="200"/>
              <w:rPr>
                <w:rFonts w:hint="eastAsia"/>
                <w:color w:val="000000"/>
                <w:kern w:val="0"/>
                <w:sz w:val="24"/>
                <w:lang w:bidi="ar"/>
              </w:rPr>
            </w:pPr>
            <w:r>
              <w:rPr>
                <w:color w:val="000000"/>
                <w:kern w:val="0"/>
                <w:sz w:val="24"/>
                <w:lang w:bidi="ar"/>
              </w:rPr>
              <w:t>项目不单独存放甲醇，每年补充的甲醇由供应商运输至厂内直接补充在脱色、染色桶内。项目区内甲醇存在于脱色溶液、染色溶液中，容器为密闭的</w:t>
            </w:r>
            <w:r>
              <w:rPr>
                <w:rFonts w:hint="eastAsia"/>
                <w:color w:val="000000"/>
                <w:kern w:val="0"/>
                <w:sz w:val="24"/>
                <w:lang w:bidi="ar"/>
              </w:rPr>
              <w:t>P</w:t>
            </w:r>
            <w:r>
              <w:rPr>
                <w:color w:val="000000"/>
                <w:kern w:val="0"/>
                <w:sz w:val="24"/>
                <w:lang w:bidi="ar"/>
              </w:rPr>
              <w:t>E桶。发生泄漏的情况主要是盛装脱色溶液、染色溶液的容器破损，甲醇随溶液一并泄漏。为了避免泄漏造成环境风险，现状实际采取了以下措施：</w:t>
            </w:r>
          </w:p>
          <w:p w14:paraId="03968FEF">
            <w:pPr>
              <w:spacing w:line="360" w:lineRule="auto"/>
              <w:ind w:firstLine="480" w:firstLineChars="200"/>
              <w:rPr>
                <w:rFonts w:hint="eastAsia"/>
                <w:color w:val="000000"/>
                <w:kern w:val="0"/>
                <w:sz w:val="24"/>
                <w:lang w:bidi="ar"/>
              </w:rPr>
            </w:pPr>
            <w:r>
              <w:rPr>
                <w:color w:val="000000"/>
                <w:kern w:val="0"/>
                <w:sz w:val="24"/>
                <w:lang w:bidi="ar"/>
              </w:rPr>
              <w:t>①溶液盛装桶为PE材质，每个桶四周均有砖砌的围堰，围堰高度与桶一样，围堰内采用混凝土铺装。</w:t>
            </w:r>
          </w:p>
          <w:p w14:paraId="469B7FDE">
            <w:pPr>
              <w:spacing w:line="360" w:lineRule="auto"/>
              <w:ind w:firstLine="480" w:firstLineChars="200"/>
              <w:rPr>
                <w:rFonts w:hint="eastAsia"/>
                <w:color w:val="000000"/>
                <w:kern w:val="0"/>
                <w:sz w:val="24"/>
                <w:lang w:bidi="ar"/>
              </w:rPr>
            </w:pPr>
            <w:r>
              <w:rPr>
                <w:color w:val="000000"/>
                <w:kern w:val="0"/>
                <w:sz w:val="24"/>
                <w:lang w:bidi="ar"/>
              </w:rPr>
              <w:t>②溶液盛装桶上采用</w:t>
            </w:r>
            <w:r>
              <w:rPr>
                <w:rFonts w:hint="eastAsia"/>
                <w:color w:val="000000"/>
                <w:kern w:val="0"/>
                <w:sz w:val="24"/>
                <w:lang w:bidi="ar"/>
              </w:rPr>
              <w:t>PE布覆盖，采用橡胶绳密封。</w:t>
            </w:r>
          </w:p>
          <w:p w14:paraId="1F9CDEF7">
            <w:pPr>
              <w:spacing w:line="360" w:lineRule="auto"/>
              <w:ind w:firstLine="480" w:firstLineChars="200"/>
              <w:rPr>
                <w:color w:val="000000"/>
                <w:kern w:val="0"/>
                <w:sz w:val="24"/>
                <w:lang w:bidi="ar"/>
              </w:rPr>
            </w:pPr>
            <w:r>
              <w:rPr>
                <w:rFonts w:hint="eastAsia"/>
                <w:color w:val="000000"/>
                <w:kern w:val="0"/>
                <w:sz w:val="24"/>
                <w:lang w:bidi="ar"/>
              </w:rPr>
              <w:t>③溶液盛装桶所在车间为密闭结构，地面采用混凝土铺装。</w:t>
            </w:r>
          </w:p>
          <w:p w14:paraId="02C31427">
            <w:pPr>
              <w:pStyle w:val="4"/>
              <w:ind w:firstLine="480"/>
              <w:rPr>
                <w:rFonts w:hint="eastAsia"/>
                <w:color w:val="000000"/>
                <w:sz w:val="24"/>
                <w:lang w:bidi="ar"/>
              </w:rPr>
            </w:pPr>
            <w:r>
              <w:rPr>
                <w:color w:val="000000"/>
                <w:sz w:val="24"/>
                <w:lang w:bidi="ar"/>
              </w:rPr>
              <w:t>现有环境风险防范措施能够满足风险防范的要求，在发生泄漏情况时能够有效避免无序扩散，环境风险可控。</w:t>
            </w:r>
          </w:p>
          <w:p w14:paraId="42B9DE24">
            <w:pPr>
              <w:spacing w:line="360" w:lineRule="auto"/>
              <w:ind w:firstLine="480" w:firstLineChars="200"/>
              <w:rPr>
                <w:rFonts w:hint="eastAsia"/>
                <w:color w:val="000000"/>
                <w:kern w:val="0"/>
                <w:sz w:val="24"/>
                <w:lang w:bidi="ar"/>
              </w:rPr>
            </w:pPr>
            <w:r>
              <w:rPr>
                <w:rFonts w:hint="eastAsia"/>
                <w:color w:val="000000"/>
                <w:kern w:val="0"/>
                <w:sz w:val="24"/>
                <w:lang w:bidi="ar"/>
              </w:rPr>
              <w:t>（3）危废暂存间废机油泄露风险防范措施</w:t>
            </w:r>
          </w:p>
          <w:p w14:paraId="00D8C423">
            <w:pPr>
              <w:spacing w:line="360" w:lineRule="auto"/>
              <w:ind w:firstLine="480" w:firstLineChars="200"/>
              <w:rPr>
                <w:rFonts w:hint="eastAsia"/>
                <w:color w:val="000000"/>
                <w:kern w:val="0"/>
                <w:sz w:val="24"/>
                <w:lang w:bidi="ar"/>
              </w:rPr>
            </w:pPr>
            <w:r>
              <w:rPr>
                <w:rFonts w:hint="eastAsia"/>
                <w:color w:val="000000"/>
                <w:kern w:val="0"/>
                <w:sz w:val="24"/>
                <w:lang w:bidi="ar"/>
              </w:rPr>
              <w:t>①项目车间内设置1间危废暂存间暂存废机油、废活性炭等，危废暂存间严格按《危险废物贮存污染控制标准》（GB18597-2001）的相关要求建设，临时存放的危险废物定期委托有资质的单位处置。</w:t>
            </w:r>
          </w:p>
          <w:p w14:paraId="1F1790F1">
            <w:pPr>
              <w:spacing w:line="360" w:lineRule="auto"/>
              <w:ind w:firstLine="480" w:firstLineChars="200"/>
              <w:rPr>
                <w:color w:val="000000"/>
                <w:sz w:val="24"/>
              </w:rPr>
            </w:pPr>
            <w:r>
              <w:rPr>
                <w:bCs/>
                <w:color w:val="000000"/>
                <w:sz w:val="24"/>
              </w:rPr>
              <w:t>②</w:t>
            </w:r>
            <w:r>
              <w:rPr>
                <w:color w:val="000000"/>
                <w:sz w:val="24"/>
              </w:rPr>
              <w:t>设置相关运行管理台账，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转运处置后应继续保留三年。</w:t>
            </w:r>
          </w:p>
          <w:p w14:paraId="2E6073D8">
            <w:pPr>
              <w:spacing w:line="360" w:lineRule="auto"/>
              <w:ind w:firstLine="480" w:firstLineChars="200"/>
              <w:rPr>
                <w:bCs/>
                <w:color w:val="000000"/>
                <w:sz w:val="24"/>
              </w:rPr>
            </w:pPr>
            <w:r>
              <w:rPr>
                <w:color w:val="000000"/>
                <w:sz w:val="24"/>
              </w:rPr>
              <w:fldChar w:fldCharType="begin"/>
            </w:r>
            <w:r>
              <w:rPr>
                <w:color w:val="000000"/>
                <w:sz w:val="24"/>
              </w:rPr>
              <w:instrText xml:space="preserve"> = 3 \* GB3 </w:instrText>
            </w:r>
            <w:r>
              <w:rPr>
                <w:color w:val="000000"/>
                <w:sz w:val="24"/>
              </w:rPr>
              <w:fldChar w:fldCharType="separate"/>
            </w:r>
            <w:r>
              <w:rPr>
                <w:color w:val="000000"/>
                <w:sz w:val="24"/>
              </w:rPr>
              <w:t>③</w:t>
            </w:r>
            <w:r>
              <w:rPr>
                <w:color w:val="000000"/>
                <w:sz w:val="24"/>
              </w:rPr>
              <w:fldChar w:fldCharType="end"/>
            </w:r>
            <w:r>
              <w:rPr>
                <w:color w:val="000000"/>
                <w:sz w:val="24"/>
              </w:rPr>
              <w:t>必须定期对所贮存的危险废物包装容器及贮存设施进行检查，发现破损，应及时采取措施清理更换。同时检查场内暂存场所有无泄漏、雨水侵泡等问题，及时处理。</w:t>
            </w:r>
          </w:p>
          <w:p w14:paraId="3EB554D1">
            <w:pPr>
              <w:widowControl/>
              <w:spacing w:line="360" w:lineRule="auto"/>
              <w:ind w:firstLine="482" w:firstLineChars="200"/>
              <w:jc w:val="left"/>
              <w:rPr>
                <w:b/>
                <w:bCs/>
                <w:color w:val="000000"/>
              </w:rPr>
            </w:pPr>
            <w:r>
              <w:rPr>
                <w:rFonts w:hint="eastAsia"/>
                <w:b/>
                <w:bCs/>
                <w:color w:val="000000"/>
                <w:kern w:val="0"/>
                <w:sz w:val="24"/>
                <w:lang w:bidi="ar"/>
              </w:rPr>
              <w:t>5、</w:t>
            </w:r>
            <w:r>
              <w:rPr>
                <w:b/>
                <w:bCs/>
                <w:color w:val="000000"/>
                <w:kern w:val="0"/>
                <w:sz w:val="24"/>
                <w:lang w:bidi="ar"/>
              </w:rPr>
              <w:t>应急措施及要求</w:t>
            </w:r>
          </w:p>
          <w:p w14:paraId="1044C8F4">
            <w:pPr>
              <w:widowControl/>
              <w:spacing w:line="360" w:lineRule="auto"/>
              <w:ind w:firstLine="480" w:firstLineChars="200"/>
              <w:jc w:val="left"/>
              <w:rPr>
                <w:color w:val="000000"/>
              </w:rPr>
            </w:pPr>
            <w:r>
              <w:rPr>
                <w:rFonts w:hint="eastAsia"/>
                <w:color w:val="000000"/>
                <w:kern w:val="0"/>
                <w:sz w:val="24"/>
                <w:lang w:bidi="ar"/>
              </w:rPr>
              <w:t>（1）</w:t>
            </w:r>
            <w:r>
              <w:rPr>
                <w:color w:val="000000"/>
                <w:kern w:val="0"/>
                <w:sz w:val="24"/>
                <w:lang w:bidi="ar"/>
              </w:rPr>
              <w:t>对于重大或不可接受的风险（主要是火灾、爆炸造成的次生环境风险），制定应急响应方案，建立应急反应体系，当事件一旦发生时可迅速加以控制，使危害和损失降到尽可能低的程度。</w:t>
            </w:r>
          </w:p>
          <w:p w14:paraId="0A2CB1AB">
            <w:pPr>
              <w:widowControl/>
              <w:spacing w:line="360" w:lineRule="auto"/>
              <w:ind w:firstLine="480" w:firstLineChars="200"/>
              <w:jc w:val="left"/>
              <w:rPr>
                <w:color w:val="000000"/>
              </w:rPr>
            </w:pPr>
            <w:r>
              <w:rPr>
                <w:rFonts w:hint="eastAsia"/>
                <w:color w:val="000000"/>
                <w:kern w:val="0"/>
                <w:sz w:val="24"/>
                <w:lang w:bidi="ar"/>
              </w:rPr>
              <w:t>（2）</w:t>
            </w:r>
            <w:r>
              <w:rPr>
                <w:color w:val="000000"/>
                <w:kern w:val="0"/>
                <w:sz w:val="24"/>
                <w:lang w:bidi="ar"/>
              </w:rPr>
              <w:t>突发事故发生后，公司全体员工都负有接受应急救援任务的责任，项目每一位成员都是事故应急救援的骨干力量。其任务主要是担负各类事故的应急救援及处置工作。</w:t>
            </w:r>
          </w:p>
          <w:p w14:paraId="41012475">
            <w:pPr>
              <w:spacing w:line="360" w:lineRule="auto"/>
              <w:ind w:firstLine="480" w:firstLineChars="200"/>
              <w:rPr>
                <w:color w:val="000000"/>
                <w:kern w:val="0"/>
                <w:sz w:val="24"/>
                <w:lang w:bidi="ar"/>
              </w:rPr>
            </w:pPr>
            <w:r>
              <w:rPr>
                <w:color w:val="000000"/>
                <w:kern w:val="0"/>
                <w:sz w:val="24"/>
                <w:lang w:bidi="ar"/>
              </w:rPr>
              <w:t>（</w:t>
            </w:r>
            <w:r>
              <w:rPr>
                <w:rFonts w:hint="eastAsia"/>
                <w:color w:val="000000"/>
                <w:kern w:val="0"/>
                <w:sz w:val="24"/>
                <w:lang w:bidi="ar"/>
              </w:rPr>
              <w:t>3</w:t>
            </w:r>
            <w:r>
              <w:rPr>
                <w:color w:val="000000"/>
                <w:kern w:val="0"/>
                <w:sz w:val="24"/>
                <w:lang w:bidi="ar"/>
              </w:rPr>
              <w:t>）建设单位须编制《突发环境事件应急预案》，报当地生态环境主管部门备案。</w:t>
            </w:r>
          </w:p>
          <w:p w14:paraId="5447F7FB">
            <w:pPr>
              <w:pStyle w:val="34"/>
              <w:spacing w:line="360" w:lineRule="auto"/>
              <w:ind w:firstLine="422"/>
              <w:rPr>
                <w:color w:val="000000"/>
                <w:szCs w:val="21"/>
              </w:rPr>
            </w:pPr>
            <w:r>
              <w:rPr>
                <w:rFonts w:hint="eastAsia"/>
                <w:color w:val="000000"/>
                <w:sz w:val="21"/>
                <w:szCs w:val="21"/>
              </w:rPr>
              <w:t>表</w:t>
            </w:r>
            <w:r>
              <w:rPr>
                <w:color w:val="000000"/>
                <w:sz w:val="21"/>
                <w:szCs w:val="21"/>
              </w:rPr>
              <w:t>4-18</w:t>
            </w:r>
            <w:r>
              <w:rPr>
                <w:rFonts w:hint="eastAsia"/>
                <w:color w:val="000000"/>
                <w:sz w:val="21"/>
                <w:szCs w:val="21"/>
              </w:rPr>
              <w:t xml:space="preserve"> 建设项目环境风险简单分析内容表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1545"/>
              <w:gridCol w:w="1877"/>
              <w:gridCol w:w="672"/>
              <w:gridCol w:w="2062"/>
            </w:tblGrid>
            <w:tr w14:paraId="2C6A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440FB853">
                  <w:pPr>
                    <w:snapToGrid w:val="0"/>
                    <w:spacing w:line="360" w:lineRule="exact"/>
                    <w:jc w:val="center"/>
                    <w:rPr>
                      <w:color w:val="000000"/>
                      <w:szCs w:val="21"/>
                    </w:rPr>
                  </w:pPr>
                  <w:r>
                    <w:rPr>
                      <w:rFonts w:hint="eastAsia"/>
                      <w:color w:val="000000"/>
                      <w:szCs w:val="21"/>
                    </w:rPr>
                    <w:t>建设项目名称</w:t>
                  </w:r>
                </w:p>
              </w:tc>
              <w:tc>
                <w:tcPr>
                  <w:tcW w:w="3702" w:type="pct"/>
                  <w:gridSpan w:val="4"/>
                  <w:noWrap w:val="0"/>
                  <w:vAlign w:val="center"/>
                </w:tcPr>
                <w:p w14:paraId="43F05432">
                  <w:pPr>
                    <w:snapToGrid w:val="0"/>
                    <w:spacing w:line="360" w:lineRule="exact"/>
                    <w:jc w:val="center"/>
                    <w:rPr>
                      <w:color w:val="000000"/>
                      <w:szCs w:val="21"/>
                    </w:rPr>
                  </w:pPr>
                  <w:r>
                    <w:rPr>
                      <w:rFonts w:hint="eastAsia"/>
                      <w:color w:val="000000"/>
                      <w:szCs w:val="21"/>
                    </w:rPr>
                    <w:t>南之锦花卉分拣储运加工中心建设项目</w:t>
                  </w:r>
                </w:p>
              </w:tc>
            </w:tr>
            <w:tr w14:paraId="2418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2E8EA3F2">
                  <w:pPr>
                    <w:snapToGrid w:val="0"/>
                    <w:spacing w:line="360" w:lineRule="exact"/>
                    <w:jc w:val="center"/>
                    <w:rPr>
                      <w:color w:val="000000"/>
                      <w:szCs w:val="21"/>
                    </w:rPr>
                  </w:pPr>
                  <w:r>
                    <w:rPr>
                      <w:rFonts w:hint="eastAsia"/>
                      <w:color w:val="000000"/>
                      <w:szCs w:val="21"/>
                    </w:rPr>
                    <w:t>建设地点</w:t>
                  </w:r>
                </w:p>
              </w:tc>
              <w:tc>
                <w:tcPr>
                  <w:tcW w:w="3702" w:type="pct"/>
                  <w:gridSpan w:val="4"/>
                  <w:noWrap w:val="0"/>
                  <w:vAlign w:val="center"/>
                </w:tcPr>
                <w:p w14:paraId="4182C90B">
                  <w:pPr>
                    <w:snapToGrid w:val="0"/>
                    <w:spacing w:line="360" w:lineRule="exact"/>
                    <w:jc w:val="center"/>
                    <w:rPr>
                      <w:color w:val="000000"/>
                      <w:szCs w:val="21"/>
                    </w:rPr>
                  </w:pPr>
                  <w:r>
                    <w:rPr>
                      <w:rFonts w:hint="eastAsia"/>
                      <w:color w:val="000000"/>
                      <w:szCs w:val="21"/>
                    </w:rPr>
                    <w:t>石林县板桥街道板桥社区碧落甸村</w:t>
                  </w:r>
                </w:p>
              </w:tc>
            </w:tr>
            <w:tr w14:paraId="6E67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2B9F7248">
                  <w:pPr>
                    <w:snapToGrid w:val="0"/>
                    <w:spacing w:line="360" w:lineRule="exact"/>
                    <w:jc w:val="center"/>
                    <w:rPr>
                      <w:color w:val="000000"/>
                      <w:szCs w:val="21"/>
                    </w:rPr>
                  </w:pPr>
                  <w:r>
                    <w:rPr>
                      <w:rFonts w:hint="eastAsia"/>
                      <w:color w:val="000000"/>
                      <w:szCs w:val="21"/>
                    </w:rPr>
                    <w:t>地理坐标</w:t>
                  </w:r>
                </w:p>
              </w:tc>
              <w:tc>
                <w:tcPr>
                  <w:tcW w:w="929" w:type="pct"/>
                  <w:noWrap w:val="0"/>
                  <w:vAlign w:val="center"/>
                </w:tcPr>
                <w:p w14:paraId="78D7B57B">
                  <w:pPr>
                    <w:snapToGrid w:val="0"/>
                    <w:spacing w:line="360" w:lineRule="exact"/>
                    <w:jc w:val="center"/>
                    <w:rPr>
                      <w:color w:val="000000"/>
                      <w:szCs w:val="21"/>
                    </w:rPr>
                  </w:pPr>
                  <w:r>
                    <w:rPr>
                      <w:rFonts w:hint="eastAsia"/>
                      <w:color w:val="000000"/>
                      <w:szCs w:val="21"/>
                    </w:rPr>
                    <w:t>经度</w:t>
                  </w:r>
                </w:p>
              </w:tc>
              <w:tc>
                <w:tcPr>
                  <w:tcW w:w="1129" w:type="pct"/>
                  <w:noWrap w:val="0"/>
                  <w:vAlign w:val="center"/>
                </w:tcPr>
                <w:p w14:paraId="61ED69A7">
                  <w:pPr>
                    <w:snapToGrid w:val="0"/>
                    <w:spacing w:line="360" w:lineRule="exact"/>
                    <w:jc w:val="center"/>
                    <w:rPr>
                      <w:color w:val="000000"/>
                      <w:szCs w:val="21"/>
                    </w:rPr>
                  </w:pPr>
                  <w:r>
                    <w:rPr>
                      <w:color w:val="000000"/>
                      <w:szCs w:val="21"/>
                    </w:rPr>
                    <w:t>103°15′30.22</w:t>
                  </w:r>
                  <w:r>
                    <w:rPr>
                      <w:rFonts w:hint="eastAsia"/>
                      <w:color w:val="000000"/>
                      <w:szCs w:val="21"/>
                    </w:rPr>
                    <w:t>3</w:t>
                  </w:r>
                  <w:r>
                    <w:rPr>
                      <w:color w:val="000000"/>
                      <w:szCs w:val="21"/>
                    </w:rPr>
                    <w:t xml:space="preserve">″ </w:t>
                  </w:r>
                </w:p>
              </w:tc>
              <w:tc>
                <w:tcPr>
                  <w:tcW w:w="404" w:type="pct"/>
                  <w:noWrap w:val="0"/>
                  <w:vAlign w:val="center"/>
                </w:tcPr>
                <w:p w14:paraId="0593FA47">
                  <w:pPr>
                    <w:snapToGrid w:val="0"/>
                    <w:spacing w:line="360" w:lineRule="exact"/>
                    <w:jc w:val="center"/>
                    <w:rPr>
                      <w:color w:val="000000"/>
                      <w:szCs w:val="21"/>
                    </w:rPr>
                  </w:pPr>
                  <w:r>
                    <w:rPr>
                      <w:color w:val="000000"/>
                      <w:szCs w:val="21"/>
                    </w:rPr>
                    <w:t>纬</w:t>
                  </w:r>
                  <w:r>
                    <w:rPr>
                      <w:rFonts w:hint="eastAsia"/>
                      <w:color w:val="000000"/>
                      <w:szCs w:val="21"/>
                    </w:rPr>
                    <w:t>度</w:t>
                  </w:r>
                </w:p>
              </w:tc>
              <w:tc>
                <w:tcPr>
                  <w:tcW w:w="1240" w:type="pct"/>
                  <w:noWrap w:val="0"/>
                  <w:vAlign w:val="center"/>
                </w:tcPr>
                <w:p w14:paraId="2FBC71FE">
                  <w:pPr>
                    <w:snapToGrid w:val="0"/>
                    <w:spacing w:line="360" w:lineRule="exact"/>
                    <w:jc w:val="center"/>
                    <w:rPr>
                      <w:color w:val="000000"/>
                      <w:szCs w:val="21"/>
                    </w:rPr>
                  </w:pPr>
                  <w:r>
                    <w:rPr>
                      <w:color w:val="000000"/>
                      <w:szCs w:val="21"/>
                    </w:rPr>
                    <w:t>24°41′27.206″</w:t>
                  </w:r>
                </w:p>
              </w:tc>
            </w:tr>
            <w:tr w14:paraId="7730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30774C5C">
                  <w:pPr>
                    <w:snapToGrid w:val="0"/>
                    <w:spacing w:line="360" w:lineRule="exact"/>
                    <w:jc w:val="center"/>
                    <w:rPr>
                      <w:color w:val="000000"/>
                      <w:szCs w:val="21"/>
                    </w:rPr>
                  </w:pPr>
                  <w:r>
                    <w:rPr>
                      <w:rFonts w:hint="eastAsia"/>
                      <w:color w:val="000000"/>
                      <w:szCs w:val="21"/>
                    </w:rPr>
                    <w:t>主要危险物质及分布</w:t>
                  </w:r>
                </w:p>
              </w:tc>
              <w:tc>
                <w:tcPr>
                  <w:tcW w:w="3702" w:type="pct"/>
                  <w:gridSpan w:val="4"/>
                  <w:noWrap w:val="0"/>
                  <w:vAlign w:val="center"/>
                </w:tcPr>
                <w:p w14:paraId="425CBC35">
                  <w:pPr>
                    <w:snapToGrid w:val="0"/>
                    <w:spacing w:line="360" w:lineRule="exact"/>
                    <w:jc w:val="center"/>
                    <w:rPr>
                      <w:rFonts w:hint="eastAsia"/>
                      <w:color w:val="000000"/>
                      <w:szCs w:val="21"/>
                    </w:rPr>
                  </w:pPr>
                  <w:r>
                    <w:rPr>
                      <w:rFonts w:hint="eastAsia"/>
                      <w:color w:val="000000"/>
                      <w:szCs w:val="21"/>
                    </w:rPr>
                    <w:t>脱色车间、危废暂存间</w:t>
                  </w:r>
                </w:p>
              </w:tc>
            </w:tr>
            <w:tr w14:paraId="255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45566118">
                  <w:pPr>
                    <w:snapToGrid w:val="0"/>
                    <w:spacing w:line="360" w:lineRule="exact"/>
                    <w:jc w:val="center"/>
                    <w:rPr>
                      <w:color w:val="000000"/>
                      <w:szCs w:val="21"/>
                    </w:rPr>
                  </w:pPr>
                  <w:r>
                    <w:rPr>
                      <w:rFonts w:hint="eastAsia"/>
                      <w:color w:val="000000"/>
                      <w:szCs w:val="21"/>
                    </w:rPr>
                    <w:t>环境影响途经及危害后果（大气、地表水、地下水等）</w:t>
                  </w:r>
                </w:p>
              </w:tc>
              <w:tc>
                <w:tcPr>
                  <w:tcW w:w="3702" w:type="pct"/>
                  <w:gridSpan w:val="4"/>
                  <w:noWrap w:val="0"/>
                  <w:vAlign w:val="center"/>
                </w:tcPr>
                <w:p w14:paraId="650E066E">
                  <w:pPr>
                    <w:snapToGrid w:val="0"/>
                    <w:spacing w:line="360" w:lineRule="exact"/>
                    <w:rPr>
                      <w:color w:val="000000"/>
                      <w:szCs w:val="21"/>
                    </w:rPr>
                  </w:pPr>
                  <w:r>
                    <w:rPr>
                      <w:color w:val="000000"/>
                      <w:szCs w:val="21"/>
                    </w:rPr>
                    <w:t>生产</w:t>
                  </w:r>
                  <w:r>
                    <w:rPr>
                      <w:rFonts w:hint="eastAsia"/>
                      <w:color w:val="000000"/>
                      <w:szCs w:val="21"/>
                    </w:rPr>
                    <w:t>区</w:t>
                  </w:r>
                  <w:r>
                    <w:rPr>
                      <w:color w:val="000000"/>
                      <w:szCs w:val="21"/>
                    </w:rPr>
                    <w:t>：项目生产过程中安全措施不到位，极易引发火灾事故。火灾燃烧产生烟气会对厂区周围环境和产生一定的影响。</w:t>
                  </w:r>
                </w:p>
                <w:p w14:paraId="6B0574CC">
                  <w:pPr>
                    <w:snapToGrid w:val="0"/>
                    <w:spacing w:line="360" w:lineRule="exact"/>
                    <w:rPr>
                      <w:color w:val="000000"/>
                      <w:szCs w:val="21"/>
                    </w:rPr>
                  </w:pPr>
                  <w:r>
                    <w:rPr>
                      <w:color w:val="000000"/>
                      <w:szCs w:val="21"/>
                    </w:rPr>
                    <w:t>甲醇泄漏：若甲醇泄漏，可能造成甲醇废气挥发对周边环境及敏感点造成影响、甲醇渗漏污染地下水和土壤环境。</w:t>
                  </w:r>
                </w:p>
                <w:p w14:paraId="3835D675">
                  <w:pPr>
                    <w:snapToGrid w:val="0"/>
                    <w:spacing w:line="360" w:lineRule="exact"/>
                    <w:rPr>
                      <w:rFonts w:hint="eastAsia"/>
                      <w:color w:val="000000"/>
                      <w:szCs w:val="21"/>
                    </w:rPr>
                  </w:pPr>
                  <w:r>
                    <w:rPr>
                      <w:color w:val="000000"/>
                      <w:szCs w:val="21"/>
                    </w:rPr>
                    <w:t>危废暂存间：危废暂存间影响途径主要是废机油储存容器破裂，废机油出现泄漏、渗漏事故，溢流或者渗漏进入周边土壤和地下水，造成污染。</w:t>
                  </w:r>
                </w:p>
              </w:tc>
            </w:tr>
            <w:tr w14:paraId="6E39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8" w:type="pct"/>
                  <w:noWrap w:val="0"/>
                  <w:vAlign w:val="center"/>
                </w:tcPr>
                <w:p w14:paraId="03D56945">
                  <w:pPr>
                    <w:snapToGrid w:val="0"/>
                    <w:spacing w:line="360" w:lineRule="exact"/>
                    <w:jc w:val="center"/>
                    <w:rPr>
                      <w:color w:val="000000"/>
                      <w:szCs w:val="21"/>
                    </w:rPr>
                  </w:pPr>
                  <w:r>
                    <w:rPr>
                      <w:rFonts w:hint="eastAsia"/>
                      <w:color w:val="000000"/>
                      <w:szCs w:val="21"/>
                    </w:rPr>
                    <w:t>风险防范措施要求</w:t>
                  </w:r>
                </w:p>
              </w:tc>
              <w:tc>
                <w:tcPr>
                  <w:tcW w:w="3702" w:type="pct"/>
                  <w:gridSpan w:val="4"/>
                  <w:noWrap w:val="0"/>
                  <w:vAlign w:val="center"/>
                </w:tcPr>
                <w:p w14:paraId="050DD803">
                  <w:pPr>
                    <w:snapToGrid w:val="0"/>
                    <w:spacing w:line="360" w:lineRule="exact"/>
                    <w:rPr>
                      <w:color w:val="000000"/>
                      <w:szCs w:val="21"/>
                    </w:rPr>
                  </w:pPr>
                  <w:r>
                    <w:rPr>
                      <w:rFonts w:hint="eastAsia"/>
                      <w:color w:val="000000"/>
                      <w:szCs w:val="21"/>
                    </w:rPr>
                    <w:t>（1）</w:t>
                  </w:r>
                  <w:r>
                    <w:rPr>
                      <w:color w:val="000000"/>
                      <w:szCs w:val="21"/>
                    </w:rPr>
                    <w:t>生产</w:t>
                  </w:r>
                  <w:r>
                    <w:rPr>
                      <w:rFonts w:hint="eastAsia"/>
                      <w:color w:val="000000"/>
                      <w:szCs w:val="21"/>
                    </w:rPr>
                    <w:t>区</w:t>
                  </w:r>
                  <w:r>
                    <w:rPr>
                      <w:color w:val="000000"/>
                      <w:szCs w:val="21"/>
                    </w:rPr>
                    <w:t>风险防范措施</w:t>
                  </w:r>
                </w:p>
                <w:p w14:paraId="669264AA">
                  <w:pPr>
                    <w:snapToGrid w:val="0"/>
                    <w:spacing w:line="360" w:lineRule="exact"/>
                    <w:rPr>
                      <w:color w:val="000000"/>
                      <w:szCs w:val="21"/>
                    </w:rPr>
                  </w:pPr>
                  <w:r>
                    <w:rPr>
                      <w:color w:val="000000"/>
                      <w:szCs w:val="21"/>
                    </w:rPr>
                    <w:t>落实责任制，生产车间</w:t>
                  </w:r>
                  <w:r>
                    <w:rPr>
                      <w:rFonts w:hint="eastAsia"/>
                      <w:color w:val="000000"/>
                      <w:szCs w:val="21"/>
                    </w:rPr>
                    <w:t>设置</w:t>
                  </w:r>
                  <w:r>
                    <w:rPr>
                      <w:color w:val="000000"/>
                      <w:szCs w:val="21"/>
                    </w:rPr>
                    <w:t>负责人看管，确保车间隐患时刻监控，设置火灾自动报警器。</w:t>
                  </w:r>
                </w:p>
                <w:p w14:paraId="00BD6DB2">
                  <w:pPr>
                    <w:snapToGrid w:val="0"/>
                    <w:spacing w:line="360" w:lineRule="exact"/>
                    <w:rPr>
                      <w:color w:val="000000"/>
                      <w:szCs w:val="21"/>
                    </w:rPr>
                  </w:pPr>
                  <w:r>
                    <w:rPr>
                      <w:rFonts w:hint="eastAsia"/>
                      <w:color w:val="000000"/>
                      <w:szCs w:val="21"/>
                    </w:rPr>
                    <w:t>（2）</w:t>
                  </w:r>
                  <w:r>
                    <w:rPr>
                      <w:color w:val="000000"/>
                      <w:szCs w:val="21"/>
                    </w:rPr>
                    <w:t>甲醇泄漏风险防范措施</w:t>
                  </w:r>
                </w:p>
                <w:p w14:paraId="54FB905F">
                  <w:pPr>
                    <w:snapToGrid w:val="0"/>
                    <w:spacing w:line="360" w:lineRule="exact"/>
                    <w:rPr>
                      <w:rFonts w:hint="eastAsia"/>
                      <w:color w:val="000000"/>
                      <w:szCs w:val="21"/>
                    </w:rPr>
                  </w:pPr>
                  <w:r>
                    <w:rPr>
                      <w:color w:val="000000"/>
                      <w:szCs w:val="21"/>
                    </w:rPr>
                    <w:t>项目不单独存放甲醇，每年补充的甲醇由供应商运输至厂内直接补充在脱色、染色桶内。项目区内甲醇存在于脱色溶液、染色溶液中，容器为密闭的</w:t>
                  </w:r>
                  <w:r>
                    <w:rPr>
                      <w:rFonts w:hint="eastAsia"/>
                      <w:color w:val="000000"/>
                      <w:szCs w:val="21"/>
                    </w:rPr>
                    <w:t>P</w:t>
                  </w:r>
                  <w:r>
                    <w:rPr>
                      <w:color w:val="000000"/>
                      <w:szCs w:val="21"/>
                    </w:rPr>
                    <w:t>E桶。发生泄漏的情况主要是盛装脱色溶液、染色溶液的容器破损，甲醇随溶液一并泄漏。为了避免泄漏造成环境风险，现状实际采取了以下措施：</w:t>
                  </w:r>
                </w:p>
                <w:p w14:paraId="200605D0">
                  <w:pPr>
                    <w:snapToGrid w:val="0"/>
                    <w:spacing w:line="360" w:lineRule="exact"/>
                    <w:rPr>
                      <w:rFonts w:hint="eastAsia"/>
                      <w:color w:val="000000"/>
                      <w:szCs w:val="21"/>
                    </w:rPr>
                  </w:pPr>
                  <w:r>
                    <w:rPr>
                      <w:rFonts w:hint="eastAsia" w:ascii="宋体" w:hAnsi="宋体" w:cs="宋体"/>
                      <w:color w:val="000000"/>
                      <w:szCs w:val="21"/>
                    </w:rPr>
                    <w:t>①</w:t>
                  </w:r>
                  <w:r>
                    <w:rPr>
                      <w:color w:val="000000"/>
                      <w:szCs w:val="21"/>
                    </w:rPr>
                    <w:t>溶液盛装桶为PE材质，每个桶四周均有砖砌的围堰，围堰高度与桶一样，围堰内采用混凝土铺装。</w:t>
                  </w:r>
                </w:p>
                <w:p w14:paraId="4DF7B031">
                  <w:pPr>
                    <w:snapToGrid w:val="0"/>
                    <w:spacing w:line="360" w:lineRule="exact"/>
                    <w:rPr>
                      <w:rFonts w:hint="eastAsia"/>
                      <w:color w:val="000000"/>
                      <w:szCs w:val="21"/>
                    </w:rPr>
                  </w:pPr>
                  <w:r>
                    <w:rPr>
                      <w:rFonts w:hint="eastAsia" w:ascii="宋体" w:hAnsi="宋体" w:cs="宋体"/>
                      <w:color w:val="000000"/>
                      <w:szCs w:val="21"/>
                    </w:rPr>
                    <w:t>②</w:t>
                  </w:r>
                  <w:r>
                    <w:rPr>
                      <w:color w:val="000000"/>
                      <w:szCs w:val="21"/>
                    </w:rPr>
                    <w:t>溶液盛装桶上采用</w:t>
                  </w:r>
                  <w:r>
                    <w:rPr>
                      <w:rFonts w:hint="eastAsia"/>
                      <w:color w:val="000000"/>
                      <w:szCs w:val="21"/>
                    </w:rPr>
                    <w:t>PE布覆盖，采用橡胶绳密封。</w:t>
                  </w:r>
                </w:p>
                <w:p w14:paraId="647303CC">
                  <w:pPr>
                    <w:snapToGrid w:val="0"/>
                    <w:spacing w:line="360" w:lineRule="exact"/>
                    <w:rPr>
                      <w:color w:val="000000"/>
                      <w:szCs w:val="21"/>
                    </w:rPr>
                  </w:pPr>
                  <w:r>
                    <w:rPr>
                      <w:rFonts w:hint="eastAsia"/>
                      <w:color w:val="000000"/>
                      <w:szCs w:val="21"/>
                    </w:rPr>
                    <w:t>③溶液盛装桶所在车间为密闭结构，地面采用混凝土铺装。</w:t>
                  </w:r>
                </w:p>
                <w:p w14:paraId="29430A0C">
                  <w:pPr>
                    <w:pStyle w:val="4"/>
                    <w:snapToGrid w:val="0"/>
                    <w:spacing w:line="360" w:lineRule="exact"/>
                    <w:ind w:firstLine="0" w:firstLineChars="0"/>
                    <w:jc w:val="both"/>
                    <w:rPr>
                      <w:rFonts w:hint="eastAsia" w:ascii="Times New Roman" w:hAnsi="Times New Roman" w:cs="Times New Roman"/>
                      <w:color w:val="000000"/>
                      <w:szCs w:val="21"/>
                    </w:rPr>
                  </w:pPr>
                  <w:r>
                    <w:rPr>
                      <w:rFonts w:ascii="Times New Roman" w:hAnsi="Times New Roman" w:cs="Times New Roman"/>
                      <w:color w:val="000000"/>
                      <w:szCs w:val="21"/>
                    </w:rPr>
                    <w:t>现有环境风险防范措施能够满足风险防范的要求，在发生泄漏情况时能够有效避免无序扩散，环境风险可控。</w:t>
                  </w:r>
                </w:p>
                <w:p w14:paraId="1FE51EF9">
                  <w:pPr>
                    <w:snapToGrid w:val="0"/>
                    <w:spacing w:line="360" w:lineRule="exact"/>
                    <w:rPr>
                      <w:rFonts w:hint="eastAsia"/>
                      <w:color w:val="000000"/>
                      <w:szCs w:val="21"/>
                    </w:rPr>
                  </w:pPr>
                  <w:r>
                    <w:rPr>
                      <w:rFonts w:hint="eastAsia"/>
                      <w:color w:val="000000"/>
                      <w:szCs w:val="21"/>
                    </w:rPr>
                    <w:t>（3）危废暂存间废机油泄露风险防范措施</w:t>
                  </w:r>
                </w:p>
                <w:p w14:paraId="04CA0008">
                  <w:pPr>
                    <w:snapToGrid w:val="0"/>
                    <w:spacing w:line="360" w:lineRule="exact"/>
                    <w:rPr>
                      <w:rFonts w:hint="eastAsia"/>
                      <w:color w:val="000000"/>
                      <w:szCs w:val="21"/>
                    </w:rPr>
                  </w:pPr>
                  <w:r>
                    <w:rPr>
                      <w:rFonts w:hint="eastAsia"/>
                      <w:color w:val="000000"/>
                      <w:szCs w:val="21"/>
                    </w:rPr>
                    <w:t>①项目车间内设置1间危废暂存间暂存废机油、废活性炭等，危废暂存间严格按《危险废物贮存污染控制标准》（GB18597-2001）的相关要求建设，临时存放的危险废物定期委托有资质的单位处置。</w:t>
                  </w:r>
                </w:p>
                <w:p w14:paraId="55FC7E45">
                  <w:pPr>
                    <w:snapToGrid w:val="0"/>
                    <w:spacing w:line="360" w:lineRule="exact"/>
                    <w:rPr>
                      <w:color w:val="000000"/>
                      <w:szCs w:val="21"/>
                    </w:rPr>
                  </w:pPr>
                  <w:r>
                    <w:rPr>
                      <w:rFonts w:hint="eastAsia" w:ascii="宋体" w:hAnsi="宋体" w:cs="宋体"/>
                      <w:color w:val="000000"/>
                      <w:szCs w:val="21"/>
                    </w:rPr>
                    <w:t>②</w:t>
                  </w:r>
                  <w:r>
                    <w:rPr>
                      <w:color w:val="000000"/>
                      <w:szCs w:val="21"/>
                    </w:rPr>
                    <w:t>设置相关运行管理台账，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转运处置后应继续保留三年。</w:t>
                  </w:r>
                </w:p>
                <w:p w14:paraId="621BE53A">
                  <w:pPr>
                    <w:snapToGrid w:val="0"/>
                    <w:spacing w:line="360" w:lineRule="exact"/>
                    <w:rPr>
                      <w:rFonts w:hint="eastAsia"/>
                      <w:color w:val="000000"/>
                      <w:szCs w:val="21"/>
                    </w:rPr>
                  </w:pPr>
                  <w:r>
                    <w:rPr>
                      <w:color w:val="000000"/>
                      <w:szCs w:val="21"/>
                    </w:rPr>
                    <w:fldChar w:fldCharType="begin"/>
                  </w:r>
                  <w:r>
                    <w:rPr>
                      <w:color w:val="000000"/>
                      <w:szCs w:val="21"/>
                    </w:rPr>
                    <w:instrText xml:space="preserve"> = 3 \* GB3 </w:instrText>
                  </w:r>
                  <w:r>
                    <w:rPr>
                      <w:color w:val="000000"/>
                      <w:szCs w:val="21"/>
                    </w:rPr>
                    <w:fldChar w:fldCharType="separate"/>
                  </w:r>
                  <w:r>
                    <w:rPr>
                      <w:rFonts w:hint="eastAsia" w:ascii="宋体" w:hAnsi="宋体" w:cs="宋体"/>
                      <w:color w:val="000000"/>
                      <w:szCs w:val="21"/>
                    </w:rPr>
                    <w:t>③</w:t>
                  </w:r>
                  <w:r>
                    <w:rPr>
                      <w:color w:val="000000"/>
                      <w:szCs w:val="21"/>
                    </w:rPr>
                    <w:fldChar w:fldCharType="end"/>
                  </w:r>
                  <w:r>
                    <w:rPr>
                      <w:color w:val="000000"/>
                      <w:szCs w:val="21"/>
                    </w:rPr>
                    <w:t>必须定期对所贮存的危险废物包装容器及贮存设施进行检查，发现破损，应及时采取措施清理更换。同时检查场内暂存场所有无泄漏、雨水侵泡等问题，及时处理。</w:t>
                  </w:r>
                </w:p>
              </w:tc>
            </w:tr>
            <w:tr w14:paraId="6BCB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5000" w:type="pct"/>
                  <w:gridSpan w:val="5"/>
                  <w:noWrap w:val="0"/>
                  <w:vAlign w:val="center"/>
                </w:tcPr>
                <w:p w14:paraId="378CB4E7">
                  <w:pPr>
                    <w:snapToGrid w:val="0"/>
                    <w:spacing w:line="360" w:lineRule="exact"/>
                    <w:jc w:val="center"/>
                    <w:rPr>
                      <w:color w:val="000000"/>
                      <w:szCs w:val="21"/>
                    </w:rPr>
                  </w:pPr>
                  <w:r>
                    <w:rPr>
                      <w:rFonts w:hint="eastAsia"/>
                      <w:color w:val="000000"/>
                      <w:szCs w:val="21"/>
                    </w:rPr>
                    <w:t>填报说明（列出项目相关信息及评价说明）： 该项目环境风险潜势为I，不设评价等级，仅进行简单分析。</w:t>
                  </w:r>
                </w:p>
              </w:tc>
            </w:tr>
          </w:tbl>
          <w:p w14:paraId="557320B5">
            <w:pPr>
              <w:pStyle w:val="2"/>
              <w:rPr>
                <w:rFonts w:hint="eastAsia"/>
                <w:color w:val="000000"/>
                <w:lang w:bidi="ar"/>
              </w:rPr>
            </w:pPr>
          </w:p>
        </w:tc>
      </w:tr>
    </w:tbl>
    <w:p w14:paraId="382E7F26">
      <w:pPr>
        <w:pStyle w:val="16"/>
        <w:jc w:val="center"/>
        <w:outlineLvl w:val="0"/>
        <w:rPr>
          <w:rFonts w:ascii="黑体" w:hAnsi="黑体" w:eastAsia="黑体"/>
          <w:snapToGrid w:val="0"/>
          <w:color w:val="000000"/>
          <w:kern w:val="21"/>
          <w:sz w:val="30"/>
          <w:szCs w:val="30"/>
        </w:rPr>
      </w:pPr>
      <w:r>
        <w:rPr>
          <w:color w:val="000000"/>
        </w:rPr>
        <w:br w:type="page"/>
      </w:r>
      <w:bookmarkStart w:id="18" w:name="_Toc26787"/>
      <w:r>
        <w:rPr>
          <w:rFonts w:ascii="黑体" w:hAnsi="黑体" w:eastAsia="黑体"/>
          <w:snapToGrid w:val="0"/>
          <w:color w:val="000000"/>
          <w:kern w:val="21"/>
          <w:sz w:val="30"/>
          <w:szCs w:val="30"/>
        </w:rPr>
        <w:t>五、</w:t>
      </w:r>
      <w:bookmarkStart w:id="19" w:name="_Hlk54167917"/>
      <w:r>
        <w:rPr>
          <w:rFonts w:ascii="黑体" w:hAnsi="黑体" w:eastAsia="黑体"/>
          <w:snapToGrid w:val="0"/>
          <w:color w:val="000000"/>
          <w:kern w:val="21"/>
          <w:sz w:val="30"/>
          <w:szCs w:val="30"/>
        </w:rPr>
        <w:t>环境保护措施监督检查清单</w:t>
      </w:r>
      <w:bookmarkEnd w:id="18"/>
      <w:bookmarkEnd w:id="19"/>
    </w:p>
    <w:tbl>
      <w:tblPr>
        <w:tblStyle w:val="20"/>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175"/>
        <w:gridCol w:w="1150"/>
        <w:gridCol w:w="3910"/>
        <w:gridCol w:w="1471"/>
      </w:tblGrid>
      <w:tr w14:paraId="0CEFF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5" w:hRule="atLeast"/>
          <w:jc w:val="center"/>
        </w:trPr>
        <w:tc>
          <w:tcPr>
            <w:tcW w:w="1094" w:type="dxa"/>
            <w:tcBorders>
              <w:tl2br w:val="single" w:color="auto" w:sz="4" w:space="0"/>
            </w:tcBorders>
            <w:noWrap w:val="0"/>
            <w:vAlign w:val="top"/>
          </w:tcPr>
          <w:p w14:paraId="686C2876">
            <w:pPr>
              <w:adjustRightInd w:val="0"/>
              <w:snapToGrid w:val="0"/>
              <w:rPr>
                <w:b/>
                <w:bCs/>
                <w:color w:val="000000"/>
                <w:szCs w:val="21"/>
              </w:rPr>
            </w:pPr>
            <w:r>
              <w:rPr>
                <w:b/>
                <w:bCs/>
                <w:color w:val="000000"/>
                <w:szCs w:val="21"/>
              </w:rPr>
              <w:t>内容</w:t>
            </w:r>
          </w:p>
          <w:p w14:paraId="26B5585F">
            <w:pPr>
              <w:adjustRightInd w:val="0"/>
              <w:snapToGrid w:val="0"/>
              <w:rPr>
                <w:b/>
                <w:bCs/>
                <w:color w:val="000000"/>
                <w:szCs w:val="21"/>
              </w:rPr>
            </w:pPr>
            <w:r>
              <w:rPr>
                <w:b/>
                <w:bCs/>
                <w:color w:val="000000"/>
                <w:szCs w:val="21"/>
              </w:rPr>
              <w:t>要素</w:t>
            </w:r>
          </w:p>
        </w:tc>
        <w:tc>
          <w:tcPr>
            <w:tcW w:w="1175" w:type="dxa"/>
            <w:noWrap w:val="0"/>
            <w:vAlign w:val="center"/>
          </w:tcPr>
          <w:p w14:paraId="4EF1AF16">
            <w:pPr>
              <w:adjustRightInd w:val="0"/>
              <w:snapToGrid w:val="0"/>
              <w:jc w:val="center"/>
              <w:rPr>
                <w:b/>
                <w:bCs/>
                <w:color w:val="000000"/>
                <w:szCs w:val="21"/>
              </w:rPr>
            </w:pPr>
            <w:r>
              <w:rPr>
                <w:b/>
                <w:bCs/>
                <w:color w:val="000000"/>
                <w:szCs w:val="21"/>
              </w:rPr>
              <w:t>排放口(编号、名称)/污染源</w:t>
            </w:r>
          </w:p>
        </w:tc>
        <w:tc>
          <w:tcPr>
            <w:tcW w:w="1150" w:type="dxa"/>
            <w:noWrap w:val="0"/>
            <w:vAlign w:val="center"/>
          </w:tcPr>
          <w:p w14:paraId="53EE9C7A">
            <w:pPr>
              <w:adjustRightInd w:val="0"/>
              <w:snapToGrid w:val="0"/>
              <w:jc w:val="center"/>
              <w:rPr>
                <w:b/>
                <w:bCs/>
                <w:color w:val="000000"/>
                <w:szCs w:val="21"/>
              </w:rPr>
            </w:pPr>
            <w:r>
              <w:rPr>
                <w:b/>
                <w:bCs/>
                <w:color w:val="000000"/>
                <w:szCs w:val="21"/>
              </w:rPr>
              <w:t>污染物项目</w:t>
            </w:r>
          </w:p>
        </w:tc>
        <w:tc>
          <w:tcPr>
            <w:tcW w:w="3910" w:type="dxa"/>
            <w:noWrap w:val="0"/>
            <w:vAlign w:val="center"/>
          </w:tcPr>
          <w:p w14:paraId="59BE9FEE">
            <w:pPr>
              <w:adjustRightInd w:val="0"/>
              <w:snapToGrid w:val="0"/>
              <w:jc w:val="center"/>
              <w:rPr>
                <w:b/>
                <w:bCs/>
                <w:color w:val="000000"/>
                <w:szCs w:val="21"/>
              </w:rPr>
            </w:pPr>
            <w:r>
              <w:rPr>
                <w:b/>
                <w:bCs/>
                <w:color w:val="000000"/>
                <w:szCs w:val="21"/>
              </w:rPr>
              <w:t>环境保护措施</w:t>
            </w:r>
          </w:p>
        </w:tc>
        <w:tc>
          <w:tcPr>
            <w:tcW w:w="1471" w:type="dxa"/>
            <w:noWrap w:val="0"/>
            <w:vAlign w:val="center"/>
          </w:tcPr>
          <w:p w14:paraId="0B8FE91E">
            <w:pPr>
              <w:adjustRightInd w:val="0"/>
              <w:snapToGrid w:val="0"/>
              <w:jc w:val="center"/>
              <w:rPr>
                <w:b/>
                <w:bCs/>
                <w:color w:val="000000"/>
                <w:szCs w:val="21"/>
              </w:rPr>
            </w:pPr>
            <w:r>
              <w:rPr>
                <w:b/>
                <w:bCs/>
                <w:color w:val="000000"/>
                <w:szCs w:val="21"/>
              </w:rPr>
              <w:t>执行标准</w:t>
            </w:r>
          </w:p>
        </w:tc>
      </w:tr>
      <w:tr w14:paraId="4AC63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2" w:hRule="atLeast"/>
          <w:jc w:val="center"/>
        </w:trPr>
        <w:tc>
          <w:tcPr>
            <w:tcW w:w="1094" w:type="dxa"/>
            <w:vMerge w:val="restart"/>
            <w:noWrap w:val="0"/>
            <w:vAlign w:val="center"/>
          </w:tcPr>
          <w:p w14:paraId="535AC85B">
            <w:pPr>
              <w:adjustRightInd w:val="0"/>
              <w:snapToGrid w:val="0"/>
              <w:jc w:val="center"/>
              <w:rPr>
                <w:b/>
                <w:bCs/>
                <w:color w:val="000000"/>
                <w:szCs w:val="21"/>
              </w:rPr>
            </w:pPr>
            <w:r>
              <w:rPr>
                <w:rFonts w:hint="eastAsia"/>
                <w:b/>
                <w:bCs/>
                <w:color w:val="000000"/>
                <w:szCs w:val="21"/>
              </w:rPr>
              <w:t>大气环境</w:t>
            </w:r>
          </w:p>
        </w:tc>
        <w:tc>
          <w:tcPr>
            <w:tcW w:w="1175" w:type="dxa"/>
            <w:noWrap w:val="0"/>
            <w:vAlign w:val="center"/>
          </w:tcPr>
          <w:p w14:paraId="2ED1B9E6">
            <w:pPr>
              <w:adjustRightInd w:val="0"/>
              <w:snapToGrid w:val="0"/>
              <w:jc w:val="center"/>
              <w:rPr>
                <w:rFonts w:hint="eastAsia"/>
                <w:color w:val="000000"/>
                <w:szCs w:val="21"/>
              </w:rPr>
            </w:pPr>
            <w:r>
              <w:rPr>
                <w:rFonts w:hint="eastAsia"/>
                <w:color w:val="000000"/>
                <w:kern w:val="21"/>
                <w:szCs w:val="21"/>
              </w:rPr>
              <w:t>生产车间</w:t>
            </w:r>
          </w:p>
        </w:tc>
        <w:tc>
          <w:tcPr>
            <w:tcW w:w="1150" w:type="dxa"/>
            <w:noWrap w:val="0"/>
            <w:vAlign w:val="center"/>
          </w:tcPr>
          <w:p w14:paraId="7996786F">
            <w:pPr>
              <w:adjustRightInd w:val="0"/>
              <w:snapToGrid w:val="0"/>
              <w:jc w:val="center"/>
              <w:rPr>
                <w:rFonts w:hint="eastAsia"/>
                <w:color w:val="000000"/>
                <w:szCs w:val="21"/>
              </w:rPr>
            </w:pPr>
            <w:r>
              <w:rPr>
                <w:rFonts w:hint="eastAsia"/>
                <w:color w:val="000000"/>
                <w:szCs w:val="21"/>
              </w:rPr>
              <w:t>挥发性有机物（甲醇）</w:t>
            </w:r>
          </w:p>
        </w:tc>
        <w:tc>
          <w:tcPr>
            <w:tcW w:w="3910" w:type="dxa"/>
            <w:noWrap w:val="0"/>
            <w:vAlign w:val="center"/>
          </w:tcPr>
          <w:p w14:paraId="6C500ADD">
            <w:pPr>
              <w:adjustRightInd w:val="0"/>
              <w:snapToGrid w:val="0"/>
              <w:jc w:val="center"/>
              <w:rPr>
                <w:rFonts w:hint="eastAsia"/>
                <w:color w:val="000000"/>
                <w:kern w:val="21"/>
                <w:szCs w:val="21"/>
              </w:rPr>
            </w:pPr>
            <w:r>
              <w:rPr>
                <w:rFonts w:hint="eastAsia"/>
                <w:color w:val="000000"/>
                <w:kern w:val="21"/>
                <w:szCs w:val="21"/>
              </w:rPr>
              <w:t>生产车间位半密闭</w:t>
            </w:r>
            <w:r>
              <w:rPr>
                <w:color w:val="000000"/>
                <w:kern w:val="21"/>
                <w:szCs w:val="21"/>
              </w:rPr>
              <w:t>厂房</w:t>
            </w:r>
            <w:r>
              <w:rPr>
                <w:rFonts w:hint="eastAsia"/>
                <w:color w:val="000000"/>
                <w:kern w:val="21"/>
                <w:szCs w:val="21"/>
              </w:rPr>
              <w:t>（仅留出入口）内，废气通过设置负压系统配备负压风机，生产废气经过负压状态收集后经同一管道进入三级活性炭吸附系统处理后经1根15米高的排气筒排放。</w:t>
            </w:r>
          </w:p>
        </w:tc>
        <w:tc>
          <w:tcPr>
            <w:tcW w:w="1471" w:type="dxa"/>
            <w:noWrap w:val="0"/>
            <w:vAlign w:val="center"/>
          </w:tcPr>
          <w:p w14:paraId="6AD4F283">
            <w:pPr>
              <w:adjustRightInd w:val="0"/>
              <w:snapToGrid w:val="0"/>
              <w:jc w:val="center"/>
              <w:rPr>
                <w:color w:val="000000"/>
                <w:kern w:val="21"/>
                <w:szCs w:val="21"/>
              </w:rPr>
            </w:pPr>
            <w:r>
              <w:rPr>
                <w:rFonts w:hint="eastAsia"/>
                <w:color w:val="000000"/>
                <w:kern w:val="21"/>
                <w:szCs w:val="21"/>
              </w:rPr>
              <w:t>《大气污染物综合排放标准》（GB16297-1996）表2中标准限值</w:t>
            </w:r>
          </w:p>
        </w:tc>
      </w:tr>
      <w:tr w14:paraId="42826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2" w:hRule="atLeast"/>
          <w:jc w:val="center"/>
        </w:trPr>
        <w:tc>
          <w:tcPr>
            <w:tcW w:w="1094" w:type="dxa"/>
            <w:vMerge w:val="continue"/>
            <w:noWrap w:val="0"/>
            <w:vAlign w:val="center"/>
          </w:tcPr>
          <w:p w14:paraId="0F96C191">
            <w:pPr>
              <w:adjustRightInd w:val="0"/>
              <w:snapToGrid w:val="0"/>
              <w:jc w:val="center"/>
              <w:rPr>
                <w:rFonts w:hint="eastAsia"/>
                <w:b/>
                <w:bCs/>
                <w:color w:val="000000"/>
                <w:szCs w:val="21"/>
              </w:rPr>
            </w:pPr>
          </w:p>
        </w:tc>
        <w:tc>
          <w:tcPr>
            <w:tcW w:w="1175" w:type="dxa"/>
            <w:noWrap w:val="0"/>
            <w:vAlign w:val="center"/>
          </w:tcPr>
          <w:p w14:paraId="53B6C943">
            <w:pPr>
              <w:adjustRightInd w:val="0"/>
              <w:snapToGrid w:val="0"/>
              <w:jc w:val="center"/>
              <w:rPr>
                <w:rFonts w:hint="eastAsia"/>
                <w:color w:val="000000"/>
                <w:kern w:val="21"/>
                <w:szCs w:val="21"/>
              </w:rPr>
            </w:pPr>
            <w:r>
              <w:rPr>
                <w:rFonts w:hint="eastAsia"/>
                <w:color w:val="000000"/>
                <w:kern w:val="21"/>
                <w:szCs w:val="21"/>
              </w:rPr>
              <w:t>污水处理站、化粪池、垃圾桶</w:t>
            </w:r>
          </w:p>
        </w:tc>
        <w:tc>
          <w:tcPr>
            <w:tcW w:w="1150" w:type="dxa"/>
            <w:noWrap w:val="0"/>
            <w:vAlign w:val="center"/>
          </w:tcPr>
          <w:p w14:paraId="5D0B5A08">
            <w:pPr>
              <w:adjustRightInd w:val="0"/>
              <w:snapToGrid w:val="0"/>
              <w:jc w:val="center"/>
              <w:rPr>
                <w:rFonts w:hint="eastAsia"/>
                <w:color w:val="000000"/>
                <w:kern w:val="21"/>
                <w:szCs w:val="21"/>
              </w:rPr>
            </w:pPr>
            <w:r>
              <w:rPr>
                <w:rFonts w:hint="eastAsia"/>
                <w:color w:val="000000"/>
                <w:kern w:val="21"/>
                <w:szCs w:val="21"/>
              </w:rPr>
              <w:t>恶臭</w:t>
            </w:r>
          </w:p>
        </w:tc>
        <w:tc>
          <w:tcPr>
            <w:tcW w:w="3910" w:type="dxa"/>
            <w:noWrap w:val="0"/>
            <w:vAlign w:val="center"/>
          </w:tcPr>
          <w:p w14:paraId="7CEB88CD">
            <w:pPr>
              <w:adjustRightInd w:val="0"/>
              <w:snapToGrid w:val="0"/>
              <w:jc w:val="center"/>
              <w:rPr>
                <w:rFonts w:hint="eastAsia"/>
                <w:color w:val="000000"/>
                <w:kern w:val="21"/>
                <w:szCs w:val="21"/>
              </w:rPr>
            </w:pPr>
            <w:r>
              <w:rPr>
                <w:rFonts w:hint="eastAsia"/>
                <w:color w:val="000000"/>
                <w:kern w:val="21"/>
                <w:szCs w:val="21"/>
              </w:rPr>
              <w:t>项目污水处理站属地埋式结构，且周边设置绿化，且地势较开阔；项目化粪池加盖，且置于项目区绿化带内，属地埋式结构；垃圾桶采用半密闭桶收集，并做到日产日清，异味不明显。生活垃圾由建设单位当天清运至当地生活垃圾收集点处置。</w:t>
            </w:r>
          </w:p>
        </w:tc>
        <w:tc>
          <w:tcPr>
            <w:tcW w:w="1471" w:type="dxa"/>
            <w:noWrap w:val="0"/>
            <w:vAlign w:val="center"/>
          </w:tcPr>
          <w:p w14:paraId="4277D01C">
            <w:pPr>
              <w:adjustRightInd w:val="0"/>
              <w:snapToGrid w:val="0"/>
              <w:jc w:val="center"/>
              <w:rPr>
                <w:rFonts w:hint="eastAsia"/>
                <w:color w:val="000000"/>
                <w:kern w:val="21"/>
                <w:szCs w:val="21"/>
              </w:rPr>
            </w:pPr>
            <w:r>
              <w:rPr>
                <w:rFonts w:hint="eastAsia"/>
                <w:color w:val="000000"/>
                <w:kern w:val="21"/>
                <w:szCs w:val="21"/>
              </w:rPr>
              <w:t>《恶臭污染物排放标准》（GB14554-1993）二级标准</w:t>
            </w:r>
          </w:p>
        </w:tc>
      </w:tr>
      <w:tr w14:paraId="50FCC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noWrap w:val="0"/>
            <w:vAlign w:val="center"/>
          </w:tcPr>
          <w:p w14:paraId="702598A6">
            <w:pPr>
              <w:adjustRightInd w:val="0"/>
              <w:snapToGrid w:val="0"/>
              <w:jc w:val="center"/>
              <w:rPr>
                <w:rFonts w:hint="eastAsia"/>
                <w:b/>
                <w:bCs/>
                <w:color w:val="000000"/>
                <w:szCs w:val="21"/>
              </w:rPr>
            </w:pPr>
            <w:r>
              <w:rPr>
                <w:b/>
                <w:bCs/>
                <w:color w:val="000000"/>
                <w:szCs w:val="21"/>
              </w:rPr>
              <w:t>地表水环境</w:t>
            </w:r>
          </w:p>
        </w:tc>
        <w:tc>
          <w:tcPr>
            <w:tcW w:w="1175" w:type="dxa"/>
            <w:noWrap w:val="0"/>
            <w:vAlign w:val="center"/>
          </w:tcPr>
          <w:p w14:paraId="1355B30F">
            <w:pPr>
              <w:adjustRightInd w:val="0"/>
              <w:snapToGrid w:val="0"/>
              <w:jc w:val="center"/>
              <w:rPr>
                <w:color w:val="000000"/>
                <w:kern w:val="21"/>
                <w:szCs w:val="21"/>
              </w:rPr>
            </w:pPr>
            <w:r>
              <w:rPr>
                <w:rFonts w:hint="eastAsia"/>
                <w:color w:val="000000"/>
                <w:kern w:val="21"/>
                <w:szCs w:val="21"/>
              </w:rPr>
              <w:t>生活废水</w:t>
            </w:r>
          </w:p>
        </w:tc>
        <w:tc>
          <w:tcPr>
            <w:tcW w:w="1150" w:type="dxa"/>
            <w:noWrap w:val="0"/>
            <w:vAlign w:val="center"/>
          </w:tcPr>
          <w:p w14:paraId="577A55D3">
            <w:pPr>
              <w:adjustRightInd w:val="0"/>
              <w:snapToGrid w:val="0"/>
              <w:jc w:val="center"/>
              <w:rPr>
                <w:rFonts w:hint="eastAsia"/>
                <w:color w:val="000000"/>
                <w:kern w:val="21"/>
                <w:szCs w:val="21"/>
              </w:rPr>
            </w:pPr>
            <w:r>
              <w:rPr>
                <w:rFonts w:hint="eastAsia"/>
                <w:color w:val="000000"/>
                <w:kern w:val="21"/>
                <w:szCs w:val="21"/>
              </w:rPr>
              <w:t>SS</w:t>
            </w:r>
          </w:p>
        </w:tc>
        <w:tc>
          <w:tcPr>
            <w:tcW w:w="3910" w:type="dxa"/>
            <w:noWrap w:val="0"/>
            <w:vAlign w:val="center"/>
          </w:tcPr>
          <w:p w14:paraId="36F44982">
            <w:pPr>
              <w:adjustRightInd w:val="0"/>
              <w:snapToGrid w:val="0"/>
              <w:jc w:val="center"/>
              <w:rPr>
                <w:rFonts w:hint="eastAsia"/>
                <w:color w:val="000000"/>
                <w:kern w:val="21"/>
                <w:szCs w:val="21"/>
              </w:rPr>
            </w:pPr>
            <w:r>
              <w:rPr>
                <w:rFonts w:hint="eastAsia"/>
                <w:color w:val="000000"/>
                <w:kern w:val="21"/>
                <w:szCs w:val="21"/>
              </w:rPr>
              <w:t>办公生活区食堂废水经隔油池（0.5m</w:t>
            </w:r>
            <w:r>
              <w:rPr>
                <w:rFonts w:hint="eastAsia"/>
                <w:color w:val="000000"/>
                <w:kern w:val="21"/>
                <w:szCs w:val="21"/>
                <w:vertAlign w:val="superscript"/>
              </w:rPr>
              <w:t>3</w:t>
            </w:r>
            <w:r>
              <w:rPr>
                <w:rFonts w:hint="eastAsia"/>
                <w:color w:val="000000"/>
                <w:kern w:val="21"/>
                <w:szCs w:val="21"/>
              </w:rPr>
              <w:t>）预处理后排入化粪池（</w:t>
            </w:r>
            <w:r>
              <w:rPr>
                <w:color w:val="000000"/>
                <w:kern w:val="21"/>
                <w:szCs w:val="21"/>
              </w:rPr>
              <w:t>2</w:t>
            </w:r>
            <w:r>
              <w:rPr>
                <w:rFonts w:hint="eastAsia"/>
                <w:color w:val="000000"/>
                <w:kern w:val="21"/>
                <w:szCs w:val="21"/>
              </w:rPr>
              <w:t>0m</w:t>
            </w:r>
            <w:r>
              <w:rPr>
                <w:rFonts w:hint="eastAsia"/>
                <w:color w:val="000000"/>
                <w:kern w:val="21"/>
                <w:szCs w:val="21"/>
                <w:vertAlign w:val="superscript"/>
              </w:rPr>
              <w:t>3</w:t>
            </w:r>
            <w:r>
              <w:rPr>
                <w:rFonts w:hint="eastAsia"/>
                <w:color w:val="000000"/>
                <w:kern w:val="21"/>
                <w:szCs w:val="21"/>
              </w:rPr>
              <w:t>），定期清掏用作农肥。</w:t>
            </w:r>
          </w:p>
        </w:tc>
        <w:tc>
          <w:tcPr>
            <w:tcW w:w="1471" w:type="dxa"/>
            <w:noWrap w:val="0"/>
            <w:vAlign w:val="center"/>
          </w:tcPr>
          <w:p w14:paraId="1A26C9B3">
            <w:pPr>
              <w:adjustRightInd w:val="0"/>
              <w:snapToGrid w:val="0"/>
              <w:jc w:val="center"/>
              <w:rPr>
                <w:rFonts w:hint="eastAsia"/>
                <w:color w:val="000000"/>
                <w:szCs w:val="21"/>
              </w:rPr>
            </w:pPr>
            <w:r>
              <w:rPr>
                <w:rFonts w:hint="eastAsia"/>
                <w:color w:val="000000"/>
                <w:szCs w:val="21"/>
              </w:rPr>
              <w:t>不外排</w:t>
            </w:r>
          </w:p>
        </w:tc>
      </w:tr>
      <w:tr w14:paraId="68DBA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noWrap w:val="0"/>
            <w:vAlign w:val="center"/>
          </w:tcPr>
          <w:p w14:paraId="05DE03AE">
            <w:pPr>
              <w:adjustRightInd w:val="0"/>
              <w:snapToGrid w:val="0"/>
              <w:jc w:val="center"/>
              <w:rPr>
                <w:rFonts w:hint="eastAsia"/>
                <w:b/>
                <w:bCs/>
                <w:color w:val="000000"/>
                <w:szCs w:val="21"/>
              </w:rPr>
            </w:pPr>
            <w:r>
              <w:rPr>
                <w:b/>
                <w:bCs/>
                <w:color w:val="000000"/>
                <w:szCs w:val="21"/>
              </w:rPr>
              <w:t>声环境</w:t>
            </w:r>
          </w:p>
        </w:tc>
        <w:tc>
          <w:tcPr>
            <w:tcW w:w="1175" w:type="dxa"/>
            <w:noWrap w:val="0"/>
            <w:vAlign w:val="center"/>
          </w:tcPr>
          <w:p w14:paraId="2C153904">
            <w:pPr>
              <w:adjustRightInd w:val="0"/>
              <w:snapToGrid w:val="0"/>
              <w:jc w:val="center"/>
              <w:rPr>
                <w:rFonts w:hint="eastAsia"/>
                <w:color w:val="000000"/>
                <w:kern w:val="21"/>
                <w:szCs w:val="21"/>
              </w:rPr>
            </w:pPr>
            <w:r>
              <w:rPr>
                <w:rFonts w:hint="eastAsia"/>
                <w:color w:val="000000"/>
                <w:kern w:val="21"/>
                <w:szCs w:val="21"/>
              </w:rPr>
              <w:t>设备噪声</w:t>
            </w:r>
          </w:p>
        </w:tc>
        <w:tc>
          <w:tcPr>
            <w:tcW w:w="1150" w:type="dxa"/>
            <w:noWrap w:val="0"/>
            <w:vAlign w:val="center"/>
          </w:tcPr>
          <w:p w14:paraId="7F5B8086">
            <w:pPr>
              <w:adjustRightInd w:val="0"/>
              <w:snapToGrid w:val="0"/>
              <w:jc w:val="center"/>
              <w:rPr>
                <w:rFonts w:hint="eastAsia"/>
                <w:color w:val="000000"/>
                <w:kern w:val="21"/>
                <w:szCs w:val="21"/>
              </w:rPr>
            </w:pPr>
            <w:r>
              <w:rPr>
                <w:rFonts w:hint="eastAsia"/>
                <w:color w:val="000000"/>
                <w:kern w:val="21"/>
                <w:szCs w:val="21"/>
              </w:rPr>
              <w:t>等效A声级</w:t>
            </w:r>
          </w:p>
        </w:tc>
        <w:tc>
          <w:tcPr>
            <w:tcW w:w="3910" w:type="dxa"/>
            <w:noWrap w:val="0"/>
            <w:vAlign w:val="center"/>
          </w:tcPr>
          <w:p w14:paraId="52AACE0A">
            <w:pPr>
              <w:adjustRightInd w:val="0"/>
              <w:snapToGrid w:val="0"/>
              <w:jc w:val="center"/>
              <w:rPr>
                <w:rFonts w:hint="eastAsia"/>
                <w:color w:val="000000"/>
                <w:kern w:val="21"/>
                <w:szCs w:val="21"/>
              </w:rPr>
            </w:pPr>
            <w:r>
              <w:rPr>
                <w:rFonts w:hint="eastAsia"/>
                <w:color w:val="000000"/>
                <w:kern w:val="21"/>
                <w:szCs w:val="21"/>
                <w:lang w:val="zh-CN"/>
              </w:rPr>
              <w:t>选用低噪声设备，采取加装基础减振、厂房隔声、风机加装消声器等措施</w:t>
            </w:r>
          </w:p>
        </w:tc>
        <w:tc>
          <w:tcPr>
            <w:tcW w:w="1471" w:type="dxa"/>
            <w:noWrap w:val="0"/>
            <w:vAlign w:val="center"/>
          </w:tcPr>
          <w:p w14:paraId="3A0BE2D4">
            <w:pPr>
              <w:adjustRightInd w:val="0"/>
              <w:snapToGrid w:val="0"/>
              <w:jc w:val="center"/>
              <w:rPr>
                <w:color w:val="000000"/>
                <w:kern w:val="21"/>
                <w:szCs w:val="21"/>
              </w:rPr>
            </w:pPr>
            <w:r>
              <w:rPr>
                <w:rFonts w:hint="eastAsia"/>
                <w:color w:val="000000"/>
                <w:kern w:val="21"/>
                <w:szCs w:val="21"/>
                <w:lang w:val="zh-CN"/>
              </w:rPr>
              <w:t>《工业企业厂界环境噪声排放标准》（GB12348-2008）</w:t>
            </w:r>
            <w:r>
              <w:rPr>
                <w:rFonts w:hint="eastAsia"/>
                <w:color w:val="000000"/>
                <w:kern w:val="21"/>
                <w:szCs w:val="21"/>
              </w:rPr>
              <w:t>2</w:t>
            </w:r>
            <w:r>
              <w:rPr>
                <w:rFonts w:hint="eastAsia"/>
                <w:color w:val="000000"/>
                <w:kern w:val="21"/>
                <w:szCs w:val="21"/>
                <w:lang w:val="zh-CN"/>
              </w:rPr>
              <w:t>类标准</w:t>
            </w:r>
          </w:p>
        </w:tc>
      </w:tr>
      <w:tr w14:paraId="72F46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noWrap w:val="0"/>
            <w:vAlign w:val="center"/>
          </w:tcPr>
          <w:p w14:paraId="264E2547">
            <w:pPr>
              <w:adjustRightInd w:val="0"/>
              <w:snapToGrid w:val="0"/>
              <w:jc w:val="center"/>
              <w:rPr>
                <w:rFonts w:hint="eastAsia"/>
                <w:b/>
                <w:bCs/>
                <w:color w:val="000000"/>
                <w:szCs w:val="21"/>
              </w:rPr>
            </w:pPr>
            <w:r>
              <w:rPr>
                <w:b/>
                <w:bCs/>
                <w:color w:val="000000"/>
                <w:szCs w:val="21"/>
              </w:rPr>
              <w:t>电磁辐射</w:t>
            </w:r>
          </w:p>
        </w:tc>
        <w:tc>
          <w:tcPr>
            <w:tcW w:w="1175" w:type="dxa"/>
            <w:noWrap w:val="0"/>
            <w:vAlign w:val="center"/>
          </w:tcPr>
          <w:p w14:paraId="1933734F">
            <w:pPr>
              <w:adjustRightInd w:val="0"/>
              <w:snapToGrid w:val="0"/>
              <w:jc w:val="center"/>
              <w:rPr>
                <w:color w:val="000000"/>
                <w:kern w:val="21"/>
                <w:szCs w:val="21"/>
              </w:rPr>
            </w:pPr>
            <w:r>
              <w:rPr>
                <w:color w:val="000000"/>
                <w:kern w:val="21"/>
                <w:szCs w:val="21"/>
              </w:rPr>
              <w:t>/</w:t>
            </w:r>
          </w:p>
        </w:tc>
        <w:tc>
          <w:tcPr>
            <w:tcW w:w="1150" w:type="dxa"/>
            <w:noWrap w:val="0"/>
            <w:vAlign w:val="center"/>
          </w:tcPr>
          <w:p w14:paraId="2BE3A4B1">
            <w:pPr>
              <w:adjustRightInd w:val="0"/>
              <w:snapToGrid w:val="0"/>
              <w:jc w:val="center"/>
              <w:rPr>
                <w:color w:val="000000"/>
                <w:szCs w:val="21"/>
              </w:rPr>
            </w:pPr>
            <w:r>
              <w:rPr>
                <w:color w:val="000000"/>
                <w:kern w:val="21"/>
                <w:szCs w:val="21"/>
              </w:rPr>
              <w:t>/</w:t>
            </w:r>
          </w:p>
        </w:tc>
        <w:tc>
          <w:tcPr>
            <w:tcW w:w="3910" w:type="dxa"/>
            <w:noWrap w:val="0"/>
            <w:vAlign w:val="center"/>
          </w:tcPr>
          <w:p w14:paraId="412CE1AA">
            <w:pPr>
              <w:adjustRightInd w:val="0"/>
              <w:snapToGrid w:val="0"/>
              <w:jc w:val="center"/>
              <w:rPr>
                <w:color w:val="000000"/>
                <w:kern w:val="21"/>
                <w:szCs w:val="21"/>
              </w:rPr>
            </w:pPr>
            <w:r>
              <w:rPr>
                <w:color w:val="000000"/>
                <w:kern w:val="21"/>
                <w:szCs w:val="21"/>
              </w:rPr>
              <w:t>/</w:t>
            </w:r>
          </w:p>
        </w:tc>
        <w:tc>
          <w:tcPr>
            <w:tcW w:w="1471" w:type="dxa"/>
            <w:noWrap w:val="0"/>
            <w:vAlign w:val="center"/>
          </w:tcPr>
          <w:p w14:paraId="262C6587">
            <w:pPr>
              <w:adjustRightInd w:val="0"/>
              <w:snapToGrid w:val="0"/>
              <w:jc w:val="center"/>
              <w:rPr>
                <w:color w:val="000000"/>
                <w:szCs w:val="21"/>
              </w:rPr>
            </w:pPr>
            <w:r>
              <w:rPr>
                <w:color w:val="000000"/>
                <w:kern w:val="21"/>
                <w:szCs w:val="21"/>
              </w:rPr>
              <w:t>/</w:t>
            </w:r>
          </w:p>
        </w:tc>
      </w:tr>
      <w:tr w14:paraId="6A8BC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restart"/>
            <w:noWrap w:val="0"/>
            <w:vAlign w:val="center"/>
          </w:tcPr>
          <w:p w14:paraId="28C8980E">
            <w:pPr>
              <w:adjustRightInd w:val="0"/>
              <w:snapToGrid w:val="0"/>
              <w:jc w:val="center"/>
              <w:rPr>
                <w:rFonts w:hint="eastAsia"/>
                <w:b/>
                <w:bCs/>
                <w:color w:val="000000"/>
                <w:szCs w:val="21"/>
              </w:rPr>
            </w:pPr>
            <w:r>
              <w:rPr>
                <w:rFonts w:hint="eastAsia"/>
                <w:b/>
                <w:bCs/>
                <w:color w:val="000000"/>
                <w:szCs w:val="21"/>
              </w:rPr>
              <w:t>固体废物</w:t>
            </w:r>
          </w:p>
        </w:tc>
        <w:tc>
          <w:tcPr>
            <w:tcW w:w="1175" w:type="dxa"/>
            <w:noWrap w:val="0"/>
            <w:vAlign w:val="center"/>
          </w:tcPr>
          <w:p w14:paraId="03D43568">
            <w:pPr>
              <w:adjustRightInd w:val="0"/>
              <w:snapToGrid w:val="0"/>
              <w:jc w:val="center"/>
              <w:rPr>
                <w:rFonts w:hint="eastAsia"/>
                <w:color w:val="000000"/>
                <w:kern w:val="21"/>
                <w:szCs w:val="21"/>
              </w:rPr>
            </w:pPr>
            <w:r>
              <w:rPr>
                <w:rFonts w:hint="eastAsia"/>
                <w:color w:val="000000"/>
                <w:kern w:val="21"/>
                <w:szCs w:val="21"/>
              </w:rPr>
              <w:t>员工生活</w:t>
            </w:r>
          </w:p>
        </w:tc>
        <w:tc>
          <w:tcPr>
            <w:tcW w:w="1150" w:type="dxa"/>
            <w:noWrap w:val="0"/>
            <w:vAlign w:val="center"/>
          </w:tcPr>
          <w:p w14:paraId="63D5B966">
            <w:pPr>
              <w:adjustRightInd w:val="0"/>
              <w:snapToGrid w:val="0"/>
              <w:jc w:val="center"/>
              <w:rPr>
                <w:rFonts w:hint="eastAsia"/>
                <w:color w:val="000000"/>
                <w:kern w:val="21"/>
                <w:szCs w:val="21"/>
              </w:rPr>
            </w:pPr>
            <w:r>
              <w:rPr>
                <w:rFonts w:hint="eastAsia"/>
                <w:color w:val="000000"/>
                <w:kern w:val="21"/>
                <w:szCs w:val="21"/>
              </w:rPr>
              <w:t>生活垃圾</w:t>
            </w:r>
          </w:p>
        </w:tc>
        <w:tc>
          <w:tcPr>
            <w:tcW w:w="3910" w:type="dxa"/>
            <w:noWrap w:val="0"/>
            <w:vAlign w:val="center"/>
          </w:tcPr>
          <w:p w14:paraId="1E308D69">
            <w:pPr>
              <w:pStyle w:val="7"/>
              <w:spacing w:before="0" w:after="0" w:line="240" w:lineRule="auto"/>
              <w:ind w:right="0"/>
              <w:jc w:val="center"/>
              <w:rPr>
                <w:rFonts w:hint="eastAsia"/>
                <w:color w:val="000000"/>
                <w:sz w:val="21"/>
                <w:szCs w:val="21"/>
              </w:rPr>
            </w:pPr>
            <w:r>
              <w:rPr>
                <w:rFonts w:hint="eastAsia"/>
                <w:color w:val="000000"/>
                <w:sz w:val="21"/>
                <w:szCs w:val="21"/>
              </w:rPr>
              <w:t>垃圾桶分类收集后委托环卫部门清运处置</w:t>
            </w:r>
          </w:p>
        </w:tc>
        <w:tc>
          <w:tcPr>
            <w:tcW w:w="1471" w:type="dxa"/>
            <w:vMerge w:val="restart"/>
            <w:noWrap w:val="0"/>
            <w:vAlign w:val="center"/>
          </w:tcPr>
          <w:p w14:paraId="43D8BD50">
            <w:pPr>
              <w:adjustRightInd w:val="0"/>
              <w:snapToGrid w:val="0"/>
              <w:jc w:val="center"/>
              <w:rPr>
                <w:color w:val="000000"/>
                <w:kern w:val="21"/>
                <w:szCs w:val="21"/>
              </w:rPr>
            </w:pPr>
            <w:r>
              <w:rPr>
                <w:rFonts w:hint="eastAsia"/>
                <w:color w:val="000000"/>
                <w:kern w:val="21"/>
                <w:szCs w:val="21"/>
                <w:lang w:val="zh-CN"/>
              </w:rPr>
              <w:t>固废处置率100%</w:t>
            </w:r>
          </w:p>
        </w:tc>
      </w:tr>
      <w:tr w14:paraId="4EEC7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3EC6D7E1">
            <w:pPr>
              <w:adjustRightInd w:val="0"/>
              <w:snapToGrid w:val="0"/>
              <w:jc w:val="center"/>
              <w:rPr>
                <w:rFonts w:hint="eastAsia"/>
                <w:b/>
                <w:bCs/>
                <w:color w:val="000000"/>
                <w:szCs w:val="21"/>
              </w:rPr>
            </w:pPr>
          </w:p>
        </w:tc>
        <w:tc>
          <w:tcPr>
            <w:tcW w:w="1175" w:type="dxa"/>
            <w:noWrap w:val="0"/>
            <w:vAlign w:val="center"/>
          </w:tcPr>
          <w:p w14:paraId="28D72664">
            <w:pPr>
              <w:pStyle w:val="7"/>
              <w:spacing w:before="0" w:after="0" w:line="240" w:lineRule="auto"/>
              <w:ind w:right="0"/>
              <w:jc w:val="center"/>
              <w:rPr>
                <w:rFonts w:hint="eastAsia"/>
                <w:color w:val="000000"/>
                <w:kern w:val="21"/>
                <w:szCs w:val="21"/>
              </w:rPr>
            </w:pPr>
            <w:r>
              <w:rPr>
                <w:rFonts w:hint="eastAsia"/>
                <w:color w:val="000000"/>
                <w:sz w:val="21"/>
                <w:szCs w:val="21"/>
              </w:rPr>
              <w:t>鲜花残枝叶、破损次品</w:t>
            </w:r>
          </w:p>
        </w:tc>
        <w:tc>
          <w:tcPr>
            <w:tcW w:w="1150" w:type="dxa"/>
            <w:noWrap w:val="0"/>
            <w:vAlign w:val="center"/>
          </w:tcPr>
          <w:p w14:paraId="4C7D3996">
            <w:pPr>
              <w:pStyle w:val="7"/>
              <w:spacing w:before="0" w:after="0" w:line="240" w:lineRule="auto"/>
              <w:ind w:right="0"/>
              <w:jc w:val="center"/>
              <w:rPr>
                <w:rFonts w:hint="eastAsia"/>
                <w:color w:val="000000"/>
                <w:kern w:val="21"/>
                <w:szCs w:val="21"/>
              </w:rPr>
            </w:pPr>
            <w:r>
              <w:rPr>
                <w:rFonts w:hint="eastAsia"/>
                <w:color w:val="000000"/>
                <w:sz w:val="21"/>
                <w:szCs w:val="21"/>
              </w:rPr>
              <w:t>鲜花残枝叶、破损次品</w:t>
            </w:r>
          </w:p>
        </w:tc>
        <w:tc>
          <w:tcPr>
            <w:tcW w:w="3910" w:type="dxa"/>
            <w:noWrap w:val="0"/>
            <w:vAlign w:val="center"/>
          </w:tcPr>
          <w:p w14:paraId="6F00B2D0">
            <w:pPr>
              <w:pStyle w:val="7"/>
              <w:spacing w:before="0" w:after="0" w:line="240" w:lineRule="auto"/>
              <w:ind w:right="0"/>
              <w:jc w:val="center"/>
              <w:rPr>
                <w:rFonts w:hint="eastAsia"/>
                <w:color w:val="000000"/>
                <w:sz w:val="21"/>
                <w:szCs w:val="21"/>
              </w:rPr>
            </w:pPr>
            <w:r>
              <w:rPr>
                <w:rFonts w:hint="eastAsia"/>
                <w:color w:val="000000"/>
                <w:sz w:val="21"/>
                <w:szCs w:val="21"/>
              </w:rPr>
              <w:t>集中收集后和当地生活垃圾一起处理。</w:t>
            </w:r>
          </w:p>
        </w:tc>
        <w:tc>
          <w:tcPr>
            <w:tcW w:w="1471" w:type="dxa"/>
            <w:vMerge w:val="continue"/>
            <w:noWrap w:val="0"/>
            <w:vAlign w:val="center"/>
          </w:tcPr>
          <w:p w14:paraId="1819E0BF">
            <w:pPr>
              <w:adjustRightInd w:val="0"/>
              <w:snapToGrid w:val="0"/>
              <w:jc w:val="center"/>
              <w:rPr>
                <w:rFonts w:hint="eastAsia"/>
                <w:color w:val="000000"/>
                <w:kern w:val="21"/>
                <w:szCs w:val="21"/>
                <w:lang w:val="zh-CN"/>
              </w:rPr>
            </w:pPr>
          </w:p>
        </w:tc>
      </w:tr>
      <w:tr w14:paraId="78251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6FFC3E72">
            <w:pPr>
              <w:adjustRightInd w:val="0"/>
              <w:snapToGrid w:val="0"/>
              <w:jc w:val="center"/>
              <w:rPr>
                <w:rFonts w:hint="eastAsia"/>
                <w:b/>
                <w:bCs/>
                <w:color w:val="000000"/>
                <w:szCs w:val="21"/>
              </w:rPr>
            </w:pPr>
          </w:p>
        </w:tc>
        <w:tc>
          <w:tcPr>
            <w:tcW w:w="1175" w:type="dxa"/>
            <w:noWrap w:val="0"/>
            <w:vAlign w:val="center"/>
          </w:tcPr>
          <w:p w14:paraId="48D50367">
            <w:pPr>
              <w:pStyle w:val="7"/>
              <w:spacing w:before="0" w:after="0" w:line="240" w:lineRule="auto"/>
              <w:ind w:right="0"/>
              <w:jc w:val="center"/>
              <w:rPr>
                <w:color w:val="000000"/>
                <w:sz w:val="21"/>
                <w:szCs w:val="21"/>
              </w:rPr>
            </w:pPr>
            <w:r>
              <w:rPr>
                <w:rFonts w:hint="eastAsia"/>
                <w:color w:val="000000"/>
                <w:sz w:val="21"/>
                <w:szCs w:val="21"/>
              </w:rPr>
              <w:t>废包装箱/瓶</w:t>
            </w:r>
          </w:p>
        </w:tc>
        <w:tc>
          <w:tcPr>
            <w:tcW w:w="1150" w:type="dxa"/>
            <w:noWrap w:val="0"/>
            <w:vAlign w:val="center"/>
          </w:tcPr>
          <w:p w14:paraId="21CC75E2">
            <w:pPr>
              <w:pStyle w:val="7"/>
              <w:spacing w:before="0" w:after="0" w:line="240" w:lineRule="auto"/>
              <w:ind w:right="0"/>
              <w:jc w:val="center"/>
              <w:rPr>
                <w:rFonts w:hint="eastAsia"/>
                <w:color w:val="000000"/>
                <w:sz w:val="21"/>
                <w:szCs w:val="21"/>
              </w:rPr>
            </w:pPr>
            <w:r>
              <w:rPr>
                <w:rFonts w:hint="eastAsia"/>
                <w:color w:val="000000"/>
                <w:sz w:val="21"/>
                <w:szCs w:val="21"/>
              </w:rPr>
              <w:t>色素废包装箱/瓶</w:t>
            </w:r>
          </w:p>
        </w:tc>
        <w:tc>
          <w:tcPr>
            <w:tcW w:w="3910" w:type="dxa"/>
            <w:noWrap w:val="0"/>
            <w:vAlign w:val="center"/>
          </w:tcPr>
          <w:p w14:paraId="0D8F1C90">
            <w:pPr>
              <w:pStyle w:val="7"/>
              <w:spacing w:before="0" w:after="0" w:line="240" w:lineRule="auto"/>
              <w:ind w:right="0"/>
              <w:jc w:val="center"/>
              <w:rPr>
                <w:rFonts w:hint="eastAsia"/>
                <w:color w:val="000000"/>
                <w:sz w:val="21"/>
                <w:szCs w:val="21"/>
              </w:rPr>
            </w:pPr>
            <w:r>
              <w:rPr>
                <w:rFonts w:hint="eastAsia"/>
                <w:color w:val="000000"/>
                <w:sz w:val="21"/>
                <w:szCs w:val="21"/>
              </w:rPr>
              <w:t>废品回收公司回收</w:t>
            </w:r>
          </w:p>
        </w:tc>
        <w:tc>
          <w:tcPr>
            <w:tcW w:w="1471" w:type="dxa"/>
            <w:vMerge w:val="continue"/>
            <w:noWrap w:val="0"/>
            <w:vAlign w:val="center"/>
          </w:tcPr>
          <w:p w14:paraId="3155456A">
            <w:pPr>
              <w:adjustRightInd w:val="0"/>
              <w:snapToGrid w:val="0"/>
              <w:jc w:val="center"/>
              <w:rPr>
                <w:rFonts w:hint="eastAsia"/>
                <w:color w:val="000000"/>
                <w:kern w:val="21"/>
                <w:szCs w:val="21"/>
                <w:lang w:val="zh-CN"/>
              </w:rPr>
            </w:pPr>
          </w:p>
        </w:tc>
      </w:tr>
      <w:tr w14:paraId="68E80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371B7FB5">
            <w:pPr>
              <w:adjustRightInd w:val="0"/>
              <w:snapToGrid w:val="0"/>
              <w:jc w:val="center"/>
              <w:rPr>
                <w:rFonts w:hint="eastAsia"/>
                <w:b/>
                <w:bCs/>
                <w:color w:val="000000"/>
                <w:szCs w:val="21"/>
              </w:rPr>
            </w:pPr>
          </w:p>
        </w:tc>
        <w:tc>
          <w:tcPr>
            <w:tcW w:w="1175" w:type="dxa"/>
            <w:noWrap w:val="0"/>
            <w:vAlign w:val="center"/>
          </w:tcPr>
          <w:p w14:paraId="7ED50E50">
            <w:pPr>
              <w:pStyle w:val="7"/>
              <w:spacing w:before="0" w:after="0" w:line="240" w:lineRule="auto"/>
              <w:ind w:right="0"/>
              <w:jc w:val="center"/>
              <w:rPr>
                <w:rFonts w:hint="eastAsia"/>
                <w:color w:val="000000"/>
                <w:sz w:val="21"/>
                <w:szCs w:val="21"/>
              </w:rPr>
            </w:pPr>
            <w:r>
              <w:rPr>
                <w:rFonts w:hint="eastAsia"/>
                <w:color w:val="000000"/>
                <w:sz w:val="21"/>
                <w:szCs w:val="21"/>
              </w:rPr>
              <w:t>废桶</w:t>
            </w:r>
          </w:p>
        </w:tc>
        <w:tc>
          <w:tcPr>
            <w:tcW w:w="1150" w:type="dxa"/>
            <w:noWrap w:val="0"/>
            <w:vAlign w:val="center"/>
          </w:tcPr>
          <w:p w14:paraId="06D19871">
            <w:pPr>
              <w:pStyle w:val="7"/>
              <w:spacing w:before="0" w:after="0" w:line="240" w:lineRule="auto"/>
              <w:ind w:right="0"/>
              <w:jc w:val="center"/>
              <w:rPr>
                <w:rFonts w:hint="eastAsia"/>
                <w:color w:val="000000"/>
                <w:sz w:val="21"/>
                <w:szCs w:val="21"/>
              </w:rPr>
            </w:pPr>
            <w:r>
              <w:rPr>
                <w:rFonts w:hint="eastAsia"/>
                <w:color w:val="000000"/>
                <w:sz w:val="21"/>
                <w:szCs w:val="21"/>
              </w:rPr>
              <w:t>废甘油桶</w:t>
            </w:r>
          </w:p>
        </w:tc>
        <w:tc>
          <w:tcPr>
            <w:tcW w:w="3910" w:type="dxa"/>
            <w:noWrap w:val="0"/>
            <w:vAlign w:val="center"/>
          </w:tcPr>
          <w:p w14:paraId="29C6AA29">
            <w:pPr>
              <w:pStyle w:val="7"/>
              <w:spacing w:before="0" w:after="0" w:line="240" w:lineRule="auto"/>
              <w:ind w:right="0"/>
              <w:jc w:val="center"/>
              <w:rPr>
                <w:rFonts w:hint="eastAsia"/>
                <w:color w:val="000000"/>
                <w:sz w:val="21"/>
                <w:szCs w:val="21"/>
              </w:rPr>
            </w:pPr>
            <w:r>
              <w:rPr>
                <w:rFonts w:hint="eastAsia"/>
                <w:color w:val="000000"/>
                <w:sz w:val="21"/>
                <w:szCs w:val="21"/>
              </w:rPr>
              <w:t>厂家回收</w:t>
            </w:r>
          </w:p>
        </w:tc>
        <w:tc>
          <w:tcPr>
            <w:tcW w:w="1471" w:type="dxa"/>
            <w:vMerge w:val="continue"/>
            <w:noWrap w:val="0"/>
            <w:vAlign w:val="center"/>
          </w:tcPr>
          <w:p w14:paraId="577B1F60">
            <w:pPr>
              <w:adjustRightInd w:val="0"/>
              <w:snapToGrid w:val="0"/>
              <w:jc w:val="center"/>
              <w:rPr>
                <w:rFonts w:hint="eastAsia"/>
                <w:color w:val="000000"/>
                <w:kern w:val="21"/>
                <w:szCs w:val="21"/>
                <w:lang w:val="zh-CN"/>
              </w:rPr>
            </w:pPr>
          </w:p>
        </w:tc>
      </w:tr>
      <w:tr w14:paraId="1E194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35175428">
            <w:pPr>
              <w:adjustRightInd w:val="0"/>
              <w:snapToGrid w:val="0"/>
              <w:jc w:val="center"/>
              <w:rPr>
                <w:rFonts w:hint="eastAsia"/>
                <w:b/>
                <w:bCs/>
                <w:color w:val="000000"/>
                <w:szCs w:val="21"/>
              </w:rPr>
            </w:pPr>
          </w:p>
        </w:tc>
        <w:tc>
          <w:tcPr>
            <w:tcW w:w="1175" w:type="dxa"/>
            <w:noWrap w:val="0"/>
            <w:vAlign w:val="center"/>
          </w:tcPr>
          <w:p w14:paraId="3B47B034">
            <w:pPr>
              <w:pStyle w:val="7"/>
              <w:spacing w:before="0" w:after="0" w:line="240" w:lineRule="auto"/>
              <w:ind w:right="0"/>
              <w:jc w:val="center"/>
              <w:rPr>
                <w:rFonts w:hint="eastAsia"/>
                <w:color w:val="000000"/>
                <w:kern w:val="21"/>
                <w:szCs w:val="21"/>
              </w:rPr>
            </w:pPr>
            <w:r>
              <w:rPr>
                <w:rFonts w:hint="eastAsia"/>
                <w:color w:val="000000"/>
                <w:kern w:val="21"/>
                <w:szCs w:val="21"/>
              </w:rPr>
              <w:t>废气处理</w:t>
            </w:r>
          </w:p>
        </w:tc>
        <w:tc>
          <w:tcPr>
            <w:tcW w:w="1150" w:type="dxa"/>
            <w:noWrap w:val="0"/>
            <w:vAlign w:val="center"/>
          </w:tcPr>
          <w:p w14:paraId="7EB71ED9">
            <w:pPr>
              <w:pStyle w:val="7"/>
              <w:spacing w:before="0" w:after="0" w:line="240" w:lineRule="auto"/>
              <w:ind w:right="0"/>
              <w:jc w:val="center"/>
              <w:rPr>
                <w:rFonts w:hint="eastAsia"/>
                <w:color w:val="000000"/>
                <w:kern w:val="21"/>
                <w:szCs w:val="21"/>
              </w:rPr>
            </w:pPr>
            <w:r>
              <w:rPr>
                <w:color w:val="000000"/>
                <w:sz w:val="21"/>
                <w:szCs w:val="21"/>
              </w:rPr>
              <w:t>废活性炭</w:t>
            </w:r>
          </w:p>
        </w:tc>
        <w:tc>
          <w:tcPr>
            <w:tcW w:w="3910" w:type="dxa"/>
            <w:noWrap w:val="0"/>
            <w:vAlign w:val="center"/>
          </w:tcPr>
          <w:p w14:paraId="4E15B210">
            <w:pPr>
              <w:pStyle w:val="7"/>
              <w:spacing w:before="0" w:after="0" w:line="240" w:lineRule="auto"/>
              <w:ind w:right="0"/>
              <w:jc w:val="center"/>
              <w:rPr>
                <w:rFonts w:hint="eastAsia"/>
                <w:color w:val="000000"/>
                <w:sz w:val="21"/>
                <w:szCs w:val="21"/>
              </w:rPr>
            </w:pPr>
            <w:r>
              <w:rPr>
                <w:rFonts w:hint="eastAsia"/>
                <w:color w:val="000000"/>
                <w:sz w:val="21"/>
                <w:szCs w:val="21"/>
              </w:rPr>
              <w:t>委托有资质的单位处置</w:t>
            </w:r>
          </w:p>
        </w:tc>
        <w:tc>
          <w:tcPr>
            <w:tcW w:w="1471" w:type="dxa"/>
            <w:vMerge w:val="continue"/>
            <w:noWrap w:val="0"/>
            <w:vAlign w:val="center"/>
          </w:tcPr>
          <w:p w14:paraId="521DCFA7">
            <w:pPr>
              <w:adjustRightInd w:val="0"/>
              <w:snapToGrid w:val="0"/>
              <w:jc w:val="center"/>
              <w:rPr>
                <w:rFonts w:hint="eastAsia"/>
                <w:color w:val="000000"/>
                <w:kern w:val="21"/>
                <w:szCs w:val="21"/>
                <w:lang w:val="zh-CN"/>
              </w:rPr>
            </w:pPr>
          </w:p>
        </w:tc>
      </w:tr>
      <w:tr w14:paraId="680BE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65F5672E">
            <w:pPr>
              <w:adjustRightInd w:val="0"/>
              <w:snapToGrid w:val="0"/>
              <w:jc w:val="center"/>
              <w:rPr>
                <w:rFonts w:hint="eastAsia"/>
                <w:b/>
                <w:bCs/>
                <w:color w:val="000000"/>
                <w:szCs w:val="21"/>
              </w:rPr>
            </w:pPr>
          </w:p>
        </w:tc>
        <w:tc>
          <w:tcPr>
            <w:tcW w:w="1175" w:type="dxa"/>
            <w:noWrap w:val="0"/>
            <w:vAlign w:val="center"/>
          </w:tcPr>
          <w:p w14:paraId="1F4A9183">
            <w:pPr>
              <w:pStyle w:val="7"/>
              <w:spacing w:before="0" w:after="0" w:line="240" w:lineRule="auto"/>
              <w:ind w:right="0"/>
              <w:jc w:val="center"/>
              <w:rPr>
                <w:rFonts w:hint="eastAsia"/>
                <w:color w:val="000000"/>
                <w:sz w:val="21"/>
                <w:szCs w:val="21"/>
              </w:rPr>
            </w:pPr>
            <w:r>
              <w:rPr>
                <w:rFonts w:hint="eastAsia"/>
                <w:color w:val="000000"/>
                <w:sz w:val="21"/>
                <w:szCs w:val="21"/>
              </w:rPr>
              <w:t>脱色、染色</w:t>
            </w:r>
          </w:p>
        </w:tc>
        <w:tc>
          <w:tcPr>
            <w:tcW w:w="1150" w:type="dxa"/>
            <w:noWrap w:val="0"/>
            <w:vAlign w:val="center"/>
          </w:tcPr>
          <w:p w14:paraId="41B9D021">
            <w:pPr>
              <w:pStyle w:val="7"/>
              <w:spacing w:before="0" w:after="0" w:line="240" w:lineRule="auto"/>
              <w:ind w:right="0"/>
              <w:jc w:val="center"/>
              <w:rPr>
                <w:rFonts w:hint="eastAsia"/>
                <w:color w:val="000000"/>
                <w:sz w:val="21"/>
                <w:szCs w:val="21"/>
              </w:rPr>
            </w:pPr>
            <w:r>
              <w:rPr>
                <w:color w:val="000000"/>
                <w:sz w:val="21"/>
                <w:szCs w:val="21"/>
              </w:rPr>
              <w:t>废桶</w:t>
            </w:r>
          </w:p>
        </w:tc>
        <w:tc>
          <w:tcPr>
            <w:tcW w:w="3910" w:type="dxa"/>
            <w:noWrap w:val="0"/>
            <w:vAlign w:val="center"/>
          </w:tcPr>
          <w:p w14:paraId="6203FE33">
            <w:pPr>
              <w:pStyle w:val="7"/>
              <w:spacing w:before="0" w:after="0" w:line="240" w:lineRule="auto"/>
              <w:ind w:right="0"/>
              <w:jc w:val="center"/>
              <w:rPr>
                <w:rFonts w:hint="eastAsia"/>
                <w:color w:val="000000"/>
                <w:sz w:val="21"/>
                <w:szCs w:val="21"/>
              </w:rPr>
            </w:pPr>
            <w:r>
              <w:rPr>
                <w:rFonts w:hint="eastAsia"/>
                <w:color w:val="000000"/>
                <w:sz w:val="21"/>
                <w:szCs w:val="21"/>
              </w:rPr>
              <w:t>委托有资质的单位处置</w:t>
            </w:r>
          </w:p>
        </w:tc>
        <w:tc>
          <w:tcPr>
            <w:tcW w:w="1471" w:type="dxa"/>
            <w:vMerge w:val="continue"/>
            <w:noWrap w:val="0"/>
            <w:vAlign w:val="center"/>
          </w:tcPr>
          <w:p w14:paraId="18445967">
            <w:pPr>
              <w:adjustRightInd w:val="0"/>
              <w:snapToGrid w:val="0"/>
              <w:jc w:val="center"/>
              <w:rPr>
                <w:rFonts w:hint="eastAsia"/>
                <w:color w:val="000000"/>
                <w:kern w:val="21"/>
                <w:szCs w:val="21"/>
                <w:lang w:val="zh-CN"/>
              </w:rPr>
            </w:pPr>
          </w:p>
        </w:tc>
      </w:tr>
      <w:tr w14:paraId="221BA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 w:hRule="atLeast"/>
          <w:jc w:val="center"/>
        </w:trPr>
        <w:tc>
          <w:tcPr>
            <w:tcW w:w="1094" w:type="dxa"/>
            <w:vMerge w:val="continue"/>
            <w:noWrap w:val="0"/>
            <w:vAlign w:val="center"/>
          </w:tcPr>
          <w:p w14:paraId="624145A3">
            <w:pPr>
              <w:adjustRightInd w:val="0"/>
              <w:snapToGrid w:val="0"/>
              <w:jc w:val="center"/>
              <w:rPr>
                <w:rFonts w:hint="eastAsia"/>
                <w:b/>
                <w:bCs/>
                <w:color w:val="000000"/>
                <w:szCs w:val="21"/>
              </w:rPr>
            </w:pPr>
          </w:p>
        </w:tc>
        <w:tc>
          <w:tcPr>
            <w:tcW w:w="1175" w:type="dxa"/>
            <w:noWrap w:val="0"/>
            <w:vAlign w:val="center"/>
          </w:tcPr>
          <w:p w14:paraId="4C0F4417">
            <w:pPr>
              <w:pStyle w:val="7"/>
              <w:spacing w:before="0" w:after="0" w:line="240" w:lineRule="auto"/>
              <w:ind w:right="0"/>
              <w:jc w:val="center"/>
              <w:rPr>
                <w:rFonts w:hint="eastAsia"/>
                <w:color w:val="000000"/>
                <w:kern w:val="21"/>
                <w:szCs w:val="21"/>
              </w:rPr>
            </w:pPr>
            <w:r>
              <w:rPr>
                <w:rFonts w:hint="eastAsia"/>
                <w:color w:val="000000"/>
                <w:kern w:val="21"/>
                <w:szCs w:val="21"/>
              </w:rPr>
              <w:t>风机等</w:t>
            </w:r>
          </w:p>
        </w:tc>
        <w:tc>
          <w:tcPr>
            <w:tcW w:w="1150" w:type="dxa"/>
            <w:noWrap w:val="0"/>
            <w:vAlign w:val="center"/>
          </w:tcPr>
          <w:p w14:paraId="44C4760B">
            <w:pPr>
              <w:pStyle w:val="7"/>
              <w:spacing w:before="0" w:after="0" w:line="240" w:lineRule="auto"/>
              <w:ind w:right="0"/>
              <w:jc w:val="center"/>
              <w:rPr>
                <w:rFonts w:hint="eastAsia"/>
                <w:color w:val="000000"/>
                <w:kern w:val="21"/>
                <w:szCs w:val="21"/>
              </w:rPr>
            </w:pPr>
            <w:r>
              <w:rPr>
                <w:color w:val="000000"/>
                <w:sz w:val="21"/>
                <w:szCs w:val="21"/>
              </w:rPr>
              <w:t>废机油</w:t>
            </w:r>
          </w:p>
        </w:tc>
        <w:tc>
          <w:tcPr>
            <w:tcW w:w="3910" w:type="dxa"/>
            <w:noWrap w:val="0"/>
            <w:vAlign w:val="center"/>
          </w:tcPr>
          <w:p w14:paraId="71851F34">
            <w:pPr>
              <w:pStyle w:val="7"/>
              <w:spacing w:before="0" w:after="0" w:line="240" w:lineRule="auto"/>
              <w:ind w:right="0"/>
              <w:jc w:val="center"/>
              <w:rPr>
                <w:rFonts w:hint="eastAsia"/>
                <w:color w:val="000000"/>
                <w:sz w:val="21"/>
                <w:szCs w:val="21"/>
              </w:rPr>
            </w:pPr>
            <w:r>
              <w:rPr>
                <w:rFonts w:hint="eastAsia"/>
                <w:color w:val="000000"/>
                <w:sz w:val="21"/>
                <w:szCs w:val="21"/>
              </w:rPr>
              <w:t>委托有资质的单位处置</w:t>
            </w:r>
          </w:p>
        </w:tc>
        <w:tc>
          <w:tcPr>
            <w:tcW w:w="1471" w:type="dxa"/>
            <w:vMerge w:val="continue"/>
            <w:noWrap w:val="0"/>
            <w:vAlign w:val="center"/>
          </w:tcPr>
          <w:p w14:paraId="1A426F63">
            <w:pPr>
              <w:adjustRightInd w:val="0"/>
              <w:snapToGrid w:val="0"/>
              <w:jc w:val="center"/>
              <w:rPr>
                <w:color w:val="000000"/>
                <w:kern w:val="21"/>
                <w:szCs w:val="21"/>
              </w:rPr>
            </w:pPr>
          </w:p>
        </w:tc>
      </w:tr>
      <w:tr w14:paraId="78D72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094" w:type="dxa"/>
            <w:noWrap w:val="0"/>
            <w:vAlign w:val="center"/>
          </w:tcPr>
          <w:p w14:paraId="1840178D">
            <w:pPr>
              <w:adjustRightInd w:val="0"/>
              <w:snapToGrid w:val="0"/>
              <w:jc w:val="center"/>
              <w:rPr>
                <w:b/>
                <w:bCs/>
                <w:color w:val="000000"/>
                <w:szCs w:val="21"/>
              </w:rPr>
            </w:pPr>
            <w:r>
              <w:rPr>
                <w:b/>
                <w:bCs/>
                <w:color w:val="000000"/>
                <w:szCs w:val="21"/>
              </w:rPr>
              <w:t>土壤及地下水污染防治措施</w:t>
            </w:r>
          </w:p>
        </w:tc>
        <w:tc>
          <w:tcPr>
            <w:tcW w:w="7706" w:type="dxa"/>
            <w:gridSpan w:val="4"/>
            <w:noWrap w:val="0"/>
            <w:vAlign w:val="center"/>
          </w:tcPr>
          <w:p w14:paraId="46F7DDB1">
            <w:pPr>
              <w:ind w:firstLine="420" w:firstLineChars="200"/>
              <w:jc w:val="left"/>
              <w:rPr>
                <w:color w:val="000000"/>
                <w:szCs w:val="21"/>
                <w:lang w:val="zh-CN"/>
              </w:rPr>
            </w:pPr>
            <w:r>
              <w:rPr>
                <w:color w:val="000000"/>
                <w:szCs w:val="21"/>
                <w:lang w:val="zh-CN"/>
              </w:rPr>
              <w:t>本评价要求项目进行分区防渗措施：</w:t>
            </w:r>
          </w:p>
          <w:p w14:paraId="146900E7">
            <w:pPr>
              <w:ind w:firstLine="420" w:firstLineChars="200"/>
              <w:rPr>
                <w:color w:val="000000"/>
                <w:szCs w:val="21"/>
                <w:lang w:val="zh-CN"/>
              </w:rPr>
            </w:pPr>
            <w:r>
              <w:rPr>
                <w:color w:val="000000"/>
                <w:szCs w:val="21"/>
                <w:lang w:val="zh-CN"/>
              </w:rPr>
              <w:t>重点防渗区：危废暂存间</w:t>
            </w:r>
            <w:r>
              <w:rPr>
                <w:rFonts w:hint="eastAsia"/>
                <w:color w:val="000000"/>
                <w:szCs w:val="21"/>
                <w:lang w:val="zh-CN"/>
              </w:rPr>
              <w:t>，</w:t>
            </w:r>
            <w:r>
              <w:rPr>
                <w:color w:val="000000"/>
                <w:szCs w:val="21"/>
              </w:rPr>
              <w:t>地面及裙</w:t>
            </w:r>
            <w:r>
              <w:rPr>
                <w:rFonts w:hint="eastAsia"/>
                <w:color w:val="000000"/>
                <w:szCs w:val="21"/>
              </w:rPr>
              <w:t>角</w:t>
            </w:r>
            <w:r>
              <w:rPr>
                <w:color w:val="000000"/>
                <w:szCs w:val="21"/>
              </w:rPr>
              <w:t>按《危险废物贮存污染控制标准》（GB18597-2001）的相关要求</w:t>
            </w:r>
            <w:r>
              <w:rPr>
                <w:rFonts w:hint="eastAsia"/>
                <w:color w:val="000000"/>
                <w:szCs w:val="21"/>
              </w:rPr>
              <w:t>进行防渗</w:t>
            </w:r>
            <w:r>
              <w:rPr>
                <w:color w:val="000000"/>
                <w:szCs w:val="21"/>
              </w:rPr>
              <w:t>，防渗层为至少1m厚粘土层（渗透系数≤10</w:t>
            </w:r>
            <w:r>
              <w:rPr>
                <w:color w:val="000000"/>
                <w:szCs w:val="21"/>
                <w:vertAlign w:val="superscript"/>
              </w:rPr>
              <w:t>-7</w:t>
            </w:r>
            <w:r>
              <w:rPr>
                <w:color w:val="000000"/>
                <w:szCs w:val="21"/>
              </w:rPr>
              <w:t>cm/s），或2mm厚高密度聚乙烯，或至少2mm厚的其它人工材料，渗透系数≤10</w:t>
            </w:r>
            <w:r>
              <w:rPr>
                <w:color w:val="000000"/>
                <w:szCs w:val="21"/>
                <w:vertAlign w:val="superscript"/>
              </w:rPr>
              <w:t>-10</w:t>
            </w:r>
            <w:r>
              <w:rPr>
                <w:color w:val="000000"/>
                <w:szCs w:val="21"/>
              </w:rPr>
              <w:t>cm/s；循环水池四周及池底采用强度等级C30抗渗等级P6或以上的商品混凝土浇筑，厚度大于10cm，防渗技术</w:t>
            </w:r>
            <w:r>
              <w:rPr>
                <w:rFonts w:hint="eastAsia"/>
                <w:color w:val="000000"/>
                <w:szCs w:val="21"/>
              </w:rPr>
              <w:t>按《环境影响评价技术导则 地下水环境》（HJ610-2016）表7一般防渗区</w:t>
            </w:r>
            <w:r>
              <w:rPr>
                <w:color w:val="000000"/>
                <w:szCs w:val="21"/>
              </w:rPr>
              <w:t>要求达到等效黏土防渗层</w:t>
            </w:r>
            <w:r>
              <w:rPr>
                <w:color w:val="000000"/>
                <w:kern w:val="0"/>
                <w:szCs w:val="21"/>
              </w:rPr>
              <w:t>Mb≥1.5m，渗透系数K≤1×10</w:t>
            </w:r>
            <w:r>
              <w:rPr>
                <w:color w:val="000000"/>
                <w:kern w:val="0"/>
                <w:szCs w:val="21"/>
                <w:vertAlign w:val="superscript"/>
              </w:rPr>
              <w:t>-7</w:t>
            </w:r>
            <w:r>
              <w:rPr>
                <w:color w:val="000000"/>
                <w:kern w:val="0"/>
                <w:szCs w:val="21"/>
              </w:rPr>
              <w:t>cm/s</w:t>
            </w:r>
            <w:r>
              <w:rPr>
                <w:color w:val="000000"/>
                <w:szCs w:val="21"/>
              </w:rPr>
              <w:t>。</w:t>
            </w:r>
          </w:p>
          <w:p w14:paraId="08F078B1">
            <w:pPr>
              <w:ind w:firstLine="420" w:firstLineChars="200"/>
              <w:jc w:val="left"/>
              <w:rPr>
                <w:color w:val="000000"/>
                <w:szCs w:val="21"/>
                <w:lang w:val="zh-CN"/>
              </w:rPr>
            </w:pPr>
            <w:r>
              <w:rPr>
                <w:color w:val="000000"/>
                <w:szCs w:val="21"/>
                <w:lang w:val="zh-CN"/>
              </w:rPr>
              <w:t>一般防渗区：</w:t>
            </w:r>
            <w:r>
              <w:rPr>
                <w:rFonts w:hint="eastAsia"/>
                <w:color w:val="000000"/>
                <w:szCs w:val="21"/>
                <w:lang w:val="zh-CN"/>
              </w:rPr>
              <w:t>为</w:t>
            </w:r>
            <w:r>
              <w:rPr>
                <w:color w:val="000000"/>
                <w:szCs w:val="21"/>
                <w:lang w:val="zh-CN"/>
              </w:rPr>
              <w:t>生产车间</w:t>
            </w:r>
            <w:r>
              <w:rPr>
                <w:rFonts w:hint="eastAsia"/>
                <w:color w:val="000000"/>
                <w:szCs w:val="21"/>
                <w:lang w:val="zh-CN"/>
              </w:rPr>
              <w:t>（包含</w:t>
            </w:r>
            <w:r>
              <w:rPr>
                <w:rFonts w:hint="eastAsia"/>
                <w:color w:val="000000"/>
                <w:szCs w:val="21"/>
              </w:rPr>
              <w:t>鲜花分拣车间砖混，仓库，晾晒车间，染色晾晒干燥车间，脱色车间，吸收车间，</w:t>
            </w:r>
            <w:r>
              <w:rPr>
                <w:rFonts w:hint="eastAsia"/>
                <w:color w:val="000000"/>
                <w:szCs w:val="21"/>
                <w:lang w:val="zh-CN"/>
              </w:rPr>
              <w:t>）</w:t>
            </w:r>
            <w:r>
              <w:rPr>
                <w:color w:val="000000"/>
                <w:szCs w:val="21"/>
                <w:lang w:val="zh-CN"/>
              </w:rPr>
              <w:t>、</w:t>
            </w:r>
            <w:r>
              <w:rPr>
                <w:rFonts w:hint="eastAsia"/>
                <w:color w:val="000000"/>
                <w:szCs w:val="21"/>
                <w:lang w:val="zh-CN"/>
              </w:rPr>
              <w:t>一般固废暂存间、化粪池、隔油池等</w:t>
            </w:r>
            <w:r>
              <w:rPr>
                <w:color w:val="000000"/>
                <w:szCs w:val="21"/>
                <w:lang w:val="zh-CN"/>
              </w:rPr>
              <w:t>，防渗要求为基底采用50cm厚压实黏土夯实处理后，表面采用水泥进行硬化；防渗技术要求应达到：等效黏土防渗Mb≥1.5m，渗透系数不大于1×10</w:t>
            </w:r>
            <w:r>
              <w:rPr>
                <w:color w:val="000000"/>
                <w:szCs w:val="21"/>
                <w:vertAlign w:val="superscript"/>
                <w:lang w:val="zh-CN"/>
              </w:rPr>
              <w:t>-7</w:t>
            </w:r>
            <w:r>
              <w:rPr>
                <w:color w:val="000000"/>
                <w:szCs w:val="21"/>
                <w:lang w:val="zh-CN"/>
              </w:rPr>
              <w:t>cm/s。</w:t>
            </w:r>
          </w:p>
          <w:p w14:paraId="51409199">
            <w:pPr>
              <w:pStyle w:val="7"/>
              <w:spacing w:before="0" w:after="0" w:line="240" w:lineRule="auto"/>
              <w:ind w:right="0" w:firstLine="420" w:firstLineChars="200"/>
              <w:rPr>
                <w:rFonts w:hint="eastAsia"/>
                <w:color w:val="000000"/>
                <w:sz w:val="21"/>
                <w:szCs w:val="21"/>
                <w:lang w:val="zh-CN"/>
              </w:rPr>
            </w:pPr>
            <w:r>
              <w:rPr>
                <w:rFonts w:hint="eastAsia"/>
                <w:color w:val="000000"/>
                <w:sz w:val="21"/>
                <w:szCs w:val="21"/>
                <w:lang w:val="zh-CN"/>
              </w:rPr>
              <w:t>简单防渗区：</w:t>
            </w:r>
            <w:r>
              <w:rPr>
                <w:color w:val="000000"/>
                <w:sz w:val="21"/>
                <w:szCs w:val="21"/>
              </w:rPr>
              <w:t>除绿化外的其他区域进行水泥硬化处理</w:t>
            </w:r>
            <w:r>
              <w:rPr>
                <w:rFonts w:hint="eastAsia"/>
                <w:color w:val="000000"/>
                <w:sz w:val="21"/>
                <w:szCs w:val="21"/>
              </w:rPr>
              <w:t>。</w:t>
            </w:r>
          </w:p>
          <w:p w14:paraId="3F1A5D82">
            <w:pPr>
              <w:pStyle w:val="7"/>
              <w:spacing w:before="0" w:after="0" w:line="240" w:lineRule="auto"/>
              <w:ind w:right="0" w:firstLine="420" w:firstLineChars="200"/>
              <w:rPr>
                <w:color w:val="000000"/>
                <w:szCs w:val="21"/>
              </w:rPr>
            </w:pPr>
            <w:r>
              <w:rPr>
                <w:color w:val="000000"/>
                <w:sz w:val="21"/>
                <w:szCs w:val="21"/>
                <w:lang w:val="zh-CN"/>
              </w:rPr>
              <w:t>措施到位后，对地下水、土壤环境基本无影响</w:t>
            </w:r>
            <w:r>
              <w:rPr>
                <w:rFonts w:hint="eastAsia"/>
                <w:color w:val="000000"/>
                <w:sz w:val="21"/>
                <w:szCs w:val="21"/>
                <w:lang w:val="zh-CN"/>
              </w:rPr>
              <w:t>。</w:t>
            </w:r>
          </w:p>
        </w:tc>
      </w:tr>
      <w:tr w14:paraId="28B22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094" w:type="dxa"/>
            <w:noWrap w:val="0"/>
            <w:vAlign w:val="center"/>
          </w:tcPr>
          <w:p w14:paraId="045F0485">
            <w:pPr>
              <w:adjustRightInd w:val="0"/>
              <w:snapToGrid w:val="0"/>
              <w:jc w:val="center"/>
              <w:rPr>
                <w:b/>
                <w:bCs/>
                <w:color w:val="000000"/>
                <w:szCs w:val="21"/>
              </w:rPr>
            </w:pPr>
            <w:r>
              <w:rPr>
                <w:b/>
                <w:bCs/>
                <w:color w:val="000000"/>
                <w:szCs w:val="21"/>
              </w:rPr>
              <w:t>生态保护措施</w:t>
            </w:r>
          </w:p>
        </w:tc>
        <w:tc>
          <w:tcPr>
            <w:tcW w:w="7706" w:type="dxa"/>
            <w:gridSpan w:val="4"/>
            <w:noWrap w:val="0"/>
            <w:vAlign w:val="center"/>
          </w:tcPr>
          <w:p w14:paraId="2008420B">
            <w:pPr>
              <w:ind w:firstLine="420" w:firstLineChars="200"/>
              <w:jc w:val="left"/>
              <w:rPr>
                <w:color w:val="000000"/>
                <w:szCs w:val="21"/>
              </w:rPr>
            </w:pPr>
            <w:r>
              <w:rPr>
                <w:color w:val="000000"/>
                <w:szCs w:val="21"/>
                <w:lang w:val="zh-CN"/>
              </w:rPr>
              <w:t>加强对场地</w:t>
            </w:r>
            <w:r>
              <w:rPr>
                <w:rFonts w:hint="eastAsia"/>
                <w:color w:val="000000"/>
                <w:szCs w:val="21"/>
                <w:lang w:val="zh-CN"/>
              </w:rPr>
              <w:t>及</w:t>
            </w:r>
            <w:r>
              <w:rPr>
                <w:color w:val="000000"/>
                <w:szCs w:val="21"/>
                <w:lang w:val="zh-CN"/>
              </w:rPr>
              <w:t>附近自然植被的管护。</w:t>
            </w:r>
          </w:p>
        </w:tc>
      </w:tr>
      <w:tr w14:paraId="607A0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094" w:type="dxa"/>
            <w:noWrap w:val="0"/>
            <w:vAlign w:val="center"/>
          </w:tcPr>
          <w:p w14:paraId="6D48218B">
            <w:pPr>
              <w:adjustRightInd w:val="0"/>
              <w:snapToGrid w:val="0"/>
              <w:jc w:val="center"/>
              <w:rPr>
                <w:rFonts w:hint="eastAsia"/>
                <w:b/>
                <w:bCs/>
                <w:color w:val="000000"/>
                <w:szCs w:val="21"/>
              </w:rPr>
            </w:pPr>
            <w:r>
              <w:rPr>
                <w:rFonts w:hint="eastAsia"/>
                <w:b/>
                <w:bCs/>
                <w:color w:val="000000"/>
                <w:szCs w:val="21"/>
              </w:rPr>
              <w:t>环境风险</w:t>
            </w:r>
          </w:p>
        </w:tc>
        <w:tc>
          <w:tcPr>
            <w:tcW w:w="7706" w:type="dxa"/>
            <w:gridSpan w:val="4"/>
            <w:noWrap w:val="0"/>
            <w:vAlign w:val="center"/>
          </w:tcPr>
          <w:p w14:paraId="2966BD44">
            <w:pPr>
              <w:adjustRightInd w:val="0"/>
              <w:snapToGrid w:val="0"/>
              <w:ind w:firstLine="420" w:firstLineChars="200"/>
              <w:rPr>
                <w:color w:val="000000"/>
                <w:szCs w:val="21"/>
              </w:rPr>
            </w:pPr>
            <w:r>
              <w:rPr>
                <w:color w:val="000000"/>
                <w:szCs w:val="21"/>
              </w:rPr>
              <w:t>①废矿物油泄漏，用砂或吸油毯等吸附或吸收，收集的危险废物在危废暂存间暂存，然后委托有资质的单位处理。</w:t>
            </w:r>
          </w:p>
          <w:p w14:paraId="08B3FF67">
            <w:pPr>
              <w:ind w:firstLine="420" w:firstLineChars="200"/>
              <w:rPr>
                <w:color w:val="000000"/>
                <w:szCs w:val="21"/>
                <w:lang w:val="zh-CN"/>
              </w:rPr>
            </w:pPr>
            <w:r>
              <w:rPr>
                <w:color w:val="000000"/>
                <w:szCs w:val="21"/>
              </w:rPr>
              <w:t>②危废暂存间按《危险废物贮存污染控制标准》（GB18597-2001）的相关要求</w:t>
            </w:r>
            <w:r>
              <w:rPr>
                <w:rFonts w:hint="eastAsia"/>
                <w:color w:val="000000"/>
                <w:szCs w:val="21"/>
              </w:rPr>
              <w:t>进行防渗</w:t>
            </w:r>
            <w:r>
              <w:rPr>
                <w:color w:val="000000"/>
                <w:szCs w:val="21"/>
              </w:rPr>
              <w:t>，防渗层为至少1m厚粘土层（渗透系数≤10</w:t>
            </w:r>
            <w:r>
              <w:rPr>
                <w:color w:val="000000"/>
                <w:szCs w:val="21"/>
                <w:vertAlign w:val="superscript"/>
              </w:rPr>
              <w:t>-7</w:t>
            </w:r>
            <w:r>
              <w:rPr>
                <w:color w:val="000000"/>
                <w:szCs w:val="21"/>
              </w:rPr>
              <w:t>cm/s），或2mm厚高密度聚乙烯，或至少2mm厚的其它人工材料，渗透系数≤10</w:t>
            </w:r>
            <w:r>
              <w:rPr>
                <w:color w:val="000000"/>
                <w:szCs w:val="21"/>
                <w:vertAlign w:val="superscript"/>
              </w:rPr>
              <w:t>-10</w:t>
            </w:r>
            <w:r>
              <w:rPr>
                <w:color w:val="000000"/>
                <w:szCs w:val="21"/>
              </w:rPr>
              <w:t>cm/s；循环水池四周及池底采用强度等级C30抗渗等级P6或以上的商品混凝土浇筑，厚度大于10cm，防渗技术</w:t>
            </w:r>
            <w:r>
              <w:rPr>
                <w:rFonts w:hint="eastAsia"/>
                <w:color w:val="000000"/>
                <w:szCs w:val="21"/>
              </w:rPr>
              <w:t>按《环境影响评价技术导则 地下水环境》（HJ610-2016）表7一般防渗区</w:t>
            </w:r>
            <w:r>
              <w:rPr>
                <w:color w:val="000000"/>
                <w:szCs w:val="21"/>
              </w:rPr>
              <w:t>要求达到等效黏土防渗层</w:t>
            </w:r>
            <w:r>
              <w:rPr>
                <w:color w:val="000000"/>
                <w:kern w:val="0"/>
                <w:szCs w:val="21"/>
              </w:rPr>
              <w:t>Mb≥1.5m，渗透系数K≤1×10</w:t>
            </w:r>
            <w:r>
              <w:rPr>
                <w:color w:val="000000"/>
                <w:kern w:val="0"/>
                <w:szCs w:val="21"/>
                <w:vertAlign w:val="superscript"/>
              </w:rPr>
              <w:t>-7</w:t>
            </w:r>
            <w:r>
              <w:rPr>
                <w:color w:val="000000"/>
                <w:kern w:val="0"/>
                <w:szCs w:val="21"/>
              </w:rPr>
              <w:t>cm/s</w:t>
            </w:r>
            <w:r>
              <w:rPr>
                <w:color w:val="000000"/>
                <w:szCs w:val="21"/>
              </w:rPr>
              <w:t>；除绿化外的其他区域进行水泥硬化处理。</w:t>
            </w:r>
          </w:p>
          <w:p w14:paraId="0D6ED258">
            <w:pPr>
              <w:adjustRightInd w:val="0"/>
              <w:snapToGrid w:val="0"/>
              <w:ind w:firstLine="420" w:firstLineChars="200"/>
              <w:rPr>
                <w:color w:val="000000"/>
                <w:szCs w:val="21"/>
              </w:rPr>
            </w:pPr>
            <w:r>
              <w:rPr>
                <w:color w:val="000000"/>
                <w:szCs w:val="21"/>
              </w:rPr>
              <w:t>③加强管理，定期对活性炭吸附装置进行检查和维修，杜绝废气非正常排放。</w:t>
            </w:r>
          </w:p>
          <w:p w14:paraId="08BC9109">
            <w:pPr>
              <w:ind w:firstLine="420" w:firstLineChars="200"/>
              <w:rPr>
                <w:color w:val="000000"/>
                <w:szCs w:val="21"/>
              </w:rPr>
            </w:pPr>
            <w:r>
              <w:rPr>
                <w:color w:val="000000"/>
                <w:szCs w:val="21"/>
              </w:rPr>
              <w:t>④企业应根据《突发环境事件应急管理办法》和《企业事业单位突发环境事件应急预案备案管理办法（试行）》编制切实可行的突发环境事件应急预案并提交</w:t>
            </w:r>
            <w:r>
              <w:rPr>
                <w:rFonts w:hint="eastAsia"/>
                <w:color w:val="000000"/>
                <w:szCs w:val="21"/>
              </w:rPr>
              <w:t>至昆明</w:t>
            </w:r>
            <w:r>
              <w:rPr>
                <w:color w:val="000000"/>
                <w:szCs w:val="21"/>
              </w:rPr>
              <w:t>市生态环境局</w:t>
            </w:r>
            <w:r>
              <w:rPr>
                <w:rFonts w:hint="eastAsia"/>
                <w:color w:val="000000"/>
                <w:szCs w:val="21"/>
              </w:rPr>
              <w:t>石林</w:t>
            </w:r>
            <w:r>
              <w:rPr>
                <w:color w:val="000000"/>
                <w:szCs w:val="21"/>
              </w:rPr>
              <w:t>分局备案，以应对可能发生的应急危害事故，一旦发生事故，即可以在有准备的情况下对事故进行紧急处理，将事故危害和环境污染降低到最小程度。</w:t>
            </w:r>
          </w:p>
        </w:tc>
      </w:tr>
      <w:tr w14:paraId="15573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3" w:hRule="atLeast"/>
          <w:jc w:val="center"/>
        </w:trPr>
        <w:tc>
          <w:tcPr>
            <w:tcW w:w="1094" w:type="dxa"/>
            <w:noWrap w:val="0"/>
            <w:vAlign w:val="center"/>
          </w:tcPr>
          <w:p w14:paraId="56DA2F08">
            <w:pPr>
              <w:adjustRightInd w:val="0"/>
              <w:snapToGrid w:val="0"/>
              <w:jc w:val="center"/>
              <w:rPr>
                <w:b/>
                <w:bCs/>
                <w:color w:val="000000"/>
                <w:spacing w:val="-8"/>
                <w:szCs w:val="21"/>
              </w:rPr>
            </w:pPr>
            <w:r>
              <w:rPr>
                <w:b/>
                <w:bCs/>
                <w:color w:val="000000"/>
                <w:spacing w:val="-8"/>
                <w:szCs w:val="21"/>
              </w:rPr>
              <w:t>其他环境</w:t>
            </w:r>
          </w:p>
          <w:p w14:paraId="6AA05583">
            <w:pPr>
              <w:adjustRightInd w:val="0"/>
              <w:snapToGrid w:val="0"/>
              <w:jc w:val="center"/>
              <w:rPr>
                <w:b/>
                <w:bCs/>
                <w:color w:val="000000"/>
                <w:spacing w:val="-8"/>
                <w:szCs w:val="21"/>
              </w:rPr>
            </w:pPr>
            <w:r>
              <w:rPr>
                <w:b/>
                <w:bCs/>
                <w:color w:val="000000"/>
                <w:spacing w:val="-8"/>
                <w:szCs w:val="21"/>
              </w:rPr>
              <w:t>管理要求</w:t>
            </w:r>
          </w:p>
        </w:tc>
        <w:tc>
          <w:tcPr>
            <w:tcW w:w="7706" w:type="dxa"/>
            <w:gridSpan w:val="4"/>
            <w:noWrap w:val="0"/>
            <w:vAlign w:val="center"/>
          </w:tcPr>
          <w:p w14:paraId="77B9C359">
            <w:pPr>
              <w:spacing w:line="360" w:lineRule="auto"/>
              <w:ind w:firstLine="422" w:firstLineChars="200"/>
              <w:rPr>
                <w:rFonts w:hint="eastAsia"/>
                <w:b/>
                <w:bCs/>
                <w:color w:val="000000"/>
                <w:szCs w:val="21"/>
              </w:rPr>
            </w:pPr>
            <w:r>
              <w:rPr>
                <w:rFonts w:hint="eastAsia"/>
                <w:b/>
                <w:bCs/>
                <w:color w:val="000000"/>
                <w:szCs w:val="21"/>
              </w:rPr>
              <w:t>1、管理机构及人员设置</w:t>
            </w:r>
          </w:p>
          <w:p w14:paraId="22A51EC9">
            <w:pPr>
              <w:pStyle w:val="44"/>
              <w:adjustRightInd/>
              <w:snapToGrid/>
              <w:spacing w:line="360" w:lineRule="auto"/>
              <w:ind w:firstLine="420" w:firstLineChars="200"/>
              <w:jc w:val="both"/>
              <w:rPr>
                <w:color w:val="000000"/>
                <w:sz w:val="21"/>
                <w:szCs w:val="21"/>
              </w:rPr>
            </w:pPr>
            <w:r>
              <w:rPr>
                <w:color w:val="000000"/>
                <w:sz w:val="21"/>
                <w:szCs w:val="21"/>
              </w:rPr>
              <w:t>公司设1名领导分管，设1名兼职环保工作人员，领导公司贯彻执行国家环境保护的方针、政策、法规和条例，研究决策公司内重大的环境问题，对公司所辖区域的环境质量负责，并制定了《环境保护管理制度》，在其中明确环境保护管理机构、规定人员及其职责，明确环保设施运行、维护、检查管理要求，建立环境保护工作档案，各项监测记录及时归档保存。</w:t>
            </w:r>
          </w:p>
          <w:p w14:paraId="48D25EFC">
            <w:pPr>
              <w:spacing w:line="360" w:lineRule="auto"/>
              <w:ind w:firstLine="422" w:firstLineChars="200"/>
              <w:rPr>
                <w:rFonts w:hint="eastAsia"/>
                <w:b/>
                <w:bCs/>
                <w:color w:val="000000"/>
                <w:szCs w:val="21"/>
              </w:rPr>
            </w:pPr>
            <w:r>
              <w:rPr>
                <w:rFonts w:hint="eastAsia"/>
                <w:b/>
                <w:bCs/>
                <w:color w:val="000000"/>
                <w:szCs w:val="21"/>
              </w:rPr>
              <w:t>2、环境管理台账制度</w:t>
            </w:r>
          </w:p>
          <w:p w14:paraId="748B6D14">
            <w:pPr>
              <w:pStyle w:val="44"/>
              <w:adjustRightInd/>
              <w:snapToGrid/>
              <w:spacing w:line="360" w:lineRule="auto"/>
              <w:ind w:firstLine="420" w:firstLineChars="200"/>
              <w:jc w:val="both"/>
              <w:rPr>
                <w:color w:val="000000"/>
                <w:sz w:val="21"/>
                <w:szCs w:val="21"/>
              </w:rPr>
            </w:pPr>
            <w:r>
              <w:rPr>
                <w:rFonts w:hint="eastAsia"/>
                <w:color w:val="000000"/>
                <w:sz w:val="21"/>
                <w:szCs w:val="21"/>
              </w:rPr>
              <w:t>（1）</w:t>
            </w:r>
            <w:r>
              <w:rPr>
                <w:color w:val="000000"/>
                <w:sz w:val="21"/>
                <w:szCs w:val="21"/>
              </w:rPr>
              <w:t>落实专人负责制度，废气、废水处理设施需由专人维护保养并挂牌明示。做好废气、废水设施的日常运行记录，建立管理台帐，了解处理设施的动态信息，确保废气、废水处理设施的正常运行；</w:t>
            </w:r>
          </w:p>
          <w:p w14:paraId="0ECA79C7">
            <w:pPr>
              <w:pStyle w:val="44"/>
              <w:adjustRightInd/>
              <w:snapToGrid/>
              <w:spacing w:line="360" w:lineRule="auto"/>
              <w:ind w:firstLine="420" w:firstLineChars="200"/>
              <w:jc w:val="both"/>
              <w:rPr>
                <w:color w:val="000000"/>
                <w:sz w:val="21"/>
                <w:szCs w:val="21"/>
              </w:rPr>
            </w:pPr>
            <w:r>
              <w:rPr>
                <w:rFonts w:hint="eastAsia"/>
                <w:color w:val="000000"/>
                <w:sz w:val="21"/>
                <w:szCs w:val="21"/>
              </w:rPr>
              <w:t>（2）</w:t>
            </w:r>
            <w:r>
              <w:rPr>
                <w:color w:val="000000"/>
                <w:sz w:val="21"/>
                <w:szCs w:val="21"/>
              </w:rPr>
              <w:t>由专人负责建立一般固废及废机油产生、储存、利用、处置等情况的台账记录。</w:t>
            </w:r>
          </w:p>
          <w:p w14:paraId="44352D89">
            <w:pPr>
              <w:spacing w:line="360" w:lineRule="auto"/>
              <w:ind w:firstLine="422" w:firstLineChars="200"/>
              <w:rPr>
                <w:rFonts w:hint="eastAsia"/>
                <w:b/>
                <w:bCs/>
                <w:color w:val="000000"/>
                <w:szCs w:val="21"/>
              </w:rPr>
            </w:pPr>
            <w:r>
              <w:rPr>
                <w:rFonts w:hint="eastAsia"/>
                <w:b/>
                <w:bCs/>
                <w:color w:val="000000"/>
                <w:szCs w:val="21"/>
              </w:rPr>
              <w:t>3、排污许可填报</w:t>
            </w:r>
          </w:p>
          <w:p w14:paraId="6062F07E">
            <w:pPr>
              <w:pStyle w:val="44"/>
              <w:adjustRightInd/>
              <w:snapToGrid/>
              <w:spacing w:line="360" w:lineRule="auto"/>
              <w:ind w:firstLine="420" w:firstLineChars="200"/>
              <w:jc w:val="both"/>
              <w:rPr>
                <w:color w:val="000000"/>
                <w:sz w:val="21"/>
                <w:szCs w:val="21"/>
              </w:rPr>
            </w:pPr>
            <w:r>
              <w:rPr>
                <w:color w:val="000000"/>
                <w:sz w:val="21"/>
                <w:szCs w:val="21"/>
              </w:rPr>
              <w:t>根据《固定污染源排污许可分类管理名录（2019年版）》，</w:t>
            </w:r>
            <w:r>
              <w:rPr>
                <w:rFonts w:hint="eastAsia"/>
                <w:color w:val="000000"/>
                <w:sz w:val="21"/>
                <w:szCs w:val="21"/>
              </w:rPr>
              <w:t>本项目应实行登记管理。项目运营前应到</w:t>
            </w:r>
            <w:r>
              <w:rPr>
                <w:color w:val="000000"/>
                <w:sz w:val="21"/>
                <w:szCs w:val="21"/>
              </w:rPr>
              <w:t>全国排污许可证管理信息平台办理排污许可。</w:t>
            </w:r>
          </w:p>
          <w:p w14:paraId="4DEC9411">
            <w:pPr>
              <w:spacing w:line="360" w:lineRule="auto"/>
              <w:ind w:firstLine="422" w:firstLineChars="200"/>
              <w:rPr>
                <w:b/>
                <w:bCs/>
                <w:color w:val="000000"/>
                <w:szCs w:val="21"/>
              </w:rPr>
            </w:pPr>
            <w:r>
              <w:rPr>
                <w:rFonts w:hint="eastAsia"/>
                <w:b/>
                <w:bCs/>
                <w:color w:val="000000"/>
                <w:szCs w:val="21"/>
              </w:rPr>
              <w:t>4、</w:t>
            </w:r>
            <w:r>
              <w:rPr>
                <w:b/>
                <w:bCs/>
                <w:color w:val="000000"/>
                <w:szCs w:val="21"/>
              </w:rPr>
              <w:t>验收</w:t>
            </w:r>
            <w:r>
              <w:rPr>
                <w:rFonts w:hint="eastAsia"/>
                <w:b/>
                <w:bCs/>
                <w:color w:val="000000"/>
                <w:szCs w:val="21"/>
              </w:rPr>
              <w:t>“</w:t>
            </w:r>
            <w:r>
              <w:rPr>
                <w:b/>
                <w:bCs/>
                <w:color w:val="000000"/>
                <w:szCs w:val="21"/>
              </w:rPr>
              <w:t>三同时</w:t>
            </w:r>
            <w:r>
              <w:rPr>
                <w:rFonts w:hint="eastAsia"/>
                <w:b/>
                <w:bCs/>
                <w:color w:val="000000"/>
                <w:szCs w:val="21"/>
              </w:rPr>
              <w:t>”</w:t>
            </w:r>
          </w:p>
          <w:p w14:paraId="39135742">
            <w:pPr>
              <w:spacing w:line="360" w:lineRule="auto"/>
              <w:ind w:firstLine="420" w:firstLineChars="200"/>
              <w:rPr>
                <w:color w:val="000000"/>
                <w:szCs w:val="21"/>
              </w:rPr>
            </w:pPr>
            <w:r>
              <w:rPr>
                <w:color w:val="000000"/>
                <w:szCs w:val="21"/>
              </w:rPr>
              <w:t>根据《建设项目竣工环境保护验收暂行办法》，本工程所有环保设施均应与主体工程“三同时”，工程完工后建设单位应当如实查验、监测、记载建设项目环境保护设施的建设和调试情况，可自行编制或委托有能力的技术机构编制竣工环境保护验收监测报告，并组织自主竣工环境保护验收，验收期限一般不超过3个月；需要对环境保护设施进行调试或者整改的，验收期限可以适当延期，但最长不超过12个月，验收合格后方可正式投入生产。</w:t>
            </w:r>
          </w:p>
          <w:p w14:paraId="4A10CE9F">
            <w:pPr>
              <w:spacing w:line="360" w:lineRule="auto"/>
              <w:ind w:firstLine="420" w:firstLineChars="200"/>
              <w:rPr>
                <w:rFonts w:hint="eastAsia"/>
                <w:color w:val="000000"/>
                <w:szCs w:val="21"/>
              </w:rPr>
            </w:pPr>
          </w:p>
          <w:p w14:paraId="71153A41">
            <w:pPr>
              <w:spacing w:line="360" w:lineRule="auto"/>
              <w:ind w:firstLine="420" w:firstLineChars="200"/>
              <w:rPr>
                <w:rFonts w:hint="eastAsia"/>
                <w:color w:val="000000"/>
                <w:szCs w:val="21"/>
              </w:rPr>
            </w:pPr>
          </w:p>
          <w:p w14:paraId="325CD88D">
            <w:pPr>
              <w:pStyle w:val="11"/>
              <w:spacing w:before="156"/>
              <w:rPr>
                <w:rFonts w:hint="eastAsia"/>
                <w:szCs w:val="21"/>
              </w:rPr>
            </w:pPr>
          </w:p>
          <w:p w14:paraId="011128E3">
            <w:pPr>
              <w:pStyle w:val="6"/>
              <w:rPr>
                <w:rFonts w:hint="eastAsia"/>
                <w:color w:val="000000"/>
                <w:szCs w:val="21"/>
              </w:rPr>
            </w:pPr>
          </w:p>
          <w:p w14:paraId="26A45739">
            <w:pPr>
              <w:rPr>
                <w:rFonts w:hint="eastAsia"/>
                <w:color w:val="000000"/>
                <w:szCs w:val="21"/>
              </w:rPr>
            </w:pPr>
          </w:p>
          <w:p w14:paraId="61F2F360">
            <w:pPr>
              <w:pStyle w:val="11"/>
              <w:spacing w:before="156"/>
              <w:rPr>
                <w:rFonts w:hint="eastAsia"/>
                <w:szCs w:val="21"/>
              </w:rPr>
            </w:pPr>
          </w:p>
          <w:p w14:paraId="202460EC">
            <w:pPr>
              <w:pStyle w:val="6"/>
              <w:rPr>
                <w:rFonts w:hint="eastAsia"/>
                <w:color w:val="000000"/>
                <w:szCs w:val="21"/>
              </w:rPr>
            </w:pPr>
          </w:p>
          <w:p w14:paraId="1F60159E">
            <w:pPr>
              <w:rPr>
                <w:rFonts w:hint="eastAsia"/>
                <w:color w:val="000000"/>
                <w:szCs w:val="21"/>
              </w:rPr>
            </w:pPr>
          </w:p>
          <w:p w14:paraId="4F34AD4B">
            <w:pPr>
              <w:pStyle w:val="11"/>
              <w:spacing w:before="156"/>
              <w:rPr>
                <w:rFonts w:hint="eastAsia"/>
                <w:szCs w:val="21"/>
              </w:rPr>
            </w:pPr>
          </w:p>
          <w:p w14:paraId="0EF5F52B">
            <w:pPr>
              <w:pStyle w:val="6"/>
              <w:rPr>
                <w:rFonts w:hint="eastAsia"/>
                <w:color w:val="000000"/>
                <w:szCs w:val="21"/>
              </w:rPr>
            </w:pPr>
          </w:p>
          <w:p w14:paraId="12B5A2DE">
            <w:pPr>
              <w:rPr>
                <w:rFonts w:hint="eastAsia"/>
                <w:color w:val="000000"/>
                <w:szCs w:val="21"/>
              </w:rPr>
            </w:pPr>
          </w:p>
          <w:p w14:paraId="1AD378AD">
            <w:pPr>
              <w:pStyle w:val="11"/>
              <w:spacing w:before="156"/>
              <w:rPr>
                <w:rFonts w:hint="eastAsia"/>
              </w:rPr>
            </w:pPr>
          </w:p>
          <w:p w14:paraId="0BB62240">
            <w:pPr>
              <w:spacing w:line="360" w:lineRule="auto"/>
              <w:rPr>
                <w:rFonts w:hint="eastAsia"/>
                <w:color w:val="000000"/>
                <w:szCs w:val="21"/>
              </w:rPr>
            </w:pPr>
          </w:p>
        </w:tc>
      </w:tr>
    </w:tbl>
    <w:p w14:paraId="30264046">
      <w:pPr>
        <w:pStyle w:val="16"/>
        <w:jc w:val="center"/>
        <w:outlineLvl w:val="0"/>
        <w:rPr>
          <w:rFonts w:ascii="黑体" w:hAnsi="黑体" w:eastAsia="黑体"/>
          <w:snapToGrid w:val="0"/>
          <w:color w:val="000000"/>
          <w:kern w:val="21"/>
          <w:sz w:val="30"/>
          <w:szCs w:val="30"/>
        </w:rPr>
      </w:pPr>
      <w:r>
        <w:rPr>
          <w:color w:val="000000"/>
        </w:rPr>
        <w:br w:type="page"/>
      </w:r>
      <w:bookmarkStart w:id="20" w:name="_Toc5467"/>
      <w:r>
        <w:rPr>
          <w:rFonts w:ascii="黑体" w:hAnsi="黑体" w:eastAsia="黑体"/>
          <w:snapToGrid w:val="0"/>
          <w:color w:val="000000"/>
          <w:kern w:val="21"/>
          <w:sz w:val="30"/>
          <w:szCs w:val="30"/>
        </w:rPr>
        <w:t>六、结论</w:t>
      </w:r>
      <w:bookmarkEnd w:id="20"/>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2CA5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176F0B0E">
            <w:pPr>
              <w:pStyle w:val="7"/>
              <w:spacing w:before="0" w:after="0" w:line="360" w:lineRule="auto"/>
              <w:ind w:right="0" w:firstLine="480" w:firstLineChars="200"/>
              <w:rPr>
                <w:color w:val="000000"/>
                <w:sz w:val="24"/>
              </w:rPr>
            </w:pPr>
            <w:r>
              <w:rPr>
                <w:color w:val="000000"/>
                <w:sz w:val="24"/>
              </w:rPr>
              <w:t>项目在</w:t>
            </w:r>
            <w:r>
              <w:rPr>
                <w:rFonts w:hint="eastAsia"/>
                <w:color w:val="000000"/>
                <w:sz w:val="24"/>
              </w:rPr>
              <w:t>施工期、</w:t>
            </w:r>
            <w:r>
              <w:rPr>
                <w:color w:val="000000"/>
                <w:sz w:val="24"/>
              </w:rPr>
              <w:t>运营期产生的废气、固废、噪声等环境污染问题在采取</w:t>
            </w:r>
            <w:r>
              <w:rPr>
                <w:rFonts w:hint="eastAsia"/>
                <w:color w:val="000000"/>
                <w:sz w:val="24"/>
              </w:rPr>
              <w:t>本次环评提出的</w:t>
            </w:r>
            <w:r>
              <w:rPr>
                <w:color w:val="000000"/>
                <w:sz w:val="24"/>
              </w:rPr>
              <w:t>措施后能够得到有效控制和解决，均可达相关的污染物排放标准。因此，本评价认为，只要项目在运行中，认真按照国家及地方的有关法律、法规和要求进行管理，同时切实落实本评价中提出的措施、建议，则可做到项目建设运营与环境保护并重，符合可持续发展的原则。</w:t>
            </w:r>
            <w:r>
              <w:rPr>
                <w:rFonts w:hint="eastAsia"/>
                <w:color w:val="000000"/>
                <w:sz w:val="24"/>
              </w:rPr>
              <w:t>因此，</w:t>
            </w:r>
            <w:r>
              <w:rPr>
                <w:color w:val="000000"/>
                <w:sz w:val="24"/>
              </w:rPr>
              <w:t>从</w:t>
            </w:r>
            <w:r>
              <w:rPr>
                <w:rFonts w:hint="eastAsia"/>
                <w:color w:val="000000"/>
                <w:sz w:val="24"/>
              </w:rPr>
              <w:t>环境保护角度</w:t>
            </w:r>
            <w:r>
              <w:rPr>
                <w:color w:val="000000"/>
                <w:sz w:val="24"/>
              </w:rPr>
              <w:t>来看，项目的建设是可行的。</w:t>
            </w:r>
          </w:p>
          <w:p w14:paraId="1EE892BD">
            <w:pPr>
              <w:spacing w:line="360" w:lineRule="auto"/>
              <w:ind w:firstLine="480" w:firstLineChars="200"/>
              <w:rPr>
                <w:color w:val="000000"/>
                <w:sz w:val="24"/>
              </w:rPr>
            </w:pPr>
          </w:p>
          <w:p w14:paraId="5B2F4830">
            <w:pPr>
              <w:spacing w:line="360" w:lineRule="auto"/>
              <w:ind w:firstLine="480" w:firstLineChars="200"/>
              <w:rPr>
                <w:color w:val="000000"/>
                <w:sz w:val="24"/>
              </w:rPr>
            </w:pPr>
          </w:p>
          <w:p w14:paraId="22B1BC05">
            <w:pPr>
              <w:spacing w:line="360" w:lineRule="auto"/>
              <w:ind w:firstLine="480" w:firstLineChars="200"/>
              <w:rPr>
                <w:color w:val="000000"/>
                <w:sz w:val="24"/>
              </w:rPr>
            </w:pPr>
          </w:p>
          <w:p w14:paraId="149EFFE4">
            <w:pPr>
              <w:spacing w:line="360" w:lineRule="auto"/>
              <w:ind w:firstLine="480" w:firstLineChars="200"/>
              <w:rPr>
                <w:color w:val="000000"/>
                <w:sz w:val="24"/>
              </w:rPr>
            </w:pPr>
          </w:p>
          <w:p w14:paraId="7105CC4F">
            <w:pPr>
              <w:spacing w:line="360" w:lineRule="auto"/>
              <w:ind w:firstLine="480" w:firstLineChars="200"/>
              <w:rPr>
                <w:color w:val="000000"/>
                <w:sz w:val="24"/>
              </w:rPr>
            </w:pPr>
          </w:p>
          <w:p w14:paraId="6B80846A">
            <w:pPr>
              <w:spacing w:line="360" w:lineRule="auto"/>
              <w:ind w:firstLine="480" w:firstLineChars="200"/>
              <w:rPr>
                <w:color w:val="000000"/>
                <w:sz w:val="24"/>
              </w:rPr>
            </w:pPr>
          </w:p>
          <w:p w14:paraId="2D29F30D">
            <w:pPr>
              <w:spacing w:line="360" w:lineRule="auto"/>
              <w:ind w:firstLine="480" w:firstLineChars="200"/>
              <w:rPr>
                <w:color w:val="000000"/>
                <w:sz w:val="24"/>
              </w:rPr>
            </w:pPr>
          </w:p>
          <w:p w14:paraId="4164E2BE">
            <w:pPr>
              <w:spacing w:line="360" w:lineRule="auto"/>
              <w:ind w:firstLine="480" w:firstLineChars="200"/>
              <w:rPr>
                <w:color w:val="000000"/>
                <w:sz w:val="24"/>
              </w:rPr>
            </w:pPr>
          </w:p>
          <w:p w14:paraId="2F0AFF02">
            <w:pPr>
              <w:spacing w:line="360" w:lineRule="auto"/>
              <w:ind w:firstLine="480" w:firstLineChars="200"/>
              <w:rPr>
                <w:color w:val="000000"/>
                <w:sz w:val="24"/>
              </w:rPr>
            </w:pPr>
          </w:p>
          <w:p w14:paraId="317FBE58">
            <w:pPr>
              <w:spacing w:line="360" w:lineRule="auto"/>
              <w:ind w:firstLine="480" w:firstLineChars="200"/>
              <w:rPr>
                <w:color w:val="000000"/>
                <w:sz w:val="24"/>
              </w:rPr>
            </w:pPr>
          </w:p>
          <w:p w14:paraId="66C31145">
            <w:pPr>
              <w:spacing w:line="360" w:lineRule="auto"/>
              <w:ind w:firstLine="480" w:firstLineChars="200"/>
              <w:rPr>
                <w:color w:val="000000"/>
                <w:sz w:val="24"/>
              </w:rPr>
            </w:pPr>
          </w:p>
          <w:p w14:paraId="1E620250">
            <w:pPr>
              <w:spacing w:line="360" w:lineRule="auto"/>
              <w:ind w:firstLine="480" w:firstLineChars="200"/>
              <w:rPr>
                <w:color w:val="000000"/>
                <w:sz w:val="24"/>
              </w:rPr>
            </w:pPr>
          </w:p>
          <w:p w14:paraId="65B0E1CD">
            <w:pPr>
              <w:spacing w:line="360" w:lineRule="auto"/>
              <w:ind w:firstLine="480" w:firstLineChars="200"/>
              <w:rPr>
                <w:color w:val="000000"/>
                <w:sz w:val="24"/>
              </w:rPr>
            </w:pPr>
          </w:p>
          <w:p w14:paraId="2D888C92">
            <w:pPr>
              <w:spacing w:line="360" w:lineRule="auto"/>
              <w:ind w:firstLine="480" w:firstLineChars="200"/>
              <w:rPr>
                <w:color w:val="000000"/>
                <w:sz w:val="24"/>
              </w:rPr>
            </w:pPr>
          </w:p>
          <w:p w14:paraId="4352AB2B">
            <w:pPr>
              <w:spacing w:line="360" w:lineRule="auto"/>
              <w:ind w:firstLine="480" w:firstLineChars="200"/>
              <w:rPr>
                <w:color w:val="000000"/>
                <w:sz w:val="24"/>
              </w:rPr>
            </w:pPr>
          </w:p>
          <w:p w14:paraId="330364B4">
            <w:pPr>
              <w:spacing w:line="360" w:lineRule="auto"/>
              <w:ind w:firstLine="480" w:firstLineChars="200"/>
              <w:rPr>
                <w:color w:val="000000"/>
                <w:sz w:val="24"/>
              </w:rPr>
            </w:pPr>
          </w:p>
          <w:p w14:paraId="7420303C">
            <w:pPr>
              <w:spacing w:line="360" w:lineRule="auto"/>
              <w:ind w:firstLine="480" w:firstLineChars="200"/>
              <w:rPr>
                <w:color w:val="000000"/>
                <w:sz w:val="24"/>
              </w:rPr>
            </w:pPr>
          </w:p>
          <w:p w14:paraId="17C5484C">
            <w:pPr>
              <w:spacing w:line="360" w:lineRule="auto"/>
              <w:ind w:firstLine="480" w:firstLineChars="200"/>
              <w:rPr>
                <w:color w:val="000000"/>
                <w:sz w:val="24"/>
              </w:rPr>
            </w:pPr>
          </w:p>
          <w:p w14:paraId="5852CD9B">
            <w:pPr>
              <w:rPr>
                <w:color w:val="000000"/>
              </w:rPr>
            </w:pPr>
          </w:p>
        </w:tc>
      </w:tr>
    </w:tbl>
    <w:p w14:paraId="2C274226">
      <w:pPr>
        <w:rPr>
          <w:color w:val="000000"/>
        </w:rPr>
      </w:pPr>
    </w:p>
    <w:p w14:paraId="5326CDFF">
      <w:pPr>
        <w:pStyle w:val="4"/>
        <w:ind w:firstLine="420"/>
        <w:rPr>
          <w:color w:val="000000"/>
        </w:rPr>
      </w:pPr>
    </w:p>
    <w:p w14:paraId="38A0FB80">
      <w:pPr>
        <w:rPr>
          <w:color w:val="000000"/>
        </w:rPr>
        <w:sectPr>
          <w:footerReference r:id="rId4" w:type="default"/>
          <w:pgSz w:w="11906" w:h="16838"/>
          <w:pgMar w:top="1440" w:right="1800" w:bottom="1440" w:left="1800" w:header="851" w:footer="992" w:gutter="0"/>
          <w:pgNumType w:start="1"/>
          <w:cols w:space="720" w:num="1"/>
          <w:docGrid w:type="lines" w:linePitch="312" w:charSpace="0"/>
        </w:sectPr>
      </w:pPr>
    </w:p>
    <w:p w14:paraId="5043C183">
      <w:pPr>
        <w:pStyle w:val="16"/>
        <w:adjustRightInd w:val="0"/>
        <w:snapToGrid w:val="0"/>
        <w:spacing w:before="0" w:beforeAutospacing="0" w:after="0" w:afterAutospacing="0" w:line="360" w:lineRule="auto"/>
        <w:outlineLvl w:val="0"/>
        <w:rPr>
          <w:rFonts w:ascii="Times New Roman" w:hAnsi="Times New Roman"/>
          <w:b/>
          <w:bCs/>
          <w:snapToGrid w:val="0"/>
          <w:color w:val="000000"/>
          <w:sz w:val="32"/>
          <w:szCs w:val="32"/>
        </w:rPr>
      </w:pPr>
      <w:bookmarkStart w:id="21" w:name="_Toc8234"/>
      <w:bookmarkStart w:id="22" w:name="_Toc32510"/>
      <w:bookmarkStart w:id="23" w:name="_Toc12455"/>
      <w:r>
        <w:rPr>
          <w:rFonts w:ascii="Times New Roman" w:hAnsi="Times New Roman"/>
          <w:b/>
          <w:bCs/>
          <w:snapToGrid w:val="0"/>
          <w:color w:val="000000"/>
          <w:sz w:val="32"/>
          <w:szCs w:val="32"/>
        </w:rPr>
        <w:t>附表</w:t>
      </w:r>
      <w:bookmarkEnd w:id="21"/>
      <w:bookmarkEnd w:id="22"/>
      <w:bookmarkEnd w:id="23"/>
    </w:p>
    <w:p w14:paraId="2C4A492F">
      <w:pPr>
        <w:pStyle w:val="16"/>
        <w:adjustRightInd w:val="0"/>
        <w:snapToGrid w:val="0"/>
        <w:spacing w:before="0" w:beforeAutospacing="0" w:after="0" w:afterAutospacing="0" w:line="360" w:lineRule="auto"/>
        <w:jc w:val="center"/>
        <w:rPr>
          <w:rFonts w:ascii="Times New Roman" w:hAnsi="Times New Roman"/>
          <w:b/>
          <w:bCs/>
          <w:snapToGrid w:val="0"/>
          <w:color w:val="000000"/>
          <w:sz w:val="38"/>
          <w:szCs w:val="38"/>
          <w:highlight w:val="yellow"/>
        </w:rPr>
      </w:pPr>
      <w:bookmarkStart w:id="24" w:name="_Toc32226"/>
      <w:r>
        <w:rPr>
          <w:rFonts w:ascii="Times New Roman" w:hAnsi="Times New Roman"/>
          <w:b/>
          <w:bCs/>
          <w:snapToGrid w:val="0"/>
          <w:color w:val="000000"/>
          <w:sz w:val="38"/>
          <w:szCs w:val="38"/>
        </w:rPr>
        <w:t>建设项目污染物排放量汇总表</w:t>
      </w:r>
      <w:bookmarkEnd w:id="24"/>
    </w:p>
    <w:tbl>
      <w:tblPr>
        <w:tblStyle w:val="20"/>
        <w:tblW w:w="141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1202"/>
      </w:tblGrid>
      <w:tr w14:paraId="4DE1C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4" w:hRule="atLeast"/>
          <w:jc w:val="center"/>
        </w:trPr>
        <w:tc>
          <w:tcPr>
            <w:tcW w:w="1588" w:type="dxa"/>
            <w:tcBorders>
              <w:tl2br w:val="single" w:color="auto" w:sz="4" w:space="0"/>
            </w:tcBorders>
            <w:noWrap w:val="0"/>
            <w:tcMar>
              <w:left w:w="28" w:type="dxa"/>
              <w:right w:w="28" w:type="dxa"/>
            </w:tcMar>
            <w:vAlign w:val="center"/>
          </w:tcPr>
          <w:p w14:paraId="38CF81F0">
            <w:pPr>
              <w:jc w:val="right"/>
              <w:rPr>
                <w:snapToGrid w:val="0"/>
                <w:color w:val="000000"/>
                <w:spacing w:val="-6"/>
                <w:kern w:val="21"/>
                <w:szCs w:val="21"/>
              </w:rPr>
            </w:pPr>
            <w:bookmarkStart w:id="25" w:name="_Toc21210"/>
            <w:r>
              <w:rPr>
                <w:snapToGrid w:val="0"/>
                <w:color w:val="000000"/>
                <w:spacing w:val="-6"/>
                <w:kern w:val="21"/>
                <w:szCs w:val="21"/>
              </w:rPr>
              <w:t>项目</w:t>
            </w:r>
          </w:p>
          <w:p w14:paraId="13819C92">
            <w:pPr>
              <w:jc w:val="left"/>
              <w:rPr>
                <w:snapToGrid w:val="0"/>
                <w:color w:val="000000"/>
                <w:spacing w:val="-6"/>
                <w:kern w:val="21"/>
                <w:szCs w:val="21"/>
              </w:rPr>
            </w:pPr>
            <w:r>
              <w:rPr>
                <w:snapToGrid w:val="0"/>
                <w:color w:val="000000"/>
                <w:spacing w:val="-6"/>
                <w:kern w:val="21"/>
                <w:szCs w:val="21"/>
              </w:rPr>
              <w:t>分类</w:t>
            </w:r>
          </w:p>
        </w:tc>
        <w:tc>
          <w:tcPr>
            <w:tcW w:w="1417" w:type="dxa"/>
            <w:noWrap w:val="0"/>
            <w:tcMar>
              <w:left w:w="28" w:type="dxa"/>
              <w:right w:w="28" w:type="dxa"/>
            </w:tcMar>
            <w:vAlign w:val="center"/>
          </w:tcPr>
          <w:p w14:paraId="784774C7">
            <w:pPr>
              <w:jc w:val="center"/>
              <w:rPr>
                <w:snapToGrid w:val="0"/>
                <w:color w:val="000000"/>
                <w:spacing w:val="-6"/>
                <w:kern w:val="21"/>
                <w:szCs w:val="21"/>
              </w:rPr>
            </w:pPr>
            <w:r>
              <w:rPr>
                <w:snapToGrid w:val="0"/>
                <w:color w:val="000000"/>
                <w:spacing w:val="-6"/>
                <w:kern w:val="21"/>
                <w:szCs w:val="21"/>
              </w:rPr>
              <w:t>污染物名称</w:t>
            </w:r>
          </w:p>
        </w:tc>
        <w:tc>
          <w:tcPr>
            <w:tcW w:w="1701" w:type="dxa"/>
            <w:noWrap w:val="0"/>
            <w:tcMar>
              <w:left w:w="28" w:type="dxa"/>
              <w:right w:w="28" w:type="dxa"/>
            </w:tcMar>
            <w:vAlign w:val="center"/>
          </w:tcPr>
          <w:p w14:paraId="4E652F86">
            <w:pPr>
              <w:rPr>
                <w:snapToGrid w:val="0"/>
                <w:color w:val="000000"/>
                <w:spacing w:val="-6"/>
                <w:kern w:val="21"/>
                <w:szCs w:val="21"/>
              </w:rPr>
            </w:pPr>
            <w:r>
              <w:rPr>
                <w:snapToGrid w:val="0"/>
                <w:color w:val="000000"/>
                <w:spacing w:val="-6"/>
                <w:kern w:val="21"/>
                <w:szCs w:val="21"/>
              </w:rPr>
              <w:t>现有工程</w:t>
            </w:r>
          </w:p>
          <w:p w14:paraId="632A95F7">
            <w:pPr>
              <w:rPr>
                <w:snapToGrid w:val="0"/>
                <w:color w:val="000000"/>
                <w:spacing w:val="-6"/>
                <w:kern w:val="21"/>
                <w:szCs w:val="21"/>
              </w:rPr>
            </w:pPr>
            <w:r>
              <w:rPr>
                <w:snapToGrid w:val="0"/>
                <w:color w:val="000000"/>
                <w:spacing w:val="-6"/>
                <w:kern w:val="21"/>
                <w:szCs w:val="21"/>
              </w:rPr>
              <w:t>排放量（固体废物产生量）</w:t>
            </w:r>
            <w:r>
              <w:rPr>
                <w:snapToGrid w:val="0"/>
                <w:color w:val="000000"/>
                <w:spacing w:val="-6"/>
                <w:kern w:val="21"/>
                <w:szCs w:val="21"/>
              </w:rPr>
              <w:fldChar w:fldCharType="begin"/>
            </w:r>
            <w:r>
              <w:rPr>
                <w:snapToGrid w:val="0"/>
                <w:color w:val="000000"/>
                <w:spacing w:val="-6"/>
                <w:kern w:val="21"/>
                <w:szCs w:val="21"/>
              </w:rPr>
              <w:instrText xml:space="preserve"> = 1 \* GB3 \* MERGEFORMAT </w:instrText>
            </w:r>
            <w:r>
              <w:rPr>
                <w:snapToGrid w:val="0"/>
                <w:color w:val="000000"/>
                <w:spacing w:val="-6"/>
                <w:kern w:val="21"/>
                <w:szCs w:val="21"/>
              </w:rPr>
              <w:fldChar w:fldCharType="separate"/>
            </w:r>
            <w:r>
              <w:rPr>
                <w:color w:val="000000"/>
                <w:szCs w:val="21"/>
              </w:rPr>
              <w:t>①</w:t>
            </w:r>
            <w:r>
              <w:rPr>
                <w:snapToGrid w:val="0"/>
                <w:color w:val="000000"/>
                <w:spacing w:val="-6"/>
                <w:kern w:val="21"/>
                <w:szCs w:val="21"/>
              </w:rPr>
              <w:fldChar w:fldCharType="end"/>
            </w:r>
          </w:p>
        </w:tc>
        <w:tc>
          <w:tcPr>
            <w:tcW w:w="1276" w:type="dxa"/>
            <w:noWrap w:val="0"/>
            <w:tcMar>
              <w:left w:w="28" w:type="dxa"/>
              <w:right w:w="28" w:type="dxa"/>
            </w:tcMar>
            <w:vAlign w:val="center"/>
          </w:tcPr>
          <w:p w14:paraId="57C6A96F">
            <w:pPr>
              <w:rPr>
                <w:snapToGrid w:val="0"/>
                <w:color w:val="000000"/>
                <w:spacing w:val="-6"/>
                <w:kern w:val="21"/>
                <w:szCs w:val="21"/>
              </w:rPr>
            </w:pPr>
            <w:r>
              <w:rPr>
                <w:snapToGrid w:val="0"/>
                <w:color w:val="000000"/>
                <w:spacing w:val="-6"/>
                <w:kern w:val="21"/>
                <w:szCs w:val="21"/>
              </w:rPr>
              <w:t>现有工程</w:t>
            </w:r>
          </w:p>
          <w:p w14:paraId="730E538D">
            <w:pPr>
              <w:rPr>
                <w:snapToGrid w:val="0"/>
                <w:color w:val="000000"/>
                <w:spacing w:val="-6"/>
                <w:kern w:val="21"/>
                <w:szCs w:val="21"/>
              </w:rPr>
            </w:pPr>
            <w:r>
              <w:rPr>
                <w:snapToGrid w:val="0"/>
                <w:color w:val="000000"/>
                <w:spacing w:val="-6"/>
                <w:kern w:val="21"/>
                <w:szCs w:val="21"/>
              </w:rPr>
              <w:t>许可排放量</w:t>
            </w:r>
          </w:p>
          <w:p w14:paraId="75BD07EE">
            <w:pPr>
              <w:rPr>
                <w:snapToGrid w:val="0"/>
                <w:color w:val="000000"/>
                <w:spacing w:val="-6"/>
                <w:kern w:val="21"/>
                <w:szCs w:val="21"/>
              </w:rPr>
            </w:pPr>
            <w:r>
              <w:rPr>
                <w:snapToGrid w:val="0"/>
                <w:color w:val="000000"/>
                <w:spacing w:val="-6"/>
                <w:kern w:val="21"/>
                <w:szCs w:val="21"/>
              </w:rPr>
              <w:fldChar w:fldCharType="begin"/>
            </w:r>
            <w:r>
              <w:rPr>
                <w:snapToGrid w:val="0"/>
                <w:color w:val="000000"/>
                <w:spacing w:val="-6"/>
                <w:kern w:val="21"/>
                <w:szCs w:val="21"/>
              </w:rPr>
              <w:instrText xml:space="preserve"> = 2 \* GB3 \* MERGEFORMAT </w:instrText>
            </w:r>
            <w:r>
              <w:rPr>
                <w:snapToGrid w:val="0"/>
                <w:color w:val="000000"/>
                <w:spacing w:val="-6"/>
                <w:kern w:val="21"/>
                <w:szCs w:val="21"/>
              </w:rPr>
              <w:fldChar w:fldCharType="separate"/>
            </w:r>
            <w:r>
              <w:rPr>
                <w:snapToGrid w:val="0"/>
                <w:color w:val="000000"/>
                <w:spacing w:val="-6"/>
                <w:kern w:val="21"/>
                <w:szCs w:val="21"/>
              </w:rPr>
              <w:t>②</w:t>
            </w:r>
            <w:r>
              <w:rPr>
                <w:snapToGrid w:val="0"/>
                <w:color w:val="000000"/>
                <w:spacing w:val="-6"/>
                <w:kern w:val="21"/>
                <w:szCs w:val="21"/>
              </w:rPr>
              <w:fldChar w:fldCharType="end"/>
            </w:r>
          </w:p>
        </w:tc>
        <w:tc>
          <w:tcPr>
            <w:tcW w:w="1701" w:type="dxa"/>
            <w:noWrap w:val="0"/>
            <w:tcMar>
              <w:left w:w="28" w:type="dxa"/>
              <w:right w:w="28" w:type="dxa"/>
            </w:tcMar>
            <w:vAlign w:val="center"/>
          </w:tcPr>
          <w:p w14:paraId="70928BCE">
            <w:pPr>
              <w:rPr>
                <w:snapToGrid w:val="0"/>
                <w:color w:val="000000"/>
                <w:spacing w:val="-6"/>
                <w:kern w:val="21"/>
                <w:szCs w:val="21"/>
              </w:rPr>
            </w:pPr>
            <w:r>
              <w:rPr>
                <w:snapToGrid w:val="0"/>
                <w:color w:val="000000"/>
                <w:spacing w:val="-6"/>
                <w:kern w:val="21"/>
                <w:szCs w:val="21"/>
              </w:rPr>
              <w:t>在建工程</w:t>
            </w:r>
          </w:p>
          <w:p w14:paraId="205AEE23">
            <w:pPr>
              <w:rPr>
                <w:snapToGrid w:val="0"/>
                <w:color w:val="000000"/>
                <w:spacing w:val="-6"/>
                <w:kern w:val="21"/>
                <w:szCs w:val="21"/>
              </w:rPr>
            </w:pPr>
            <w:r>
              <w:rPr>
                <w:snapToGrid w:val="0"/>
                <w:color w:val="000000"/>
                <w:spacing w:val="-6"/>
                <w:kern w:val="21"/>
                <w:szCs w:val="21"/>
              </w:rPr>
              <w:t>排放量（固体废物产生量）</w:t>
            </w:r>
            <w:r>
              <w:rPr>
                <w:snapToGrid w:val="0"/>
                <w:color w:val="000000"/>
                <w:spacing w:val="-6"/>
                <w:kern w:val="21"/>
                <w:szCs w:val="21"/>
              </w:rPr>
              <w:fldChar w:fldCharType="begin"/>
            </w:r>
            <w:r>
              <w:rPr>
                <w:snapToGrid w:val="0"/>
                <w:color w:val="000000"/>
                <w:spacing w:val="-6"/>
                <w:kern w:val="21"/>
                <w:szCs w:val="21"/>
              </w:rPr>
              <w:instrText xml:space="preserve"> = 3 \* GB3 \* MERGEFORMAT </w:instrText>
            </w:r>
            <w:r>
              <w:rPr>
                <w:snapToGrid w:val="0"/>
                <w:color w:val="000000"/>
                <w:spacing w:val="-6"/>
                <w:kern w:val="21"/>
                <w:szCs w:val="21"/>
              </w:rPr>
              <w:fldChar w:fldCharType="separate"/>
            </w:r>
            <w:r>
              <w:rPr>
                <w:color w:val="000000"/>
                <w:szCs w:val="21"/>
              </w:rPr>
              <w:t>③</w:t>
            </w:r>
            <w:r>
              <w:rPr>
                <w:snapToGrid w:val="0"/>
                <w:color w:val="000000"/>
                <w:spacing w:val="-6"/>
                <w:kern w:val="21"/>
                <w:szCs w:val="21"/>
              </w:rPr>
              <w:fldChar w:fldCharType="end"/>
            </w:r>
          </w:p>
        </w:tc>
        <w:tc>
          <w:tcPr>
            <w:tcW w:w="1559" w:type="dxa"/>
            <w:noWrap w:val="0"/>
            <w:tcMar>
              <w:left w:w="28" w:type="dxa"/>
              <w:right w:w="28" w:type="dxa"/>
            </w:tcMar>
            <w:vAlign w:val="center"/>
          </w:tcPr>
          <w:p w14:paraId="50B14727">
            <w:pPr>
              <w:rPr>
                <w:snapToGrid w:val="0"/>
                <w:color w:val="000000"/>
                <w:spacing w:val="-6"/>
                <w:kern w:val="21"/>
                <w:szCs w:val="21"/>
              </w:rPr>
            </w:pPr>
            <w:r>
              <w:rPr>
                <w:snapToGrid w:val="0"/>
                <w:color w:val="000000"/>
                <w:spacing w:val="-6"/>
                <w:kern w:val="21"/>
                <w:szCs w:val="21"/>
              </w:rPr>
              <w:t>本项目</w:t>
            </w:r>
          </w:p>
          <w:p w14:paraId="7D94F90E">
            <w:pPr>
              <w:rPr>
                <w:snapToGrid w:val="0"/>
                <w:color w:val="000000"/>
                <w:spacing w:val="-6"/>
                <w:kern w:val="21"/>
                <w:szCs w:val="21"/>
              </w:rPr>
            </w:pPr>
            <w:r>
              <w:rPr>
                <w:snapToGrid w:val="0"/>
                <w:color w:val="000000"/>
                <w:spacing w:val="-6"/>
                <w:kern w:val="21"/>
                <w:szCs w:val="21"/>
              </w:rPr>
              <w:t>排放量（固体废物产生量）</w:t>
            </w:r>
            <w:r>
              <w:rPr>
                <w:snapToGrid w:val="0"/>
                <w:color w:val="000000"/>
                <w:spacing w:val="-6"/>
                <w:kern w:val="21"/>
                <w:szCs w:val="21"/>
              </w:rPr>
              <w:fldChar w:fldCharType="begin"/>
            </w:r>
            <w:r>
              <w:rPr>
                <w:snapToGrid w:val="0"/>
                <w:color w:val="000000"/>
                <w:spacing w:val="-6"/>
                <w:kern w:val="21"/>
                <w:szCs w:val="21"/>
              </w:rPr>
              <w:instrText xml:space="preserve"> = 4 \* GB3 \* MERGEFORMAT </w:instrText>
            </w:r>
            <w:r>
              <w:rPr>
                <w:snapToGrid w:val="0"/>
                <w:color w:val="000000"/>
                <w:spacing w:val="-6"/>
                <w:kern w:val="21"/>
                <w:szCs w:val="21"/>
              </w:rPr>
              <w:fldChar w:fldCharType="separate"/>
            </w:r>
            <w:r>
              <w:rPr>
                <w:color w:val="000000"/>
                <w:szCs w:val="21"/>
              </w:rPr>
              <w:t>④</w:t>
            </w:r>
            <w:r>
              <w:rPr>
                <w:snapToGrid w:val="0"/>
                <w:color w:val="000000"/>
                <w:spacing w:val="-6"/>
                <w:kern w:val="21"/>
                <w:szCs w:val="21"/>
              </w:rPr>
              <w:fldChar w:fldCharType="end"/>
            </w:r>
          </w:p>
        </w:tc>
        <w:tc>
          <w:tcPr>
            <w:tcW w:w="1761" w:type="dxa"/>
            <w:noWrap w:val="0"/>
            <w:tcMar>
              <w:left w:w="28" w:type="dxa"/>
              <w:right w:w="28" w:type="dxa"/>
            </w:tcMar>
            <w:vAlign w:val="center"/>
          </w:tcPr>
          <w:p w14:paraId="663EFAC3">
            <w:pPr>
              <w:rPr>
                <w:snapToGrid w:val="0"/>
                <w:color w:val="000000"/>
                <w:spacing w:val="-16"/>
                <w:kern w:val="21"/>
                <w:szCs w:val="21"/>
              </w:rPr>
            </w:pPr>
            <w:r>
              <w:rPr>
                <w:snapToGrid w:val="0"/>
                <w:color w:val="000000"/>
                <w:spacing w:val="-16"/>
                <w:kern w:val="21"/>
                <w:szCs w:val="21"/>
              </w:rPr>
              <w:t>以新带老削减量</w:t>
            </w:r>
          </w:p>
          <w:p w14:paraId="10FF8B52">
            <w:pPr>
              <w:rPr>
                <w:snapToGrid w:val="0"/>
                <w:color w:val="000000"/>
                <w:spacing w:val="-16"/>
                <w:kern w:val="21"/>
                <w:szCs w:val="21"/>
              </w:rPr>
            </w:pPr>
            <w:r>
              <w:rPr>
                <w:snapToGrid w:val="0"/>
                <w:color w:val="000000"/>
                <w:spacing w:val="-16"/>
                <w:kern w:val="21"/>
                <w:szCs w:val="21"/>
              </w:rPr>
              <w:t>（新建项目不填）</w:t>
            </w:r>
            <w:r>
              <w:rPr>
                <w:snapToGrid w:val="0"/>
                <w:color w:val="000000"/>
                <w:spacing w:val="-16"/>
                <w:kern w:val="21"/>
                <w:szCs w:val="21"/>
              </w:rPr>
              <w:fldChar w:fldCharType="begin"/>
            </w:r>
            <w:r>
              <w:rPr>
                <w:snapToGrid w:val="0"/>
                <w:color w:val="000000"/>
                <w:spacing w:val="-16"/>
                <w:kern w:val="21"/>
                <w:szCs w:val="21"/>
              </w:rPr>
              <w:instrText xml:space="preserve"> = 5 \* GB3 \* MERGEFORMAT </w:instrText>
            </w:r>
            <w:r>
              <w:rPr>
                <w:snapToGrid w:val="0"/>
                <w:color w:val="000000"/>
                <w:spacing w:val="-16"/>
                <w:kern w:val="21"/>
                <w:szCs w:val="21"/>
              </w:rPr>
              <w:fldChar w:fldCharType="separate"/>
            </w:r>
            <w:r>
              <w:rPr>
                <w:color w:val="000000"/>
                <w:szCs w:val="21"/>
              </w:rPr>
              <w:t>⑤</w:t>
            </w:r>
            <w:r>
              <w:rPr>
                <w:snapToGrid w:val="0"/>
                <w:color w:val="000000"/>
                <w:spacing w:val="-16"/>
                <w:kern w:val="21"/>
                <w:szCs w:val="21"/>
              </w:rPr>
              <w:fldChar w:fldCharType="end"/>
            </w:r>
          </w:p>
        </w:tc>
        <w:tc>
          <w:tcPr>
            <w:tcW w:w="1959" w:type="dxa"/>
            <w:noWrap w:val="0"/>
            <w:tcMar>
              <w:left w:w="28" w:type="dxa"/>
              <w:right w:w="28" w:type="dxa"/>
            </w:tcMar>
            <w:vAlign w:val="center"/>
          </w:tcPr>
          <w:p w14:paraId="6657B252">
            <w:pPr>
              <w:rPr>
                <w:snapToGrid w:val="0"/>
                <w:color w:val="000000"/>
                <w:spacing w:val="-16"/>
                <w:kern w:val="21"/>
                <w:szCs w:val="21"/>
              </w:rPr>
            </w:pPr>
            <w:r>
              <w:rPr>
                <w:snapToGrid w:val="0"/>
                <w:color w:val="000000"/>
                <w:spacing w:val="-16"/>
                <w:kern w:val="21"/>
                <w:szCs w:val="21"/>
              </w:rPr>
              <w:t>本项目建成后</w:t>
            </w:r>
          </w:p>
          <w:p w14:paraId="52734947">
            <w:pPr>
              <w:rPr>
                <w:snapToGrid w:val="0"/>
                <w:color w:val="000000"/>
                <w:spacing w:val="-16"/>
                <w:kern w:val="21"/>
                <w:szCs w:val="21"/>
              </w:rPr>
            </w:pPr>
            <w:r>
              <w:rPr>
                <w:snapToGrid w:val="0"/>
                <w:color w:val="000000"/>
                <w:spacing w:val="-16"/>
                <w:kern w:val="21"/>
                <w:szCs w:val="21"/>
              </w:rPr>
              <w:t>全厂排放量（固体废物产生量）</w:t>
            </w:r>
            <w:r>
              <w:rPr>
                <w:snapToGrid w:val="0"/>
                <w:color w:val="000000"/>
                <w:spacing w:val="-16"/>
                <w:kern w:val="21"/>
                <w:szCs w:val="21"/>
              </w:rPr>
              <w:fldChar w:fldCharType="begin"/>
            </w:r>
            <w:r>
              <w:rPr>
                <w:snapToGrid w:val="0"/>
                <w:color w:val="000000"/>
                <w:spacing w:val="-16"/>
                <w:kern w:val="21"/>
                <w:szCs w:val="21"/>
              </w:rPr>
              <w:instrText xml:space="preserve"> = 6 \* GB3 \* MERGEFORMAT </w:instrText>
            </w:r>
            <w:r>
              <w:rPr>
                <w:snapToGrid w:val="0"/>
                <w:color w:val="000000"/>
                <w:spacing w:val="-16"/>
                <w:kern w:val="21"/>
                <w:szCs w:val="21"/>
              </w:rPr>
              <w:fldChar w:fldCharType="separate"/>
            </w:r>
            <w:r>
              <w:rPr>
                <w:color w:val="000000"/>
                <w:szCs w:val="21"/>
              </w:rPr>
              <w:t>⑥</w:t>
            </w:r>
            <w:r>
              <w:rPr>
                <w:snapToGrid w:val="0"/>
                <w:color w:val="000000"/>
                <w:spacing w:val="-16"/>
                <w:kern w:val="21"/>
                <w:szCs w:val="21"/>
              </w:rPr>
              <w:fldChar w:fldCharType="end"/>
            </w:r>
          </w:p>
        </w:tc>
        <w:tc>
          <w:tcPr>
            <w:tcW w:w="1202" w:type="dxa"/>
            <w:noWrap w:val="0"/>
            <w:tcMar>
              <w:left w:w="28" w:type="dxa"/>
              <w:right w:w="28" w:type="dxa"/>
            </w:tcMar>
            <w:vAlign w:val="center"/>
          </w:tcPr>
          <w:p w14:paraId="482E5568">
            <w:pPr>
              <w:rPr>
                <w:snapToGrid w:val="0"/>
                <w:color w:val="000000"/>
                <w:spacing w:val="-6"/>
                <w:kern w:val="21"/>
                <w:szCs w:val="21"/>
              </w:rPr>
            </w:pPr>
            <w:r>
              <w:rPr>
                <w:snapToGrid w:val="0"/>
                <w:color w:val="000000"/>
                <w:spacing w:val="-6"/>
                <w:kern w:val="21"/>
                <w:szCs w:val="21"/>
              </w:rPr>
              <w:t>变化量</w:t>
            </w:r>
          </w:p>
          <w:p w14:paraId="006866D6">
            <w:pPr>
              <w:rPr>
                <w:snapToGrid w:val="0"/>
                <w:color w:val="000000"/>
                <w:spacing w:val="-6"/>
                <w:kern w:val="21"/>
                <w:szCs w:val="21"/>
              </w:rPr>
            </w:pPr>
            <w:r>
              <w:rPr>
                <w:snapToGrid w:val="0"/>
                <w:color w:val="000000"/>
                <w:spacing w:val="-6"/>
                <w:kern w:val="21"/>
                <w:szCs w:val="21"/>
              </w:rPr>
              <w:fldChar w:fldCharType="begin"/>
            </w:r>
            <w:r>
              <w:rPr>
                <w:snapToGrid w:val="0"/>
                <w:color w:val="000000"/>
                <w:spacing w:val="-6"/>
                <w:kern w:val="21"/>
                <w:szCs w:val="21"/>
              </w:rPr>
              <w:instrText xml:space="preserve"> = 7 \* GB3 \* MERGEFORMAT </w:instrText>
            </w:r>
            <w:r>
              <w:rPr>
                <w:snapToGrid w:val="0"/>
                <w:color w:val="000000"/>
                <w:spacing w:val="-6"/>
                <w:kern w:val="21"/>
                <w:szCs w:val="21"/>
              </w:rPr>
              <w:fldChar w:fldCharType="separate"/>
            </w:r>
            <w:r>
              <w:rPr>
                <w:color w:val="000000"/>
                <w:szCs w:val="21"/>
              </w:rPr>
              <w:t>⑦</w:t>
            </w:r>
            <w:r>
              <w:rPr>
                <w:snapToGrid w:val="0"/>
                <w:color w:val="000000"/>
                <w:spacing w:val="-6"/>
                <w:kern w:val="21"/>
                <w:szCs w:val="21"/>
              </w:rPr>
              <w:fldChar w:fldCharType="end"/>
            </w:r>
          </w:p>
        </w:tc>
      </w:tr>
      <w:tr w14:paraId="1AFFB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restart"/>
            <w:noWrap w:val="0"/>
            <w:vAlign w:val="center"/>
          </w:tcPr>
          <w:p w14:paraId="10FAED43">
            <w:pPr>
              <w:jc w:val="center"/>
              <w:rPr>
                <w:snapToGrid w:val="0"/>
                <w:color w:val="000000"/>
                <w:kern w:val="21"/>
                <w:szCs w:val="21"/>
              </w:rPr>
            </w:pPr>
            <w:r>
              <w:rPr>
                <w:snapToGrid w:val="0"/>
                <w:color w:val="000000"/>
                <w:kern w:val="21"/>
                <w:szCs w:val="21"/>
              </w:rPr>
              <w:t>废气</w:t>
            </w:r>
          </w:p>
        </w:tc>
        <w:tc>
          <w:tcPr>
            <w:tcW w:w="1417" w:type="dxa"/>
            <w:noWrap w:val="0"/>
            <w:vAlign w:val="center"/>
          </w:tcPr>
          <w:p w14:paraId="3F3C4EF5">
            <w:pPr>
              <w:jc w:val="center"/>
              <w:rPr>
                <w:rFonts w:hint="eastAsia"/>
                <w:snapToGrid w:val="0"/>
                <w:color w:val="000000"/>
                <w:kern w:val="21"/>
                <w:szCs w:val="21"/>
              </w:rPr>
            </w:pPr>
            <w:r>
              <w:rPr>
                <w:rFonts w:hint="eastAsia"/>
                <w:snapToGrid w:val="0"/>
                <w:color w:val="000000"/>
                <w:kern w:val="21"/>
                <w:szCs w:val="21"/>
              </w:rPr>
              <w:t>甲醇</w:t>
            </w:r>
          </w:p>
        </w:tc>
        <w:tc>
          <w:tcPr>
            <w:tcW w:w="1701" w:type="dxa"/>
            <w:noWrap w:val="0"/>
            <w:vAlign w:val="center"/>
          </w:tcPr>
          <w:p w14:paraId="09A23D66">
            <w:pPr>
              <w:jc w:val="center"/>
              <w:rPr>
                <w:snapToGrid w:val="0"/>
                <w:color w:val="000000"/>
                <w:kern w:val="21"/>
                <w:szCs w:val="21"/>
              </w:rPr>
            </w:pPr>
          </w:p>
        </w:tc>
        <w:tc>
          <w:tcPr>
            <w:tcW w:w="1276" w:type="dxa"/>
            <w:noWrap w:val="0"/>
            <w:vAlign w:val="center"/>
          </w:tcPr>
          <w:p w14:paraId="7A961CFD">
            <w:pPr>
              <w:rPr>
                <w:snapToGrid w:val="0"/>
                <w:color w:val="000000"/>
                <w:kern w:val="21"/>
                <w:szCs w:val="21"/>
              </w:rPr>
            </w:pPr>
          </w:p>
        </w:tc>
        <w:tc>
          <w:tcPr>
            <w:tcW w:w="1701" w:type="dxa"/>
            <w:noWrap w:val="0"/>
            <w:vAlign w:val="center"/>
          </w:tcPr>
          <w:p w14:paraId="71E9B394">
            <w:pPr>
              <w:rPr>
                <w:snapToGrid w:val="0"/>
                <w:color w:val="000000"/>
                <w:kern w:val="21"/>
                <w:szCs w:val="21"/>
              </w:rPr>
            </w:pPr>
          </w:p>
        </w:tc>
        <w:tc>
          <w:tcPr>
            <w:tcW w:w="1559" w:type="dxa"/>
            <w:noWrap w:val="0"/>
            <w:vAlign w:val="center"/>
          </w:tcPr>
          <w:p w14:paraId="3930FB0E">
            <w:pPr>
              <w:jc w:val="center"/>
              <w:rPr>
                <w:snapToGrid w:val="0"/>
                <w:color w:val="000000"/>
                <w:kern w:val="21"/>
                <w:szCs w:val="21"/>
              </w:rPr>
            </w:pPr>
            <w:r>
              <w:rPr>
                <w:rFonts w:hint="eastAsia"/>
                <w:snapToGrid w:val="0"/>
                <w:color w:val="000000"/>
                <w:kern w:val="21"/>
                <w:szCs w:val="21"/>
              </w:rPr>
              <w:t>0.</w:t>
            </w:r>
            <w:r>
              <w:rPr>
                <w:snapToGrid w:val="0"/>
                <w:color w:val="000000"/>
                <w:kern w:val="21"/>
                <w:szCs w:val="21"/>
              </w:rPr>
              <w:t>44t/a</w:t>
            </w:r>
          </w:p>
        </w:tc>
        <w:tc>
          <w:tcPr>
            <w:tcW w:w="1761" w:type="dxa"/>
            <w:noWrap w:val="0"/>
            <w:vAlign w:val="center"/>
          </w:tcPr>
          <w:p w14:paraId="56C1C971">
            <w:pPr>
              <w:jc w:val="center"/>
              <w:rPr>
                <w:snapToGrid w:val="0"/>
                <w:color w:val="000000"/>
                <w:kern w:val="21"/>
                <w:szCs w:val="21"/>
              </w:rPr>
            </w:pPr>
          </w:p>
        </w:tc>
        <w:tc>
          <w:tcPr>
            <w:tcW w:w="1959" w:type="dxa"/>
            <w:noWrap w:val="0"/>
            <w:vAlign w:val="center"/>
          </w:tcPr>
          <w:p w14:paraId="3ECA3CF7">
            <w:pPr>
              <w:jc w:val="center"/>
              <w:rPr>
                <w:snapToGrid w:val="0"/>
                <w:color w:val="000000"/>
                <w:kern w:val="21"/>
                <w:szCs w:val="21"/>
              </w:rPr>
            </w:pPr>
            <w:r>
              <w:rPr>
                <w:rFonts w:hint="eastAsia"/>
                <w:snapToGrid w:val="0"/>
                <w:color w:val="000000"/>
                <w:kern w:val="21"/>
                <w:szCs w:val="21"/>
              </w:rPr>
              <w:t>0.</w:t>
            </w:r>
            <w:r>
              <w:rPr>
                <w:snapToGrid w:val="0"/>
                <w:color w:val="000000"/>
                <w:kern w:val="21"/>
                <w:szCs w:val="21"/>
              </w:rPr>
              <w:t>44t/a</w:t>
            </w:r>
          </w:p>
        </w:tc>
        <w:tc>
          <w:tcPr>
            <w:tcW w:w="1202" w:type="dxa"/>
            <w:noWrap w:val="0"/>
            <w:vAlign w:val="center"/>
          </w:tcPr>
          <w:p w14:paraId="48C592F3">
            <w:pPr>
              <w:jc w:val="center"/>
              <w:rPr>
                <w:snapToGrid w:val="0"/>
                <w:color w:val="000000"/>
                <w:kern w:val="21"/>
                <w:szCs w:val="21"/>
              </w:rPr>
            </w:pPr>
          </w:p>
        </w:tc>
      </w:tr>
      <w:tr w14:paraId="4265A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09399842">
            <w:pPr>
              <w:jc w:val="center"/>
              <w:rPr>
                <w:snapToGrid w:val="0"/>
                <w:color w:val="000000"/>
                <w:kern w:val="21"/>
                <w:szCs w:val="21"/>
              </w:rPr>
            </w:pPr>
          </w:p>
        </w:tc>
        <w:tc>
          <w:tcPr>
            <w:tcW w:w="1417" w:type="dxa"/>
            <w:noWrap w:val="0"/>
            <w:vAlign w:val="center"/>
          </w:tcPr>
          <w:p w14:paraId="3E9FCDD5">
            <w:pPr>
              <w:jc w:val="center"/>
              <w:rPr>
                <w:rFonts w:hint="eastAsia"/>
                <w:snapToGrid w:val="0"/>
                <w:color w:val="000000"/>
                <w:kern w:val="21"/>
                <w:szCs w:val="21"/>
              </w:rPr>
            </w:pPr>
            <w:r>
              <w:rPr>
                <w:rFonts w:hint="eastAsia"/>
                <w:snapToGrid w:val="0"/>
                <w:color w:val="000000"/>
                <w:kern w:val="21"/>
                <w:szCs w:val="21"/>
              </w:rPr>
              <w:t>恶臭</w:t>
            </w:r>
          </w:p>
        </w:tc>
        <w:tc>
          <w:tcPr>
            <w:tcW w:w="1701" w:type="dxa"/>
            <w:noWrap w:val="0"/>
            <w:vAlign w:val="center"/>
          </w:tcPr>
          <w:p w14:paraId="0EF809ED">
            <w:pPr>
              <w:jc w:val="center"/>
              <w:rPr>
                <w:snapToGrid w:val="0"/>
                <w:color w:val="000000"/>
                <w:kern w:val="21"/>
                <w:szCs w:val="21"/>
              </w:rPr>
            </w:pPr>
          </w:p>
        </w:tc>
        <w:tc>
          <w:tcPr>
            <w:tcW w:w="1276" w:type="dxa"/>
            <w:noWrap w:val="0"/>
            <w:vAlign w:val="center"/>
          </w:tcPr>
          <w:p w14:paraId="5F39861A">
            <w:pPr>
              <w:rPr>
                <w:snapToGrid w:val="0"/>
                <w:color w:val="000000"/>
                <w:kern w:val="21"/>
                <w:szCs w:val="21"/>
              </w:rPr>
            </w:pPr>
          </w:p>
        </w:tc>
        <w:tc>
          <w:tcPr>
            <w:tcW w:w="1701" w:type="dxa"/>
            <w:noWrap w:val="0"/>
            <w:vAlign w:val="center"/>
          </w:tcPr>
          <w:p w14:paraId="308BCEFC">
            <w:pPr>
              <w:rPr>
                <w:snapToGrid w:val="0"/>
                <w:color w:val="000000"/>
                <w:kern w:val="21"/>
                <w:szCs w:val="21"/>
              </w:rPr>
            </w:pPr>
          </w:p>
        </w:tc>
        <w:tc>
          <w:tcPr>
            <w:tcW w:w="1559" w:type="dxa"/>
            <w:noWrap w:val="0"/>
            <w:vAlign w:val="center"/>
          </w:tcPr>
          <w:p w14:paraId="0650D77F">
            <w:pPr>
              <w:jc w:val="center"/>
              <w:rPr>
                <w:rFonts w:hint="eastAsia"/>
                <w:snapToGrid w:val="0"/>
                <w:color w:val="000000"/>
                <w:kern w:val="21"/>
                <w:szCs w:val="21"/>
              </w:rPr>
            </w:pPr>
            <w:r>
              <w:rPr>
                <w:rFonts w:hint="eastAsia"/>
                <w:snapToGrid w:val="0"/>
                <w:color w:val="000000"/>
                <w:kern w:val="21"/>
                <w:szCs w:val="21"/>
              </w:rPr>
              <w:t>少量</w:t>
            </w:r>
          </w:p>
        </w:tc>
        <w:tc>
          <w:tcPr>
            <w:tcW w:w="1761" w:type="dxa"/>
            <w:noWrap w:val="0"/>
            <w:vAlign w:val="center"/>
          </w:tcPr>
          <w:p w14:paraId="6FE2519F">
            <w:pPr>
              <w:jc w:val="center"/>
              <w:rPr>
                <w:snapToGrid w:val="0"/>
                <w:color w:val="000000"/>
                <w:kern w:val="21"/>
                <w:szCs w:val="21"/>
              </w:rPr>
            </w:pPr>
          </w:p>
        </w:tc>
        <w:tc>
          <w:tcPr>
            <w:tcW w:w="1959" w:type="dxa"/>
            <w:noWrap w:val="0"/>
            <w:vAlign w:val="center"/>
          </w:tcPr>
          <w:p w14:paraId="68E81633">
            <w:pPr>
              <w:jc w:val="center"/>
              <w:rPr>
                <w:rFonts w:hint="eastAsia"/>
                <w:snapToGrid w:val="0"/>
                <w:color w:val="000000"/>
                <w:kern w:val="21"/>
                <w:szCs w:val="21"/>
              </w:rPr>
            </w:pPr>
            <w:r>
              <w:rPr>
                <w:rFonts w:hint="eastAsia"/>
                <w:snapToGrid w:val="0"/>
                <w:color w:val="000000"/>
                <w:kern w:val="21"/>
                <w:szCs w:val="21"/>
              </w:rPr>
              <w:t>少量</w:t>
            </w:r>
          </w:p>
        </w:tc>
        <w:tc>
          <w:tcPr>
            <w:tcW w:w="1202" w:type="dxa"/>
            <w:noWrap w:val="0"/>
            <w:vAlign w:val="center"/>
          </w:tcPr>
          <w:p w14:paraId="06D891D8">
            <w:pPr>
              <w:jc w:val="center"/>
              <w:rPr>
                <w:snapToGrid w:val="0"/>
                <w:color w:val="000000"/>
                <w:kern w:val="21"/>
                <w:szCs w:val="21"/>
              </w:rPr>
            </w:pPr>
          </w:p>
        </w:tc>
      </w:tr>
      <w:tr w14:paraId="62007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restart"/>
            <w:noWrap w:val="0"/>
            <w:vAlign w:val="center"/>
          </w:tcPr>
          <w:p w14:paraId="0EFB579E">
            <w:pPr>
              <w:jc w:val="center"/>
              <w:rPr>
                <w:snapToGrid w:val="0"/>
                <w:color w:val="000000"/>
                <w:kern w:val="21"/>
                <w:szCs w:val="21"/>
              </w:rPr>
            </w:pPr>
            <w:r>
              <w:rPr>
                <w:snapToGrid w:val="0"/>
                <w:color w:val="000000"/>
                <w:kern w:val="21"/>
                <w:szCs w:val="21"/>
              </w:rPr>
              <w:t>废水</w:t>
            </w:r>
          </w:p>
        </w:tc>
        <w:tc>
          <w:tcPr>
            <w:tcW w:w="1417" w:type="dxa"/>
            <w:noWrap w:val="0"/>
            <w:vAlign w:val="center"/>
          </w:tcPr>
          <w:p w14:paraId="067A18D1">
            <w:pPr>
              <w:jc w:val="center"/>
              <w:rPr>
                <w:snapToGrid w:val="0"/>
                <w:color w:val="000000"/>
                <w:kern w:val="21"/>
                <w:szCs w:val="21"/>
              </w:rPr>
            </w:pPr>
            <w:r>
              <w:rPr>
                <w:rFonts w:hint="eastAsia"/>
                <w:snapToGrid w:val="0"/>
                <w:color w:val="000000"/>
                <w:kern w:val="21"/>
                <w:szCs w:val="21"/>
              </w:rPr>
              <w:t>/</w:t>
            </w:r>
          </w:p>
        </w:tc>
        <w:tc>
          <w:tcPr>
            <w:tcW w:w="1701" w:type="dxa"/>
            <w:noWrap w:val="0"/>
            <w:vAlign w:val="center"/>
          </w:tcPr>
          <w:p w14:paraId="3619900D">
            <w:pPr>
              <w:jc w:val="center"/>
              <w:rPr>
                <w:rFonts w:hint="eastAsia"/>
                <w:snapToGrid w:val="0"/>
                <w:color w:val="000000"/>
                <w:kern w:val="21"/>
                <w:szCs w:val="21"/>
              </w:rPr>
            </w:pPr>
          </w:p>
        </w:tc>
        <w:tc>
          <w:tcPr>
            <w:tcW w:w="1276" w:type="dxa"/>
            <w:noWrap w:val="0"/>
            <w:vAlign w:val="center"/>
          </w:tcPr>
          <w:p w14:paraId="03ABA492">
            <w:pPr>
              <w:rPr>
                <w:snapToGrid w:val="0"/>
                <w:color w:val="000000"/>
                <w:kern w:val="21"/>
                <w:szCs w:val="21"/>
              </w:rPr>
            </w:pPr>
          </w:p>
        </w:tc>
        <w:tc>
          <w:tcPr>
            <w:tcW w:w="1701" w:type="dxa"/>
            <w:noWrap w:val="0"/>
            <w:vAlign w:val="center"/>
          </w:tcPr>
          <w:p w14:paraId="7367591B">
            <w:pPr>
              <w:rPr>
                <w:snapToGrid w:val="0"/>
                <w:color w:val="000000"/>
                <w:kern w:val="21"/>
                <w:szCs w:val="21"/>
              </w:rPr>
            </w:pPr>
          </w:p>
        </w:tc>
        <w:tc>
          <w:tcPr>
            <w:tcW w:w="1559" w:type="dxa"/>
            <w:noWrap w:val="0"/>
            <w:vAlign w:val="center"/>
          </w:tcPr>
          <w:p w14:paraId="398BBB4A">
            <w:pPr>
              <w:jc w:val="center"/>
              <w:rPr>
                <w:snapToGrid w:val="0"/>
                <w:color w:val="000000"/>
                <w:kern w:val="21"/>
                <w:szCs w:val="21"/>
              </w:rPr>
            </w:pPr>
          </w:p>
        </w:tc>
        <w:tc>
          <w:tcPr>
            <w:tcW w:w="1761" w:type="dxa"/>
            <w:noWrap w:val="0"/>
            <w:vAlign w:val="center"/>
          </w:tcPr>
          <w:p w14:paraId="69C8E6AE">
            <w:pPr>
              <w:jc w:val="center"/>
              <w:rPr>
                <w:snapToGrid w:val="0"/>
                <w:color w:val="000000"/>
                <w:kern w:val="21"/>
                <w:szCs w:val="21"/>
              </w:rPr>
            </w:pPr>
          </w:p>
        </w:tc>
        <w:tc>
          <w:tcPr>
            <w:tcW w:w="1959" w:type="dxa"/>
            <w:noWrap w:val="0"/>
            <w:vAlign w:val="center"/>
          </w:tcPr>
          <w:p w14:paraId="4E122B11">
            <w:pPr>
              <w:jc w:val="center"/>
              <w:rPr>
                <w:snapToGrid w:val="0"/>
                <w:color w:val="000000"/>
                <w:kern w:val="21"/>
                <w:szCs w:val="21"/>
              </w:rPr>
            </w:pPr>
          </w:p>
        </w:tc>
        <w:tc>
          <w:tcPr>
            <w:tcW w:w="1202" w:type="dxa"/>
            <w:noWrap w:val="0"/>
            <w:vAlign w:val="center"/>
          </w:tcPr>
          <w:p w14:paraId="57A6C043">
            <w:pPr>
              <w:jc w:val="center"/>
              <w:rPr>
                <w:snapToGrid w:val="0"/>
                <w:color w:val="000000"/>
                <w:kern w:val="21"/>
                <w:szCs w:val="21"/>
              </w:rPr>
            </w:pPr>
          </w:p>
        </w:tc>
      </w:tr>
      <w:tr w14:paraId="793CD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2B2B7AAE">
            <w:pPr>
              <w:jc w:val="center"/>
              <w:rPr>
                <w:snapToGrid w:val="0"/>
                <w:color w:val="000000"/>
                <w:kern w:val="21"/>
                <w:szCs w:val="21"/>
              </w:rPr>
            </w:pPr>
          </w:p>
        </w:tc>
        <w:tc>
          <w:tcPr>
            <w:tcW w:w="1417" w:type="dxa"/>
            <w:noWrap w:val="0"/>
            <w:vAlign w:val="center"/>
          </w:tcPr>
          <w:p w14:paraId="1EAF5340">
            <w:pPr>
              <w:jc w:val="center"/>
              <w:rPr>
                <w:snapToGrid w:val="0"/>
                <w:color w:val="000000"/>
                <w:kern w:val="21"/>
                <w:szCs w:val="21"/>
              </w:rPr>
            </w:pPr>
            <w:r>
              <w:rPr>
                <w:rFonts w:hint="eastAsia"/>
                <w:snapToGrid w:val="0"/>
                <w:color w:val="000000"/>
                <w:kern w:val="21"/>
                <w:szCs w:val="21"/>
              </w:rPr>
              <w:t>/</w:t>
            </w:r>
          </w:p>
        </w:tc>
        <w:tc>
          <w:tcPr>
            <w:tcW w:w="1701" w:type="dxa"/>
            <w:noWrap w:val="0"/>
            <w:vAlign w:val="center"/>
          </w:tcPr>
          <w:p w14:paraId="7E586A63">
            <w:pPr>
              <w:jc w:val="center"/>
              <w:rPr>
                <w:snapToGrid w:val="0"/>
                <w:color w:val="000000"/>
                <w:kern w:val="21"/>
                <w:szCs w:val="21"/>
              </w:rPr>
            </w:pPr>
          </w:p>
        </w:tc>
        <w:tc>
          <w:tcPr>
            <w:tcW w:w="1276" w:type="dxa"/>
            <w:noWrap w:val="0"/>
            <w:vAlign w:val="center"/>
          </w:tcPr>
          <w:p w14:paraId="0F36E04D">
            <w:pPr>
              <w:rPr>
                <w:snapToGrid w:val="0"/>
                <w:color w:val="000000"/>
                <w:kern w:val="21"/>
                <w:szCs w:val="21"/>
              </w:rPr>
            </w:pPr>
          </w:p>
        </w:tc>
        <w:tc>
          <w:tcPr>
            <w:tcW w:w="1701" w:type="dxa"/>
            <w:noWrap w:val="0"/>
            <w:vAlign w:val="center"/>
          </w:tcPr>
          <w:p w14:paraId="32A8D8DA">
            <w:pPr>
              <w:rPr>
                <w:snapToGrid w:val="0"/>
                <w:color w:val="000000"/>
                <w:kern w:val="21"/>
                <w:szCs w:val="21"/>
              </w:rPr>
            </w:pPr>
          </w:p>
        </w:tc>
        <w:tc>
          <w:tcPr>
            <w:tcW w:w="1559" w:type="dxa"/>
            <w:noWrap w:val="0"/>
            <w:vAlign w:val="center"/>
          </w:tcPr>
          <w:p w14:paraId="7E5C4D6D">
            <w:pPr>
              <w:jc w:val="center"/>
              <w:rPr>
                <w:snapToGrid w:val="0"/>
                <w:color w:val="000000"/>
                <w:kern w:val="21"/>
                <w:szCs w:val="21"/>
              </w:rPr>
            </w:pPr>
          </w:p>
        </w:tc>
        <w:tc>
          <w:tcPr>
            <w:tcW w:w="1761" w:type="dxa"/>
            <w:noWrap w:val="0"/>
            <w:vAlign w:val="center"/>
          </w:tcPr>
          <w:p w14:paraId="24AAED78">
            <w:pPr>
              <w:jc w:val="center"/>
              <w:rPr>
                <w:snapToGrid w:val="0"/>
                <w:color w:val="000000"/>
                <w:kern w:val="21"/>
                <w:szCs w:val="21"/>
              </w:rPr>
            </w:pPr>
          </w:p>
        </w:tc>
        <w:tc>
          <w:tcPr>
            <w:tcW w:w="1959" w:type="dxa"/>
            <w:noWrap w:val="0"/>
            <w:vAlign w:val="center"/>
          </w:tcPr>
          <w:p w14:paraId="31349B38">
            <w:pPr>
              <w:jc w:val="center"/>
              <w:rPr>
                <w:snapToGrid w:val="0"/>
                <w:color w:val="000000"/>
                <w:kern w:val="21"/>
                <w:szCs w:val="21"/>
              </w:rPr>
            </w:pPr>
          </w:p>
        </w:tc>
        <w:tc>
          <w:tcPr>
            <w:tcW w:w="1202" w:type="dxa"/>
            <w:noWrap w:val="0"/>
            <w:vAlign w:val="center"/>
          </w:tcPr>
          <w:p w14:paraId="7C8B7792">
            <w:pPr>
              <w:jc w:val="center"/>
              <w:rPr>
                <w:snapToGrid w:val="0"/>
                <w:color w:val="000000"/>
                <w:kern w:val="21"/>
                <w:szCs w:val="21"/>
              </w:rPr>
            </w:pPr>
          </w:p>
        </w:tc>
      </w:tr>
      <w:tr w14:paraId="0F290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restart"/>
            <w:noWrap w:val="0"/>
            <w:vAlign w:val="center"/>
          </w:tcPr>
          <w:p w14:paraId="7718361C">
            <w:pPr>
              <w:jc w:val="center"/>
              <w:rPr>
                <w:snapToGrid w:val="0"/>
                <w:color w:val="000000"/>
                <w:kern w:val="21"/>
                <w:szCs w:val="21"/>
              </w:rPr>
            </w:pPr>
            <w:r>
              <w:rPr>
                <w:snapToGrid w:val="0"/>
                <w:color w:val="000000"/>
                <w:kern w:val="21"/>
                <w:szCs w:val="21"/>
              </w:rPr>
              <w:t>一般工业</w:t>
            </w:r>
          </w:p>
          <w:p w14:paraId="657CB790">
            <w:pPr>
              <w:jc w:val="center"/>
              <w:rPr>
                <w:snapToGrid w:val="0"/>
                <w:color w:val="000000"/>
                <w:kern w:val="21"/>
                <w:szCs w:val="21"/>
              </w:rPr>
            </w:pPr>
            <w:r>
              <w:rPr>
                <w:snapToGrid w:val="0"/>
                <w:color w:val="000000"/>
                <w:kern w:val="21"/>
                <w:szCs w:val="21"/>
              </w:rPr>
              <w:t>固体废物</w:t>
            </w:r>
          </w:p>
        </w:tc>
        <w:tc>
          <w:tcPr>
            <w:tcW w:w="1417" w:type="dxa"/>
            <w:noWrap w:val="0"/>
            <w:vAlign w:val="center"/>
          </w:tcPr>
          <w:p w14:paraId="686F880B">
            <w:pPr>
              <w:pStyle w:val="7"/>
              <w:spacing w:before="0" w:after="0" w:line="240" w:lineRule="auto"/>
              <w:ind w:right="0"/>
              <w:jc w:val="center"/>
              <w:rPr>
                <w:rFonts w:hint="eastAsia"/>
                <w:color w:val="000000"/>
                <w:kern w:val="21"/>
                <w:szCs w:val="21"/>
              </w:rPr>
            </w:pPr>
            <w:r>
              <w:rPr>
                <w:rFonts w:hint="eastAsia"/>
                <w:color w:val="000000"/>
                <w:sz w:val="21"/>
                <w:szCs w:val="21"/>
              </w:rPr>
              <w:t>鲜花残枝叶、破损次品</w:t>
            </w:r>
          </w:p>
        </w:tc>
        <w:tc>
          <w:tcPr>
            <w:tcW w:w="1701" w:type="dxa"/>
            <w:noWrap w:val="0"/>
            <w:vAlign w:val="center"/>
          </w:tcPr>
          <w:p w14:paraId="3EC48D43">
            <w:pPr>
              <w:pStyle w:val="7"/>
              <w:spacing w:before="0" w:after="0" w:line="240" w:lineRule="auto"/>
              <w:ind w:right="0"/>
              <w:jc w:val="center"/>
              <w:rPr>
                <w:color w:val="000000"/>
                <w:sz w:val="21"/>
                <w:szCs w:val="21"/>
              </w:rPr>
            </w:pPr>
          </w:p>
        </w:tc>
        <w:tc>
          <w:tcPr>
            <w:tcW w:w="1276" w:type="dxa"/>
            <w:noWrap w:val="0"/>
            <w:vAlign w:val="center"/>
          </w:tcPr>
          <w:p w14:paraId="36DD5E53">
            <w:pPr>
              <w:rPr>
                <w:snapToGrid w:val="0"/>
                <w:color w:val="000000"/>
                <w:kern w:val="21"/>
                <w:szCs w:val="21"/>
              </w:rPr>
            </w:pPr>
          </w:p>
        </w:tc>
        <w:tc>
          <w:tcPr>
            <w:tcW w:w="1701" w:type="dxa"/>
            <w:noWrap w:val="0"/>
            <w:vAlign w:val="center"/>
          </w:tcPr>
          <w:p w14:paraId="543A8694">
            <w:pPr>
              <w:rPr>
                <w:snapToGrid w:val="0"/>
                <w:color w:val="000000"/>
                <w:kern w:val="21"/>
                <w:szCs w:val="21"/>
              </w:rPr>
            </w:pPr>
          </w:p>
        </w:tc>
        <w:tc>
          <w:tcPr>
            <w:tcW w:w="1559" w:type="dxa"/>
            <w:noWrap w:val="0"/>
            <w:vAlign w:val="center"/>
          </w:tcPr>
          <w:p w14:paraId="4DFEED9C">
            <w:pPr>
              <w:pStyle w:val="7"/>
              <w:spacing w:before="0" w:after="0" w:line="240" w:lineRule="auto"/>
              <w:ind w:right="0"/>
              <w:jc w:val="center"/>
              <w:rPr>
                <w:color w:val="000000"/>
                <w:sz w:val="21"/>
                <w:szCs w:val="21"/>
              </w:rPr>
            </w:pPr>
            <w:r>
              <w:rPr>
                <w:rFonts w:hint="eastAsia"/>
                <w:color w:val="000000"/>
                <w:sz w:val="21"/>
                <w:szCs w:val="21"/>
              </w:rPr>
              <w:t>1</w:t>
            </w:r>
          </w:p>
        </w:tc>
        <w:tc>
          <w:tcPr>
            <w:tcW w:w="1761" w:type="dxa"/>
            <w:noWrap w:val="0"/>
            <w:vAlign w:val="center"/>
          </w:tcPr>
          <w:p w14:paraId="782EEB1E">
            <w:pPr>
              <w:jc w:val="center"/>
              <w:rPr>
                <w:snapToGrid w:val="0"/>
                <w:color w:val="000000"/>
                <w:kern w:val="21"/>
                <w:szCs w:val="21"/>
              </w:rPr>
            </w:pPr>
          </w:p>
        </w:tc>
        <w:tc>
          <w:tcPr>
            <w:tcW w:w="1959" w:type="dxa"/>
            <w:noWrap w:val="0"/>
            <w:vAlign w:val="center"/>
          </w:tcPr>
          <w:p w14:paraId="77458665">
            <w:pPr>
              <w:pStyle w:val="7"/>
              <w:spacing w:before="0" w:after="0" w:line="240" w:lineRule="auto"/>
              <w:ind w:right="0"/>
              <w:jc w:val="center"/>
              <w:rPr>
                <w:color w:val="000000"/>
                <w:sz w:val="21"/>
                <w:szCs w:val="21"/>
              </w:rPr>
            </w:pPr>
            <w:r>
              <w:rPr>
                <w:rFonts w:hint="eastAsia"/>
                <w:color w:val="000000"/>
                <w:sz w:val="21"/>
                <w:szCs w:val="21"/>
              </w:rPr>
              <w:t>1</w:t>
            </w:r>
          </w:p>
        </w:tc>
        <w:tc>
          <w:tcPr>
            <w:tcW w:w="1202" w:type="dxa"/>
            <w:noWrap w:val="0"/>
            <w:vAlign w:val="center"/>
          </w:tcPr>
          <w:p w14:paraId="074D19F3">
            <w:pPr>
              <w:jc w:val="center"/>
              <w:rPr>
                <w:snapToGrid w:val="0"/>
                <w:color w:val="000000"/>
                <w:kern w:val="21"/>
                <w:szCs w:val="21"/>
              </w:rPr>
            </w:pPr>
          </w:p>
        </w:tc>
      </w:tr>
      <w:tr w14:paraId="3C7D8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5A3D30C9">
            <w:pPr>
              <w:jc w:val="center"/>
              <w:rPr>
                <w:snapToGrid w:val="0"/>
                <w:color w:val="000000"/>
                <w:kern w:val="21"/>
                <w:szCs w:val="21"/>
              </w:rPr>
            </w:pPr>
          </w:p>
        </w:tc>
        <w:tc>
          <w:tcPr>
            <w:tcW w:w="1417" w:type="dxa"/>
            <w:noWrap w:val="0"/>
            <w:vAlign w:val="center"/>
          </w:tcPr>
          <w:p w14:paraId="430E4EC1">
            <w:pPr>
              <w:pStyle w:val="7"/>
              <w:spacing w:before="0" w:after="0" w:line="240" w:lineRule="auto"/>
              <w:ind w:right="0"/>
              <w:jc w:val="center"/>
              <w:rPr>
                <w:rFonts w:hint="eastAsia"/>
                <w:color w:val="000000"/>
                <w:sz w:val="21"/>
                <w:szCs w:val="21"/>
              </w:rPr>
            </w:pPr>
            <w:r>
              <w:rPr>
                <w:rFonts w:hint="eastAsia"/>
                <w:color w:val="000000"/>
                <w:sz w:val="21"/>
                <w:szCs w:val="21"/>
              </w:rPr>
              <w:t>色素废包装箱/瓶</w:t>
            </w:r>
          </w:p>
        </w:tc>
        <w:tc>
          <w:tcPr>
            <w:tcW w:w="1701" w:type="dxa"/>
            <w:noWrap w:val="0"/>
            <w:vAlign w:val="center"/>
          </w:tcPr>
          <w:p w14:paraId="3E38916E">
            <w:pPr>
              <w:pStyle w:val="7"/>
              <w:spacing w:before="0" w:after="0" w:line="240" w:lineRule="auto"/>
              <w:ind w:right="0"/>
              <w:jc w:val="center"/>
              <w:rPr>
                <w:rFonts w:hint="eastAsia"/>
                <w:color w:val="000000"/>
                <w:sz w:val="21"/>
                <w:szCs w:val="21"/>
              </w:rPr>
            </w:pPr>
          </w:p>
        </w:tc>
        <w:tc>
          <w:tcPr>
            <w:tcW w:w="1276" w:type="dxa"/>
            <w:noWrap w:val="0"/>
            <w:vAlign w:val="center"/>
          </w:tcPr>
          <w:p w14:paraId="52EB4607">
            <w:pPr>
              <w:rPr>
                <w:snapToGrid w:val="0"/>
                <w:color w:val="000000"/>
                <w:kern w:val="21"/>
                <w:szCs w:val="21"/>
              </w:rPr>
            </w:pPr>
          </w:p>
        </w:tc>
        <w:tc>
          <w:tcPr>
            <w:tcW w:w="1701" w:type="dxa"/>
            <w:noWrap w:val="0"/>
            <w:vAlign w:val="center"/>
          </w:tcPr>
          <w:p w14:paraId="2F73A6D5">
            <w:pPr>
              <w:rPr>
                <w:snapToGrid w:val="0"/>
                <w:color w:val="000000"/>
                <w:kern w:val="21"/>
                <w:szCs w:val="21"/>
              </w:rPr>
            </w:pPr>
          </w:p>
        </w:tc>
        <w:tc>
          <w:tcPr>
            <w:tcW w:w="1559" w:type="dxa"/>
            <w:noWrap w:val="0"/>
            <w:vAlign w:val="center"/>
          </w:tcPr>
          <w:p w14:paraId="67048E13">
            <w:pPr>
              <w:pStyle w:val="7"/>
              <w:spacing w:before="0" w:after="0" w:line="240" w:lineRule="auto"/>
              <w:ind w:right="0"/>
              <w:jc w:val="center"/>
              <w:rPr>
                <w:rFonts w:hint="eastAsia"/>
                <w:color w:val="000000"/>
                <w:sz w:val="21"/>
                <w:szCs w:val="21"/>
              </w:rPr>
            </w:pPr>
            <w:r>
              <w:rPr>
                <w:rFonts w:hint="eastAsia"/>
                <w:color w:val="000000"/>
                <w:sz w:val="21"/>
                <w:szCs w:val="21"/>
              </w:rPr>
              <w:t>0.024</w:t>
            </w:r>
          </w:p>
        </w:tc>
        <w:tc>
          <w:tcPr>
            <w:tcW w:w="1761" w:type="dxa"/>
            <w:noWrap w:val="0"/>
            <w:vAlign w:val="center"/>
          </w:tcPr>
          <w:p w14:paraId="6A35E4F7">
            <w:pPr>
              <w:jc w:val="center"/>
              <w:rPr>
                <w:snapToGrid w:val="0"/>
                <w:color w:val="000000"/>
                <w:kern w:val="21"/>
                <w:szCs w:val="21"/>
              </w:rPr>
            </w:pPr>
          </w:p>
        </w:tc>
        <w:tc>
          <w:tcPr>
            <w:tcW w:w="1959" w:type="dxa"/>
            <w:noWrap w:val="0"/>
            <w:vAlign w:val="center"/>
          </w:tcPr>
          <w:p w14:paraId="603EC333">
            <w:pPr>
              <w:pStyle w:val="7"/>
              <w:spacing w:before="0" w:after="0" w:line="240" w:lineRule="auto"/>
              <w:ind w:right="0"/>
              <w:jc w:val="center"/>
              <w:rPr>
                <w:rFonts w:hint="eastAsia"/>
                <w:color w:val="000000"/>
                <w:sz w:val="21"/>
                <w:szCs w:val="21"/>
              </w:rPr>
            </w:pPr>
            <w:r>
              <w:rPr>
                <w:rFonts w:hint="eastAsia"/>
                <w:color w:val="000000"/>
                <w:sz w:val="21"/>
                <w:szCs w:val="21"/>
              </w:rPr>
              <w:t>0.024</w:t>
            </w:r>
          </w:p>
        </w:tc>
        <w:tc>
          <w:tcPr>
            <w:tcW w:w="1202" w:type="dxa"/>
            <w:noWrap w:val="0"/>
            <w:vAlign w:val="center"/>
          </w:tcPr>
          <w:p w14:paraId="52B939E7">
            <w:pPr>
              <w:jc w:val="center"/>
              <w:rPr>
                <w:snapToGrid w:val="0"/>
                <w:color w:val="000000"/>
                <w:kern w:val="21"/>
                <w:szCs w:val="21"/>
              </w:rPr>
            </w:pPr>
          </w:p>
        </w:tc>
      </w:tr>
      <w:tr w14:paraId="2A52B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7A0E4BF9">
            <w:pPr>
              <w:jc w:val="center"/>
              <w:rPr>
                <w:snapToGrid w:val="0"/>
                <w:color w:val="000000"/>
                <w:kern w:val="21"/>
                <w:szCs w:val="21"/>
              </w:rPr>
            </w:pPr>
          </w:p>
        </w:tc>
        <w:tc>
          <w:tcPr>
            <w:tcW w:w="1417" w:type="dxa"/>
            <w:noWrap w:val="0"/>
            <w:vAlign w:val="center"/>
          </w:tcPr>
          <w:p w14:paraId="2E5EAD86">
            <w:pPr>
              <w:pStyle w:val="7"/>
              <w:spacing w:before="0" w:after="0" w:line="240" w:lineRule="auto"/>
              <w:ind w:right="0"/>
              <w:jc w:val="center"/>
              <w:rPr>
                <w:rFonts w:hint="eastAsia"/>
                <w:color w:val="000000"/>
                <w:sz w:val="21"/>
                <w:szCs w:val="21"/>
              </w:rPr>
            </w:pPr>
            <w:r>
              <w:rPr>
                <w:rFonts w:hint="eastAsia"/>
                <w:color w:val="000000"/>
                <w:sz w:val="21"/>
                <w:szCs w:val="21"/>
              </w:rPr>
              <w:t>废甘油桶</w:t>
            </w:r>
          </w:p>
        </w:tc>
        <w:tc>
          <w:tcPr>
            <w:tcW w:w="1701" w:type="dxa"/>
            <w:noWrap w:val="0"/>
            <w:vAlign w:val="center"/>
          </w:tcPr>
          <w:p w14:paraId="6B157C85">
            <w:pPr>
              <w:pStyle w:val="7"/>
              <w:spacing w:before="0" w:after="0" w:line="240" w:lineRule="auto"/>
              <w:ind w:right="0"/>
              <w:jc w:val="center"/>
              <w:rPr>
                <w:color w:val="000000"/>
                <w:sz w:val="21"/>
                <w:szCs w:val="21"/>
              </w:rPr>
            </w:pPr>
          </w:p>
        </w:tc>
        <w:tc>
          <w:tcPr>
            <w:tcW w:w="1276" w:type="dxa"/>
            <w:noWrap w:val="0"/>
            <w:vAlign w:val="center"/>
          </w:tcPr>
          <w:p w14:paraId="572130DC">
            <w:pPr>
              <w:rPr>
                <w:snapToGrid w:val="0"/>
                <w:color w:val="000000"/>
                <w:kern w:val="21"/>
                <w:szCs w:val="21"/>
              </w:rPr>
            </w:pPr>
          </w:p>
        </w:tc>
        <w:tc>
          <w:tcPr>
            <w:tcW w:w="1701" w:type="dxa"/>
            <w:noWrap w:val="0"/>
            <w:vAlign w:val="center"/>
          </w:tcPr>
          <w:p w14:paraId="61D8CFCC">
            <w:pPr>
              <w:rPr>
                <w:snapToGrid w:val="0"/>
                <w:color w:val="000000"/>
                <w:kern w:val="21"/>
                <w:szCs w:val="21"/>
              </w:rPr>
            </w:pPr>
          </w:p>
        </w:tc>
        <w:tc>
          <w:tcPr>
            <w:tcW w:w="1559" w:type="dxa"/>
            <w:noWrap w:val="0"/>
            <w:vAlign w:val="center"/>
          </w:tcPr>
          <w:p w14:paraId="4BB428DD">
            <w:pPr>
              <w:pStyle w:val="7"/>
              <w:spacing w:before="0" w:after="0" w:line="240" w:lineRule="auto"/>
              <w:ind w:right="0"/>
              <w:jc w:val="center"/>
              <w:rPr>
                <w:color w:val="000000"/>
                <w:sz w:val="21"/>
                <w:szCs w:val="21"/>
              </w:rPr>
            </w:pPr>
            <w:r>
              <w:rPr>
                <w:rFonts w:hint="eastAsia"/>
                <w:color w:val="000000"/>
                <w:sz w:val="21"/>
                <w:szCs w:val="21"/>
              </w:rPr>
              <w:t>0.024</w:t>
            </w:r>
          </w:p>
        </w:tc>
        <w:tc>
          <w:tcPr>
            <w:tcW w:w="1761" w:type="dxa"/>
            <w:noWrap w:val="0"/>
            <w:vAlign w:val="center"/>
          </w:tcPr>
          <w:p w14:paraId="1FD65BDD">
            <w:pPr>
              <w:jc w:val="center"/>
              <w:rPr>
                <w:snapToGrid w:val="0"/>
                <w:color w:val="000000"/>
                <w:kern w:val="21"/>
                <w:szCs w:val="21"/>
              </w:rPr>
            </w:pPr>
          </w:p>
        </w:tc>
        <w:tc>
          <w:tcPr>
            <w:tcW w:w="1959" w:type="dxa"/>
            <w:noWrap w:val="0"/>
            <w:vAlign w:val="center"/>
          </w:tcPr>
          <w:p w14:paraId="1C4CC2C0">
            <w:pPr>
              <w:pStyle w:val="7"/>
              <w:spacing w:before="0" w:after="0" w:line="240" w:lineRule="auto"/>
              <w:ind w:right="0"/>
              <w:jc w:val="center"/>
              <w:rPr>
                <w:color w:val="000000"/>
                <w:sz w:val="21"/>
                <w:szCs w:val="21"/>
              </w:rPr>
            </w:pPr>
            <w:r>
              <w:rPr>
                <w:rFonts w:hint="eastAsia"/>
                <w:color w:val="000000"/>
                <w:sz w:val="21"/>
                <w:szCs w:val="21"/>
              </w:rPr>
              <w:t>0.024</w:t>
            </w:r>
          </w:p>
        </w:tc>
        <w:tc>
          <w:tcPr>
            <w:tcW w:w="1202" w:type="dxa"/>
            <w:noWrap w:val="0"/>
            <w:vAlign w:val="center"/>
          </w:tcPr>
          <w:p w14:paraId="562BF951">
            <w:pPr>
              <w:jc w:val="center"/>
              <w:rPr>
                <w:snapToGrid w:val="0"/>
                <w:color w:val="000000"/>
                <w:kern w:val="21"/>
                <w:szCs w:val="21"/>
              </w:rPr>
            </w:pPr>
          </w:p>
        </w:tc>
      </w:tr>
      <w:tr w14:paraId="5F75A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restart"/>
            <w:noWrap w:val="0"/>
            <w:vAlign w:val="center"/>
          </w:tcPr>
          <w:p w14:paraId="4F941D8E">
            <w:pPr>
              <w:jc w:val="center"/>
              <w:rPr>
                <w:snapToGrid w:val="0"/>
                <w:color w:val="000000"/>
                <w:kern w:val="21"/>
                <w:szCs w:val="21"/>
              </w:rPr>
            </w:pPr>
            <w:r>
              <w:rPr>
                <w:snapToGrid w:val="0"/>
                <w:color w:val="000000"/>
                <w:kern w:val="21"/>
                <w:szCs w:val="21"/>
              </w:rPr>
              <w:t>危险废物</w:t>
            </w:r>
          </w:p>
        </w:tc>
        <w:tc>
          <w:tcPr>
            <w:tcW w:w="1417" w:type="dxa"/>
            <w:noWrap w:val="0"/>
            <w:vAlign w:val="center"/>
          </w:tcPr>
          <w:p w14:paraId="14C7B334">
            <w:pPr>
              <w:jc w:val="center"/>
              <w:rPr>
                <w:snapToGrid w:val="0"/>
                <w:color w:val="000000"/>
                <w:kern w:val="21"/>
                <w:szCs w:val="21"/>
              </w:rPr>
            </w:pPr>
            <w:r>
              <w:rPr>
                <w:color w:val="000000"/>
                <w:szCs w:val="21"/>
              </w:rPr>
              <w:t>废机油</w:t>
            </w:r>
          </w:p>
        </w:tc>
        <w:tc>
          <w:tcPr>
            <w:tcW w:w="1701" w:type="dxa"/>
            <w:noWrap w:val="0"/>
            <w:vAlign w:val="center"/>
          </w:tcPr>
          <w:p w14:paraId="554947AD">
            <w:pPr>
              <w:jc w:val="center"/>
              <w:rPr>
                <w:snapToGrid w:val="0"/>
                <w:color w:val="000000"/>
                <w:kern w:val="21"/>
                <w:szCs w:val="21"/>
              </w:rPr>
            </w:pPr>
          </w:p>
        </w:tc>
        <w:tc>
          <w:tcPr>
            <w:tcW w:w="1276" w:type="dxa"/>
            <w:noWrap w:val="0"/>
            <w:vAlign w:val="center"/>
          </w:tcPr>
          <w:p w14:paraId="73EACC59">
            <w:pPr>
              <w:rPr>
                <w:snapToGrid w:val="0"/>
                <w:color w:val="000000"/>
                <w:kern w:val="21"/>
                <w:szCs w:val="21"/>
              </w:rPr>
            </w:pPr>
          </w:p>
        </w:tc>
        <w:tc>
          <w:tcPr>
            <w:tcW w:w="1701" w:type="dxa"/>
            <w:noWrap w:val="0"/>
            <w:vAlign w:val="center"/>
          </w:tcPr>
          <w:p w14:paraId="02D9C2BF">
            <w:pPr>
              <w:rPr>
                <w:snapToGrid w:val="0"/>
                <w:color w:val="000000"/>
                <w:kern w:val="21"/>
                <w:szCs w:val="21"/>
              </w:rPr>
            </w:pPr>
          </w:p>
        </w:tc>
        <w:tc>
          <w:tcPr>
            <w:tcW w:w="1559" w:type="dxa"/>
            <w:noWrap w:val="0"/>
            <w:vAlign w:val="center"/>
          </w:tcPr>
          <w:p w14:paraId="37A8EDBA">
            <w:pPr>
              <w:jc w:val="center"/>
              <w:rPr>
                <w:snapToGrid w:val="0"/>
                <w:color w:val="000000"/>
                <w:kern w:val="21"/>
                <w:szCs w:val="21"/>
              </w:rPr>
            </w:pPr>
            <w:r>
              <w:rPr>
                <w:snapToGrid w:val="0"/>
                <w:color w:val="000000"/>
                <w:kern w:val="21"/>
                <w:szCs w:val="21"/>
              </w:rPr>
              <w:t>0.</w:t>
            </w:r>
            <w:r>
              <w:rPr>
                <w:rFonts w:hint="eastAsia"/>
                <w:snapToGrid w:val="0"/>
                <w:color w:val="000000"/>
                <w:kern w:val="21"/>
                <w:szCs w:val="21"/>
              </w:rPr>
              <w:t>01</w:t>
            </w:r>
            <w:r>
              <w:rPr>
                <w:snapToGrid w:val="0"/>
                <w:color w:val="000000"/>
                <w:kern w:val="21"/>
                <w:szCs w:val="21"/>
              </w:rPr>
              <w:t>t/a</w:t>
            </w:r>
          </w:p>
        </w:tc>
        <w:tc>
          <w:tcPr>
            <w:tcW w:w="1761" w:type="dxa"/>
            <w:noWrap w:val="0"/>
            <w:vAlign w:val="center"/>
          </w:tcPr>
          <w:p w14:paraId="7BE846C1">
            <w:pPr>
              <w:jc w:val="center"/>
              <w:rPr>
                <w:snapToGrid w:val="0"/>
                <w:color w:val="000000"/>
                <w:kern w:val="21"/>
                <w:szCs w:val="21"/>
              </w:rPr>
            </w:pPr>
          </w:p>
        </w:tc>
        <w:tc>
          <w:tcPr>
            <w:tcW w:w="1959" w:type="dxa"/>
            <w:noWrap w:val="0"/>
            <w:vAlign w:val="center"/>
          </w:tcPr>
          <w:p w14:paraId="4CCBC4A9">
            <w:pPr>
              <w:jc w:val="center"/>
              <w:rPr>
                <w:snapToGrid w:val="0"/>
                <w:color w:val="000000"/>
                <w:kern w:val="21"/>
                <w:szCs w:val="21"/>
              </w:rPr>
            </w:pPr>
            <w:r>
              <w:rPr>
                <w:rFonts w:hint="eastAsia"/>
                <w:snapToGrid w:val="0"/>
                <w:color w:val="000000"/>
                <w:kern w:val="21"/>
                <w:szCs w:val="21"/>
              </w:rPr>
              <w:t>0.0</w:t>
            </w:r>
            <w:r>
              <w:rPr>
                <w:snapToGrid w:val="0"/>
                <w:color w:val="000000"/>
                <w:kern w:val="21"/>
                <w:szCs w:val="21"/>
              </w:rPr>
              <w:t>1t/a</w:t>
            </w:r>
          </w:p>
        </w:tc>
        <w:tc>
          <w:tcPr>
            <w:tcW w:w="1202" w:type="dxa"/>
            <w:noWrap w:val="0"/>
            <w:vAlign w:val="center"/>
          </w:tcPr>
          <w:p w14:paraId="65669743">
            <w:pPr>
              <w:jc w:val="center"/>
              <w:rPr>
                <w:snapToGrid w:val="0"/>
                <w:color w:val="000000"/>
                <w:kern w:val="21"/>
                <w:szCs w:val="21"/>
              </w:rPr>
            </w:pPr>
          </w:p>
        </w:tc>
      </w:tr>
      <w:tr w14:paraId="56162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4A4AEA23">
            <w:pPr>
              <w:jc w:val="center"/>
              <w:rPr>
                <w:snapToGrid w:val="0"/>
                <w:color w:val="000000"/>
                <w:kern w:val="21"/>
                <w:szCs w:val="21"/>
              </w:rPr>
            </w:pPr>
          </w:p>
        </w:tc>
        <w:tc>
          <w:tcPr>
            <w:tcW w:w="1417" w:type="dxa"/>
            <w:noWrap w:val="0"/>
            <w:vAlign w:val="center"/>
          </w:tcPr>
          <w:p w14:paraId="4F9DCDFC">
            <w:pPr>
              <w:jc w:val="center"/>
              <w:rPr>
                <w:rFonts w:hint="eastAsia"/>
                <w:snapToGrid w:val="0"/>
                <w:color w:val="000000"/>
                <w:kern w:val="21"/>
                <w:szCs w:val="21"/>
              </w:rPr>
            </w:pPr>
            <w:r>
              <w:rPr>
                <w:rFonts w:hint="eastAsia"/>
                <w:snapToGrid w:val="0"/>
                <w:color w:val="000000"/>
                <w:kern w:val="21"/>
                <w:szCs w:val="21"/>
              </w:rPr>
              <w:t>废活性炭</w:t>
            </w:r>
          </w:p>
        </w:tc>
        <w:tc>
          <w:tcPr>
            <w:tcW w:w="1701" w:type="dxa"/>
            <w:noWrap w:val="0"/>
            <w:vAlign w:val="center"/>
          </w:tcPr>
          <w:p w14:paraId="13A6CCE5">
            <w:pPr>
              <w:jc w:val="center"/>
              <w:rPr>
                <w:rFonts w:hint="eastAsia"/>
                <w:snapToGrid w:val="0"/>
                <w:color w:val="000000"/>
                <w:kern w:val="21"/>
                <w:szCs w:val="21"/>
              </w:rPr>
            </w:pPr>
          </w:p>
        </w:tc>
        <w:tc>
          <w:tcPr>
            <w:tcW w:w="1276" w:type="dxa"/>
            <w:noWrap w:val="0"/>
            <w:vAlign w:val="center"/>
          </w:tcPr>
          <w:p w14:paraId="65BF6388">
            <w:pPr>
              <w:rPr>
                <w:snapToGrid w:val="0"/>
                <w:color w:val="000000"/>
                <w:kern w:val="21"/>
                <w:szCs w:val="21"/>
              </w:rPr>
            </w:pPr>
          </w:p>
        </w:tc>
        <w:tc>
          <w:tcPr>
            <w:tcW w:w="1701" w:type="dxa"/>
            <w:noWrap w:val="0"/>
            <w:vAlign w:val="center"/>
          </w:tcPr>
          <w:p w14:paraId="7CCD6E3D">
            <w:pPr>
              <w:rPr>
                <w:snapToGrid w:val="0"/>
                <w:color w:val="000000"/>
                <w:kern w:val="21"/>
                <w:szCs w:val="21"/>
              </w:rPr>
            </w:pPr>
          </w:p>
        </w:tc>
        <w:tc>
          <w:tcPr>
            <w:tcW w:w="1559" w:type="dxa"/>
            <w:noWrap w:val="0"/>
            <w:vAlign w:val="center"/>
          </w:tcPr>
          <w:p w14:paraId="2ED79F2E">
            <w:pPr>
              <w:jc w:val="center"/>
              <w:rPr>
                <w:snapToGrid w:val="0"/>
                <w:color w:val="000000"/>
                <w:kern w:val="21"/>
                <w:szCs w:val="21"/>
              </w:rPr>
            </w:pPr>
            <w:r>
              <w:rPr>
                <w:snapToGrid w:val="0"/>
                <w:color w:val="000000"/>
                <w:kern w:val="21"/>
                <w:szCs w:val="21"/>
              </w:rPr>
              <w:t>2.33t/a</w:t>
            </w:r>
          </w:p>
        </w:tc>
        <w:tc>
          <w:tcPr>
            <w:tcW w:w="1761" w:type="dxa"/>
            <w:noWrap w:val="0"/>
            <w:vAlign w:val="center"/>
          </w:tcPr>
          <w:p w14:paraId="26AEC621">
            <w:pPr>
              <w:jc w:val="center"/>
              <w:rPr>
                <w:snapToGrid w:val="0"/>
                <w:color w:val="000000"/>
                <w:kern w:val="21"/>
                <w:szCs w:val="21"/>
              </w:rPr>
            </w:pPr>
          </w:p>
        </w:tc>
        <w:tc>
          <w:tcPr>
            <w:tcW w:w="1959" w:type="dxa"/>
            <w:noWrap w:val="0"/>
            <w:vAlign w:val="center"/>
          </w:tcPr>
          <w:p w14:paraId="1D29C8F8">
            <w:pPr>
              <w:jc w:val="center"/>
              <w:rPr>
                <w:snapToGrid w:val="0"/>
                <w:color w:val="000000"/>
                <w:kern w:val="21"/>
                <w:szCs w:val="21"/>
              </w:rPr>
            </w:pPr>
            <w:r>
              <w:rPr>
                <w:snapToGrid w:val="0"/>
                <w:color w:val="000000"/>
                <w:kern w:val="21"/>
                <w:szCs w:val="21"/>
              </w:rPr>
              <w:t>2.33t/a</w:t>
            </w:r>
          </w:p>
        </w:tc>
        <w:tc>
          <w:tcPr>
            <w:tcW w:w="1202" w:type="dxa"/>
            <w:noWrap w:val="0"/>
            <w:vAlign w:val="center"/>
          </w:tcPr>
          <w:p w14:paraId="64484A7E">
            <w:pPr>
              <w:jc w:val="center"/>
              <w:rPr>
                <w:snapToGrid w:val="0"/>
                <w:color w:val="000000"/>
                <w:kern w:val="21"/>
                <w:szCs w:val="21"/>
              </w:rPr>
            </w:pPr>
          </w:p>
        </w:tc>
      </w:tr>
      <w:tr w14:paraId="66105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88" w:type="dxa"/>
            <w:vMerge w:val="continue"/>
            <w:noWrap w:val="0"/>
            <w:vAlign w:val="center"/>
          </w:tcPr>
          <w:p w14:paraId="3767DCE5">
            <w:pPr>
              <w:jc w:val="center"/>
              <w:rPr>
                <w:snapToGrid w:val="0"/>
                <w:color w:val="000000"/>
                <w:kern w:val="21"/>
                <w:szCs w:val="21"/>
              </w:rPr>
            </w:pPr>
          </w:p>
        </w:tc>
        <w:tc>
          <w:tcPr>
            <w:tcW w:w="1417" w:type="dxa"/>
            <w:noWrap w:val="0"/>
            <w:vAlign w:val="center"/>
          </w:tcPr>
          <w:p w14:paraId="4E799FCD">
            <w:pPr>
              <w:jc w:val="center"/>
              <w:rPr>
                <w:color w:val="000000"/>
                <w:szCs w:val="21"/>
              </w:rPr>
            </w:pPr>
            <w:r>
              <w:rPr>
                <w:color w:val="000000"/>
                <w:szCs w:val="21"/>
              </w:rPr>
              <w:t>废桶</w:t>
            </w:r>
          </w:p>
        </w:tc>
        <w:tc>
          <w:tcPr>
            <w:tcW w:w="1701" w:type="dxa"/>
            <w:noWrap w:val="0"/>
            <w:vAlign w:val="center"/>
          </w:tcPr>
          <w:p w14:paraId="186CD06E">
            <w:pPr>
              <w:jc w:val="center"/>
              <w:rPr>
                <w:snapToGrid w:val="0"/>
                <w:color w:val="000000"/>
                <w:kern w:val="21"/>
                <w:szCs w:val="21"/>
              </w:rPr>
            </w:pPr>
          </w:p>
        </w:tc>
        <w:tc>
          <w:tcPr>
            <w:tcW w:w="1276" w:type="dxa"/>
            <w:noWrap w:val="0"/>
            <w:vAlign w:val="center"/>
          </w:tcPr>
          <w:p w14:paraId="0B90520E">
            <w:pPr>
              <w:rPr>
                <w:snapToGrid w:val="0"/>
                <w:color w:val="000000"/>
                <w:kern w:val="21"/>
                <w:szCs w:val="21"/>
              </w:rPr>
            </w:pPr>
          </w:p>
        </w:tc>
        <w:tc>
          <w:tcPr>
            <w:tcW w:w="1701" w:type="dxa"/>
            <w:noWrap w:val="0"/>
            <w:vAlign w:val="center"/>
          </w:tcPr>
          <w:p w14:paraId="38B1A1B1">
            <w:pPr>
              <w:rPr>
                <w:snapToGrid w:val="0"/>
                <w:color w:val="000000"/>
                <w:kern w:val="21"/>
                <w:szCs w:val="21"/>
              </w:rPr>
            </w:pPr>
          </w:p>
        </w:tc>
        <w:tc>
          <w:tcPr>
            <w:tcW w:w="1559" w:type="dxa"/>
            <w:noWrap w:val="0"/>
            <w:vAlign w:val="center"/>
          </w:tcPr>
          <w:p w14:paraId="2B712772">
            <w:pPr>
              <w:jc w:val="center"/>
              <w:rPr>
                <w:snapToGrid w:val="0"/>
                <w:color w:val="000000"/>
                <w:kern w:val="21"/>
                <w:szCs w:val="21"/>
              </w:rPr>
            </w:pPr>
            <w:r>
              <w:rPr>
                <w:rFonts w:hint="eastAsia"/>
                <w:snapToGrid w:val="0"/>
                <w:color w:val="000000"/>
                <w:kern w:val="21"/>
                <w:szCs w:val="21"/>
              </w:rPr>
              <w:t>0.1</w:t>
            </w:r>
            <w:r>
              <w:rPr>
                <w:snapToGrid w:val="0"/>
                <w:color w:val="000000"/>
                <w:kern w:val="21"/>
                <w:szCs w:val="21"/>
              </w:rPr>
              <w:t>1t/a</w:t>
            </w:r>
          </w:p>
        </w:tc>
        <w:tc>
          <w:tcPr>
            <w:tcW w:w="1761" w:type="dxa"/>
            <w:noWrap w:val="0"/>
            <w:vAlign w:val="center"/>
          </w:tcPr>
          <w:p w14:paraId="064F4155">
            <w:pPr>
              <w:jc w:val="center"/>
              <w:rPr>
                <w:snapToGrid w:val="0"/>
                <w:color w:val="000000"/>
                <w:kern w:val="21"/>
                <w:szCs w:val="21"/>
              </w:rPr>
            </w:pPr>
          </w:p>
        </w:tc>
        <w:tc>
          <w:tcPr>
            <w:tcW w:w="1959" w:type="dxa"/>
            <w:noWrap w:val="0"/>
            <w:vAlign w:val="center"/>
          </w:tcPr>
          <w:p w14:paraId="729EF986">
            <w:pPr>
              <w:jc w:val="center"/>
              <w:rPr>
                <w:rFonts w:hint="eastAsia"/>
                <w:snapToGrid w:val="0"/>
                <w:color w:val="000000"/>
                <w:kern w:val="21"/>
                <w:szCs w:val="21"/>
              </w:rPr>
            </w:pPr>
            <w:r>
              <w:rPr>
                <w:rFonts w:hint="eastAsia"/>
                <w:snapToGrid w:val="0"/>
                <w:color w:val="000000"/>
                <w:kern w:val="21"/>
                <w:szCs w:val="21"/>
              </w:rPr>
              <w:t>0.1</w:t>
            </w:r>
            <w:r>
              <w:rPr>
                <w:snapToGrid w:val="0"/>
                <w:color w:val="000000"/>
                <w:kern w:val="21"/>
                <w:szCs w:val="21"/>
              </w:rPr>
              <w:t>1t/a</w:t>
            </w:r>
          </w:p>
        </w:tc>
        <w:tc>
          <w:tcPr>
            <w:tcW w:w="1202" w:type="dxa"/>
            <w:noWrap w:val="0"/>
            <w:vAlign w:val="center"/>
          </w:tcPr>
          <w:p w14:paraId="578C3715">
            <w:pPr>
              <w:jc w:val="center"/>
              <w:rPr>
                <w:snapToGrid w:val="0"/>
                <w:color w:val="000000"/>
                <w:kern w:val="21"/>
                <w:szCs w:val="21"/>
              </w:rPr>
            </w:pPr>
          </w:p>
        </w:tc>
      </w:tr>
    </w:tbl>
    <w:p w14:paraId="16EE23E0">
      <w:pPr>
        <w:pStyle w:val="37"/>
        <w:spacing w:before="249" w:beforeLines="80" w:after="31"/>
        <w:ind w:firstLine="422"/>
        <w:jc w:val="left"/>
        <w:rPr>
          <w:rFonts w:hAnsi="宋体" w:cs="宋体"/>
          <w:snapToGrid w:val="0"/>
          <w:color w:val="000000"/>
          <w:kern w:val="21"/>
          <w:szCs w:val="21"/>
        </w:rPr>
      </w:pPr>
      <w:bookmarkStart w:id="26" w:name="_Toc17402"/>
      <w:bookmarkStart w:id="27" w:name="_Toc10025"/>
      <w:bookmarkStart w:id="28" w:name="_Toc18581"/>
      <w:bookmarkStart w:id="29" w:name="_Toc12428"/>
      <w:bookmarkStart w:id="30" w:name="_Toc11804"/>
      <w:bookmarkStart w:id="31" w:name="_Toc16032"/>
      <w:r>
        <w:rPr>
          <w:rFonts w:hint="eastAsia" w:hAnsi="宋体" w:cs="宋体"/>
          <w:snapToGrid w:val="0"/>
          <w:color w:val="000000"/>
          <w:kern w:val="21"/>
          <w:szCs w:val="21"/>
        </w:rPr>
        <w:t>注：</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6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⑥</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1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①</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3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③</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4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④</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5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⑤</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7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⑦</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6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⑥</w:t>
      </w:r>
      <w:r>
        <w:rPr>
          <w:rFonts w:hint="eastAsia" w:hAnsi="宋体" w:cs="宋体"/>
          <w:snapToGrid w:val="0"/>
          <w:color w:val="000000"/>
          <w:kern w:val="21"/>
          <w:szCs w:val="21"/>
        </w:rPr>
        <w:fldChar w:fldCharType="end"/>
      </w:r>
      <w:r>
        <w:rPr>
          <w:rFonts w:hint="eastAsia" w:hAnsi="宋体" w:cs="宋体"/>
          <w:snapToGrid w:val="0"/>
          <w:color w:val="000000"/>
          <w:kern w:val="21"/>
          <w:szCs w:val="21"/>
        </w:rPr>
        <w:t>-</w:t>
      </w:r>
      <w:r>
        <w:rPr>
          <w:rFonts w:hint="eastAsia" w:hAnsi="宋体" w:cs="宋体"/>
          <w:snapToGrid w:val="0"/>
          <w:color w:val="000000"/>
          <w:kern w:val="21"/>
          <w:szCs w:val="21"/>
        </w:rPr>
        <w:fldChar w:fldCharType="begin"/>
      </w:r>
      <w:r>
        <w:rPr>
          <w:rFonts w:hint="eastAsia" w:hAnsi="宋体" w:cs="宋体"/>
          <w:snapToGrid w:val="0"/>
          <w:color w:val="000000"/>
          <w:kern w:val="21"/>
          <w:szCs w:val="21"/>
        </w:rPr>
        <w:instrText xml:space="preserve"> = 1 \* GB3 \* MERGEFORMAT </w:instrText>
      </w:r>
      <w:r>
        <w:rPr>
          <w:rFonts w:hint="eastAsia" w:hAnsi="宋体" w:cs="宋体"/>
          <w:snapToGrid w:val="0"/>
          <w:color w:val="000000"/>
          <w:kern w:val="21"/>
          <w:szCs w:val="21"/>
        </w:rPr>
        <w:fldChar w:fldCharType="separate"/>
      </w:r>
      <w:r>
        <w:rPr>
          <w:rFonts w:hint="eastAsia" w:hAnsi="宋体" w:cs="宋体"/>
          <w:color w:val="000000"/>
          <w:kern w:val="21"/>
          <w:szCs w:val="21"/>
        </w:rPr>
        <w:t>①</w:t>
      </w:r>
      <w:r>
        <w:rPr>
          <w:rFonts w:hint="eastAsia" w:hAnsi="宋体" w:cs="宋体"/>
          <w:snapToGrid w:val="0"/>
          <w:color w:val="000000"/>
          <w:kern w:val="21"/>
          <w:szCs w:val="21"/>
        </w:rPr>
        <w:fldChar w:fldCharType="end"/>
      </w:r>
      <w:bookmarkEnd w:id="26"/>
      <w:bookmarkEnd w:id="27"/>
      <w:bookmarkEnd w:id="28"/>
      <w:bookmarkEnd w:id="29"/>
      <w:bookmarkEnd w:id="30"/>
      <w:bookmarkEnd w:id="31"/>
    </w:p>
    <w:p w14:paraId="4ACC87E9">
      <w:pPr>
        <w:rPr>
          <w:rFonts w:ascii="宋体" w:hAnsi="宋体" w:cs="宋体"/>
          <w:snapToGrid w:val="0"/>
          <w:color w:val="000000"/>
          <w:kern w:val="21"/>
          <w:szCs w:val="21"/>
        </w:rPr>
      </w:pPr>
      <w:r>
        <w:rPr>
          <w:rFonts w:hint="eastAsia" w:ascii="宋体" w:hAnsi="宋体" w:cs="宋体"/>
          <w:color w:val="000000"/>
          <w:szCs w:val="21"/>
        </w:rPr>
        <w:t>（注：填写建设项目污染物排放量汇总表，其中现有工程污染物排放情况根据排污许可证执行报告填写，无排污许可证执行报告或执行报告中无相关内容的，通过监测数据核算现有工程污染物排放情况。）</w:t>
      </w:r>
    </w:p>
    <w:bookmarkEnd w:id="25"/>
    <w:p w14:paraId="6D153B0C">
      <w:pPr>
        <w:pStyle w:val="4"/>
        <w:ind w:firstLine="420"/>
        <w:rPr>
          <w:color w:val="00000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E1D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2A94B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II</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q++v80BAACoAwAADgAAAAAAAAABACAAAAAeAQAAZHJzL2Uy&#10;b0RvYy54bWxQSwUGAAAAAAYABgBZAQAAXQUAAAAA&#10;">
              <v:fill on="f" focussize="0,0"/>
              <v:stroke on="f"/>
              <v:imagedata o:title=""/>
              <o:lock v:ext="edit" aspectratio="f"/>
              <v:textbox inset="0mm,0mm,0mm,0mm" style="mso-fit-shape-to-text:t;">
                <w:txbxContent>
                  <w:p w14:paraId="752A94B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II</w:t>
                    </w:r>
                    <w:r>
                      <w:rPr>
                        <w:rFonts w:hint="eastAsia"/>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F53A">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99E4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51</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g8LiM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y&#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DwuIyQEAAJoDAAAOAAAAAAAAAAEAIAAAAB4BAABkcnMvZTJvRG9j&#10;LnhtbFBLBQYAAAAABgAGAFkBAABZBQAAAAA=&#10;">
              <v:fill on="f" focussize="0,0"/>
              <v:stroke on="f"/>
              <v:imagedata o:title=""/>
              <o:lock v:ext="edit" aspectratio="f"/>
              <v:textbox inset="0mm,0mm,0mm,0mm" style="mso-fit-shape-to-text:t;">
                <w:txbxContent>
                  <w:p w14:paraId="14299E4A">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51</w:t>
                    </w:r>
                    <w:r>
                      <w:rPr>
                        <w:rFonts w:hint="eastAsia"/>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mFiN2ExOTNkODYyMjg4Y2ExZmUzOTk4NGRiYzgifQ=="/>
  </w:docVars>
  <w:rsids>
    <w:rsidRoot w:val="00133E17"/>
    <w:rsid w:val="0001032E"/>
    <w:rsid w:val="00063829"/>
    <w:rsid w:val="00133E17"/>
    <w:rsid w:val="0015212C"/>
    <w:rsid w:val="001A62F5"/>
    <w:rsid w:val="001F1935"/>
    <w:rsid w:val="0022233B"/>
    <w:rsid w:val="00232796"/>
    <w:rsid w:val="00243E89"/>
    <w:rsid w:val="00245CFB"/>
    <w:rsid w:val="002630B8"/>
    <w:rsid w:val="002708B9"/>
    <w:rsid w:val="0028174E"/>
    <w:rsid w:val="00283A90"/>
    <w:rsid w:val="002F277F"/>
    <w:rsid w:val="0031695E"/>
    <w:rsid w:val="00364B45"/>
    <w:rsid w:val="00381848"/>
    <w:rsid w:val="003822A3"/>
    <w:rsid w:val="00382DEE"/>
    <w:rsid w:val="003A23FE"/>
    <w:rsid w:val="003C7281"/>
    <w:rsid w:val="004542C1"/>
    <w:rsid w:val="00492722"/>
    <w:rsid w:val="00493823"/>
    <w:rsid w:val="005541C3"/>
    <w:rsid w:val="00655068"/>
    <w:rsid w:val="00665BAD"/>
    <w:rsid w:val="00674D97"/>
    <w:rsid w:val="006B20D2"/>
    <w:rsid w:val="006B2F2B"/>
    <w:rsid w:val="006D4358"/>
    <w:rsid w:val="006D48C8"/>
    <w:rsid w:val="006F2B5F"/>
    <w:rsid w:val="007400DA"/>
    <w:rsid w:val="00774594"/>
    <w:rsid w:val="00777790"/>
    <w:rsid w:val="0079626A"/>
    <w:rsid w:val="007A5242"/>
    <w:rsid w:val="007F7DA2"/>
    <w:rsid w:val="00800BD2"/>
    <w:rsid w:val="00822C1A"/>
    <w:rsid w:val="00847DE1"/>
    <w:rsid w:val="00897F87"/>
    <w:rsid w:val="008B73DB"/>
    <w:rsid w:val="008D0449"/>
    <w:rsid w:val="009200E8"/>
    <w:rsid w:val="009474A1"/>
    <w:rsid w:val="00994D31"/>
    <w:rsid w:val="009A3CE9"/>
    <w:rsid w:val="009B161C"/>
    <w:rsid w:val="009B66D1"/>
    <w:rsid w:val="009C20AD"/>
    <w:rsid w:val="009C7C1E"/>
    <w:rsid w:val="00A04AF4"/>
    <w:rsid w:val="00A77B3D"/>
    <w:rsid w:val="00A950F2"/>
    <w:rsid w:val="00AD51CC"/>
    <w:rsid w:val="00AE4F5F"/>
    <w:rsid w:val="00B134A4"/>
    <w:rsid w:val="00BB7526"/>
    <w:rsid w:val="00C21B1A"/>
    <w:rsid w:val="00C40C2A"/>
    <w:rsid w:val="00C7046D"/>
    <w:rsid w:val="00CC0FC0"/>
    <w:rsid w:val="00CD1149"/>
    <w:rsid w:val="00CD775C"/>
    <w:rsid w:val="00D23242"/>
    <w:rsid w:val="00D73BA3"/>
    <w:rsid w:val="00DE1B41"/>
    <w:rsid w:val="00DF11F2"/>
    <w:rsid w:val="00DF65E3"/>
    <w:rsid w:val="00E508EE"/>
    <w:rsid w:val="00E74BED"/>
    <w:rsid w:val="00EB5F27"/>
    <w:rsid w:val="00EF75A6"/>
    <w:rsid w:val="00F157BF"/>
    <w:rsid w:val="00F22F66"/>
    <w:rsid w:val="00F42D8B"/>
    <w:rsid w:val="00F55D6F"/>
    <w:rsid w:val="00FB773B"/>
    <w:rsid w:val="00FC4F3F"/>
    <w:rsid w:val="00FE507F"/>
    <w:rsid w:val="01007171"/>
    <w:rsid w:val="011253ED"/>
    <w:rsid w:val="011F67CC"/>
    <w:rsid w:val="014B7AE2"/>
    <w:rsid w:val="0150653F"/>
    <w:rsid w:val="01514167"/>
    <w:rsid w:val="017716F4"/>
    <w:rsid w:val="01815282"/>
    <w:rsid w:val="01882728"/>
    <w:rsid w:val="01B1011F"/>
    <w:rsid w:val="022B42BD"/>
    <w:rsid w:val="024A1251"/>
    <w:rsid w:val="027E08C0"/>
    <w:rsid w:val="02B7449E"/>
    <w:rsid w:val="0314752B"/>
    <w:rsid w:val="03180DA8"/>
    <w:rsid w:val="036353BF"/>
    <w:rsid w:val="037E1CCB"/>
    <w:rsid w:val="03A45A6F"/>
    <w:rsid w:val="03CE7CF1"/>
    <w:rsid w:val="03E203E0"/>
    <w:rsid w:val="03E2379C"/>
    <w:rsid w:val="044004C3"/>
    <w:rsid w:val="04404A22"/>
    <w:rsid w:val="044B00A4"/>
    <w:rsid w:val="04534D03"/>
    <w:rsid w:val="046C3CC7"/>
    <w:rsid w:val="04721ED2"/>
    <w:rsid w:val="04871EE9"/>
    <w:rsid w:val="048A42E4"/>
    <w:rsid w:val="049D180E"/>
    <w:rsid w:val="04DF1A8A"/>
    <w:rsid w:val="052878D5"/>
    <w:rsid w:val="05377B18"/>
    <w:rsid w:val="056335EC"/>
    <w:rsid w:val="056E201F"/>
    <w:rsid w:val="05A6571B"/>
    <w:rsid w:val="05C759FB"/>
    <w:rsid w:val="05DD10DD"/>
    <w:rsid w:val="05DF7726"/>
    <w:rsid w:val="05F01B8F"/>
    <w:rsid w:val="06103627"/>
    <w:rsid w:val="061F10B1"/>
    <w:rsid w:val="0637568C"/>
    <w:rsid w:val="064F747F"/>
    <w:rsid w:val="068D3C6C"/>
    <w:rsid w:val="06CD0C2C"/>
    <w:rsid w:val="071208DE"/>
    <w:rsid w:val="07155C37"/>
    <w:rsid w:val="073267E9"/>
    <w:rsid w:val="0737795B"/>
    <w:rsid w:val="07424046"/>
    <w:rsid w:val="07544CB7"/>
    <w:rsid w:val="07F7358F"/>
    <w:rsid w:val="080621C9"/>
    <w:rsid w:val="081D72AB"/>
    <w:rsid w:val="085602B5"/>
    <w:rsid w:val="08584C96"/>
    <w:rsid w:val="08602EE2"/>
    <w:rsid w:val="08892439"/>
    <w:rsid w:val="088E7A4F"/>
    <w:rsid w:val="08F46583"/>
    <w:rsid w:val="09243D58"/>
    <w:rsid w:val="093A3733"/>
    <w:rsid w:val="09784BAC"/>
    <w:rsid w:val="098A1BD2"/>
    <w:rsid w:val="099A2423"/>
    <w:rsid w:val="09E244F6"/>
    <w:rsid w:val="09E26521"/>
    <w:rsid w:val="09ED69F7"/>
    <w:rsid w:val="09EF276F"/>
    <w:rsid w:val="0A1A578B"/>
    <w:rsid w:val="0A743AA5"/>
    <w:rsid w:val="0A9652E1"/>
    <w:rsid w:val="0AAE0A61"/>
    <w:rsid w:val="0AB77B8C"/>
    <w:rsid w:val="0B1B7594"/>
    <w:rsid w:val="0B323126"/>
    <w:rsid w:val="0B4A3E9D"/>
    <w:rsid w:val="0B664CB3"/>
    <w:rsid w:val="0BAD28E2"/>
    <w:rsid w:val="0BD869CE"/>
    <w:rsid w:val="0BFC1173"/>
    <w:rsid w:val="0C046219"/>
    <w:rsid w:val="0C34090D"/>
    <w:rsid w:val="0C4826BA"/>
    <w:rsid w:val="0C5114BF"/>
    <w:rsid w:val="0CE642FD"/>
    <w:rsid w:val="0CF06F2A"/>
    <w:rsid w:val="0CF94998"/>
    <w:rsid w:val="0CFF0EF7"/>
    <w:rsid w:val="0D913B3D"/>
    <w:rsid w:val="0DDB3F9D"/>
    <w:rsid w:val="0DEA3B74"/>
    <w:rsid w:val="0DF93BBD"/>
    <w:rsid w:val="0DFE17E8"/>
    <w:rsid w:val="0E0407B3"/>
    <w:rsid w:val="0E2D33E4"/>
    <w:rsid w:val="0E3F3D9F"/>
    <w:rsid w:val="0E431B87"/>
    <w:rsid w:val="0E4A2CB1"/>
    <w:rsid w:val="0E540590"/>
    <w:rsid w:val="0E552DBD"/>
    <w:rsid w:val="0E567261"/>
    <w:rsid w:val="0E726137"/>
    <w:rsid w:val="0E76200C"/>
    <w:rsid w:val="0E7771D7"/>
    <w:rsid w:val="0E794FDA"/>
    <w:rsid w:val="0EA47661"/>
    <w:rsid w:val="0F335CA5"/>
    <w:rsid w:val="0F42188B"/>
    <w:rsid w:val="0F56503F"/>
    <w:rsid w:val="0F9A2166"/>
    <w:rsid w:val="0FC04F1D"/>
    <w:rsid w:val="0FD3668F"/>
    <w:rsid w:val="100C3F23"/>
    <w:rsid w:val="1056146F"/>
    <w:rsid w:val="109951E3"/>
    <w:rsid w:val="10CF681F"/>
    <w:rsid w:val="110F07B3"/>
    <w:rsid w:val="111254E9"/>
    <w:rsid w:val="114C494B"/>
    <w:rsid w:val="11535CDA"/>
    <w:rsid w:val="117E5D99"/>
    <w:rsid w:val="11927EEE"/>
    <w:rsid w:val="11AA0F23"/>
    <w:rsid w:val="1211428B"/>
    <w:rsid w:val="125E494F"/>
    <w:rsid w:val="12763B07"/>
    <w:rsid w:val="1289104C"/>
    <w:rsid w:val="128D0D77"/>
    <w:rsid w:val="12D93FBD"/>
    <w:rsid w:val="12F26E2C"/>
    <w:rsid w:val="131F13CD"/>
    <w:rsid w:val="132073D1"/>
    <w:rsid w:val="13525B1D"/>
    <w:rsid w:val="13612F1C"/>
    <w:rsid w:val="138403CC"/>
    <w:rsid w:val="13DD188A"/>
    <w:rsid w:val="13E420EA"/>
    <w:rsid w:val="13E87432"/>
    <w:rsid w:val="141D0140"/>
    <w:rsid w:val="141D437D"/>
    <w:rsid w:val="14294DBA"/>
    <w:rsid w:val="143F63E8"/>
    <w:rsid w:val="14842B7A"/>
    <w:rsid w:val="149840F4"/>
    <w:rsid w:val="14B70F56"/>
    <w:rsid w:val="14DC7D94"/>
    <w:rsid w:val="152A5870"/>
    <w:rsid w:val="158502CD"/>
    <w:rsid w:val="15924C19"/>
    <w:rsid w:val="159F1C9E"/>
    <w:rsid w:val="15B14D7D"/>
    <w:rsid w:val="15BD5E17"/>
    <w:rsid w:val="16005330"/>
    <w:rsid w:val="162858C3"/>
    <w:rsid w:val="163360DA"/>
    <w:rsid w:val="163A4DD0"/>
    <w:rsid w:val="170B23B3"/>
    <w:rsid w:val="171213C7"/>
    <w:rsid w:val="1715503C"/>
    <w:rsid w:val="17695982"/>
    <w:rsid w:val="177B5642"/>
    <w:rsid w:val="17800B8F"/>
    <w:rsid w:val="17871CFD"/>
    <w:rsid w:val="17A10E21"/>
    <w:rsid w:val="17A70B2D"/>
    <w:rsid w:val="17B15508"/>
    <w:rsid w:val="17B40B54"/>
    <w:rsid w:val="17CB25F6"/>
    <w:rsid w:val="17D336B6"/>
    <w:rsid w:val="1800023D"/>
    <w:rsid w:val="18186001"/>
    <w:rsid w:val="1836090B"/>
    <w:rsid w:val="188C35A6"/>
    <w:rsid w:val="18A60A7B"/>
    <w:rsid w:val="18AC1031"/>
    <w:rsid w:val="18BA122C"/>
    <w:rsid w:val="18E45469"/>
    <w:rsid w:val="192E7226"/>
    <w:rsid w:val="19495077"/>
    <w:rsid w:val="194D42A5"/>
    <w:rsid w:val="197114DB"/>
    <w:rsid w:val="197A73AC"/>
    <w:rsid w:val="198407AC"/>
    <w:rsid w:val="19C57049"/>
    <w:rsid w:val="19C86B39"/>
    <w:rsid w:val="19CA465F"/>
    <w:rsid w:val="1A3F6DFB"/>
    <w:rsid w:val="1A7B5F4E"/>
    <w:rsid w:val="1A840CB2"/>
    <w:rsid w:val="1A8D4CC4"/>
    <w:rsid w:val="1A93076C"/>
    <w:rsid w:val="1A987842"/>
    <w:rsid w:val="1AC612CA"/>
    <w:rsid w:val="1AE54C37"/>
    <w:rsid w:val="1AF000F5"/>
    <w:rsid w:val="1B41027F"/>
    <w:rsid w:val="1B8C30ED"/>
    <w:rsid w:val="1B937848"/>
    <w:rsid w:val="1BA00A3B"/>
    <w:rsid w:val="1BA906B7"/>
    <w:rsid w:val="1BAF450F"/>
    <w:rsid w:val="1C174B9C"/>
    <w:rsid w:val="1C1D316C"/>
    <w:rsid w:val="1C220468"/>
    <w:rsid w:val="1C42120C"/>
    <w:rsid w:val="1C5E0883"/>
    <w:rsid w:val="1C8A485F"/>
    <w:rsid w:val="1CA473E9"/>
    <w:rsid w:val="1D000EB9"/>
    <w:rsid w:val="1D3B4C14"/>
    <w:rsid w:val="1D51548F"/>
    <w:rsid w:val="1D65316F"/>
    <w:rsid w:val="1D7F091E"/>
    <w:rsid w:val="1D86759C"/>
    <w:rsid w:val="1D951428"/>
    <w:rsid w:val="1DAB69CA"/>
    <w:rsid w:val="1DE61739"/>
    <w:rsid w:val="1E370D16"/>
    <w:rsid w:val="1E594203"/>
    <w:rsid w:val="1E6652CB"/>
    <w:rsid w:val="1E676920"/>
    <w:rsid w:val="1E7003CC"/>
    <w:rsid w:val="1E7A7D49"/>
    <w:rsid w:val="1E934127"/>
    <w:rsid w:val="1EA334F7"/>
    <w:rsid w:val="1EB64447"/>
    <w:rsid w:val="1ED74A1D"/>
    <w:rsid w:val="1F2F31BD"/>
    <w:rsid w:val="1F451626"/>
    <w:rsid w:val="1F4C3F3B"/>
    <w:rsid w:val="1F816FFC"/>
    <w:rsid w:val="1FA06EEC"/>
    <w:rsid w:val="1FA616CA"/>
    <w:rsid w:val="1FDF348D"/>
    <w:rsid w:val="1FE312CB"/>
    <w:rsid w:val="201B5C14"/>
    <w:rsid w:val="2053535F"/>
    <w:rsid w:val="20947A35"/>
    <w:rsid w:val="209D602B"/>
    <w:rsid w:val="20BF0C96"/>
    <w:rsid w:val="210668C5"/>
    <w:rsid w:val="2137706C"/>
    <w:rsid w:val="214D3F8A"/>
    <w:rsid w:val="219A0DBB"/>
    <w:rsid w:val="21C46C8E"/>
    <w:rsid w:val="21C978F2"/>
    <w:rsid w:val="21D818E3"/>
    <w:rsid w:val="220C6B39"/>
    <w:rsid w:val="22113073"/>
    <w:rsid w:val="22160D89"/>
    <w:rsid w:val="2221247E"/>
    <w:rsid w:val="222F70F0"/>
    <w:rsid w:val="22382A49"/>
    <w:rsid w:val="227316DC"/>
    <w:rsid w:val="227E0EE9"/>
    <w:rsid w:val="228406C2"/>
    <w:rsid w:val="22C73E32"/>
    <w:rsid w:val="22DA6C97"/>
    <w:rsid w:val="22E54EF0"/>
    <w:rsid w:val="22F520A9"/>
    <w:rsid w:val="235C51B6"/>
    <w:rsid w:val="239B52CD"/>
    <w:rsid w:val="23C0592D"/>
    <w:rsid w:val="23CD5478"/>
    <w:rsid w:val="23EF284F"/>
    <w:rsid w:val="24456584"/>
    <w:rsid w:val="24631F8A"/>
    <w:rsid w:val="24AD405E"/>
    <w:rsid w:val="24C629E5"/>
    <w:rsid w:val="24D213CA"/>
    <w:rsid w:val="24D420E9"/>
    <w:rsid w:val="24E934DB"/>
    <w:rsid w:val="25094BA8"/>
    <w:rsid w:val="25253091"/>
    <w:rsid w:val="25311A36"/>
    <w:rsid w:val="253D2623"/>
    <w:rsid w:val="254C4AC2"/>
    <w:rsid w:val="256C0CC0"/>
    <w:rsid w:val="25A641D2"/>
    <w:rsid w:val="25B5474A"/>
    <w:rsid w:val="25D32AED"/>
    <w:rsid w:val="25DC08CA"/>
    <w:rsid w:val="25E439F3"/>
    <w:rsid w:val="25E46AA9"/>
    <w:rsid w:val="25F93739"/>
    <w:rsid w:val="26141660"/>
    <w:rsid w:val="26166237"/>
    <w:rsid w:val="262C354E"/>
    <w:rsid w:val="263043EF"/>
    <w:rsid w:val="2660355C"/>
    <w:rsid w:val="26695200"/>
    <w:rsid w:val="268A67B4"/>
    <w:rsid w:val="26B12519"/>
    <w:rsid w:val="26C05991"/>
    <w:rsid w:val="26CF0CF2"/>
    <w:rsid w:val="26D1527F"/>
    <w:rsid w:val="26E5023E"/>
    <w:rsid w:val="27027B2E"/>
    <w:rsid w:val="270C4E2A"/>
    <w:rsid w:val="2717103F"/>
    <w:rsid w:val="2730427F"/>
    <w:rsid w:val="27351CB2"/>
    <w:rsid w:val="27766DE1"/>
    <w:rsid w:val="27932534"/>
    <w:rsid w:val="27C22E19"/>
    <w:rsid w:val="27F25BF9"/>
    <w:rsid w:val="280E42B1"/>
    <w:rsid w:val="282C42AE"/>
    <w:rsid w:val="283A6E54"/>
    <w:rsid w:val="284B4A6E"/>
    <w:rsid w:val="284F7ED5"/>
    <w:rsid w:val="285455C2"/>
    <w:rsid w:val="2859377E"/>
    <w:rsid w:val="28632420"/>
    <w:rsid w:val="28650375"/>
    <w:rsid w:val="28B95CB3"/>
    <w:rsid w:val="28EF36B9"/>
    <w:rsid w:val="2900013E"/>
    <w:rsid w:val="29143B49"/>
    <w:rsid w:val="29362C67"/>
    <w:rsid w:val="294A756A"/>
    <w:rsid w:val="294F692F"/>
    <w:rsid w:val="29534614"/>
    <w:rsid w:val="29563A60"/>
    <w:rsid w:val="29661199"/>
    <w:rsid w:val="297417D1"/>
    <w:rsid w:val="29946AC2"/>
    <w:rsid w:val="299B73A2"/>
    <w:rsid w:val="29A053DC"/>
    <w:rsid w:val="29AC08FD"/>
    <w:rsid w:val="29CE019B"/>
    <w:rsid w:val="29FA4AED"/>
    <w:rsid w:val="2A4577CC"/>
    <w:rsid w:val="2A486163"/>
    <w:rsid w:val="2A8B359F"/>
    <w:rsid w:val="2A950CB9"/>
    <w:rsid w:val="2ABA24CE"/>
    <w:rsid w:val="2AF2118F"/>
    <w:rsid w:val="2B6C0AFC"/>
    <w:rsid w:val="2B793E3B"/>
    <w:rsid w:val="2B794137"/>
    <w:rsid w:val="2B822D4B"/>
    <w:rsid w:val="2BA51C2E"/>
    <w:rsid w:val="2BEC2B5B"/>
    <w:rsid w:val="2BF561A5"/>
    <w:rsid w:val="2C057779"/>
    <w:rsid w:val="2C235D34"/>
    <w:rsid w:val="2C5000EA"/>
    <w:rsid w:val="2C8C25DF"/>
    <w:rsid w:val="2C977623"/>
    <w:rsid w:val="2C9801C1"/>
    <w:rsid w:val="2CBE1CC7"/>
    <w:rsid w:val="2CBE62A5"/>
    <w:rsid w:val="2CE90E48"/>
    <w:rsid w:val="2CFC5020"/>
    <w:rsid w:val="2D2B1E42"/>
    <w:rsid w:val="2D452C20"/>
    <w:rsid w:val="2D781274"/>
    <w:rsid w:val="2D7A3F87"/>
    <w:rsid w:val="2D7D7884"/>
    <w:rsid w:val="2D8940A1"/>
    <w:rsid w:val="2DC45B3D"/>
    <w:rsid w:val="2DF12D2B"/>
    <w:rsid w:val="2E002FB8"/>
    <w:rsid w:val="2E1B4436"/>
    <w:rsid w:val="2E1D5624"/>
    <w:rsid w:val="2E347C45"/>
    <w:rsid w:val="2E50117F"/>
    <w:rsid w:val="2E9B6172"/>
    <w:rsid w:val="2EC701BE"/>
    <w:rsid w:val="2ECD1005"/>
    <w:rsid w:val="2ED53072"/>
    <w:rsid w:val="2ED6290E"/>
    <w:rsid w:val="2EED259D"/>
    <w:rsid w:val="2EF37AFA"/>
    <w:rsid w:val="2EFE6D0F"/>
    <w:rsid w:val="2F0A7768"/>
    <w:rsid w:val="2F2148C9"/>
    <w:rsid w:val="2F5E5B1E"/>
    <w:rsid w:val="2F6D6379"/>
    <w:rsid w:val="2F9E02E9"/>
    <w:rsid w:val="2FA9321A"/>
    <w:rsid w:val="2FB1004B"/>
    <w:rsid w:val="2FDF339A"/>
    <w:rsid w:val="303C4AC1"/>
    <w:rsid w:val="303E6E3F"/>
    <w:rsid w:val="305C05F5"/>
    <w:rsid w:val="30782C0F"/>
    <w:rsid w:val="30852FC3"/>
    <w:rsid w:val="309101B9"/>
    <w:rsid w:val="30990521"/>
    <w:rsid w:val="30AA7A67"/>
    <w:rsid w:val="30AC212E"/>
    <w:rsid w:val="30CC40ED"/>
    <w:rsid w:val="30F27485"/>
    <w:rsid w:val="30FF2D1D"/>
    <w:rsid w:val="316536E1"/>
    <w:rsid w:val="31692558"/>
    <w:rsid w:val="31D332EC"/>
    <w:rsid w:val="31E85966"/>
    <w:rsid w:val="31ED392C"/>
    <w:rsid w:val="31F04AEF"/>
    <w:rsid w:val="3244724D"/>
    <w:rsid w:val="32624072"/>
    <w:rsid w:val="329406B8"/>
    <w:rsid w:val="32A01FA9"/>
    <w:rsid w:val="32A856ED"/>
    <w:rsid w:val="32D103B5"/>
    <w:rsid w:val="32FA0443"/>
    <w:rsid w:val="32FF3174"/>
    <w:rsid w:val="331B56FA"/>
    <w:rsid w:val="33207396"/>
    <w:rsid w:val="332544EC"/>
    <w:rsid w:val="335B560E"/>
    <w:rsid w:val="33890C8F"/>
    <w:rsid w:val="33B16D7D"/>
    <w:rsid w:val="33D255D7"/>
    <w:rsid w:val="33E04D53"/>
    <w:rsid w:val="33F235C6"/>
    <w:rsid w:val="3402116D"/>
    <w:rsid w:val="341053D1"/>
    <w:rsid w:val="341964B7"/>
    <w:rsid w:val="3438027C"/>
    <w:rsid w:val="34496D9C"/>
    <w:rsid w:val="34834703"/>
    <w:rsid w:val="34BF24AB"/>
    <w:rsid w:val="34F767F8"/>
    <w:rsid w:val="34F7720B"/>
    <w:rsid w:val="352C38EB"/>
    <w:rsid w:val="35437F3C"/>
    <w:rsid w:val="35470E02"/>
    <w:rsid w:val="35487054"/>
    <w:rsid w:val="358A0BF3"/>
    <w:rsid w:val="3596798F"/>
    <w:rsid w:val="35EB4DCE"/>
    <w:rsid w:val="360F1920"/>
    <w:rsid w:val="360F7B72"/>
    <w:rsid w:val="36143EEA"/>
    <w:rsid w:val="369312AA"/>
    <w:rsid w:val="36987B67"/>
    <w:rsid w:val="36AC3612"/>
    <w:rsid w:val="36C8089B"/>
    <w:rsid w:val="36DF5796"/>
    <w:rsid w:val="36EF6863"/>
    <w:rsid w:val="37207A9B"/>
    <w:rsid w:val="374E6478"/>
    <w:rsid w:val="37645C9B"/>
    <w:rsid w:val="378060D3"/>
    <w:rsid w:val="37B81B43"/>
    <w:rsid w:val="37E37C20"/>
    <w:rsid w:val="37E74B44"/>
    <w:rsid w:val="38161899"/>
    <w:rsid w:val="3862667F"/>
    <w:rsid w:val="388717D4"/>
    <w:rsid w:val="389D29EF"/>
    <w:rsid w:val="38C97BB1"/>
    <w:rsid w:val="38DC6807"/>
    <w:rsid w:val="38EF5A53"/>
    <w:rsid w:val="394037B6"/>
    <w:rsid w:val="39445038"/>
    <w:rsid w:val="396F4622"/>
    <w:rsid w:val="398369CB"/>
    <w:rsid w:val="398E0DAD"/>
    <w:rsid w:val="39A52621"/>
    <w:rsid w:val="39AA0650"/>
    <w:rsid w:val="39D569DC"/>
    <w:rsid w:val="39F10856"/>
    <w:rsid w:val="39FC4F68"/>
    <w:rsid w:val="39FE4185"/>
    <w:rsid w:val="3A0E415E"/>
    <w:rsid w:val="3A312F92"/>
    <w:rsid w:val="3A5A5826"/>
    <w:rsid w:val="3A6E7917"/>
    <w:rsid w:val="3A981001"/>
    <w:rsid w:val="3AA50D7E"/>
    <w:rsid w:val="3AC415A4"/>
    <w:rsid w:val="3AC54573"/>
    <w:rsid w:val="3AED3A74"/>
    <w:rsid w:val="3B0051DA"/>
    <w:rsid w:val="3B365BA1"/>
    <w:rsid w:val="3B4C7172"/>
    <w:rsid w:val="3B8E44FD"/>
    <w:rsid w:val="3C3B7495"/>
    <w:rsid w:val="3C3E73E9"/>
    <w:rsid w:val="3C8D0939"/>
    <w:rsid w:val="3CDD0F04"/>
    <w:rsid w:val="3CDF0C10"/>
    <w:rsid w:val="3CED6715"/>
    <w:rsid w:val="3D0044E2"/>
    <w:rsid w:val="3D0A4BEF"/>
    <w:rsid w:val="3D525B89"/>
    <w:rsid w:val="3D9D0BFE"/>
    <w:rsid w:val="3DC37872"/>
    <w:rsid w:val="3DC84103"/>
    <w:rsid w:val="3DFB418A"/>
    <w:rsid w:val="3E396178"/>
    <w:rsid w:val="3E4157CD"/>
    <w:rsid w:val="3E5000D2"/>
    <w:rsid w:val="3E734A16"/>
    <w:rsid w:val="3EAB643D"/>
    <w:rsid w:val="3EB13681"/>
    <w:rsid w:val="3EE24B2E"/>
    <w:rsid w:val="3EF943D8"/>
    <w:rsid w:val="3F4F7231"/>
    <w:rsid w:val="3F5F444B"/>
    <w:rsid w:val="3FCD30FD"/>
    <w:rsid w:val="3FF372DA"/>
    <w:rsid w:val="3FF54902"/>
    <w:rsid w:val="3FF56FF8"/>
    <w:rsid w:val="403513C2"/>
    <w:rsid w:val="40477F08"/>
    <w:rsid w:val="404B5E62"/>
    <w:rsid w:val="407530A3"/>
    <w:rsid w:val="40775F83"/>
    <w:rsid w:val="407B57C8"/>
    <w:rsid w:val="408670CC"/>
    <w:rsid w:val="408E2D21"/>
    <w:rsid w:val="40AA597B"/>
    <w:rsid w:val="40C51321"/>
    <w:rsid w:val="41064DBF"/>
    <w:rsid w:val="412A1D04"/>
    <w:rsid w:val="413103EE"/>
    <w:rsid w:val="41563435"/>
    <w:rsid w:val="415A0714"/>
    <w:rsid w:val="41632C82"/>
    <w:rsid w:val="41B45A71"/>
    <w:rsid w:val="41C51A2C"/>
    <w:rsid w:val="41F07E62"/>
    <w:rsid w:val="41FE4E68"/>
    <w:rsid w:val="42155A51"/>
    <w:rsid w:val="42167CEB"/>
    <w:rsid w:val="42591991"/>
    <w:rsid w:val="425F59DD"/>
    <w:rsid w:val="42621EB4"/>
    <w:rsid w:val="427534F6"/>
    <w:rsid w:val="42F425C9"/>
    <w:rsid w:val="42FE6FA4"/>
    <w:rsid w:val="43006FA6"/>
    <w:rsid w:val="43011B6E"/>
    <w:rsid w:val="430306FE"/>
    <w:rsid w:val="43283308"/>
    <w:rsid w:val="435C0D27"/>
    <w:rsid w:val="43BC14A4"/>
    <w:rsid w:val="43D9531B"/>
    <w:rsid w:val="444E7AB7"/>
    <w:rsid w:val="446113E9"/>
    <w:rsid w:val="448F4678"/>
    <w:rsid w:val="449C6A74"/>
    <w:rsid w:val="44B91AF4"/>
    <w:rsid w:val="44CC2118"/>
    <w:rsid w:val="44CE67D1"/>
    <w:rsid w:val="44DA6522"/>
    <w:rsid w:val="44DF2AD6"/>
    <w:rsid w:val="44FD1B87"/>
    <w:rsid w:val="450C5EC5"/>
    <w:rsid w:val="45120AE5"/>
    <w:rsid w:val="45380A37"/>
    <w:rsid w:val="454536D4"/>
    <w:rsid w:val="455E2EEB"/>
    <w:rsid w:val="457B362F"/>
    <w:rsid w:val="458A7297"/>
    <w:rsid w:val="459B4B29"/>
    <w:rsid w:val="45B5606B"/>
    <w:rsid w:val="46156884"/>
    <w:rsid w:val="463F7FFF"/>
    <w:rsid w:val="46495DC4"/>
    <w:rsid w:val="46790077"/>
    <w:rsid w:val="468B3539"/>
    <w:rsid w:val="46995CDE"/>
    <w:rsid w:val="46B74672"/>
    <w:rsid w:val="472468C3"/>
    <w:rsid w:val="4736017A"/>
    <w:rsid w:val="474D4056"/>
    <w:rsid w:val="47544958"/>
    <w:rsid w:val="479559FD"/>
    <w:rsid w:val="47C0383C"/>
    <w:rsid w:val="47C94F01"/>
    <w:rsid w:val="47EC09D3"/>
    <w:rsid w:val="480261DD"/>
    <w:rsid w:val="481C22D1"/>
    <w:rsid w:val="48274922"/>
    <w:rsid w:val="485F6737"/>
    <w:rsid w:val="4867678E"/>
    <w:rsid w:val="488F670E"/>
    <w:rsid w:val="48B039C4"/>
    <w:rsid w:val="48DD3AFF"/>
    <w:rsid w:val="4920588C"/>
    <w:rsid w:val="49301E81"/>
    <w:rsid w:val="49356CA3"/>
    <w:rsid w:val="49CB179D"/>
    <w:rsid w:val="49D81E16"/>
    <w:rsid w:val="49E05427"/>
    <w:rsid w:val="49E55F4C"/>
    <w:rsid w:val="4A3E237C"/>
    <w:rsid w:val="4A4C7D3E"/>
    <w:rsid w:val="4A4E6A63"/>
    <w:rsid w:val="4A541EEB"/>
    <w:rsid w:val="4A630034"/>
    <w:rsid w:val="4AB16FF2"/>
    <w:rsid w:val="4ADE22EE"/>
    <w:rsid w:val="4B3612A5"/>
    <w:rsid w:val="4B6F08BE"/>
    <w:rsid w:val="4B6F5B2D"/>
    <w:rsid w:val="4B8150F6"/>
    <w:rsid w:val="4B831C8E"/>
    <w:rsid w:val="4B9D6AFC"/>
    <w:rsid w:val="4BD50557"/>
    <w:rsid w:val="4BD75B37"/>
    <w:rsid w:val="4BE13907"/>
    <w:rsid w:val="4BE430A6"/>
    <w:rsid w:val="4BEF232F"/>
    <w:rsid w:val="4C3434D6"/>
    <w:rsid w:val="4C3D7756"/>
    <w:rsid w:val="4C445AB0"/>
    <w:rsid w:val="4CC03441"/>
    <w:rsid w:val="4CC11869"/>
    <w:rsid w:val="4CDF7F1B"/>
    <w:rsid w:val="4CE27CEC"/>
    <w:rsid w:val="4CEF7988"/>
    <w:rsid w:val="4D461C73"/>
    <w:rsid w:val="4D6B4B4B"/>
    <w:rsid w:val="4D8307DE"/>
    <w:rsid w:val="4D9A2DB6"/>
    <w:rsid w:val="4DCA6127"/>
    <w:rsid w:val="4DD7273C"/>
    <w:rsid w:val="4DE90850"/>
    <w:rsid w:val="4E9A5A4A"/>
    <w:rsid w:val="4EAA25D6"/>
    <w:rsid w:val="4EAA6232"/>
    <w:rsid w:val="4EC54E1A"/>
    <w:rsid w:val="4F1A1ED7"/>
    <w:rsid w:val="4F4048F3"/>
    <w:rsid w:val="4F435445"/>
    <w:rsid w:val="4F56149D"/>
    <w:rsid w:val="4F60737B"/>
    <w:rsid w:val="4F8F05D9"/>
    <w:rsid w:val="4FAB4468"/>
    <w:rsid w:val="50270701"/>
    <w:rsid w:val="5060129E"/>
    <w:rsid w:val="50724B2D"/>
    <w:rsid w:val="50A45C09"/>
    <w:rsid w:val="50F63793"/>
    <w:rsid w:val="51122389"/>
    <w:rsid w:val="511B12F1"/>
    <w:rsid w:val="51225138"/>
    <w:rsid w:val="512978E2"/>
    <w:rsid w:val="51407FE8"/>
    <w:rsid w:val="51422751"/>
    <w:rsid w:val="51477D68"/>
    <w:rsid w:val="51510BE7"/>
    <w:rsid w:val="51744232"/>
    <w:rsid w:val="518B234A"/>
    <w:rsid w:val="51AC20CD"/>
    <w:rsid w:val="51D33891"/>
    <w:rsid w:val="51DD3337"/>
    <w:rsid w:val="51FF0643"/>
    <w:rsid w:val="52413744"/>
    <w:rsid w:val="525D38C4"/>
    <w:rsid w:val="529338D2"/>
    <w:rsid w:val="52B150B2"/>
    <w:rsid w:val="52BE482B"/>
    <w:rsid w:val="52EF06B7"/>
    <w:rsid w:val="5314011E"/>
    <w:rsid w:val="53374ABF"/>
    <w:rsid w:val="538B58DE"/>
    <w:rsid w:val="53ED2F42"/>
    <w:rsid w:val="543A733B"/>
    <w:rsid w:val="543F667E"/>
    <w:rsid w:val="54694499"/>
    <w:rsid w:val="54913B73"/>
    <w:rsid w:val="549A3407"/>
    <w:rsid w:val="54E564C4"/>
    <w:rsid w:val="54F41FB5"/>
    <w:rsid w:val="554C696B"/>
    <w:rsid w:val="55AA127F"/>
    <w:rsid w:val="55C34B11"/>
    <w:rsid w:val="55FD0ED7"/>
    <w:rsid w:val="56203B51"/>
    <w:rsid w:val="564B20A8"/>
    <w:rsid w:val="565C32DC"/>
    <w:rsid w:val="566303E3"/>
    <w:rsid w:val="56694C24"/>
    <w:rsid w:val="56895C1A"/>
    <w:rsid w:val="56C137C7"/>
    <w:rsid w:val="56E61D64"/>
    <w:rsid w:val="571D114B"/>
    <w:rsid w:val="57402882"/>
    <w:rsid w:val="574674A4"/>
    <w:rsid w:val="577E670F"/>
    <w:rsid w:val="578C0BCA"/>
    <w:rsid w:val="57D53C14"/>
    <w:rsid w:val="58563A29"/>
    <w:rsid w:val="586A2528"/>
    <w:rsid w:val="588B18C5"/>
    <w:rsid w:val="589A3032"/>
    <w:rsid w:val="58B8154B"/>
    <w:rsid w:val="58D83000"/>
    <w:rsid w:val="58E25887"/>
    <w:rsid w:val="591946E0"/>
    <w:rsid w:val="591F4A0C"/>
    <w:rsid w:val="592D018B"/>
    <w:rsid w:val="59527BF2"/>
    <w:rsid w:val="595B0854"/>
    <w:rsid w:val="596D5E50"/>
    <w:rsid w:val="59810274"/>
    <w:rsid w:val="59AA17DC"/>
    <w:rsid w:val="59B23CBF"/>
    <w:rsid w:val="59CC3500"/>
    <w:rsid w:val="59D40607"/>
    <w:rsid w:val="59EC082A"/>
    <w:rsid w:val="5A2650C7"/>
    <w:rsid w:val="5A4D52ED"/>
    <w:rsid w:val="5A7F2972"/>
    <w:rsid w:val="5AB32920"/>
    <w:rsid w:val="5ABC3575"/>
    <w:rsid w:val="5AC5386F"/>
    <w:rsid w:val="5B0D5B7E"/>
    <w:rsid w:val="5B1F576A"/>
    <w:rsid w:val="5B2C46EC"/>
    <w:rsid w:val="5B4F0C1A"/>
    <w:rsid w:val="5B9B0BD6"/>
    <w:rsid w:val="5B9E7621"/>
    <w:rsid w:val="5BC74159"/>
    <w:rsid w:val="5BF8157E"/>
    <w:rsid w:val="5C293F94"/>
    <w:rsid w:val="5C4C0928"/>
    <w:rsid w:val="5C4F21C6"/>
    <w:rsid w:val="5C4F626E"/>
    <w:rsid w:val="5C5A1297"/>
    <w:rsid w:val="5C5E74D8"/>
    <w:rsid w:val="5C6E1A84"/>
    <w:rsid w:val="5C853A7B"/>
    <w:rsid w:val="5C992AD4"/>
    <w:rsid w:val="5CBC2B81"/>
    <w:rsid w:val="5D44023E"/>
    <w:rsid w:val="5D695D87"/>
    <w:rsid w:val="5D6D6B7B"/>
    <w:rsid w:val="5D752454"/>
    <w:rsid w:val="5DB5137A"/>
    <w:rsid w:val="5DD961EC"/>
    <w:rsid w:val="5DE346C6"/>
    <w:rsid w:val="5DE707C8"/>
    <w:rsid w:val="5DF72B16"/>
    <w:rsid w:val="5E0C4813"/>
    <w:rsid w:val="5E505609"/>
    <w:rsid w:val="5E745F14"/>
    <w:rsid w:val="5EA0719C"/>
    <w:rsid w:val="5EA34AFE"/>
    <w:rsid w:val="5ECA7FB6"/>
    <w:rsid w:val="5ECD3860"/>
    <w:rsid w:val="5EEA61D6"/>
    <w:rsid w:val="5F207FCF"/>
    <w:rsid w:val="5F724B4A"/>
    <w:rsid w:val="5F7E4575"/>
    <w:rsid w:val="5FA60BEB"/>
    <w:rsid w:val="5FB2150C"/>
    <w:rsid w:val="5FB83819"/>
    <w:rsid w:val="6053324A"/>
    <w:rsid w:val="60A2541F"/>
    <w:rsid w:val="60B30F76"/>
    <w:rsid w:val="60B8658C"/>
    <w:rsid w:val="61534507"/>
    <w:rsid w:val="615A04AD"/>
    <w:rsid w:val="617F1C17"/>
    <w:rsid w:val="617F2EE1"/>
    <w:rsid w:val="61812E22"/>
    <w:rsid w:val="61956872"/>
    <w:rsid w:val="61B76844"/>
    <w:rsid w:val="61BB623B"/>
    <w:rsid w:val="61C13B66"/>
    <w:rsid w:val="62072E5D"/>
    <w:rsid w:val="6212107F"/>
    <w:rsid w:val="624B1454"/>
    <w:rsid w:val="62970423"/>
    <w:rsid w:val="62B94A5C"/>
    <w:rsid w:val="62E200F0"/>
    <w:rsid w:val="633F4147"/>
    <w:rsid w:val="634B1231"/>
    <w:rsid w:val="63761272"/>
    <w:rsid w:val="63781A4B"/>
    <w:rsid w:val="63846BFA"/>
    <w:rsid w:val="639826A5"/>
    <w:rsid w:val="639A7632"/>
    <w:rsid w:val="63E47698"/>
    <w:rsid w:val="63E7123E"/>
    <w:rsid w:val="6410048D"/>
    <w:rsid w:val="64601415"/>
    <w:rsid w:val="64634A61"/>
    <w:rsid w:val="648C76EA"/>
    <w:rsid w:val="64970BAF"/>
    <w:rsid w:val="64AA08E2"/>
    <w:rsid w:val="64E7519D"/>
    <w:rsid w:val="64F02C05"/>
    <w:rsid w:val="64FC1E63"/>
    <w:rsid w:val="65170FA5"/>
    <w:rsid w:val="65613610"/>
    <w:rsid w:val="658F70C5"/>
    <w:rsid w:val="65984BDE"/>
    <w:rsid w:val="65A10629"/>
    <w:rsid w:val="65A96DEB"/>
    <w:rsid w:val="65C82D60"/>
    <w:rsid w:val="65CA38DD"/>
    <w:rsid w:val="65D025CA"/>
    <w:rsid w:val="65E73470"/>
    <w:rsid w:val="65F7311D"/>
    <w:rsid w:val="661A73EE"/>
    <w:rsid w:val="665A00E6"/>
    <w:rsid w:val="66951214"/>
    <w:rsid w:val="6697118E"/>
    <w:rsid w:val="674943E2"/>
    <w:rsid w:val="67730FE6"/>
    <w:rsid w:val="677376B1"/>
    <w:rsid w:val="679C52FB"/>
    <w:rsid w:val="67BE2A10"/>
    <w:rsid w:val="67D31D08"/>
    <w:rsid w:val="67E66A6F"/>
    <w:rsid w:val="67F307F2"/>
    <w:rsid w:val="67FB305E"/>
    <w:rsid w:val="68182B4A"/>
    <w:rsid w:val="681B213F"/>
    <w:rsid w:val="681D6B78"/>
    <w:rsid w:val="68210EBB"/>
    <w:rsid w:val="682E5386"/>
    <w:rsid w:val="686F7E78"/>
    <w:rsid w:val="688244C9"/>
    <w:rsid w:val="68997956"/>
    <w:rsid w:val="68B41D2F"/>
    <w:rsid w:val="68EA0B9C"/>
    <w:rsid w:val="68FB4663"/>
    <w:rsid w:val="68FC7232"/>
    <w:rsid w:val="6905258B"/>
    <w:rsid w:val="690F748C"/>
    <w:rsid w:val="693F506E"/>
    <w:rsid w:val="6945507D"/>
    <w:rsid w:val="69845274"/>
    <w:rsid w:val="69A70B49"/>
    <w:rsid w:val="69B60FD3"/>
    <w:rsid w:val="69C2222A"/>
    <w:rsid w:val="69D8738B"/>
    <w:rsid w:val="6A250BD2"/>
    <w:rsid w:val="6A252020"/>
    <w:rsid w:val="6A581F14"/>
    <w:rsid w:val="6A736AEE"/>
    <w:rsid w:val="6AC84F71"/>
    <w:rsid w:val="6AC91BE6"/>
    <w:rsid w:val="6AEC0BF9"/>
    <w:rsid w:val="6B013EB0"/>
    <w:rsid w:val="6B1C1E0E"/>
    <w:rsid w:val="6B3C7DBA"/>
    <w:rsid w:val="6B735337"/>
    <w:rsid w:val="6B7D546D"/>
    <w:rsid w:val="6B927A38"/>
    <w:rsid w:val="6BA17A5A"/>
    <w:rsid w:val="6BA20565"/>
    <w:rsid w:val="6BA600B2"/>
    <w:rsid w:val="6BBD539F"/>
    <w:rsid w:val="6BC2686E"/>
    <w:rsid w:val="6BEA306F"/>
    <w:rsid w:val="6C08629F"/>
    <w:rsid w:val="6C28206F"/>
    <w:rsid w:val="6C4B382A"/>
    <w:rsid w:val="6C59578A"/>
    <w:rsid w:val="6C9D2ADA"/>
    <w:rsid w:val="6C9F65C9"/>
    <w:rsid w:val="6CCC33B2"/>
    <w:rsid w:val="6D505D9E"/>
    <w:rsid w:val="6D8223FC"/>
    <w:rsid w:val="6DA57E98"/>
    <w:rsid w:val="6DB5219F"/>
    <w:rsid w:val="6DC50562"/>
    <w:rsid w:val="6DEA5240"/>
    <w:rsid w:val="6DF745EB"/>
    <w:rsid w:val="6DFD5F26"/>
    <w:rsid w:val="6E0C5E51"/>
    <w:rsid w:val="6E0D330E"/>
    <w:rsid w:val="6E49568E"/>
    <w:rsid w:val="6E523CB0"/>
    <w:rsid w:val="6E876616"/>
    <w:rsid w:val="6EC66318"/>
    <w:rsid w:val="6EC971E2"/>
    <w:rsid w:val="6ED36C87"/>
    <w:rsid w:val="6EE45361"/>
    <w:rsid w:val="6EEE22D6"/>
    <w:rsid w:val="6EF33F77"/>
    <w:rsid w:val="6F382777"/>
    <w:rsid w:val="6F4A456F"/>
    <w:rsid w:val="6FA64AAB"/>
    <w:rsid w:val="6FB11949"/>
    <w:rsid w:val="6FB3684F"/>
    <w:rsid w:val="6FED547B"/>
    <w:rsid w:val="700C06A3"/>
    <w:rsid w:val="70343755"/>
    <w:rsid w:val="703A4253"/>
    <w:rsid w:val="70472BD8"/>
    <w:rsid w:val="705C4D2F"/>
    <w:rsid w:val="7061378D"/>
    <w:rsid w:val="70713977"/>
    <w:rsid w:val="707D74F2"/>
    <w:rsid w:val="70AD02FD"/>
    <w:rsid w:val="70B54896"/>
    <w:rsid w:val="70CB40BA"/>
    <w:rsid w:val="712D08D1"/>
    <w:rsid w:val="7131029F"/>
    <w:rsid w:val="714A1482"/>
    <w:rsid w:val="714D0F73"/>
    <w:rsid w:val="71700DE3"/>
    <w:rsid w:val="7178229D"/>
    <w:rsid w:val="71940950"/>
    <w:rsid w:val="71BE50D0"/>
    <w:rsid w:val="71EC078C"/>
    <w:rsid w:val="71F17B50"/>
    <w:rsid w:val="71F34B6C"/>
    <w:rsid w:val="721B32BC"/>
    <w:rsid w:val="72253C9E"/>
    <w:rsid w:val="72490A9D"/>
    <w:rsid w:val="72633132"/>
    <w:rsid w:val="72774A97"/>
    <w:rsid w:val="727D13E4"/>
    <w:rsid w:val="72850298"/>
    <w:rsid w:val="72966001"/>
    <w:rsid w:val="72A9549D"/>
    <w:rsid w:val="72DA6836"/>
    <w:rsid w:val="72DF5BFA"/>
    <w:rsid w:val="72FB055A"/>
    <w:rsid w:val="73092C77"/>
    <w:rsid w:val="731A0B7B"/>
    <w:rsid w:val="732B29BD"/>
    <w:rsid w:val="73521A35"/>
    <w:rsid w:val="735858C4"/>
    <w:rsid w:val="73695125"/>
    <w:rsid w:val="73855385"/>
    <w:rsid w:val="739468E0"/>
    <w:rsid w:val="73B64A19"/>
    <w:rsid w:val="73E804BB"/>
    <w:rsid w:val="73EF00BF"/>
    <w:rsid w:val="73F524AB"/>
    <w:rsid w:val="73F56EFA"/>
    <w:rsid w:val="746565D3"/>
    <w:rsid w:val="746C093D"/>
    <w:rsid w:val="746F2FAE"/>
    <w:rsid w:val="74995282"/>
    <w:rsid w:val="74AA2238"/>
    <w:rsid w:val="74DB27A1"/>
    <w:rsid w:val="74DC387D"/>
    <w:rsid w:val="75091655"/>
    <w:rsid w:val="753D12FE"/>
    <w:rsid w:val="75742F62"/>
    <w:rsid w:val="7589009F"/>
    <w:rsid w:val="75A5367F"/>
    <w:rsid w:val="760F2C9B"/>
    <w:rsid w:val="761A519B"/>
    <w:rsid w:val="762B0709"/>
    <w:rsid w:val="76676633"/>
    <w:rsid w:val="768C65AA"/>
    <w:rsid w:val="76A07D97"/>
    <w:rsid w:val="76A42CBE"/>
    <w:rsid w:val="76C74689"/>
    <w:rsid w:val="76E15F5A"/>
    <w:rsid w:val="76E37A90"/>
    <w:rsid w:val="76F37EC6"/>
    <w:rsid w:val="77535D48"/>
    <w:rsid w:val="77617526"/>
    <w:rsid w:val="77AE29E4"/>
    <w:rsid w:val="77F40DC0"/>
    <w:rsid w:val="77FC023B"/>
    <w:rsid w:val="786E193D"/>
    <w:rsid w:val="788F1695"/>
    <w:rsid w:val="78B1554E"/>
    <w:rsid w:val="78E74FF8"/>
    <w:rsid w:val="79116D2A"/>
    <w:rsid w:val="7927654D"/>
    <w:rsid w:val="79501F80"/>
    <w:rsid w:val="79773031"/>
    <w:rsid w:val="799205A4"/>
    <w:rsid w:val="79BA5045"/>
    <w:rsid w:val="79E46056"/>
    <w:rsid w:val="79ED654D"/>
    <w:rsid w:val="79EF46E1"/>
    <w:rsid w:val="79FC52E4"/>
    <w:rsid w:val="79FD0577"/>
    <w:rsid w:val="7A2A2530"/>
    <w:rsid w:val="7A3B22B0"/>
    <w:rsid w:val="7A731AD0"/>
    <w:rsid w:val="7A7F102C"/>
    <w:rsid w:val="7A8E77C8"/>
    <w:rsid w:val="7A965738"/>
    <w:rsid w:val="7AE15C6F"/>
    <w:rsid w:val="7AEF6BF7"/>
    <w:rsid w:val="7B5551A9"/>
    <w:rsid w:val="7B6475E5"/>
    <w:rsid w:val="7B7610C6"/>
    <w:rsid w:val="7BBB121F"/>
    <w:rsid w:val="7BD74266"/>
    <w:rsid w:val="7C174657"/>
    <w:rsid w:val="7C1C3A1B"/>
    <w:rsid w:val="7C1E3C37"/>
    <w:rsid w:val="7C5F1F27"/>
    <w:rsid w:val="7CE617A9"/>
    <w:rsid w:val="7D0E6FCB"/>
    <w:rsid w:val="7D1666BD"/>
    <w:rsid w:val="7D1D270C"/>
    <w:rsid w:val="7DB160BF"/>
    <w:rsid w:val="7DB65895"/>
    <w:rsid w:val="7DBB1A41"/>
    <w:rsid w:val="7DC77976"/>
    <w:rsid w:val="7DD6584C"/>
    <w:rsid w:val="7DDB1C6D"/>
    <w:rsid w:val="7DFD38FC"/>
    <w:rsid w:val="7E1B40AC"/>
    <w:rsid w:val="7E4046B6"/>
    <w:rsid w:val="7E663A0E"/>
    <w:rsid w:val="7E7713DD"/>
    <w:rsid w:val="7E795155"/>
    <w:rsid w:val="7E7A2C7B"/>
    <w:rsid w:val="7E8F2BCB"/>
    <w:rsid w:val="7E9957F7"/>
    <w:rsid w:val="7EA94D53"/>
    <w:rsid w:val="7EC9566B"/>
    <w:rsid w:val="7F0A2251"/>
    <w:rsid w:val="7F3A0479"/>
    <w:rsid w:val="7F700308"/>
    <w:rsid w:val="7FA51F7A"/>
    <w:rsid w:val="7FCF1D6C"/>
    <w:rsid w:val="7FF56B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22">
    <w:name w:val="Default Paragraph Font"/>
    <w:semiHidden/>
    <w:uiPriority w:val="0"/>
  </w:style>
  <w:style w:type="table" w:default="1" w:styleId="20">
    <w:name w:val="Normal Table"/>
    <w:semiHidden/>
    <w:qFormat/>
    <w:uiPriority w:val="0"/>
    <w:tblPr>
      <w:tblStyle w:val="20"/>
      <w:tblCellMar>
        <w:top w:w="0" w:type="dxa"/>
        <w:left w:w="108" w:type="dxa"/>
        <w:bottom w:w="0" w:type="dxa"/>
        <w:right w:w="108" w:type="dxa"/>
      </w:tblCellMar>
    </w:tblPr>
  </w:style>
  <w:style w:type="paragraph" w:styleId="2">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next w:val="1"/>
    <w:qFormat/>
    <w:uiPriority w:val="0"/>
    <w:pPr>
      <w:spacing w:line="300" w:lineRule="auto"/>
      <w:ind w:firstLine="200" w:firstLineChars="200"/>
      <w:jc w:val="left"/>
    </w:pPr>
    <w:rPr>
      <w:rFonts w:ascii="宋体" w:hAnsi="宋体" w:cs="宋体"/>
    </w:rPr>
  </w:style>
  <w:style w:type="paragraph" w:styleId="5">
    <w:name w:val="annotation text"/>
    <w:basedOn w:val="1"/>
    <w:link w:val="57"/>
    <w:semiHidden/>
    <w:qFormat/>
    <w:uiPriority w:val="0"/>
    <w:pPr>
      <w:jc w:val="left"/>
    </w:pPr>
    <w:rPr>
      <w:kern w:val="0"/>
      <w:sz w:val="24"/>
      <w:szCs w:val="20"/>
    </w:rPr>
  </w:style>
  <w:style w:type="paragraph" w:styleId="6">
    <w:name w:val="Salutation"/>
    <w:basedOn w:val="1"/>
    <w:next w:val="1"/>
    <w:qFormat/>
    <w:uiPriority w:val="0"/>
    <w:pPr>
      <w:widowControl/>
      <w:jc w:val="left"/>
    </w:pPr>
    <w:rPr>
      <w:kern w:val="0"/>
      <w:sz w:val="24"/>
      <w:szCs w:val="20"/>
    </w:rPr>
  </w:style>
  <w:style w:type="paragraph" w:styleId="7">
    <w:name w:val="Body Text"/>
    <w:basedOn w:val="1"/>
    <w:next w:val="8"/>
    <w:qFormat/>
    <w:uiPriority w:val="0"/>
    <w:pPr>
      <w:widowControl/>
      <w:snapToGrid w:val="0"/>
      <w:spacing w:before="60" w:after="160" w:line="259" w:lineRule="auto"/>
      <w:ind w:right="113"/>
    </w:pPr>
    <w:rPr>
      <w:kern w:val="0"/>
      <w:sz w:val="18"/>
      <w:szCs w:val="20"/>
    </w:rPr>
  </w:style>
  <w:style w:type="paragraph" w:customStyle="1" w:styleId="8">
    <w:name w:val="明显引用1"/>
    <w:next w:val="1"/>
    <w:qFormat/>
    <w:uiPriority w:val="0"/>
    <w:pPr>
      <w:wordWrap w:val="0"/>
      <w:spacing w:before="360" w:after="360"/>
      <w:ind w:left="950" w:right="950"/>
      <w:jc w:val="center"/>
    </w:pPr>
    <w:rPr>
      <w:i/>
      <w:sz w:val="21"/>
      <w:lang w:val="en-US" w:eastAsia="zh-CN" w:bidi="ar-SA"/>
    </w:rPr>
  </w:style>
  <w:style w:type="paragraph" w:styleId="9">
    <w:name w:val="Body Text Indent"/>
    <w:basedOn w:val="1"/>
    <w:next w:val="10"/>
    <w:qFormat/>
    <w:uiPriority w:val="0"/>
    <w:pPr>
      <w:spacing w:line="240" w:lineRule="auto"/>
      <w:ind w:firstLine="570" w:firstLineChars="0"/>
    </w:pPr>
    <w:rPr>
      <w:rFonts w:ascii="Times New Roman" w:hAnsi="Times New Roman" w:eastAsia="宋体" w:cs="Times New Roman"/>
      <w:szCs w:val="24"/>
    </w:rPr>
  </w:style>
  <w:style w:type="paragraph" w:customStyle="1" w:styleId="10">
    <w:name w:val="样式 正文文本缩进 + 行距: 1.5 倍行距"/>
    <w:basedOn w:val="1"/>
    <w:qFormat/>
    <w:uiPriority w:val="99"/>
    <w:pPr>
      <w:spacing w:after="120"/>
      <w:ind w:left="90" w:leftChars="32" w:firstLine="560"/>
    </w:pPr>
    <w:rPr>
      <w:rFonts w:cs="宋体"/>
      <w:szCs w:val="20"/>
    </w:rPr>
  </w:style>
  <w:style w:type="paragraph" w:styleId="11">
    <w:name w:val="Plain Text"/>
    <w:basedOn w:val="1"/>
    <w:next w:val="6"/>
    <w:unhideWhenUsed/>
    <w:qFormat/>
    <w:uiPriority w:val="99"/>
    <w:pPr>
      <w:adjustRightInd w:val="0"/>
      <w:snapToGrid w:val="0"/>
      <w:spacing w:beforeLines="50" w:after="100" w:afterAutospacing="1" w:line="440" w:lineRule="exact"/>
      <w:ind w:firstLine="480"/>
    </w:pPr>
    <w:rPr>
      <w:rFonts w:ascii="宋体" w:hAnsi="宋体"/>
      <w:color w:val="000000"/>
      <w:szCs w:val="24"/>
    </w:rPr>
  </w:style>
  <w:style w:type="paragraph" w:styleId="12">
    <w:name w:val="Balloon Text"/>
    <w:basedOn w:val="1"/>
    <w:link w:val="55"/>
    <w:uiPriority w:val="0"/>
    <w:rPr>
      <w:sz w:val="18"/>
      <w:szCs w:val="18"/>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toc 1"/>
    <w:basedOn w:val="1"/>
    <w:next w:val="1"/>
    <w:uiPriority w:val="0"/>
  </w:style>
  <w:style w:type="paragraph" w:styleId="15">
    <w:name w:val="Body Text Indent 3"/>
    <w:basedOn w:val="1"/>
    <w:qFormat/>
    <w:uiPriority w:val="0"/>
    <w:pPr>
      <w:spacing w:after="120"/>
      <w:ind w:left="420" w:leftChars="200"/>
    </w:pPr>
    <w:rPr>
      <w:sz w:val="16"/>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5"/>
    <w:next w:val="5"/>
    <w:link w:val="58"/>
    <w:uiPriority w:val="0"/>
    <w:rPr>
      <w:b/>
      <w:bCs/>
      <w:kern w:val="2"/>
      <w:sz w:val="21"/>
      <w:szCs w:val="24"/>
    </w:rPr>
  </w:style>
  <w:style w:type="paragraph" w:styleId="18">
    <w:name w:val="Body Text First Indent"/>
    <w:basedOn w:val="7"/>
    <w:next w:val="1"/>
    <w:qFormat/>
    <w:uiPriority w:val="0"/>
    <w:pPr>
      <w:ind w:firstLine="420" w:firstLineChars="100"/>
    </w:pPr>
  </w:style>
  <w:style w:type="paragraph" w:styleId="19">
    <w:name w:val="Body Text First Indent 2"/>
    <w:basedOn w:val="9"/>
    <w:next w:val="1"/>
    <w:qFormat/>
    <w:uiPriority w:val="0"/>
    <w:pPr>
      <w:ind w:firstLine="420" w:firstLineChars="200"/>
    </w:pPr>
    <w:rPr>
      <w:rFonts w:eastAsia="宋体"/>
      <w:kern w:val="2"/>
      <w:sz w:val="21"/>
      <w:szCs w:val="24"/>
      <w:lang w:val="en-US" w:eastAsia="zh-CN"/>
    </w:rPr>
  </w:style>
  <w:style w:type="table" w:styleId="21">
    <w:name w:val="Table Grid"/>
    <w:basedOn w:val="20"/>
    <w:qFormat/>
    <w:uiPriority w:val="39"/>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uiPriority w:val="0"/>
    <w:rPr>
      <w:color w:val="0000FF"/>
      <w:u w:val="single"/>
    </w:rPr>
  </w:style>
  <w:style w:type="character" w:styleId="24">
    <w:name w:val="annotation reference"/>
    <w:uiPriority w:val="0"/>
    <w:rPr>
      <w:sz w:val="21"/>
      <w:szCs w:val="21"/>
    </w:rPr>
  </w:style>
  <w:style w:type="paragraph" w:customStyle="1" w:styleId="25">
    <w:name w:val="xl27"/>
    <w:basedOn w:val="1"/>
    <w:qFormat/>
    <w:uiPriority w:val="0"/>
    <w:pPr>
      <w:widowControl/>
      <w:pBdr>
        <w:bottom w:val="single" w:color="auto" w:sz="12" w:space="0"/>
      </w:pBdr>
      <w:spacing w:before="100" w:after="100"/>
      <w:jc w:val="center"/>
    </w:pPr>
    <w:rPr>
      <w:rFonts w:ascii="宋体"/>
      <w:kern w:val="0"/>
      <w:sz w:val="20"/>
      <w:szCs w:val="20"/>
    </w:rPr>
  </w:style>
  <w:style w:type="paragraph" w:customStyle="1" w:styleId="26">
    <w:name w:val="Default"/>
    <w:basedOn w:val="27"/>
    <w:qFormat/>
    <w:uiPriority w:val="0"/>
    <w:pPr>
      <w:autoSpaceDE w:val="0"/>
      <w:autoSpaceDN w:val="0"/>
    </w:pPr>
    <w:rPr>
      <w:rFonts w:cs="宋体"/>
      <w:color w:val="000000"/>
      <w:sz w:val="24"/>
      <w:szCs w:val="24"/>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样式 首行缩进"/>
    <w:basedOn w:val="1"/>
    <w:qFormat/>
    <w:uiPriority w:val="0"/>
    <w:pPr>
      <w:spacing w:before="60" w:after="60"/>
    </w:pPr>
    <w:rPr>
      <w:rFonts w:cs="宋体"/>
      <w:szCs w:val="20"/>
    </w:rPr>
  </w:style>
  <w:style w:type="paragraph" w:customStyle="1" w:styleId="29">
    <w:name w:val="报告表格"/>
    <w:basedOn w:val="1"/>
    <w:next w:val="1"/>
    <w:qFormat/>
    <w:uiPriority w:val="0"/>
    <w:pPr>
      <w:autoSpaceDE w:val="0"/>
      <w:autoSpaceDN w:val="0"/>
      <w:adjustRightInd w:val="0"/>
      <w:snapToGrid w:val="0"/>
      <w:spacing w:line="320" w:lineRule="exact"/>
      <w:jc w:val="left"/>
      <w:textAlignment w:val="bottom"/>
    </w:pPr>
    <w:rPr>
      <w:rFonts w:ascii="宋体" w:hAnsi="宋体"/>
      <w:kern w:val="0"/>
      <w:szCs w:val="20"/>
    </w:rPr>
  </w:style>
  <w:style w:type="table" w:customStyle="1" w:styleId="30">
    <w:name w:val="Table Normal"/>
    <w:unhideWhenUsed/>
    <w:qFormat/>
    <w:uiPriority w:val="0"/>
    <w:rPr>
      <w:lang w:val="en-US" w:eastAsia="zh-CN" w:bidi="ar-SA"/>
    </w:rPr>
    <w:tblPr>
      <w:tblStyle w:val="20"/>
      <w:tblCellMar>
        <w:top w:w="0" w:type="dxa"/>
        <w:left w:w="0" w:type="dxa"/>
        <w:bottom w:w="0" w:type="dxa"/>
        <w:right w:w="0" w:type="dxa"/>
      </w:tblCellMar>
    </w:tblPr>
  </w:style>
  <w:style w:type="paragraph" w:customStyle="1" w:styleId="31">
    <w:name w:val="表头"/>
    <w:basedOn w:val="1"/>
    <w:next w:val="1"/>
    <w:qFormat/>
    <w:uiPriority w:val="0"/>
    <w:pPr>
      <w:jc w:val="center"/>
    </w:pPr>
    <w:rPr>
      <w:b/>
      <w:szCs w:val="20"/>
    </w:rPr>
  </w:style>
  <w:style w:type="paragraph" w:customStyle="1" w:styleId="32">
    <w:name w:val="1、正文文本"/>
    <w:next w:val="1"/>
    <w:link w:val="56"/>
    <w:qFormat/>
    <w:uiPriority w:val="0"/>
    <w:pPr>
      <w:adjustRightInd w:val="0"/>
      <w:snapToGrid w:val="0"/>
      <w:spacing w:line="360" w:lineRule="auto"/>
      <w:ind w:firstLine="200" w:firstLineChars="200"/>
      <w:jc w:val="both"/>
    </w:pPr>
    <w:rPr>
      <w:kern w:val="2"/>
      <w:sz w:val="24"/>
      <w:lang w:bidi="ar-SA"/>
    </w:rPr>
  </w:style>
  <w:style w:type="paragraph" w:customStyle="1" w:styleId="33">
    <w:name w:val="1_正文"/>
    <w:basedOn w:val="1"/>
    <w:qFormat/>
    <w:uiPriority w:val="0"/>
    <w:pPr>
      <w:adjustRightInd w:val="0"/>
      <w:snapToGrid w:val="0"/>
      <w:spacing w:line="360" w:lineRule="auto"/>
      <w:ind w:firstLine="480" w:firstLineChars="200"/>
    </w:pPr>
    <w:rPr>
      <w:color w:val="000000"/>
      <w:sz w:val="24"/>
      <w:szCs w:val="21"/>
    </w:rPr>
  </w:style>
  <w:style w:type="paragraph" w:customStyle="1" w:styleId="34">
    <w:name w:val="【表头】"/>
    <w:basedOn w:val="1"/>
    <w:qFormat/>
    <w:uiPriority w:val="0"/>
    <w:pPr>
      <w:spacing w:before="120" w:line="312" w:lineRule="auto"/>
      <w:jc w:val="center"/>
    </w:pPr>
    <w:rPr>
      <w:b/>
      <w:sz w:val="24"/>
      <w:szCs w:val="24"/>
    </w:rPr>
  </w:style>
  <w:style w:type="paragraph" w:customStyle="1" w:styleId="35">
    <w:name w:val="表格字体"/>
    <w:basedOn w:val="1"/>
    <w:qFormat/>
    <w:uiPriority w:val="0"/>
    <w:pPr>
      <w:widowControl/>
      <w:jc w:val="center"/>
    </w:pPr>
  </w:style>
  <w:style w:type="character" w:customStyle="1" w:styleId="36">
    <w:name w:val="NormalCharacter"/>
    <w:qFormat/>
    <w:uiPriority w:val="0"/>
  </w:style>
  <w:style w:type="paragraph" w:customStyle="1" w:styleId="37">
    <w:name w:val="表格"/>
    <w:basedOn w:val="38"/>
    <w:next w:val="40"/>
    <w:qFormat/>
    <w:uiPriority w:val="0"/>
    <w:pPr>
      <w:adjustRightInd w:val="0"/>
      <w:snapToGrid w:val="0"/>
      <w:spacing w:beforeLines="10" w:afterLines="10" w:line="259" w:lineRule="auto"/>
      <w:jc w:val="center"/>
    </w:pPr>
    <w:rPr>
      <w:rFonts w:ascii="宋体"/>
      <w:kern w:val="0"/>
      <w:szCs w:val="20"/>
    </w:rPr>
  </w:style>
  <w:style w:type="paragraph" w:customStyle="1" w:styleId="38">
    <w:name w:val="二级正文"/>
    <w:basedOn w:val="39"/>
    <w:next w:val="1"/>
    <w:qFormat/>
    <w:uiPriority w:val="0"/>
    <w:pPr>
      <w:ind w:firstLine="562" w:firstLineChars="200"/>
    </w:pPr>
  </w:style>
  <w:style w:type="paragraph" w:customStyle="1" w:styleId="39">
    <w:name w:val="一级正文"/>
    <w:basedOn w:val="1"/>
    <w:next w:val="1"/>
    <w:qFormat/>
    <w:uiPriority w:val="0"/>
    <w:rPr>
      <w:b/>
    </w:rPr>
  </w:style>
  <w:style w:type="paragraph" w:customStyle="1" w:styleId="40">
    <w:name w:val="正文首行"/>
    <w:basedOn w:val="4"/>
    <w:qFormat/>
    <w:uiPriority w:val="0"/>
    <w:pPr>
      <w:spacing w:line="480" w:lineRule="exact"/>
      <w:ind w:firstLine="200"/>
    </w:pPr>
  </w:style>
  <w:style w:type="paragraph" w:customStyle="1" w:styleId="41">
    <w:name w:val="表文字"/>
    <w:basedOn w:val="1"/>
    <w:qFormat/>
    <w:uiPriority w:val="0"/>
    <w:pPr>
      <w:tabs>
        <w:tab w:val="left" w:pos="945"/>
        <w:tab w:val="right" w:leader="dot" w:pos="1155"/>
        <w:tab w:val="left" w:pos="8715"/>
      </w:tabs>
      <w:adjustRightInd w:val="0"/>
      <w:snapToGrid w:val="0"/>
      <w:jc w:val="center"/>
      <w:textAlignment w:val="baseline"/>
    </w:pPr>
    <w:rPr>
      <w:snapToGrid w:val="0"/>
      <w:color w:val="000000"/>
      <w:kern w:val="0"/>
      <w:szCs w:val="9"/>
    </w:rPr>
  </w:style>
  <w:style w:type="paragraph" w:customStyle="1" w:styleId="42">
    <w:name w:val="表内文字"/>
    <w:basedOn w:val="1"/>
    <w:qFormat/>
    <w:uiPriority w:val="0"/>
    <w:pPr>
      <w:jc w:val="center"/>
    </w:pPr>
    <w:rPr>
      <w:rFonts w:eastAsia="Times New Roman"/>
      <w:kern w:val="44"/>
      <w:szCs w:val="20"/>
    </w:rPr>
  </w:style>
  <w:style w:type="paragraph" w:customStyle="1" w:styleId="43">
    <w:name w:val="翔一正文"/>
    <w:basedOn w:val="1"/>
    <w:next w:val="1"/>
    <w:semiHidden/>
    <w:qFormat/>
    <w:uiPriority w:val="0"/>
    <w:pPr>
      <w:spacing w:line="360" w:lineRule="auto"/>
      <w:ind w:firstLine="1446" w:firstLineChars="200"/>
    </w:pPr>
    <w:rPr>
      <w:sz w:val="24"/>
    </w:rPr>
  </w:style>
  <w:style w:type="paragraph" w:customStyle="1" w:styleId="44">
    <w:name w:val="S报告正文"/>
    <w:basedOn w:val="1"/>
    <w:qFormat/>
    <w:uiPriority w:val="0"/>
    <w:pPr>
      <w:adjustRightInd w:val="0"/>
      <w:snapToGrid w:val="0"/>
      <w:spacing w:line="480" w:lineRule="exact"/>
      <w:ind w:firstLine="510"/>
      <w:jc w:val="left"/>
    </w:pPr>
    <w:rPr>
      <w:sz w:val="24"/>
    </w:rPr>
  </w:style>
  <w:style w:type="paragraph" w:customStyle="1" w:styleId="45">
    <w:name w:val="中气表头"/>
    <w:basedOn w:val="1"/>
    <w:qFormat/>
    <w:uiPriority w:val="0"/>
    <w:pPr>
      <w:jc w:val="center"/>
    </w:pPr>
    <w:rPr>
      <w:rFonts w:eastAsia="黑体"/>
      <w:b/>
      <w:szCs w:val="21"/>
    </w:rPr>
  </w:style>
  <w:style w:type="paragraph" w:customStyle="1" w:styleId="46">
    <w:name w:val="样式 表格 32 + 首行缩进:  2 字符"/>
    <w:basedOn w:val="1"/>
    <w:qFormat/>
    <w:uiPriority w:val="0"/>
    <w:pPr>
      <w:autoSpaceDE w:val="0"/>
      <w:autoSpaceDN w:val="0"/>
      <w:spacing w:line="0" w:lineRule="atLeast"/>
      <w:jc w:val="center"/>
    </w:pPr>
    <w:rPr>
      <w:rFonts w:cs="宋体"/>
      <w:szCs w:val="21"/>
    </w:rPr>
  </w:style>
  <w:style w:type="paragraph" w:customStyle="1" w:styleId="47">
    <w:name w:val="大表内容"/>
    <w:qFormat/>
    <w:uiPriority w:val="0"/>
    <w:pPr>
      <w:snapToGrid w:val="0"/>
      <w:jc w:val="center"/>
    </w:pPr>
    <w:rPr>
      <w:sz w:val="21"/>
      <w:lang w:val="en-US" w:eastAsia="zh-CN" w:bidi="ar-SA"/>
    </w:rPr>
  </w:style>
  <w:style w:type="paragraph" w:customStyle="1" w:styleId="48">
    <w:name w:val="Table Paragraph"/>
    <w:basedOn w:val="1"/>
    <w:qFormat/>
    <w:uiPriority w:val="1"/>
    <w:rPr>
      <w:rFonts w:ascii="宋体" w:hAnsi="宋体" w:eastAsia="宋体" w:cs="宋体"/>
      <w:lang w:val="zh-CN" w:eastAsia="zh-CN" w:bidi="zh-CN"/>
    </w:rPr>
  </w:style>
  <w:style w:type="paragraph" w:customStyle="1" w:styleId="49">
    <w:name w:val="样式 报告表正文 + 加粗 黑色 左 行距: 多倍行距 1.3 字行"/>
    <w:basedOn w:val="1"/>
    <w:qFormat/>
    <w:uiPriority w:val="0"/>
    <w:pPr>
      <w:spacing w:line="360" w:lineRule="auto"/>
      <w:ind w:left="113" w:right="113" w:firstLine="482" w:firstLineChars="200"/>
      <w:outlineLvl w:val="0"/>
    </w:pPr>
    <w:rPr>
      <w:rFonts w:ascii="Times New Roman" w:hAnsi="Times New Roman"/>
      <w:b/>
    </w:rPr>
  </w:style>
  <w:style w:type="paragraph" w:customStyle="1" w:styleId="50">
    <w:name w:val="表格名称"/>
    <w:basedOn w:val="1"/>
    <w:next w:val="1"/>
    <w:qFormat/>
    <w:uiPriority w:val="0"/>
    <w:pPr>
      <w:keepNext/>
      <w:widowControl/>
      <w:wordWrap w:val="0"/>
      <w:topLinePunct/>
      <w:adjustRightInd w:val="0"/>
      <w:snapToGrid w:val="0"/>
      <w:jc w:val="center"/>
      <w:outlineLvl w:val="3"/>
    </w:pPr>
    <w:rPr>
      <w:b/>
      <w:bCs/>
      <w:snapToGrid w:val="0"/>
      <w:kern w:val="18"/>
      <w:lang w:val="eu-ES"/>
    </w:rPr>
  </w:style>
  <w:style w:type="paragraph" w:customStyle="1" w:styleId="51">
    <w:name w:val="表格内容"/>
    <w:basedOn w:val="1"/>
    <w:next w:val="1"/>
    <w:qFormat/>
    <w:uiPriority w:val="0"/>
    <w:pPr>
      <w:tabs>
        <w:tab w:val="left" w:pos="146"/>
      </w:tabs>
      <w:adjustRightInd w:val="0"/>
      <w:snapToGrid w:val="0"/>
      <w:spacing w:line="240" w:lineRule="auto"/>
      <w:jc w:val="center"/>
    </w:pPr>
    <w:rPr>
      <w:snapToGrid w:val="0"/>
      <w:spacing w:val="6"/>
      <w:kern w:val="21"/>
      <w:sz w:val="21"/>
      <w:szCs w:val="20"/>
    </w:rPr>
  </w:style>
  <w:style w:type="character" w:customStyle="1" w:styleId="52">
    <w:name w:val="表格文字 字符"/>
    <w:qFormat/>
    <w:uiPriority w:val="0"/>
    <w:rPr>
      <w:rFonts w:ascii="Times New Roman" w:hAnsi="Times New Roman" w:eastAsia="宋体" w:cs="Times New Roman"/>
      <w:bCs/>
    </w:rPr>
  </w:style>
  <w:style w:type="paragraph" w:customStyle="1" w:styleId="53">
    <w:name w:val="表例"/>
    <w:basedOn w:val="1"/>
    <w:qFormat/>
    <w:uiPriority w:val="0"/>
    <w:pPr>
      <w:autoSpaceDE w:val="0"/>
      <w:autoSpaceDN w:val="0"/>
      <w:jc w:val="center"/>
    </w:pPr>
    <w:rPr>
      <w:rFonts w:ascii="宋体" w:hAnsi="宋体" w:cs="宋体"/>
      <w:b/>
      <w:kern w:val="0"/>
      <w:sz w:val="22"/>
      <w:szCs w:val="22"/>
      <w:lang w:val="zh-CN" w:bidi="zh-CN"/>
    </w:rPr>
  </w:style>
  <w:style w:type="paragraph" w:styleId="54">
    <w:name w:val="List Paragraph"/>
    <w:basedOn w:val="1"/>
    <w:qFormat/>
    <w:uiPriority w:val="1"/>
    <w:pPr>
      <w:ind w:left="1319" w:hanging="602"/>
    </w:pPr>
  </w:style>
  <w:style w:type="character" w:customStyle="1" w:styleId="55">
    <w:name w:val="批注框文本 Char"/>
    <w:link w:val="12"/>
    <w:uiPriority w:val="0"/>
    <w:rPr>
      <w:kern w:val="2"/>
      <w:sz w:val="18"/>
      <w:szCs w:val="18"/>
    </w:rPr>
  </w:style>
  <w:style w:type="character" w:customStyle="1" w:styleId="56">
    <w:name w:val="1、正文文本 Char"/>
    <w:link w:val="32"/>
    <w:uiPriority w:val="0"/>
    <w:rPr>
      <w:kern w:val="2"/>
      <w:sz w:val="24"/>
      <w:lang w:bidi="ar-SA"/>
    </w:rPr>
  </w:style>
  <w:style w:type="character" w:customStyle="1" w:styleId="57">
    <w:name w:val="批注文字 字符"/>
    <w:link w:val="5"/>
    <w:semiHidden/>
    <w:uiPriority w:val="0"/>
    <w:rPr>
      <w:sz w:val="24"/>
    </w:rPr>
  </w:style>
  <w:style w:type="character" w:customStyle="1" w:styleId="58">
    <w:name w:val="批注主题 字符"/>
    <w:link w:val="17"/>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53</Pages>
  <Words>12458</Words>
  <Characters>13558</Characters>
  <Lines>274</Lines>
  <Paragraphs>77</Paragraphs>
  <TotalTime>0</TotalTime>
  <ScaleCrop>false</ScaleCrop>
  <LinksUpToDate>false</LinksUpToDate>
  <CharactersWithSpaces>13661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2022-11-16T03:12:00Z</dcterms:created>
  <dc:creator>yangjing</dc:creator>
  <cp:lastModifiedBy>符号</cp:lastModifiedBy>
  <cp:lastPrinted>2023-03-23T09:35:00Z</cp:lastPrinted>
  <dcterms:modified xsi:type="dcterms:W3CDTF">2026-03-13T03:55:16Z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CE4BF30DF9D8467C90AF624AC5BA7874_13</vt:lpwstr>
  </property>
  <property fmtid="{D5CDD505-2E9C-101B-9397-08002B2CF9AE}" pid="4" name="KSOTemplateDocerSaveRecord">
    <vt:lpwstr>eyJoZGlkIjoiZDBhMjlkMWVkOWU1MmNmYmI1OWFkYmZkZTE3YTZjZTQiLCJ1c2VySWQiOiIzNjE2NjA5NTcifQ==</vt:lpwstr>
  </property>
</Properties>
</file>