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9D9" w:rsidRDefault="00A67124">
      <w:pPr>
        <w:rPr>
          <w:rFonts w:ascii="Arial" w:eastAsia="Arial" w:hAnsi="Arial" w:cs="Arial"/>
          <w:b/>
          <w:sz w:val="36"/>
        </w:rPr>
      </w:pPr>
      <w:r>
        <w:rPr>
          <w:rFonts w:ascii="Arial" w:eastAsia="Arial" w:hAnsi="Arial" w:cs="Arial"/>
          <w:b/>
          <w:sz w:val="36"/>
        </w:rPr>
        <w:t>监督索引号53012670531600101000</w:t>
      </w:r>
    </w:p>
    <w:p w:rsidR="007579D9" w:rsidRDefault="007579D9">
      <w:pPr>
        <w:jc w:val="center"/>
        <w:outlineLvl w:val="0"/>
        <w:rPr>
          <w:rFonts w:ascii="方正小标宋简体" w:eastAsia="方正小标宋简体" w:hAnsi="方正小标宋简体"/>
          <w:sz w:val="36"/>
          <w:lang w:val="zh-CN"/>
        </w:rPr>
      </w:pPr>
    </w:p>
    <w:p w:rsidR="007579D9" w:rsidRDefault="00A67124">
      <w:pPr>
        <w:jc w:val="center"/>
        <w:outlineLvl w:val="0"/>
        <w:rPr>
          <w:rFonts w:ascii="方正小标宋简体" w:eastAsia="方正小标宋简体" w:hAnsi="方正小标宋简体"/>
          <w:sz w:val="36"/>
          <w:lang w:val="zh-CN"/>
        </w:rPr>
      </w:pPr>
      <w:r>
        <w:rPr>
          <w:rFonts w:ascii="方正小标宋简体" w:eastAsia="方正小标宋简体" w:hAnsi="方正小标宋简体" w:hint="eastAsia"/>
          <w:sz w:val="36"/>
          <w:lang w:val="zh-CN"/>
        </w:rPr>
        <w:t>石林彝族自治县人力资源和社会保障局（本级）</w:t>
      </w:r>
    </w:p>
    <w:p w:rsidR="007579D9" w:rsidRDefault="00A67124">
      <w:pPr>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2024年度部门决算</w:t>
      </w:r>
    </w:p>
    <w:p w:rsidR="007579D9" w:rsidRDefault="007579D9">
      <w:pPr>
        <w:rPr>
          <w:rFonts w:ascii="方正小标宋简体" w:eastAsia="方正小标宋简体" w:hAnsi="方正小标宋简体" w:cs="方正小标宋简体"/>
          <w:sz w:val="36"/>
          <w:szCs w:val="36"/>
        </w:rPr>
      </w:pPr>
    </w:p>
    <w:p w:rsidR="007579D9" w:rsidRDefault="00A67124">
      <w:pPr>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目录</w:t>
      </w:r>
    </w:p>
    <w:p w:rsidR="007579D9" w:rsidRDefault="007579D9">
      <w:pPr>
        <w:jc w:val="left"/>
        <w:rPr>
          <w:rFonts w:ascii="黑体" w:eastAsia="黑体" w:hAnsi="黑体"/>
          <w:sz w:val="30"/>
          <w:szCs w:val="30"/>
        </w:rPr>
      </w:pPr>
    </w:p>
    <w:p w:rsidR="007579D9" w:rsidRDefault="00A67124">
      <w:pPr>
        <w:jc w:val="left"/>
        <w:outlineLvl w:val="0"/>
        <w:rPr>
          <w:rFonts w:ascii="黑体" w:eastAsia="黑体" w:hAnsi="黑体"/>
          <w:sz w:val="30"/>
          <w:szCs w:val="30"/>
        </w:rPr>
      </w:pPr>
      <w:r>
        <w:rPr>
          <w:rFonts w:ascii="黑体" w:eastAsia="黑体" w:hAnsi="黑体" w:hint="eastAsia"/>
          <w:sz w:val="30"/>
          <w:szCs w:val="30"/>
        </w:rPr>
        <w:t>第一部分  单位概况</w:t>
      </w:r>
    </w:p>
    <w:p w:rsidR="007579D9" w:rsidRDefault="00A67124">
      <w:pPr>
        <w:spacing w:line="240" w:lineRule="atLeast"/>
        <w:jc w:val="left"/>
        <w:outlineLvl w:val="1"/>
        <w:rPr>
          <w:rFonts w:ascii="楷体" w:eastAsia="楷体" w:hAnsi="楷体"/>
          <w:sz w:val="30"/>
          <w:szCs w:val="30"/>
        </w:rPr>
      </w:pPr>
      <w:r>
        <w:rPr>
          <w:rFonts w:ascii="楷体" w:eastAsia="楷体" w:hAnsi="楷体" w:hint="eastAsia"/>
          <w:sz w:val="30"/>
          <w:szCs w:val="30"/>
        </w:rPr>
        <w:t>一、主要职能</w:t>
      </w:r>
    </w:p>
    <w:p w:rsidR="007579D9" w:rsidRDefault="00A67124">
      <w:pPr>
        <w:spacing w:line="240" w:lineRule="atLeast"/>
        <w:jc w:val="left"/>
        <w:outlineLvl w:val="1"/>
        <w:rPr>
          <w:rFonts w:ascii="楷体" w:eastAsia="楷体" w:hAnsi="楷体"/>
          <w:sz w:val="30"/>
          <w:szCs w:val="30"/>
        </w:rPr>
      </w:pPr>
      <w:r>
        <w:rPr>
          <w:rFonts w:ascii="楷体" w:eastAsia="楷体" w:hAnsi="楷体" w:hint="eastAsia"/>
          <w:sz w:val="30"/>
          <w:szCs w:val="30"/>
        </w:rPr>
        <w:t>二、单位基本情况</w:t>
      </w:r>
    </w:p>
    <w:p w:rsidR="007579D9" w:rsidRDefault="00A67124">
      <w:pPr>
        <w:spacing w:line="240" w:lineRule="atLeast"/>
        <w:jc w:val="left"/>
        <w:outlineLvl w:val="1"/>
        <w:rPr>
          <w:rFonts w:ascii="楷体" w:eastAsia="楷体" w:hAnsi="楷体"/>
          <w:sz w:val="30"/>
          <w:szCs w:val="30"/>
        </w:rPr>
      </w:pPr>
      <w:r>
        <w:rPr>
          <w:rFonts w:ascii="楷体" w:eastAsia="楷体" w:hAnsi="楷体" w:hint="eastAsia"/>
          <w:sz w:val="30"/>
          <w:szCs w:val="30"/>
        </w:rPr>
        <w:t>三、重点工作概述</w:t>
      </w:r>
    </w:p>
    <w:p w:rsidR="007579D9" w:rsidRDefault="00A67124">
      <w:pPr>
        <w:jc w:val="left"/>
        <w:outlineLvl w:val="0"/>
        <w:rPr>
          <w:rFonts w:ascii="黑体" w:eastAsia="黑体" w:hAnsi="黑体"/>
          <w:sz w:val="30"/>
          <w:szCs w:val="30"/>
        </w:rPr>
      </w:pPr>
      <w:r>
        <w:rPr>
          <w:rFonts w:ascii="黑体" w:eastAsia="黑体" w:hAnsi="黑体" w:hint="eastAsia"/>
          <w:sz w:val="30"/>
          <w:szCs w:val="30"/>
        </w:rPr>
        <w:t>第二部分  2024年度部门决算表</w:t>
      </w:r>
    </w:p>
    <w:p w:rsidR="007579D9" w:rsidRDefault="00A67124">
      <w:pPr>
        <w:jc w:val="left"/>
        <w:outlineLvl w:val="1"/>
        <w:rPr>
          <w:rFonts w:ascii="楷体" w:eastAsia="楷体" w:hAnsi="楷体"/>
          <w:sz w:val="30"/>
          <w:szCs w:val="30"/>
        </w:rPr>
      </w:pPr>
      <w:r>
        <w:rPr>
          <w:rFonts w:ascii="楷体" w:eastAsia="楷体" w:hAnsi="楷体" w:hint="eastAsia"/>
          <w:sz w:val="30"/>
          <w:szCs w:val="30"/>
        </w:rPr>
        <w:t>一、收入支出决算表</w:t>
      </w:r>
    </w:p>
    <w:p w:rsidR="007579D9" w:rsidRDefault="00A67124">
      <w:pPr>
        <w:jc w:val="left"/>
        <w:outlineLvl w:val="1"/>
        <w:rPr>
          <w:rFonts w:ascii="楷体" w:eastAsia="楷体" w:hAnsi="楷体"/>
          <w:sz w:val="30"/>
          <w:szCs w:val="30"/>
        </w:rPr>
      </w:pPr>
      <w:r>
        <w:rPr>
          <w:rFonts w:ascii="楷体" w:eastAsia="楷体" w:hAnsi="楷体" w:hint="eastAsia"/>
          <w:sz w:val="30"/>
          <w:szCs w:val="30"/>
        </w:rPr>
        <w:t>二、收入决算表</w:t>
      </w:r>
    </w:p>
    <w:p w:rsidR="007579D9" w:rsidRDefault="00A67124">
      <w:pPr>
        <w:jc w:val="left"/>
        <w:outlineLvl w:val="1"/>
        <w:rPr>
          <w:rFonts w:ascii="楷体" w:eastAsia="楷体" w:hAnsi="楷体"/>
          <w:sz w:val="30"/>
          <w:szCs w:val="30"/>
        </w:rPr>
      </w:pPr>
      <w:r>
        <w:rPr>
          <w:rFonts w:ascii="楷体" w:eastAsia="楷体" w:hAnsi="楷体" w:hint="eastAsia"/>
          <w:sz w:val="30"/>
          <w:szCs w:val="30"/>
        </w:rPr>
        <w:t>三、支出决算表</w:t>
      </w:r>
    </w:p>
    <w:p w:rsidR="007579D9" w:rsidRDefault="00A67124">
      <w:pPr>
        <w:jc w:val="left"/>
        <w:outlineLvl w:val="1"/>
        <w:rPr>
          <w:rFonts w:ascii="楷体" w:eastAsia="楷体" w:hAnsi="楷体"/>
          <w:sz w:val="30"/>
          <w:szCs w:val="30"/>
        </w:rPr>
      </w:pPr>
      <w:r>
        <w:rPr>
          <w:rFonts w:ascii="楷体" w:eastAsia="楷体" w:hAnsi="楷体" w:hint="eastAsia"/>
          <w:sz w:val="30"/>
          <w:szCs w:val="30"/>
        </w:rPr>
        <w:t>四、财政拨款收入支出决算表</w:t>
      </w:r>
    </w:p>
    <w:p w:rsidR="007579D9" w:rsidRDefault="00A67124">
      <w:pPr>
        <w:jc w:val="left"/>
        <w:outlineLvl w:val="1"/>
        <w:rPr>
          <w:rFonts w:ascii="楷体" w:eastAsia="楷体" w:hAnsi="楷体"/>
          <w:sz w:val="30"/>
          <w:szCs w:val="30"/>
        </w:rPr>
      </w:pPr>
      <w:r>
        <w:rPr>
          <w:rFonts w:ascii="楷体" w:eastAsia="楷体" w:hAnsi="楷体" w:hint="eastAsia"/>
          <w:sz w:val="30"/>
          <w:szCs w:val="30"/>
        </w:rPr>
        <w:t>五、一般公共预算财政拨款收入支出决算表</w:t>
      </w:r>
    </w:p>
    <w:p w:rsidR="007579D9" w:rsidRDefault="00A67124">
      <w:pPr>
        <w:jc w:val="left"/>
        <w:outlineLvl w:val="1"/>
        <w:rPr>
          <w:rFonts w:ascii="楷体" w:eastAsia="楷体" w:hAnsi="楷体"/>
          <w:sz w:val="30"/>
          <w:szCs w:val="30"/>
        </w:rPr>
      </w:pPr>
      <w:r>
        <w:rPr>
          <w:rFonts w:ascii="楷体" w:eastAsia="楷体" w:hAnsi="楷体" w:hint="eastAsia"/>
          <w:sz w:val="30"/>
          <w:szCs w:val="30"/>
        </w:rPr>
        <w:t>六、一般公共预算财政拨款基本支出决算表</w:t>
      </w:r>
    </w:p>
    <w:p w:rsidR="007579D9" w:rsidRDefault="00A67124">
      <w:pPr>
        <w:jc w:val="left"/>
        <w:outlineLvl w:val="1"/>
        <w:rPr>
          <w:rFonts w:ascii="楷体" w:eastAsia="楷体" w:hAnsi="楷体"/>
          <w:sz w:val="30"/>
          <w:szCs w:val="30"/>
        </w:rPr>
      </w:pPr>
      <w:r>
        <w:rPr>
          <w:rFonts w:ascii="楷体" w:eastAsia="楷体" w:hAnsi="楷体" w:hint="eastAsia"/>
          <w:sz w:val="30"/>
          <w:szCs w:val="30"/>
        </w:rPr>
        <w:t>七、一般公共预算财政拨款项目支出决算表</w:t>
      </w:r>
    </w:p>
    <w:p w:rsidR="007579D9" w:rsidRDefault="00A67124">
      <w:pPr>
        <w:jc w:val="left"/>
        <w:outlineLvl w:val="1"/>
        <w:rPr>
          <w:rFonts w:ascii="楷体" w:eastAsia="楷体" w:hAnsi="楷体"/>
          <w:sz w:val="30"/>
          <w:szCs w:val="30"/>
        </w:rPr>
      </w:pPr>
      <w:r>
        <w:rPr>
          <w:rFonts w:ascii="楷体" w:eastAsia="楷体" w:hAnsi="楷体" w:hint="eastAsia"/>
          <w:sz w:val="30"/>
          <w:szCs w:val="30"/>
        </w:rPr>
        <w:t>八、政府性基金预算财政拨款收入支出决算表</w:t>
      </w:r>
    </w:p>
    <w:p w:rsidR="007579D9" w:rsidRDefault="00A67124">
      <w:pPr>
        <w:jc w:val="left"/>
        <w:outlineLvl w:val="1"/>
        <w:rPr>
          <w:rFonts w:ascii="楷体" w:eastAsia="楷体" w:hAnsi="楷体"/>
          <w:sz w:val="30"/>
          <w:szCs w:val="30"/>
        </w:rPr>
      </w:pPr>
      <w:r>
        <w:rPr>
          <w:rFonts w:ascii="楷体" w:eastAsia="楷体" w:hAnsi="楷体" w:hint="eastAsia"/>
          <w:sz w:val="30"/>
          <w:szCs w:val="30"/>
        </w:rPr>
        <w:t>九、国有资本经营预算财政拨款收入支出决算表</w:t>
      </w:r>
    </w:p>
    <w:p w:rsidR="007579D9" w:rsidRDefault="00A67124">
      <w:pPr>
        <w:jc w:val="left"/>
        <w:outlineLvl w:val="1"/>
        <w:rPr>
          <w:rFonts w:ascii="楷体" w:eastAsia="楷体" w:hAnsi="楷体"/>
          <w:sz w:val="30"/>
          <w:szCs w:val="30"/>
        </w:rPr>
      </w:pPr>
      <w:r>
        <w:rPr>
          <w:rFonts w:ascii="楷体" w:eastAsia="楷体" w:hAnsi="楷体" w:hint="eastAsia"/>
          <w:sz w:val="30"/>
          <w:szCs w:val="30"/>
        </w:rPr>
        <w:lastRenderedPageBreak/>
        <w:t>十、财政拨款“三公”经费、行政参公单位机关运行经费情况表</w:t>
      </w:r>
    </w:p>
    <w:p w:rsidR="007579D9" w:rsidRDefault="00A67124">
      <w:pPr>
        <w:jc w:val="left"/>
        <w:outlineLvl w:val="1"/>
        <w:rPr>
          <w:rFonts w:ascii="楷体" w:eastAsia="楷体" w:hAnsi="楷体" w:hint="eastAsia"/>
          <w:sz w:val="30"/>
          <w:szCs w:val="30"/>
        </w:rPr>
      </w:pPr>
      <w:r>
        <w:rPr>
          <w:rFonts w:ascii="楷体" w:eastAsia="楷体" w:hAnsi="楷体" w:hint="eastAsia"/>
          <w:sz w:val="30"/>
          <w:szCs w:val="30"/>
        </w:rPr>
        <w:t>十一、一般公共预算财政拨款“三公”经费情况表</w:t>
      </w:r>
    </w:p>
    <w:p w:rsidR="006B2C58" w:rsidRDefault="006B2C58">
      <w:pPr>
        <w:jc w:val="left"/>
        <w:outlineLvl w:val="1"/>
        <w:rPr>
          <w:rFonts w:ascii="楷体" w:eastAsia="楷体" w:hAnsi="楷体" w:hint="eastAsia"/>
          <w:sz w:val="30"/>
          <w:szCs w:val="30"/>
        </w:rPr>
      </w:pPr>
      <w:r>
        <w:rPr>
          <w:rFonts w:ascii="楷体" w:eastAsia="楷体" w:hAnsi="楷体" w:hint="eastAsia"/>
          <w:sz w:val="30"/>
          <w:szCs w:val="30"/>
        </w:rPr>
        <w:t>十二、2024年度部门整体支出绩效自评情况</w:t>
      </w:r>
    </w:p>
    <w:p w:rsidR="006B2C58" w:rsidRDefault="006B2C58">
      <w:pPr>
        <w:jc w:val="left"/>
        <w:outlineLvl w:val="1"/>
        <w:rPr>
          <w:rFonts w:ascii="楷体" w:eastAsia="楷体" w:hAnsi="楷体" w:hint="eastAsia"/>
          <w:sz w:val="30"/>
          <w:szCs w:val="30"/>
        </w:rPr>
      </w:pPr>
      <w:r>
        <w:rPr>
          <w:rFonts w:ascii="楷体" w:eastAsia="楷体" w:hAnsi="楷体" w:hint="eastAsia"/>
          <w:sz w:val="30"/>
          <w:szCs w:val="30"/>
        </w:rPr>
        <w:t>十三、2024年度部门整体支出绩效自评表</w:t>
      </w:r>
    </w:p>
    <w:p w:rsidR="006B2C58" w:rsidRDefault="006B2C58">
      <w:pPr>
        <w:jc w:val="left"/>
        <w:outlineLvl w:val="1"/>
        <w:rPr>
          <w:rFonts w:ascii="楷体" w:eastAsia="楷体" w:hAnsi="楷体" w:hint="eastAsia"/>
          <w:sz w:val="30"/>
          <w:szCs w:val="30"/>
        </w:rPr>
      </w:pPr>
      <w:r>
        <w:rPr>
          <w:rFonts w:ascii="楷体" w:eastAsia="楷体" w:hAnsi="楷体" w:hint="eastAsia"/>
          <w:sz w:val="30"/>
          <w:szCs w:val="30"/>
        </w:rPr>
        <w:t>十四、2024年度项目支出绩效自评表</w:t>
      </w:r>
    </w:p>
    <w:p w:rsidR="006B2C58" w:rsidRDefault="006B2C58">
      <w:pPr>
        <w:jc w:val="left"/>
        <w:outlineLvl w:val="1"/>
        <w:rPr>
          <w:rFonts w:ascii="楷体" w:eastAsia="楷体" w:hAnsi="楷体"/>
          <w:sz w:val="30"/>
          <w:szCs w:val="30"/>
        </w:rPr>
      </w:pPr>
      <w:r>
        <w:rPr>
          <w:rFonts w:ascii="楷体" w:eastAsia="楷体" w:hAnsi="楷体" w:hint="eastAsia"/>
          <w:sz w:val="30"/>
          <w:szCs w:val="30"/>
        </w:rPr>
        <w:t>十五、国有资产使用情况表</w:t>
      </w:r>
    </w:p>
    <w:p w:rsidR="007579D9" w:rsidRDefault="00A67124">
      <w:pPr>
        <w:jc w:val="left"/>
        <w:outlineLvl w:val="0"/>
        <w:rPr>
          <w:rFonts w:ascii="黑体" w:eastAsia="黑体" w:hAnsi="黑体"/>
          <w:sz w:val="30"/>
          <w:szCs w:val="30"/>
        </w:rPr>
      </w:pPr>
      <w:r>
        <w:rPr>
          <w:rFonts w:ascii="黑体" w:eastAsia="黑体" w:hAnsi="黑体" w:hint="eastAsia"/>
          <w:sz w:val="30"/>
          <w:szCs w:val="30"/>
        </w:rPr>
        <w:t>第三部分  2024年度部门决算情况说明</w:t>
      </w:r>
    </w:p>
    <w:p w:rsidR="007579D9" w:rsidRDefault="00A67124">
      <w:pPr>
        <w:jc w:val="left"/>
        <w:outlineLvl w:val="1"/>
        <w:rPr>
          <w:rFonts w:ascii="楷体" w:eastAsia="楷体" w:hAnsi="楷体"/>
          <w:sz w:val="30"/>
          <w:szCs w:val="30"/>
        </w:rPr>
      </w:pPr>
      <w:r>
        <w:rPr>
          <w:rFonts w:ascii="楷体" w:eastAsia="楷体" w:hAnsi="楷体" w:hint="eastAsia"/>
          <w:sz w:val="30"/>
          <w:szCs w:val="30"/>
        </w:rPr>
        <w:t>一、收入决算情况说明</w:t>
      </w:r>
    </w:p>
    <w:p w:rsidR="007579D9" w:rsidRDefault="00A67124">
      <w:pPr>
        <w:jc w:val="left"/>
        <w:outlineLvl w:val="1"/>
        <w:rPr>
          <w:rFonts w:ascii="楷体" w:eastAsia="楷体" w:hAnsi="楷体"/>
          <w:sz w:val="30"/>
          <w:szCs w:val="30"/>
        </w:rPr>
      </w:pPr>
      <w:r>
        <w:rPr>
          <w:rFonts w:ascii="楷体" w:eastAsia="楷体" w:hAnsi="楷体" w:hint="eastAsia"/>
          <w:sz w:val="30"/>
          <w:szCs w:val="30"/>
        </w:rPr>
        <w:t>二、支出决算情况说明</w:t>
      </w:r>
    </w:p>
    <w:p w:rsidR="007579D9" w:rsidRDefault="00A67124">
      <w:pPr>
        <w:jc w:val="left"/>
        <w:outlineLvl w:val="1"/>
        <w:rPr>
          <w:rFonts w:ascii="楷体" w:eastAsia="楷体" w:hAnsi="楷体"/>
          <w:sz w:val="30"/>
          <w:szCs w:val="30"/>
        </w:rPr>
      </w:pPr>
      <w:r>
        <w:rPr>
          <w:rFonts w:ascii="楷体" w:eastAsia="楷体" w:hAnsi="楷体" w:hint="eastAsia"/>
          <w:sz w:val="30"/>
          <w:szCs w:val="30"/>
        </w:rPr>
        <w:t>三、一般公共预算财政拨款支出决算情况说明</w:t>
      </w:r>
    </w:p>
    <w:p w:rsidR="007579D9" w:rsidRDefault="00A67124">
      <w:pPr>
        <w:widowControl/>
        <w:snapToGrid w:val="0"/>
        <w:spacing w:before="100" w:after="100" w:line="360" w:lineRule="auto"/>
        <w:jc w:val="left"/>
        <w:outlineLvl w:val="1"/>
        <w:rPr>
          <w:rFonts w:ascii="楷体" w:eastAsia="楷体" w:hAnsi="楷体"/>
          <w:sz w:val="30"/>
          <w:szCs w:val="30"/>
        </w:rPr>
      </w:pPr>
      <w:r>
        <w:rPr>
          <w:rFonts w:ascii="楷体" w:eastAsia="楷体" w:hAnsi="楷体" w:hint="eastAsia"/>
          <w:sz w:val="30"/>
          <w:szCs w:val="30"/>
        </w:rPr>
        <w:t>四、财政拨款“三公”经费支出决算情况说明</w:t>
      </w:r>
    </w:p>
    <w:p w:rsidR="007579D9" w:rsidRDefault="00A67124">
      <w:pPr>
        <w:widowControl/>
        <w:snapToGrid w:val="0"/>
        <w:spacing w:before="100" w:after="100" w:line="360" w:lineRule="auto"/>
        <w:jc w:val="left"/>
        <w:outlineLvl w:val="0"/>
        <w:rPr>
          <w:rFonts w:ascii="黑体" w:eastAsia="黑体" w:hAnsi="黑体"/>
          <w:sz w:val="30"/>
          <w:szCs w:val="30"/>
        </w:rPr>
      </w:pPr>
      <w:r>
        <w:rPr>
          <w:rFonts w:ascii="黑体" w:eastAsia="黑体" w:hAnsi="黑体" w:hint="eastAsia"/>
          <w:sz w:val="30"/>
          <w:szCs w:val="30"/>
        </w:rPr>
        <w:t>第四部分</w:t>
      </w:r>
      <w:r>
        <w:rPr>
          <w:rFonts w:ascii="楷体" w:eastAsia="楷体" w:hAnsi="楷体" w:hint="eastAsia"/>
          <w:sz w:val="30"/>
          <w:szCs w:val="30"/>
        </w:rPr>
        <w:t xml:space="preserve">  </w:t>
      </w:r>
      <w:r>
        <w:rPr>
          <w:rFonts w:ascii="黑体" w:eastAsia="黑体" w:hAnsi="黑体" w:hint="eastAsia"/>
          <w:sz w:val="30"/>
          <w:szCs w:val="30"/>
        </w:rPr>
        <w:t>其他重要事项及相关口径情况说明</w:t>
      </w:r>
    </w:p>
    <w:p w:rsidR="007579D9" w:rsidRDefault="00A67124">
      <w:pPr>
        <w:jc w:val="left"/>
        <w:outlineLvl w:val="1"/>
        <w:rPr>
          <w:rFonts w:ascii="楷体" w:eastAsia="楷体" w:hAnsi="楷体"/>
          <w:sz w:val="30"/>
          <w:szCs w:val="30"/>
        </w:rPr>
      </w:pPr>
      <w:r>
        <w:rPr>
          <w:rFonts w:ascii="楷体" w:eastAsia="楷体" w:hAnsi="楷体" w:hint="eastAsia"/>
          <w:sz w:val="30"/>
          <w:szCs w:val="30"/>
        </w:rPr>
        <w:t>一、机关运行经费支出情况</w:t>
      </w:r>
    </w:p>
    <w:p w:rsidR="007579D9" w:rsidRDefault="00A67124">
      <w:pPr>
        <w:jc w:val="left"/>
        <w:outlineLvl w:val="1"/>
        <w:rPr>
          <w:rFonts w:ascii="楷体" w:eastAsia="楷体" w:hAnsi="楷体"/>
          <w:sz w:val="30"/>
          <w:szCs w:val="30"/>
        </w:rPr>
      </w:pPr>
      <w:r>
        <w:rPr>
          <w:rFonts w:ascii="楷体" w:eastAsia="楷体" w:hAnsi="楷体" w:hint="eastAsia"/>
          <w:sz w:val="30"/>
          <w:szCs w:val="30"/>
        </w:rPr>
        <w:t>二、国有资产占用情况</w:t>
      </w:r>
    </w:p>
    <w:p w:rsidR="007579D9" w:rsidRDefault="00A67124">
      <w:pPr>
        <w:jc w:val="left"/>
        <w:outlineLvl w:val="1"/>
        <w:rPr>
          <w:rFonts w:ascii="楷体" w:eastAsia="楷体" w:hAnsi="楷体"/>
          <w:sz w:val="30"/>
          <w:szCs w:val="30"/>
        </w:rPr>
      </w:pPr>
      <w:r>
        <w:rPr>
          <w:rFonts w:ascii="楷体" w:eastAsia="楷体" w:hAnsi="楷体" w:hint="eastAsia"/>
          <w:sz w:val="30"/>
          <w:szCs w:val="30"/>
        </w:rPr>
        <w:t>三、政府采购支出情况</w:t>
      </w:r>
    </w:p>
    <w:p w:rsidR="007579D9" w:rsidRDefault="00A67124">
      <w:pPr>
        <w:jc w:val="left"/>
        <w:outlineLvl w:val="1"/>
        <w:rPr>
          <w:rFonts w:ascii="楷体" w:eastAsia="楷体" w:hAnsi="楷体"/>
          <w:sz w:val="30"/>
          <w:szCs w:val="30"/>
        </w:rPr>
      </w:pPr>
      <w:r>
        <w:rPr>
          <w:rFonts w:ascii="楷体" w:eastAsia="楷体" w:hAnsi="楷体" w:hint="eastAsia"/>
          <w:sz w:val="30"/>
          <w:szCs w:val="30"/>
        </w:rPr>
        <w:t>四、部门绩效自评情况</w:t>
      </w:r>
    </w:p>
    <w:p w:rsidR="007579D9" w:rsidRDefault="00A67124">
      <w:pPr>
        <w:ind w:firstLineChars="50" w:firstLine="150"/>
        <w:jc w:val="left"/>
        <w:outlineLvl w:val="1"/>
        <w:rPr>
          <w:rFonts w:ascii="楷体" w:eastAsia="楷体" w:hAnsi="楷体"/>
          <w:sz w:val="30"/>
          <w:szCs w:val="30"/>
        </w:rPr>
      </w:pPr>
      <w:r>
        <w:rPr>
          <w:rFonts w:ascii="楷体" w:eastAsia="楷体" w:hAnsi="楷体" w:hint="eastAsia"/>
          <w:sz w:val="30"/>
          <w:szCs w:val="30"/>
        </w:rPr>
        <w:t>(一)部门整体支出绩效目标情况</w:t>
      </w:r>
    </w:p>
    <w:p w:rsidR="007579D9" w:rsidRDefault="00A67124">
      <w:pPr>
        <w:jc w:val="left"/>
        <w:outlineLvl w:val="1"/>
        <w:rPr>
          <w:rFonts w:ascii="楷体" w:eastAsia="楷体" w:hAnsi="楷体"/>
          <w:sz w:val="30"/>
          <w:szCs w:val="30"/>
        </w:rPr>
      </w:pPr>
      <w:r>
        <w:rPr>
          <w:rFonts w:ascii="楷体" w:eastAsia="楷体" w:hAnsi="楷体" w:hint="eastAsia"/>
          <w:sz w:val="30"/>
          <w:szCs w:val="30"/>
        </w:rPr>
        <w:t>（二）部门整体支出绩效自评表</w:t>
      </w:r>
    </w:p>
    <w:p w:rsidR="007579D9" w:rsidRDefault="00A67124">
      <w:pPr>
        <w:jc w:val="left"/>
        <w:outlineLvl w:val="1"/>
        <w:rPr>
          <w:rFonts w:ascii="楷体" w:eastAsia="楷体" w:hAnsi="楷体"/>
          <w:sz w:val="30"/>
          <w:szCs w:val="30"/>
        </w:rPr>
      </w:pPr>
      <w:r>
        <w:rPr>
          <w:rFonts w:ascii="楷体" w:eastAsia="楷体" w:hAnsi="楷体" w:hint="eastAsia"/>
          <w:sz w:val="30"/>
          <w:szCs w:val="30"/>
        </w:rPr>
        <w:t>（三）项目支出绩效自评表</w:t>
      </w:r>
    </w:p>
    <w:p w:rsidR="007579D9" w:rsidRDefault="00A67124">
      <w:pPr>
        <w:jc w:val="left"/>
        <w:outlineLvl w:val="1"/>
        <w:rPr>
          <w:rFonts w:ascii="楷体" w:eastAsia="楷体" w:hAnsi="楷体"/>
          <w:sz w:val="30"/>
          <w:szCs w:val="30"/>
        </w:rPr>
      </w:pPr>
      <w:r>
        <w:rPr>
          <w:rFonts w:ascii="楷体" w:eastAsia="楷体" w:hAnsi="楷体" w:hint="eastAsia"/>
          <w:sz w:val="30"/>
          <w:szCs w:val="30"/>
        </w:rPr>
        <w:t>（四）单位绩效自评情况</w:t>
      </w:r>
    </w:p>
    <w:p w:rsidR="007579D9" w:rsidRDefault="00A67124">
      <w:pPr>
        <w:jc w:val="left"/>
        <w:outlineLvl w:val="1"/>
        <w:rPr>
          <w:rFonts w:ascii="楷体" w:eastAsia="楷体" w:hAnsi="楷体"/>
          <w:sz w:val="30"/>
          <w:szCs w:val="30"/>
        </w:rPr>
      </w:pPr>
      <w:r>
        <w:rPr>
          <w:rFonts w:ascii="楷体" w:eastAsia="楷体" w:hAnsi="楷体" w:hint="eastAsia"/>
          <w:sz w:val="30"/>
          <w:szCs w:val="30"/>
        </w:rPr>
        <w:lastRenderedPageBreak/>
        <w:t>五、其他重要事项情况说明</w:t>
      </w:r>
    </w:p>
    <w:p w:rsidR="007579D9" w:rsidRDefault="00A67124">
      <w:pPr>
        <w:jc w:val="left"/>
        <w:outlineLvl w:val="1"/>
        <w:rPr>
          <w:rFonts w:ascii="楷体" w:eastAsia="楷体" w:hAnsi="楷体"/>
          <w:sz w:val="30"/>
          <w:szCs w:val="30"/>
        </w:rPr>
      </w:pPr>
      <w:r>
        <w:rPr>
          <w:rFonts w:ascii="楷体" w:eastAsia="楷体" w:hAnsi="楷体" w:hint="eastAsia"/>
          <w:sz w:val="30"/>
          <w:szCs w:val="30"/>
        </w:rPr>
        <w:t>六、相关口径说明</w:t>
      </w:r>
    </w:p>
    <w:p w:rsidR="007579D9" w:rsidRDefault="00A67124">
      <w:pPr>
        <w:widowControl/>
        <w:snapToGrid w:val="0"/>
        <w:spacing w:before="100" w:after="100" w:line="360" w:lineRule="auto"/>
        <w:jc w:val="left"/>
        <w:outlineLvl w:val="0"/>
        <w:rPr>
          <w:rFonts w:ascii="黑体" w:eastAsia="黑体" w:hAnsi="黑体"/>
          <w:sz w:val="30"/>
          <w:szCs w:val="30"/>
        </w:rPr>
      </w:pPr>
      <w:r>
        <w:rPr>
          <w:rFonts w:ascii="黑体" w:eastAsia="黑体" w:hAnsi="黑体" w:hint="eastAsia"/>
          <w:sz w:val="30"/>
          <w:szCs w:val="30"/>
        </w:rPr>
        <w:t>第五部分  名词解释</w:t>
      </w:r>
    </w:p>
    <w:p w:rsidR="007579D9" w:rsidRDefault="007579D9">
      <w:pPr>
        <w:rPr>
          <w:rFonts w:ascii="黑体" w:eastAsia="黑体" w:hAnsi="黑体"/>
          <w:sz w:val="32"/>
          <w:szCs w:val="32"/>
        </w:rPr>
      </w:pPr>
    </w:p>
    <w:p w:rsidR="007579D9" w:rsidRDefault="00A67124">
      <w:pPr>
        <w:spacing w:line="560" w:lineRule="exact"/>
        <w:jc w:val="center"/>
        <w:outlineLvl w:val="0"/>
        <w:rPr>
          <w:rFonts w:ascii="黑体" w:eastAsia="黑体" w:hAnsi="黑体"/>
          <w:sz w:val="32"/>
          <w:szCs w:val="32"/>
        </w:rPr>
      </w:pPr>
      <w:r>
        <w:rPr>
          <w:rFonts w:ascii="黑体" w:eastAsia="黑体" w:hAnsi="黑体" w:hint="eastAsia"/>
          <w:sz w:val="32"/>
          <w:szCs w:val="32"/>
        </w:rPr>
        <w:t>第一部分  单位概况</w:t>
      </w:r>
    </w:p>
    <w:p w:rsidR="007579D9" w:rsidRDefault="00A67124">
      <w:pPr>
        <w:spacing w:line="560" w:lineRule="exact"/>
        <w:ind w:firstLineChars="200" w:firstLine="600"/>
        <w:outlineLvl w:val="1"/>
        <w:rPr>
          <w:rFonts w:ascii="黑体" w:eastAsia="黑体" w:hAnsi="黑体"/>
          <w:sz w:val="30"/>
          <w:szCs w:val="30"/>
        </w:rPr>
      </w:pPr>
      <w:r>
        <w:rPr>
          <w:rFonts w:ascii="黑体" w:eastAsia="黑体" w:hAnsi="黑体" w:hint="eastAsia"/>
          <w:sz w:val="30"/>
          <w:szCs w:val="30"/>
        </w:rPr>
        <w:t>一、主要职能</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1.贯彻执行国家、省、市人力资源和社会保障工作的法律法规和政策；拟订全县人力资源和社会保障事业发展规划，制定相关政策，并组织实施和监督检查。</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拟订全县人力资源市场发展规划和人力资源服务业发展、人力资源流动政策，建立统一规范的人力资源市场，并对其进行监督和指导；指导、监督职业中介机构，设立人力资源服务机构及其业务范围审批，促进人力资源合理流动、有效配置。</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3.负责全县促进就业和创业工作，拟订城乡统筹就业发展规划和措施，促进城乡劳动力实现充分就业；完善公共就业服务体系和创业服务体系，组织实施援助制度；完善职业资格制度，逐步建立面向城乡劳动者的职业培训制度；认真贯彻落实高校毕业生就业政策。</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4.统筹建立覆盖城乡的多层次社会保障体系。认真执行上级养老、失业、工伤等社会保险政策和标准。会同有关部门实施全民参保计划；负责全县社会保险基金管理和监督工作；根据上级预案实施预防、调节和控制，保持就业形势稳定和社会保险基金总体收支</w:t>
      </w:r>
      <w:r>
        <w:rPr>
          <w:rFonts w:ascii="仿宋_GB2312" w:eastAsia="仿宋_GB2312" w:hint="eastAsia"/>
          <w:sz w:val="30"/>
          <w:szCs w:val="30"/>
        </w:rPr>
        <w:lastRenderedPageBreak/>
        <w:t>平衡。</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5.牵头负责职称制度改革、管理工作，综合管理专业技术人才队伍建设工作，负责高层次专业技术人才选拔和培养工作；负责事业单位人员招聘、评聘、解聘、岗位设置、聘用合同等人事综合管理工作；拟定事业单位人员和工勤人员管理政策。按照管理权限负责规范事业单位会同有关部门做好高技能人才培养和激励工作。配合有关部门做好表彰奖励申报工作。 </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6.贯彻执行事业单位的工资福利政策，会同有关部门规范地方性津贴、补贴，深化收入分配制度改革；建立健全事业单位工资正常增长和支付保障机制；认真贯彻执行最低工资标准；负责机关、企事业单位工作人员工伤认定工作；负责事业单位、企业和自谋职业人员退休审批及工龄审定工作。</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7.贯彻执行劳动人事争议调解仲裁制度和劳动关系政策，完善劳动关系协商协调机制，监督、指导各用人单位做好招工登记、劳动合同签订、劳动合同解除（终止）工作；负责劳动合同登记、集体合同审核备案、用工登记管理服务工作；完善劳动人事关系协调机制，依法办理劳动人事争议调解仲裁事宜，维护劳动人事关系双方的合法权益。</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8.执行农民工工作综合性政策，推动农民工相关政策落实，协调解决重点、难点问题，维护农民工合法权益；组织实施禁止使用童工政策和女职工、未成年工的特殊劳动保护政策；组织实施劳动监察，做好劳动者维权工作；依法查处侵犯劳动者合法权益的违法案件。</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9.承担全县人力资源和社会保障综合统计、信息工作；管理全县人力资源和社会保障信息网络，发布人力资源和社会保障工作有关信息。</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10.完成县委、县政府和上级部门交办的其他任务。</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11.职能转变。深入推进简政放权、放管结合、优化服务改革，进一步减少行政审批事项，规范和优化对外办理事项，落实国家职业资格目录清单管理制度，加强事中事后监管，创新就业和社会保障等公共服务方式，加强信息共享，提高公共服务水平。</w:t>
      </w:r>
    </w:p>
    <w:p w:rsidR="007579D9" w:rsidRDefault="00A67124">
      <w:pPr>
        <w:spacing w:line="560" w:lineRule="exact"/>
        <w:ind w:firstLineChars="200" w:firstLine="600"/>
        <w:outlineLvl w:val="1"/>
        <w:rPr>
          <w:rFonts w:ascii="黑体" w:eastAsia="黑体" w:hAnsi="黑体"/>
          <w:sz w:val="30"/>
          <w:szCs w:val="30"/>
        </w:rPr>
      </w:pPr>
      <w:r>
        <w:rPr>
          <w:rFonts w:ascii="黑体" w:eastAsia="黑体" w:hAnsi="黑体" w:hint="eastAsia"/>
          <w:sz w:val="30"/>
          <w:szCs w:val="30"/>
        </w:rPr>
        <w:t>二、部门基本情况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（一）机构设置情况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我单位共设置6个内设机构，包括：办公室、政策法规科（县农民工工作领导小组办公室）、就业促进与社会保险科（基金监督科）、事业单位人事管理科、工资福利科、劳动关系科;</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我单位为基层预算单位，无下属单位。</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（二）决算单位构成</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我单位作为石林彝族自治县人力资源和社会保障局的二级预算单位纳入2024年度部门决算编报范围。</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（三）单位人员和车辆的编制及实有情况 </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我单位2024年末编制内实有人员18.0人。包括财政拨款开支经费的：公务员11.0人，参照公务员法管理人员0.0人，事业管理人员和专业技术人员5.0人，机关和事业工人2.0人；经费自理人员0.0人。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我单位2024年末其他人员4.0人。包括财政拨款开支经费的人</w:t>
      </w:r>
      <w:r>
        <w:rPr>
          <w:rFonts w:ascii="仿宋_GB2312" w:eastAsia="仿宋_GB2312" w:hint="eastAsia"/>
          <w:sz w:val="30"/>
          <w:szCs w:val="30"/>
        </w:rPr>
        <w:lastRenderedPageBreak/>
        <w:t>员4.0人；经费自理人员0.0人。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年末尚未移交养老保险基金发放养老金的离退休人员共计0.0人（离休0.0人，退休0.0人）。年末由养老保险基金发放养老金的离退休人员9.0人（离休0.0人，退休9.0人）。年末遗属2.0人。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车辆编制1辆，在编实有车辆1辆，超编0.0辆。</w:t>
      </w:r>
    </w:p>
    <w:p w:rsidR="007579D9" w:rsidRDefault="00A67124">
      <w:pPr>
        <w:spacing w:line="560" w:lineRule="exact"/>
        <w:ind w:firstLineChars="200" w:firstLine="600"/>
        <w:outlineLvl w:val="1"/>
        <w:rPr>
          <w:rFonts w:ascii="黑体" w:eastAsia="黑体" w:hAnsi="黑体"/>
          <w:sz w:val="30"/>
          <w:szCs w:val="30"/>
        </w:rPr>
      </w:pPr>
      <w:r>
        <w:rPr>
          <w:rFonts w:ascii="黑体" w:eastAsia="黑体" w:hAnsi="黑体" w:hint="eastAsia"/>
          <w:sz w:val="30"/>
          <w:szCs w:val="30"/>
        </w:rPr>
        <w:t>三、重点工作概述</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一）在稳定就业扩大上“做文章”。把牢就业基本盘，以高校毕业生群体为重点，采取“菜单式培训+跟进式”服务，搭建“线上+线下”招聘平台，加大岗位开发力度，全力做好就业服务。用足用活现行政策，巩固提升现有创业园孵化能力建设，为初创业者提供创业空间和必需的办公设施，提供创业指导服务。全力打造石林“撒尼绣娘”“人参果产业工人”两个劳务品牌，助推部分城乡劳动力由“体力型”向“技术型”转变。2024年完成农村劳动力培训12950人，其中引导性培训（含脱贫劳动力）11000人次，农村劳动力补贴性职业技能培训1800人次，创业培训150人。完成农村劳动力转移就业10000人，脱贫农村劳动力转移就业400人，转移就业收入1.7亿元。收集开发有效就业岗位2000个，实现城镇新增就业1500人，城镇下岗失业人员再就业258人，就业困难人员实现就业80人。实名登记的高校毕业生就业率不低于80%，新增青年就业见习100人，留用就业率50%以上；举办高校毕业生就业专场招聘活动2场。“贷免扶补”扶持创业60人，创业担保贷款扶持创业82人，小微企业扶持贷款创业1户。</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二）在社保服务优化上“下功夫”。健全覆盖全民、统筹城乡、公平统一、安全规范、可持续的多层次社会保障体系。强化服务意识，常态化开展社保服务“康乃馨”行动，进一步扩大社保政策知晓率，提升社保参保率，各项社会保险参保人数达到22.78万人，其中,城镇职工养老保险参保3.57万人，工伤保险参保3.9万人，失业保险参保1.81万人，城乡养老保险参保13.5万人。加强社会保险基金管理，围绕堵点、难点、疑点数据等持续展开点对点核查，全面梳理排查经办环节潜在风险点，及时建立台账动态管理，提升经办人员的风险防控意识，做到早发现、早处置、早整改，强化基金监督检查和稽核工作，加强基金监管能力确保社保基金安全。</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三）在人事人才管理上“求突破”。深入摸排，精准开展技能培训，全力打造与全县经济社会发展相适应的高技能人才队伍。做好事业单位人员公开（定向）招聘、“三支一扶”招募人员补充工作。推进教育部直属师范大学免费师范毕业生，昆明学院定向培养公费师范毕业生，农村定向免费培养医学毕业生，退役士兵接收安置等工作。加强人员调流动、岗位设置、岗位变动、职称申报等日常工作管理。推进事业单位工作人员正常工资晋升、津贴补贴标准兑现及退休、抚恤等工作，指导做好事业单位奖励性绩效工资考核兑现工作。</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四）在和谐关系构建上“出实招”。持续加大劳动法律法规的宣传力度，严格把好劳动用工登记关，全面推行劳动合同制度和劳动用工备案制度，提高劳动合同的签订率，进一步规范企业用工行为，严格民办职业培训学校审批及管理工作。加强《保障农民工</w:t>
      </w:r>
      <w:r>
        <w:rPr>
          <w:rFonts w:ascii="仿宋_GB2312" w:eastAsia="仿宋_GB2312" w:hint="eastAsia"/>
          <w:sz w:val="30"/>
          <w:szCs w:val="30"/>
        </w:rPr>
        <w:lastRenderedPageBreak/>
        <w:t>工资支付条例》宣传工作，在建筑工地全面推行“六制一金一表”制度，提高用人单位和劳动者特别是广大农民工的法律意识，促使用人单位自觉遵守劳动保障法律法规，规范合法用工。推动用人单位完善协商规则，建立内部申诉和协商回应制度，优化协商流程，及时回应劳动者协商诉求，推动工会组织、律师等力量参与劳动人事争议协商，开展咨询解答、释法说理、劝解疏导等方式，促进达成并全面履行和解协议。积极推进大信访工作机制建设，形成上下联动、左右配合、齐抓共管的工作格局。</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五）在人社服务提质上“求长效”。全面贯彻落实《法治石林建设规划（2021—2025年）》，坚持依法行政，进一步规范行政行为，严格按照法定权限和程序行使权力、履行职责。以开展主题教育为契机，加强干部政治思想引领，坚持不懈地用党的创新理论武装头脑、指导实践，努力提高干部队伍整体素质。严把“入口关”，坚持人岗适宜，将合适的人放在适合的岗位上。常态化推进“我为群众办实事”，将以人为本、执政为民理念贯穿于各项工作始终。大力弘扬求真务实、真抓实干的优良作风，脚踏实地、深入扎实地抓好各项工作落实。大力加强党风廉政建设，严格落实党风廉政责任制，坚持用制度管权、管物、管人、管事，严防发生违规、违纪问题。</w:t>
      </w:r>
    </w:p>
    <w:p w:rsidR="007579D9" w:rsidRDefault="007579D9">
      <w:pPr>
        <w:spacing w:line="560" w:lineRule="exact"/>
        <w:ind w:firstLineChars="200" w:firstLine="600"/>
        <w:jc w:val="left"/>
        <w:rPr>
          <w:rFonts w:ascii="仿宋_GB2312" w:eastAsia="仿宋_GB2312" w:hAnsi="宋体" w:cs="Arial"/>
          <w:kern w:val="0"/>
          <w:sz w:val="30"/>
          <w:szCs w:val="30"/>
        </w:rPr>
      </w:pPr>
    </w:p>
    <w:p w:rsidR="007579D9" w:rsidRDefault="00A67124">
      <w:pPr>
        <w:spacing w:line="560" w:lineRule="exact"/>
        <w:jc w:val="center"/>
        <w:outlineLvl w:val="0"/>
        <w:rPr>
          <w:rFonts w:ascii="黑体" w:eastAsia="黑体" w:hAnsi="黑体"/>
          <w:sz w:val="32"/>
          <w:szCs w:val="32"/>
        </w:rPr>
      </w:pPr>
      <w:r>
        <w:rPr>
          <w:rFonts w:ascii="黑体" w:eastAsia="黑体" w:hAnsi="黑体" w:hint="eastAsia"/>
          <w:sz w:val="32"/>
          <w:szCs w:val="32"/>
        </w:rPr>
        <w:t>第二部分  2024年度部门决算表</w:t>
      </w:r>
    </w:p>
    <w:p w:rsidR="007579D9" w:rsidRDefault="00A67124">
      <w:pPr>
        <w:spacing w:line="560" w:lineRule="exact"/>
        <w:ind w:firstLineChars="200" w:firstLine="600"/>
        <w:jc w:val="center"/>
        <w:rPr>
          <w:rFonts w:ascii="仿宋_GB2312" w:eastAsia="仿宋_GB2312"/>
          <w:sz w:val="30"/>
          <w:szCs w:val="30"/>
        </w:rPr>
      </w:pPr>
      <w:r>
        <w:rPr>
          <w:rFonts w:ascii="仿宋_GB2312" w:eastAsia="仿宋_GB2312" w:hint="eastAsia"/>
          <w:sz w:val="30"/>
          <w:szCs w:val="30"/>
        </w:rPr>
        <w:t>（详见附件）</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石林彝族自治县人力资源和社会保障局（本级）2024年度无国</w:t>
      </w:r>
      <w:r>
        <w:rPr>
          <w:rFonts w:ascii="仿宋_GB2312" w:eastAsia="仿宋_GB2312" w:hint="eastAsia"/>
          <w:sz w:val="30"/>
          <w:szCs w:val="30"/>
        </w:rPr>
        <w:lastRenderedPageBreak/>
        <w:t>有资本经营预算财政拨款收入，无政府性基金预算财政拨款收入，故《国有资本经营预算财政拨款收入支出决算表》、《政府性基金预算财政拨款收入支出决算表》为空表。</w:t>
      </w:r>
    </w:p>
    <w:p w:rsidR="007579D9" w:rsidRDefault="007579D9">
      <w:pPr>
        <w:spacing w:line="560" w:lineRule="exact"/>
        <w:ind w:firstLineChars="200" w:firstLine="600"/>
        <w:jc w:val="left"/>
        <w:rPr>
          <w:rFonts w:ascii="仿宋_GB2312" w:eastAsia="仿宋_GB2312"/>
          <w:color w:val="FF0000"/>
          <w:sz w:val="30"/>
          <w:szCs w:val="30"/>
        </w:rPr>
      </w:pPr>
    </w:p>
    <w:p w:rsidR="007579D9" w:rsidRDefault="00A67124">
      <w:pPr>
        <w:spacing w:line="560" w:lineRule="exact"/>
        <w:jc w:val="center"/>
        <w:outlineLvl w:val="0"/>
        <w:rPr>
          <w:rFonts w:ascii="黑体" w:eastAsia="黑体" w:hAnsi="黑体"/>
          <w:sz w:val="32"/>
          <w:szCs w:val="32"/>
        </w:rPr>
      </w:pPr>
      <w:r>
        <w:rPr>
          <w:rFonts w:ascii="黑体" w:eastAsia="黑体" w:hAnsi="黑体" w:hint="eastAsia"/>
          <w:sz w:val="32"/>
          <w:szCs w:val="32"/>
        </w:rPr>
        <w:t>第三部分  2024年度部门决算情况说明</w:t>
      </w:r>
    </w:p>
    <w:p w:rsidR="007579D9" w:rsidRDefault="00A67124">
      <w:pPr>
        <w:spacing w:line="560" w:lineRule="exact"/>
        <w:ind w:firstLineChars="200" w:firstLine="600"/>
        <w:jc w:val="left"/>
        <w:outlineLvl w:val="1"/>
        <w:rPr>
          <w:rFonts w:ascii="黑体" w:eastAsia="黑体" w:hAnsi="黑体"/>
          <w:sz w:val="30"/>
          <w:szCs w:val="30"/>
        </w:rPr>
      </w:pPr>
      <w:r>
        <w:rPr>
          <w:rFonts w:ascii="黑体" w:eastAsia="黑体" w:hAnsi="黑体" w:hint="eastAsia"/>
          <w:sz w:val="30"/>
          <w:szCs w:val="30"/>
        </w:rPr>
        <w:t>一、收入决算情况说明</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石林彝族自治县人力资源和社会保障局（本级）2024年度收入合计5475686.34元。其中：财政拨款收入5441227.11元，占总收入的99.37%；无上级补助收入；无事业收入；无经营收入；无附属单位上缴收入；其他收入34459.23元，占总收入的0.63%。</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与上年相比，收入合计减少794062.10元，下降12.66%。其中：财政拨款收入减少657728.11元，下降10.78%；上级补助收入减少0.00元，下降0.00%；事业收入减少0.00元，下降0.00%；经营收入减少0.00元，下降0.00%；附属单位上缴收入减少0.00元，下降0.00%；其他收入减少136333.99元，下降79.82%。主要原因是：1.机构改革，原与我单位财务合并核算的石林县劳动监察大队撤销后人员转隶、人员调出使在职人数减少，基本支出拨款减少：2. “三支一扶”在岗人数因转岗、解聘原因减少，“三支一扶”项目资金拨款减少；3. 减少了石林县就业服务中心拨入创业担保贷款工作经费。</w:t>
      </w:r>
    </w:p>
    <w:p w:rsidR="007579D9" w:rsidRDefault="00A67124">
      <w:pPr>
        <w:widowControl/>
        <w:snapToGrid w:val="0"/>
        <w:spacing w:before="100" w:after="100" w:line="560" w:lineRule="exact"/>
        <w:ind w:firstLine="538"/>
        <w:jc w:val="left"/>
        <w:rPr>
          <w:rFonts w:ascii="仿宋_GB2312" w:eastAsia="仿宋_GB2312"/>
          <w:sz w:val="30"/>
          <w:szCs w:val="30"/>
        </w:rPr>
      </w:pPr>
      <w:r>
        <w:rPr>
          <w:rFonts w:ascii="黑体" w:eastAsia="黑体" w:hAnsi="黑体" w:hint="eastAsia"/>
          <w:sz w:val="30"/>
          <w:szCs w:val="30"/>
        </w:rPr>
        <w:t>二、支出决算情况说明</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石林彝族自治县人力资源和社会保障局（本级）2024年度支出合计5523156.58元。其中：基本支出4312344.14元，占总支出的</w:t>
      </w:r>
      <w:r>
        <w:rPr>
          <w:rFonts w:ascii="仿宋_GB2312" w:eastAsia="仿宋_GB2312" w:hint="eastAsia"/>
          <w:sz w:val="30"/>
          <w:szCs w:val="30"/>
        </w:rPr>
        <w:lastRenderedPageBreak/>
        <w:t>78.08％；项目支出1210812.44元，占总支出的21.92％；无上缴上级支出；无经营支出；无对附属单位补助支出。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与上年相比，支出合计减少996826.98元，下降15.29%。其中：基本支出减少676248.33元，下降13.56%；项目支出减少320578.65元，下降20.93%；上缴上级支出减少0.00元，下降0.00%；经营支出减少0.00元，下降0.00%；对附属单位补助支出减少0.00元，下降0.00%。主要原因是：1.基本支出减少的原因是机构改革，原与我单位财务合并核算的石林县劳动监察大队撤销后人员转隶、人员调出使在职人数减少，人员经费、公用经费拨款相应减少；2.三支一扶在岗人数减少，项目预算拨款收支相应减少。</w:t>
      </w:r>
    </w:p>
    <w:p w:rsidR="007579D9" w:rsidRDefault="00A67124">
      <w:pPr>
        <w:spacing w:line="560" w:lineRule="exact"/>
        <w:ind w:firstLineChars="200" w:firstLine="600"/>
        <w:rPr>
          <w:rFonts w:ascii="楷体_GB2312" w:eastAsia="楷体_GB2312"/>
          <w:sz w:val="30"/>
          <w:szCs w:val="30"/>
        </w:rPr>
      </w:pPr>
      <w:r>
        <w:rPr>
          <w:rFonts w:ascii="楷体_GB2312" w:eastAsia="楷体_GB2312" w:hint="eastAsia"/>
          <w:sz w:val="30"/>
          <w:szCs w:val="30"/>
        </w:rPr>
        <w:t>（一）基本支出情况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2024年度用于保障石林彝族自治县人力资源和社会保障局（本级）机构正常运转的日常支出4312344.14元。其中：基本工资、津贴补贴等人员经费支出3999966.13元，占基本支出的92.76％；办公费、印刷费、水电费、办公设备购置等公用经费312378.01元，占基本支出的7.24％。</w:t>
      </w:r>
    </w:p>
    <w:p w:rsidR="007579D9" w:rsidRDefault="00A67124">
      <w:pPr>
        <w:spacing w:line="560" w:lineRule="exact"/>
        <w:ind w:firstLineChars="200" w:firstLine="600"/>
        <w:rPr>
          <w:rFonts w:ascii="楷体_GB2312" w:eastAsia="楷体_GB2312"/>
          <w:sz w:val="30"/>
          <w:szCs w:val="30"/>
        </w:rPr>
      </w:pPr>
      <w:r>
        <w:rPr>
          <w:rFonts w:ascii="楷体_GB2312" w:eastAsia="楷体_GB2312" w:hint="eastAsia"/>
          <w:sz w:val="30"/>
          <w:szCs w:val="30"/>
        </w:rPr>
        <w:t>（二）项目支出情况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2024年度用于保障石林彝族自治县人力资源和社会保障局（本级）为完成特定的行政工作任务或事业发展目标，用于专项业务工作的经费支出1210812.44元。其中：基本建设类项目支出0.00元。</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政协小组活动经费13112.00元，主要用于政协社保生态小组培训费支出；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离退休党支部经费、“两新”组织党建经费7000元，主要用于</w:t>
      </w:r>
      <w:r>
        <w:rPr>
          <w:rFonts w:ascii="仿宋_GB2312" w:eastAsia="仿宋_GB2312" w:hint="eastAsia"/>
          <w:sz w:val="30"/>
          <w:szCs w:val="30"/>
        </w:rPr>
        <w:lastRenderedPageBreak/>
        <w:t>退休党支部书记、委员补贴及党员教育等支出；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劳动人事争议仲裁办案经费28242.21元，主要用于劳动人事争议仲裁办案相关的差旅费、邮电费、法律咨询费、办公设备采购等支出；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石林县基层就业和社会保障服务建设项目后期设备设施款18550.00元，主要用于支付石林县基层就业和社会保障服务建设项目地勘费18000.00元和不动产登记费550.00元；</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公岗性岗位补助经费7955.02元，主要用于本单位公岗人员社保缴费支出；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高校毕业生“三支一扶”计划补助资金709964.97元，主要用于石林县2024年在岗“三支一扶”人员生活补助、社会保险缴费、住房公积金及考核奖、安置费、体检费支出；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优秀事业人员奖状制作经费34830.00元，主要用于石林县2023年度考核为优秀的事业人员、机关工勤人员奖状、奖章制作费支出；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社会保障服务中心运行经费153940.00元，主要用于石林县社会保障服务中心物业管理费、保洁用品费、网络使用费、水电费、电梯、门窗等维（修）护、窗口办公设备采购等支出；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事业招聘工作经费122066.00元，主要用于2023年度石林县事业单位招聘工作人员考试考务费支出；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社会保险基金安全运行风险评估经费26000.00元，主要用于支付2022年度社保保险基金运行情况评估审计服务费；</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创业担保贷款工作经费89152.24元，主要用于创业担保贷款工作相关的办公费、差旅费、培训费等支出。</w:t>
      </w:r>
    </w:p>
    <w:p w:rsidR="007579D9" w:rsidRDefault="00A67124">
      <w:pPr>
        <w:widowControl/>
        <w:snapToGrid w:val="0"/>
        <w:spacing w:before="100" w:after="100" w:line="560" w:lineRule="exact"/>
        <w:ind w:firstLineChars="200" w:firstLine="600"/>
        <w:jc w:val="left"/>
        <w:outlineLvl w:val="1"/>
        <w:rPr>
          <w:rFonts w:ascii="黑体" w:eastAsia="黑体" w:hAnsi="黑体"/>
          <w:sz w:val="30"/>
          <w:szCs w:val="30"/>
        </w:rPr>
      </w:pPr>
      <w:r>
        <w:rPr>
          <w:rFonts w:ascii="黑体" w:eastAsia="黑体" w:hAnsi="黑体" w:hint="eastAsia"/>
          <w:sz w:val="30"/>
          <w:szCs w:val="30"/>
        </w:rPr>
        <w:lastRenderedPageBreak/>
        <w:t>三、一般公共预算财政拨款支出决算情况说明</w:t>
      </w:r>
    </w:p>
    <w:p w:rsidR="007579D9" w:rsidRDefault="00A67124">
      <w:pPr>
        <w:widowControl/>
        <w:snapToGrid w:val="0"/>
        <w:spacing w:before="100" w:after="100" w:line="560" w:lineRule="exact"/>
        <w:ind w:firstLineChars="200" w:firstLine="600"/>
        <w:jc w:val="left"/>
        <w:outlineLvl w:val="2"/>
        <w:rPr>
          <w:rFonts w:ascii="楷体" w:eastAsia="楷体" w:hAnsi="楷体"/>
          <w:sz w:val="30"/>
          <w:szCs w:val="30"/>
        </w:rPr>
      </w:pPr>
      <w:r>
        <w:rPr>
          <w:rFonts w:ascii="楷体" w:eastAsia="楷体" w:hAnsi="楷体" w:hint="eastAsia"/>
          <w:sz w:val="30"/>
          <w:szCs w:val="30"/>
        </w:rPr>
        <w:t>（一）一般公共预算财政拨款支出决算总体情况</w:t>
      </w:r>
    </w:p>
    <w:p w:rsidR="007579D9" w:rsidRDefault="00A67124">
      <w:pPr>
        <w:widowControl/>
        <w:snapToGrid w:val="0"/>
        <w:spacing w:before="100" w:after="100" w:line="560" w:lineRule="exact"/>
        <w:ind w:firstLineChars="200" w:firstLine="600"/>
        <w:jc w:val="left"/>
        <w:rPr>
          <w:rFonts w:ascii="仿宋_GB2312" w:eastAsia="仿宋_GB2312" w:hAnsi="宋体" w:cs="Arial"/>
          <w:kern w:val="0"/>
          <w:sz w:val="30"/>
          <w:szCs w:val="30"/>
        </w:rPr>
      </w:pPr>
      <w:r>
        <w:rPr>
          <w:rFonts w:ascii="仿宋_GB2312" w:eastAsia="仿宋_GB2312" w:hAnsi="仿宋_GB2312" w:cs="仿宋_GB2312" w:hint="eastAsia"/>
          <w:sz w:val="30"/>
          <w:lang w:val="zh-CN"/>
        </w:rPr>
        <w:t>石林彝族自治县人力资源和社会保障局（本级）</w:t>
      </w:r>
      <w:r>
        <w:rPr>
          <w:rFonts w:ascii="仿宋_GB2312" w:eastAsia="仿宋_GB2312" w:hint="eastAsia"/>
          <w:sz w:val="30"/>
          <w:szCs w:val="30"/>
        </w:rPr>
        <w:t>2024年度一般公共预算财政拨款支出</w:t>
      </w:r>
      <w:r>
        <w:rPr>
          <w:rFonts w:ascii="仿宋_GB2312" w:eastAsia="仿宋_GB2312" w:hAnsi="仿宋_GB2312" w:cs="仿宋_GB2312" w:hint="eastAsia"/>
          <w:kern w:val="0"/>
          <w:sz w:val="30"/>
          <w:lang w:val="zh-CN"/>
        </w:rPr>
        <w:t>5441227.11</w:t>
      </w:r>
      <w:r>
        <w:rPr>
          <w:rFonts w:ascii="仿宋_GB2312" w:eastAsia="仿宋_GB2312" w:hAnsi="宋体" w:cs="Arial" w:hint="eastAsia"/>
          <w:kern w:val="0"/>
          <w:sz w:val="30"/>
          <w:szCs w:val="30"/>
        </w:rPr>
        <w:t>元,占本年支出合计的</w:t>
      </w:r>
      <w:r>
        <w:rPr>
          <w:rFonts w:ascii="仿宋_GB2312" w:eastAsia="仿宋_GB2312" w:hAnsi="仿宋_GB2312" w:cs="仿宋_GB2312" w:hint="eastAsia"/>
          <w:sz w:val="30"/>
          <w:lang w:val="zh-CN"/>
        </w:rPr>
        <w:t>98.52</w:t>
      </w:r>
      <w:r>
        <w:rPr>
          <w:rFonts w:ascii="仿宋_GB2312" w:eastAsia="仿宋_GB2312" w:hAnsi="宋体" w:cs="Arial" w:hint="eastAsia"/>
          <w:kern w:val="0"/>
          <w:sz w:val="30"/>
          <w:szCs w:val="30"/>
        </w:rPr>
        <w:t>%。与上年相比减少</w:t>
      </w:r>
      <w:r>
        <w:rPr>
          <w:rFonts w:ascii="仿宋_GB2312" w:eastAsia="仿宋_GB2312" w:hAnsi="仿宋_GB2312" w:cs="仿宋_GB2312" w:hint="eastAsia"/>
          <w:kern w:val="0"/>
          <w:sz w:val="30"/>
          <w:lang w:val="zh-CN"/>
        </w:rPr>
        <w:t>657989.72</w:t>
      </w:r>
      <w:r>
        <w:rPr>
          <w:rFonts w:ascii="仿宋_GB2312" w:eastAsia="仿宋_GB2312" w:hAnsi="宋体" w:cs="Arial" w:hint="eastAsia"/>
          <w:kern w:val="0"/>
          <w:sz w:val="30"/>
          <w:szCs w:val="30"/>
        </w:rPr>
        <w:t>元，下降</w:t>
      </w:r>
      <w:r>
        <w:rPr>
          <w:rFonts w:ascii="仿宋_GB2312" w:eastAsia="仿宋_GB2312" w:hAnsi="仿宋_GB2312" w:cs="仿宋_GB2312" w:hint="eastAsia"/>
          <w:kern w:val="0"/>
          <w:sz w:val="30"/>
          <w:lang w:val="zh-CN"/>
        </w:rPr>
        <w:t>10.79</w:t>
      </w:r>
      <w:r>
        <w:rPr>
          <w:rFonts w:ascii="仿宋_GB2312" w:eastAsia="仿宋_GB2312" w:hAnsi="宋体" w:cs="Arial" w:hint="eastAsia"/>
          <w:kern w:val="0"/>
          <w:sz w:val="30"/>
          <w:szCs w:val="30"/>
        </w:rPr>
        <w:t>%</w:t>
      </w:r>
      <w:r>
        <w:rPr>
          <w:rFonts w:ascii="仿宋_GB2312" w:eastAsia="仿宋_GB2312" w:hint="eastAsia"/>
          <w:sz w:val="30"/>
          <w:szCs w:val="30"/>
        </w:rPr>
        <w:t>,完成年初预算的</w:t>
      </w:r>
      <w:r>
        <w:rPr>
          <w:rFonts w:ascii="仿宋_GB2312" w:eastAsia="仿宋_GB2312" w:hAnsi="仿宋_GB2312" w:cs="仿宋_GB2312" w:hint="eastAsia"/>
          <w:sz w:val="30"/>
          <w:lang w:val="zh-CN"/>
        </w:rPr>
        <w:t>72.37</w:t>
      </w:r>
      <w:r>
        <w:rPr>
          <w:rFonts w:ascii="仿宋_GB2312" w:eastAsia="仿宋_GB2312" w:hint="eastAsia"/>
          <w:sz w:val="30"/>
          <w:szCs w:val="30"/>
        </w:rPr>
        <w:t>%</w:t>
      </w:r>
      <w:r>
        <w:rPr>
          <w:rFonts w:ascii="仿宋_GB2312" w:eastAsia="仿宋_GB2312" w:hAnsi="宋体" w:cs="Arial" w:hint="eastAsia"/>
          <w:kern w:val="0"/>
          <w:sz w:val="30"/>
          <w:szCs w:val="30"/>
        </w:rPr>
        <w:t>。</w:t>
      </w:r>
    </w:p>
    <w:p w:rsidR="007579D9" w:rsidRDefault="00A67124">
      <w:pPr>
        <w:widowControl/>
        <w:snapToGrid w:val="0"/>
        <w:spacing w:before="100" w:after="100" w:line="560" w:lineRule="exact"/>
        <w:ind w:firstLineChars="200" w:firstLine="600"/>
        <w:jc w:val="left"/>
        <w:outlineLvl w:val="2"/>
        <w:rPr>
          <w:rFonts w:ascii="楷体" w:eastAsia="楷体" w:hAnsi="楷体"/>
          <w:sz w:val="30"/>
          <w:szCs w:val="30"/>
        </w:rPr>
      </w:pPr>
      <w:r>
        <w:rPr>
          <w:rFonts w:ascii="楷体" w:eastAsia="楷体" w:hAnsi="楷体" w:hint="eastAsia"/>
          <w:sz w:val="30"/>
          <w:szCs w:val="30"/>
        </w:rPr>
        <w:t>（二）一般公共预算财政拨款支出决算具体情况</w:t>
      </w:r>
      <w:r>
        <w:rPr>
          <w:rFonts w:ascii="楷体" w:eastAsia="楷体" w:hAnsi="楷体" w:hint="eastAsia"/>
          <w:sz w:val="30"/>
          <w:szCs w:val="30"/>
        </w:rPr>
        <w:tab/>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1.一般公共服务（类）支出7000.00元，占一般公共预算财政拨款总支出的0.13%,年初无此项预算。主要用于退休党支部书记、委员补贴及党员教育等支出；造成预决算差异的主要原因是年中财政追加预算。具体情况：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2013299其他组织事务支出7000元。</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2.外交（类）支出0.00元，占一般公共预算财政拨款总支出的0.00%,年初无此项预算。本年无此项支出。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3.国防（类）支出0.00元，占一般公共预算财政拨款总支出的0.00%,年初无此项预算。本年无此项支出。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4.公共安全（类）支出0.00元，占一般公共预算财政拨款总支出的0.00%,年初无此项预算。本年无此项支出。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5.教育（类）支出0.00元，占一般公共预算财政拨款总支出的0.00%,年初无此项预算。本年无此项支出。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6.科学技术（类）支出0.00元，占一般公共预算财政拨款总支出的0.00%,年初无此项预算。本年无此项支出。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7.文化旅游体育与传媒（类）支出0.00元，占一般公共预算财</w:t>
      </w:r>
      <w:r>
        <w:rPr>
          <w:rFonts w:ascii="仿宋_GB2312" w:eastAsia="仿宋_GB2312" w:hint="eastAsia"/>
          <w:sz w:val="30"/>
          <w:szCs w:val="30"/>
        </w:rPr>
        <w:lastRenderedPageBreak/>
        <w:t>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8.社会保障和就业（类）支出4800868.75元，占一般公共预算财政拨款总支出的88.23%,完成年初预算的70.90%。主要用于在职人员工资福利、日常公用经费、养老保险、退休人员生活补助、职业年金等基本支出及“三支一扶”人员生活补助、社会保险缴费、事业招聘考试考务费等专项支出；造成预决算差异的主要原因是本年未发生需要垫付农民工工资应急周转金情况，年初预算的此项目资金无支出。具体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2080101行政运行2535462.77元，占社会保障和就业（类）支出的52.81%，完成年初预算的89.27%，主要用于在职人员基本工资、津贴补贴、奖金、失业保险缴费、编外人员补助及日常公用经费支出，造成预决算差异的主要原因是机构改革，原与我单位财务合并核算的石林县劳动监察大队撤销后人员转隶、人员调出使在职人数减少，相应追减预算；</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2080112劳动人事争议调解仲裁28242.21元，占社会保障和就业（类）支出的0.59%，完成年初预算的72.42%，主要用于劳动人事争议调解工作相关支出，造成预决算差异的主要原因是年末根据实际支出情况追减预算；</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2080150 事业运行582856.6元，占社会保障和就业（类）支出的12.14%，完成年初预算的100.32%，主要用于事业在职人员基本工资、津补贴、失业保险缴费、及日常公用经费支出，造成预决算差异的主要原因是根据实际支出追加预算；</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2080199 其他人力资源和社会保障管理事务支出900249.25元，</w:t>
      </w:r>
      <w:r>
        <w:rPr>
          <w:rFonts w:ascii="仿宋_GB2312" w:eastAsia="仿宋_GB2312" w:hint="eastAsia"/>
          <w:sz w:val="30"/>
          <w:szCs w:val="30"/>
        </w:rPr>
        <w:lastRenderedPageBreak/>
        <w:t>占社会保障和就业（类）支出的18.75%，完成年初预算的34.59%，主要用于：1.社会保险基金安全运行风险评估审计服务费支出26000元；2.石林县社会保障服务中心水、电费、绿化费、维修维护费、劳务费等维持中心正常运行的支出153940元；3.2023年年终考核为优秀的事业人员、机关工人奖状、奖章制作费支出34830元；4.2024年在岗“三支一扶”人员生活补助、社会保险及住房公积金缴费支出563413.25元；5.2023年事业单位招聘工作人员考试考务费支出122066元；造成预决算差异的主要原因是本年未发生需要垫付农民工工资应急周转金情况，年初预算的此项目资金无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2080501 行政单位离退休129600元，占社会保障和就业（类）支出的2.70%，完成年初预算的112.5%，主要用于退休人员生活补助支出；造成预决算差异的主要原因是退休人数增加1人，相应追加预算；</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2080505 机关事业单位基本养老保险缴费支出367385.6元，占社会保障和就业（类）支出的7.65%，完成年初预算的79.61%，主要用于2024年度在职人员养老保险缴费支出; 造成预决算差异的主要原因是机构改革，原与我单位财务合并核算的石林县劳动监察大队撤销后人员转隶、人员调出使在职人数减少，相应追减预算；</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2080506 机关事业单位职业年金缴费支出90224.81元，占社会保障和就业（类）支出的1.88%，完成年初预算的79.77%，主要用于2024年退休人员职业年金支出；造成预决算差异的主要原因是根据实际支出追减预算；</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2080799 其他就业补助支出147647.51元，占社会保障和就业</w:t>
      </w:r>
      <w:r>
        <w:rPr>
          <w:rFonts w:ascii="仿宋_GB2312" w:eastAsia="仿宋_GB2312" w:hint="eastAsia"/>
          <w:sz w:val="30"/>
          <w:szCs w:val="30"/>
        </w:rPr>
        <w:lastRenderedPageBreak/>
        <w:t>（类）支出的3.08%，年初无此项预算；主要用于：1.缴纳公岗人员社会保险支出1095.79元；2.发放2024年在岗“三支一扶”人员生活补助、缴纳社会保险费等支出146551.72元；造成预决算差异的主要原因是资金来源于上级拨款；</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2080801 死亡抚恤19200元，占社会保障和就业（类）支出的0.40%，完成年初预算的99.97%；主要用于单位去世退休职工遗属补助支出。造成预决算差异的主要原因是根据实际支出追减预算。</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9.卫生健康（类）支出280994.36元，占一般公共预算财政拨款总支出的5.16%,完成年初预算的73.76%。主要用于机关事业人员医疗保险缴费支出；造成预决算差异的主要原因是机构改革，原与我单位财务合并核算的石林县劳动监察大队撤销后人员转隶、人员调出使在职人数减少，相应追减医疗保险预算。具体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2101101行政单位医疗104747.01元，占卫生健康（类）支出的37.28%，完成年初预算的69.28%；主要用于在职行政人员基本医疗保险缴费；</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2101102事业单位医疗29867.28元，占卫生健康（类）支出的10.63%，完成年初预算的71.11%；主要用于在职事业人员基本医疗保险缴费；</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2101103公务员医疗补助126860.16元，占卫生健康（类）支出的45.15%，完成年初预算的75.90%；主要用于在职行政事业人员公务员医疗补助缴费；</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2101199其他行政事业单位医疗支出19519.88元，占卫生健康（类）支出的6.95%，完成年初预算的94.73%；主要用于在职行政</w:t>
      </w:r>
      <w:r>
        <w:rPr>
          <w:rFonts w:ascii="仿宋_GB2312" w:eastAsia="仿宋_GB2312" w:hint="eastAsia"/>
          <w:sz w:val="30"/>
          <w:szCs w:val="30"/>
        </w:rPr>
        <w:lastRenderedPageBreak/>
        <w:t>事业人员重特病医疗补助、工伤保险缴费。</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10.节能环保（类）支出0.00元，占一般公共预算财政拨款总支出的0.00%,年初无此项预算。本年无此项支出。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11.城乡社区（类）支出0.00元，占一般公共预算财政拨款总支出的0.00%,年初无此项预算。本年无此项支出。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12.农林水（类）支出45744.00元，占一般公共预算财政拨款总支出的0.84%,年初无此项预算。主要用于创业担保贷款工作相关的力公费、差旅费、邮电费、办公设备购置等支出；造成预决算差异的主要原因是县财政批准下达使用上年结转资金。具体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2130804创业担保贷款贴息及奖补45744.00元。</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13.交通运输（类）支出0.00元，占一般公共预算财政拨款总支出的0.00%,年初无此项预算。本年无此项支出。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14.资源勘探工业信息等（类）支出0.00元，占一般公共预算财政拨款总支出的0.00%,年初无此项预算。本年无此项支出。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15.商业服务业等（类）支出0.00元，占一般公共预算财政拨款总支出的0.00%,年初无此项预算。本年无此项支出。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16.金融（类）支出0.00元，占一般公共预算财政拨款总支出的0.00%,年初无此项预算。本年无此项支出。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17.援助其他地区（类）支出0.00元，占一般公共预算财政拨款总支出的0.00%,年初无此项预算。本年无此项支出。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18.自然资源海洋气象等（类）支出0.00元，占一般公共预算财政拨款总支出的0.00%,年初无此项预算。本年无此项支出。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19.住房保障（类）支出306620.00元，占一般公共预算财政拨</w:t>
      </w:r>
      <w:r>
        <w:rPr>
          <w:rFonts w:ascii="仿宋_GB2312" w:eastAsia="仿宋_GB2312" w:hint="eastAsia"/>
          <w:sz w:val="30"/>
          <w:szCs w:val="30"/>
        </w:rPr>
        <w:lastRenderedPageBreak/>
        <w:t>款总支出的5.64%,完成年初预算的83.83%。主要用于缴纳在职职工住房公积金；造成预决算差异的主要原因是机构改革，原与我单位财务合并核算的石林县劳动监察大队撤销后人员转隶、人员调出使在职人数减少，住房公积金收支相应减少。具体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2210201住房公积金306620元。</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20.粮油物资储备（类）支出0.00元，占一般公共预算财政拨款总支出的0.00%,年初无此项预算。本年无此项支出。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21.国有资本经营预算（类）支出0.00元，占一般公共预算财政拨款总支出的0.00%,年初无此项预算。本年无此项支出。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22.灾害防治及应急管理（类）支出0.00元，占一般公共预算财政拨款总支出的0.00%,年初无此项预算。本年无此项支出。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23.其他（类）支出0.00元，占一般公共预算财政拨款总支出的0.00%,年初无此项预算。本年无此项支出。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24.债务还本（类）支出0.00元，占一般公共预算财政拨款总支出的0.00%,年初无此项预算。本年无此项支出。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25.债务付息（类）支出0.00元，占一般公共预算财政拨款总支出的0.00%,年初无此项预算。本年无此项支出。</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26.抗疫特别国债安排（类）支出0.00元，占一般公共预算财政拨款总支出的0.00%,年初无此项预算。本年无此项支出。</w:t>
      </w:r>
    </w:p>
    <w:p w:rsidR="007579D9" w:rsidRDefault="00A67124">
      <w:pPr>
        <w:spacing w:line="560" w:lineRule="exact"/>
        <w:ind w:firstLineChars="200" w:firstLine="600"/>
        <w:rPr>
          <w:rFonts w:ascii="黑体" w:eastAsia="黑体" w:hAnsi="黑体"/>
          <w:sz w:val="30"/>
          <w:szCs w:val="30"/>
        </w:rPr>
      </w:pPr>
      <w:r>
        <w:rPr>
          <w:rFonts w:ascii="黑体" w:eastAsia="黑体" w:hAnsi="黑体" w:hint="eastAsia"/>
          <w:sz w:val="30"/>
          <w:szCs w:val="30"/>
        </w:rPr>
        <w:t>四、财政拨款“三公”经费支出决算情况说明</w:t>
      </w:r>
    </w:p>
    <w:p w:rsidR="007579D9" w:rsidRDefault="00A67124">
      <w:pPr>
        <w:widowControl/>
        <w:snapToGrid w:val="0"/>
        <w:spacing w:before="100" w:after="100" w:line="560" w:lineRule="exact"/>
        <w:ind w:firstLineChars="200" w:firstLine="600"/>
        <w:jc w:val="left"/>
        <w:outlineLvl w:val="2"/>
        <w:rPr>
          <w:rFonts w:ascii="楷体_GB2312" w:eastAsia="楷体_GB2312" w:hAnsi="仿宋_GB2312" w:cs="仿宋_GB2312"/>
          <w:kern w:val="0"/>
          <w:sz w:val="30"/>
          <w:szCs w:val="30"/>
        </w:rPr>
      </w:pPr>
      <w:r>
        <w:rPr>
          <w:rFonts w:ascii="楷体_GB2312" w:eastAsia="楷体_GB2312" w:hAnsi="楷体_GB2312" w:cs="楷体_GB2312" w:hint="eastAsia"/>
          <w:kern w:val="0"/>
          <w:sz w:val="30"/>
          <w:szCs w:val="30"/>
        </w:rPr>
        <w:t>（一）</w:t>
      </w:r>
      <w:r>
        <w:rPr>
          <w:rFonts w:ascii="楷体_GB2312" w:eastAsia="楷体_GB2312" w:hAnsi="仿宋_GB2312" w:cs="仿宋_GB2312" w:hint="eastAsia"/>
          <w:color w:val="000000"/>
          <w:sz w:val="30"/>
          <w:szCs w:val="30"/>
        </w:rPr>
        <w:t>一般公共预算财政拨款“三公”经费支出决算</w:t>
      </w:r>
      <w:r>
        <w:rPr>
          <w:rFonts w:ascii="楷体_GB2312" w:eastAsia="楷体_GB2312" w:hAnsi="仿宋_GB2312" w:cs="仿宋_GB2312" w:hint="eastAsia"/>
          <w:kern w:val="0"/>
          <w:sz w:val="30"/>
          <w:szCs w:val="30"/>
        </w:rPr>
        <w:t>总体情况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2024年度财政拨款“三公”经费支出决算中，财政拨款“三公”经费支出年初预算为92000.00元，决算为17693.01元，完成年初</w:t>
      </w:r>
      <w:r>
        <w:rPr>
          <w:rFonts w:ascii="仿宋_GB2312" w:eastAsia="仿宋_GB2312" w:hint="eastAsia"/>
          <w:sz w:val="30"/>
          <w:szCs w:val="30"/>
        </w:rPr>
        <w:lastRenderedPageBreak/>
        <w:t>预算的19.23%；支出决算较上年减少7224.22元，下降28.99%。</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因公出国（境）费支出年初预算为0.00元，决算为0.00元，占财政拨款“三公”经费总支出决算的0.00%；公务用车购置费支出年初预算为0.00元，决算为0.00元，占财政拨款“三公”经费总支出决算的0.00%；公务用车运行维护费支出年初预算为40000.00元，决算为16477.11元，占财政拨款“三公”经费总支出决算的93.13%，完成年初预算的41.19%；公务接待费支出年初预算为52000.00元，决算为1215.90元，占财政拨款“三公”经费总支出决算的6.87%，完成年初预算的2.34%。</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因公出国（境）费支出决算较上年增加0.00元，上年无此项支出；公务用车购置费支出决算较上年增加0.00元，上年无此项支出；公务用车运行维护费支出决算较上年增加2459.88元，增长17.55%；公务接待费支出决算较上年减少9684.10元，下降88.84%；具体是国内接待费支出决算1215.90元（其中：外事接待费支出决算0.00元），较上年减少9684.10元，下降88.84%；国（境）外接待费支出决算0.00元较上年增加0.00元，上年无此项支出。</w:t>
      </w:r>
    </w:p>
    <w:p w:rsidR="007579D9" w:rsidRDefault="00A67124">
      <w:pPr>
        <w:spacing w:line="560" w:lineRule="exact"/>
        <w:ind w:firstLineChars="200" w:firstLine="600"/>
        <w:rPr>
          <w:rFonts w:ascii="楷体_GB2312" w:eastAsia="楷体_GB2312"/>
          <w:sz w:val="30"/>
          <w:szCs w:val="30"/>
        </w:rPr>
      </w:pPr>
      <w:r>
        <w:rPr>
          <w:rFonts w:ascii="楷体_GB2312" w:eastAsia="楷体_GB2312" w:hint="eastAsia"/>
          <w:sz w:val="30"/>
          <w:szCs w:val="30"/>
        </w:rPr>
        <w:t>（二）一般公共预算财政拨款“三公”经费支出决算情况说明</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2024年度一般公共预算财政拨款“三公”经费支出年初预算为92000.00元，支出决算为17693.01元，完成年初预算的19.23%，支出决算较上年减少7224.22元，下降28.99%。</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一般公共预算财政拨款“三公”经费支出中：因公出国（境）费支出年初预算为0.00元，决算为0.00元；公务用车购置费支出年初预算为0.00元，决算为0.00元；公务用车运行维护费支出年</w:t>
      </w:r>
      <w:r>
        <w:rPr>
          <w:rFonts w:ascii="仿宋_GB2312" w:eastAsia="仿宋_GB2312" w:hint="eastAsia"/>
          <w:sz w:val="30"/>
          <w:szCs w:val="30"/>
        </w:rPr>
        <w:lastRenderedPageBreak/>
        <w:t>初预算为40000.00元，决算为16477.11元，完成年初预算的41.19%；公务接待费支出年初预算为52000.00元，决算为1215.90元，完成年初预算的2.34%。2024年度一般公共预算财政拨款“三公”经费支出决算数小于年初预算数的主要原因是单位严格控制支出超年初预算。1.公务接待严格执行中央八项规定，严格按公务接待制度规定确定接待事项、控制接待标准， 2024年度公务接待支出有效控制在预算数内。2.公务车辆派出和使用严格按公车管理规定，非必要不使用公务车辆，2024公务用车运行维护费控制在预算数内。</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一般公共预算财政拨款“三公”经费支出中：因公出国（境）费支出决算增加0.00元，上年无此项支出；公务用车购置费支出决算增加0.00元，上年无此项支出；公务用车运行维护费支出决算增加2459.88元，增长17.55%；公务接待费支出决算减少9684.10元，下降88.84%，具体是国内接待费支出决算1215.90元（其中：外事接待费支出决算0.00元），较上年减少9684.1元，下降88.84%；国（境）外接待费支出决算0.00元较上年增加0.00元，上年无此项支出。2024年度一般公共预算财政拨款“三公”经费支出决算减少的主要原因是公务接待费决算比上年减少；具体情况是：公务用车运行维护费比上年增加，增加的原因是一是车辆老化，维修维护费增加；二是本年工伤案件外出调查次数，下乡扶贫工作次数增加导致燃料费、过路费增加；公务接待费比上年减少的原因是本年接待批次比上年减少17批，下降85%，接待人次比上年减少134人，下降88.16%。</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一般公共预算财政拨款“三公”经费支出实物量的具体情况：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1.安排因公出国（境）团组0.0个，累计0.0人次。</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2.购置车辆0.0辆。开支一般公共预算财政拨款的公务用车保有量为1.0辆。主要用于主要用于处理突发事件、事业人员招聘考试等保密资料运送、职工到交通不便地区出差所需车辆燃料费、维修费、过路过桥费、保险费等。</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3.安排国内公务接待3.0批次（其中：外事接待0.0批次），接待人次18.0人（其中：外事接待人次0.0人）。主要用于XX（相关工作，产生的接待批次及人次等）发生的接待支出。安排国（境）外公务接待0.0批次，接待人次0.0人。主要用于呈贡区人社局到我县开展工伤认定风险隐患交叉检查工作接待1批次6人次、市人社局到我县开展构建和谐劳动关系和主要经济指标工作情况调研工作接待1批次6人次、市人社局工资福利处到我县开展工资福利调研工作接待1批次6人次发生的接待支出。</w:t>
      </w:r>
    </w:p>
    <w:p w:rsidR="007579D9" w:rsidRDefault="00A67124">
      <w:pPr>
        <w:spacing w:line="560" w:lineRule="exact"/>
        <w:ind w:firstLineChars="200" w:firstLine="600"/>
        <w:rPr>
          <w:rFonts w:ascii="楷体_GB2312" w:eastAsia="楷体_GB2312"/>
          <w:sz w:val="30"/>
          <w:szCs w:val="30"/>
        </w:rPr>
      </w:pPr>
      <w:r>
        <w:rPr>
          <w:rFonts w:ascii="楷体_GB2312" w:eastAsia="楷体_GB2312" w:hint="eastAsia"/>
          <w:sz w:val="30"/>
          <w:szCs w:val="30"/>
        </w:rPr>
        <w:t>（三）需要说明的事项</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不存在需要说明的事项。</w:t>
      </w:r>
    </w:p>
    <w:p w:rsidR="007579D9" w:rsidRDefault="007579D9">
      <w:pPr>
        <w:widowControl/>
        <w:snapToGrid w:val="0"/>
        <w:spacing w:before="100" w:after="100" w:line="560" w:lineRule="exact"/>
        <w:ind w:firstLineChars="200" w:firstLine="600"/>
        <w:jc w:val="left"/>
        <w:rPr>
          <w:rFonts w:ascii="仿宋_GB2312" w:eastAsia="仿宋_GB2312"/>
          <w:color w:val="FF0000"/>
          <w:sz w:val="30"/>
          <w:szCs w:val="30"/>
        </w:rPr>
      </w:pPr>
    </w:p>
    <w:p w:rsidR="007579D9" w:rsidRDefault="00A67124">
      <w:pPr>
        <w:widowControl/>
        <w:snapToGrid w:val="0"/>
        <w:spacing w:before="100" w:after="100" w:line="560" w:lineRule="exact"/>
        <w:ind w:firstLineChars="200" w:firstLine="640"/>
        <w:jc w:val="left"/>
        <w:outlineLvl w:val="0"/>
        <w:rPr>
          <w:rFonts w:ascii="仿宋_GB2312" w:eastAsia="仿宋_GB2312"/>
          <w:sz w:val="32"/>
          <w:szCs w:val="32"/>
        </w:rPr>
      </w:pPr>
      <w:r>
        <w:rPr>
          <w:rFonts w:ascii="黑体" w:eastAsia="黑体" w:hAnsi="黑体" w:cs="方正小标宋简体" w:hint="eastAsia"/>
          <w:sz w:val="32"/>
          <w:szCs w:val="32"/>
        </w:rPr>
        <w:t xml:space="preserve">第四部分  </w:t>
      </w:r>
      <w:r>
        <w:rPr>
          <w:rFonts w:ascii="黑体" w:eastAsia="黑体" w:hAnsi="黑体" w:hint="eastAsia"/>
          <w:sz w:val="32"/>
          <w:szCs w:val="32"/>
        </w:rPr>
        <w:t>其他重要事项及相关口径情况说明</w:t>
      </w:r>
    </w:p>
    <w:p w:rsidR="007579D9" w:rsidRDefault="00A67124">
      <w:pPr>
        <w:spacing w:line="560" w:lineRule="exact"/>
        <w:ind w:firstLineChars="200" w:firstLine="600"/>
        <w:jc w:val="left"/>
        <w:outlineLvl w:val="1"/>
        <w:rPr>
          <w:rFonts w:ascii="黑体" w:eastAsia="黑体" w:hAnsi="黑体" w:cs="黑体"/>
          <w:sz w:val="30"/>
          <w:szCs w:val="30"/>
        </w:rPr>
      </w:pPr>
      <w:r>
        <w:rPr>
          <w:rFonts w:ascii="黑体" w:eastAsia="黑体" w:hAnsi="黑体" w:cs="黑体" w:hint="eastAsia"/>
          <w:sz w:val="30"/>
          <w:szCs w:val="30"/>
        </w:rPr>
        <w:t>一、机关运行经费支出情况</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石林彝族自治县人力资源和社会保障局（本级）2024年机关运行经费支出312378.01元，比上年减少27742.12元，下降8.16%,主要原因是因机构改革，原与我单位财务合并核算的石林县劳动监察大队撤销后人员转隶、人员调出使在职人数减少，机关运行经费</w:t>
      </w:r>
      <w:r>
        <w:rPr>
          <w:rFonts w:ascii="仿宋_GB2312" w:eastAsia="仿宋_GB2312" w:hint="eastAsia"/>
          <w:sz w:val="30"/>
          <w:szCs w:val="30"/>
        </w:rPr>
        <w:lastRenderedPageBreak/>
        <w:t>收支相应减少。单位机关运行经费主要用于单位正常运转的办公费、水电费、差旅费、公务接待费、劳务费、其他交通费等支出。具体支出内容：1.办公费:34000元；2.邮电费:4542元；3.差旅费:10690元；4. 公务接待费:1215.9元；5. 劳务费:1920元；6.工会费:23973元；7. 福利费:62435元；8. 公务用车运行维护费:16477.11元； 9. 其他交通费用：141400元；10.其他商品服务支出：15725元。</w:t>
      </w:r>
    </w:p>
    <w:p w:rsidR="007579D9" w:rsidRDefault="00A67124">
      <w:pPr>
        <w:widowControl/>
        <w:spacing w:line="560" w:lineRule="exact"/>
        <w:ind w:firstLineChars="200" w:firstLine="600"/>
        <w:outlineLvl w:val="1"/>
        <w:rPr>
          <w:rFonts w:ascii="黑体" w:eastAsia="黑体" w:hAnsi="黑体" w:cs="黑体"/>
          <w:kern w:val="0"/>
          <w:sz w:val="30"/>
          <w:szCs w:val="30"/>
        </w:rPr>
      </w:pPr>
      <w:r>
        <w:rPr>
          <w:rFonts w:ascii="黑体" w:eastAsia="黑体" w:hAnsi="黑体" w:cs="黑体" w:hint="eastAsia"/>
          <w:kern w:val="0"/>
          <w:sz w:val="30"/>
          <w:szCs w:val="30"/>
        </w:rPr>
        <w:t>二、国有资产占用情况</w:t>
      </w:r>
    </w:p>
    <w:p w:rsidR="007579D9" w:rsidRDefault="00A67124">
      <w:pPr>
        <w:widowControl/>
        <w:spacing w:line="560" w:lineRule="exact"/>
        <w:ind w:firstLineChars="200" w:firstLine="600"/>
        <w:rPr>
          <w:rFonts w:ascii="仿宋_GB2312" w:eastAsia="仿宋_GB2312" w:hAnsi="黑体" w:cs="方正小标宋简体"/>
          <w:kern w:val="0"/>
          <w:sz w:val="30"/>
          <w:szCs w:val="30"/>
        </w:rPr>
      </w:pPr>
      <w:r>
        <w:rPr>
          <w:rFonts w:ascii="仿宋_GB2312" w:eastAsia="仿宋_GB2312" w:hAnsi="仿宋_GB2312" w:cs="仿宋_GB2312" w:hint="eastAsia"/>
          <w:sz w:val="30"/>
          <w:szCs w:val="30"/>
        </w:rPr>
        <w:t>截至2024年末，</w:t>
      </w:r>
      <w:r>
        <w:rPr>
          <w:rFonts w:ascii="仿宋_GB2312" w:eastAsia="仿宋_GB2312" w:hAnsi="仿宋_GB2312" w:cs="仿宋_GB2312" w:hint="eastAsia"/>
          <w:sz w:val="30"/>
          <w:lang w:val="zh-CN"/>
        </w:rPr>
        <w:t>石林彝族自治县人力资源和社会保障局（本级）</w:t>
      </w:r>
      <w:r>
        <w:rPr>
          <w:rFonts w:ascii="仿宋_GB2312" w:eastAsia="仿宋_GB2312" w:hAnsi="仿宋_GB2312" w:cs="仿宋_GB2312" w:hint="eastAsia"/>
          <w:sz w:val="30"/>
          <w:szCs w:val="30"/>
        </w:rPr>
        <w:t>资产总额14587328.32元，其中，流动资产220348.21元，固定资产14366980.11元（净值），对外投资及有价证券0.00元，在建工程0.00元，无形资产0.00元（净值），其他资产0.00元（净值）（具体内容详见附表）</w:t>
      </w:r>
      <w:r>
        <w:rPr>
          <w:rFonts w:ascii="仿宋_GB2312" w:eastAsia="仿宋_GB2312" w:hAnsi="黑体" w:cs="方正小标宋简体" w:hint="eastAsia"/>
          <w:kern w:val="0"/>
          <w:sz w:val="30"/>
          <w:szCs w:val="30"/>
        </w:rPr>
        <w:t>。与上年相比，本年资产总额减少321172.43元，其中固定资产减少264051.21元。处置房屋建筑物0.00平方米，账面原值0.00元；处置车辆0辆，账面原值0.00元；报废报损资产0项，账面原值0.00元，实现资产处置收入0.00元；出租房屋0.00平方米，账面原值0.00元，实现资产使用收入0.00元。</w:t>
      </w:r>
    </w:p>
    <w:p w:rsidR="007579D9" w:rsidRDefault="00A67124">
      <w:pPr>
        <w:widowControl/>
        <w:spacing w:line="560" w:lineRule="exact"/>
        <w:ind w:firstLineChars="200" w:firstLine="600"/>
        <w:rPr>
          <w:rFonts w:ascii="仿宋_GB2312" w:eastAsia="仿宋_GB2312" w:hAnsi="黑体" w:cs="方正小标宋简体"/>
          <w:kern w:val="0"/>
          <w:sz w:val="30"/>
          <w:szCs w:val="30"/>
        </w:rPr>
      </w:pPr>
      <w:r>
        <w:rPr>
          <w:rFonts w:ascii="仿宋_GB2312" w:eastAsia="仿宋_GB2312" w:hAnsi="黑体" w:cs="方正小标宋简体" w:hint="eastAsia"/>
          <w:kern w:val="0"/>
          <w:sz w:val="30"/>
          <w:szCs w:val="30"/>
        </w:rPr>
        <w:t>（国有资产占有使用情况表详见附表）</w:t>
      </w:r>
    </w:p>
    <w:p w:rsidR="007579D9" w:rsidRDefault="00A67124">
      <w:pPr>
        <w:spacing w:line="560" w:lineRule="exact"/>
        <w:ind w:firstLineChars="200" w:firstLine="600"/>
        <w:jc w:val="left"/>
        <w:outlineLvl w:val="1"/>
        <w:rPr>
          <w:rFonts w:ascii="黑体" w:eastAsia="黑体" w:hAnsi="黑体" w:cs="黑体"/>
          <w:sz w:val="30"/>
          <w:szCs w:val="30"/>
        </w:rPr>
      </w:pPr>
      <w:r>
        <w:rPr>
          <w:rFonts w:ascii="黑体" w:eastAsia="黑体" w:hAnsi="黑体" w:cs="黑体" w:hint="eastAsia"/>
          <w:sz w:val="30"/>
          <w:szCs w:val="30"/>
        </w:rPr>
        <w:t>三、政府采购支出情况</w:t>
      </w:r>
    </w:p>
    <w:p w:rsidR="007579D9" w:rsidRDefault="00A67124">
      <w:pPr>
        <w:spacing w:line="560" w:lineRule="exact"/>
        <w:ind w:firstLineChars="200" w:firstLine="600"/>
        <w:rPr>
          <w:rFonts w:ascii="仿宋_GB2312" w:eastAsia="仿宋_GB2312" w:hAnsi="仿宋_GB2312" w:cs="仿宋_GB2312"/>
          <w:sz w:val="30"/>
          <w:szCs w:val="30"/>
        </w:rPr>
      </w:pPr>
      <w:bookmarkStart w:id="0" w:name="_GoBack"/>
      <w:r>
        <w:rPr>
          <w:rFonts w:ascii="仿宋_GB2312" w:eastAsia="仿宋_GB2312" w:hAnsi="仿宋_GB2312" w:cs="仿宋_GB2312" w:hint="eastAsia"/>
          <w:sz w:val="30"/>
          <w:szCs w:val="30"/>
        </w:rPr>
        <w:t>2024年度，单位政府采购支出总额</w:t>
      </w:r>
      <w:r>
        <w:rPr>
          <w:rFonts w:ascii="仿宋_GB2312" w:eastAsia="仿宋_GB2312" w:hAnsi="仿宋_GB2312" w:cs="仿宋_GB2312" w:hint="eastAsia"/>
          <w:sz w:val="30"/>
          <w:lang w:val="zh-CN"/>
        </w:rPr>
        <w:t>1080676.34</w:t>
      </w:r>
      <w:r>
        <w:rPr>
          <w:rFonts w:ascii="仿宋_GB2312" w:eastAsia="仿宋_GB2312" w:hAnsi="仿宋_GB2312" w:cs="仿宋_GB2312" w:hint="eastAsia"/>
          <w:sz w:val="30"/>
          <w:szCs w:val="30"/>
        </w:rPr>
        <w:t>元，其中：政府</w:t>
      </w:r>
      <w:bookmarkEnd w:id="0"/>
      <w:r>
        <w:rPr>
          <w:rFonts w:ascii="仿宋_GB2312" w:eastAsia="仿宋_GB2312" w:hAnsi="仿宋_GB2312" w:cs="仿宋_GB2312" w:hint="eastAsia"/>
          <w:sz w:val="30"/>
          <w:szCs w:val="30"/>
        </w:rPr>
        <w:t>采购货物支出</w:t>
      </w:r>
      <w:r>
        <w:rPr>
          <w:rFonts w:ascii="仿宋_GB2312" w:eastAsia="仿宋_GB2312" w:hAnsi="仿宋_GB2312" w:cs="仿宋_GB2312" w:hint="eastAsia"/>
          <w:sz w:val="30"/>
          <w:lang w:val="zh-CN"/>
        </w:rPr>
        <w:t>73976.34</w:t>
      </w:r>
      <w:r>
        <w:rPr>
          <w:rFonts w:ascii="仿宋_GB2312" w:eastAsia="仿宋_GB2312" w:hAnsi="仿宋_GB2312" w:cs="仿宋_GB2312" w:hint="eastAsia"/>
          <w:sz w:val="30"/>
          <w:szCs w:val="30"/>
        </w:rPr>
        <w:t>元；政府采购工程支出</w:t>
      </w:r>
      <w:r>
        <w:rPr>
          <w:rFonts w:ascii="仿宋_GB2312" w:eastAsia="仿宋_GB2312" w:hAnsi="仿宋_GB2312" w:cs="仿宋_GB2312" w:hint="eastAsia"/>
          <w:sz w:val="30"/>
          <w:lang w:val="zh-CN"/>
        </w:rPr>
        <w:t>0.00</w:t>
      </w:r>
      <w:r>
        <w:rPr>
          <w:rFonts w:ascii="仿宋_GB2312" w:eastAsia="仿宋_GB2312" w:hAnsi="仿宋_GB2312" w:cs="仿宋_GB2312" w:hint="eastAsia"/>
          <w:sz w:val="30"/>
          <w:szCs w:val="30"/>
        </w:rPr>
        <w:t>元；政府采购服务支出</w:t>
      </w:r>
      <w:r>
        <w:rPr>
          <w:rFonts w:ascii="仿宋_GB2312" w:eastAsia="仿宋_GB2312" w:hAnsi="仿宋_GB2312" w:cs="仿宋_GB2312" w:hint="eastAsia"/>
          <w:sz w:val="30"/>
          <w:lang w:val="zh-CN"/>
        </w:rPr>
        <w:t>1006700.00</w:t>
      </w:r>
      <w:r>
        <w:rPr>
          <w:rFonts w:ascii="仿宋_GB2312" w:eastAsia="仿宋_GB2312" w:hAnsi="仿宋_GB2312" w:cs="仿宋_GB2312" w:hint="eastAsia"/>
          <w:sz w:val="30"/>
          <w:szCs w:val="30"/>
        </w:rPr>
        <w:t>元。授予中小企业合同金额</w:t>
      </w:r>
      <w:r>
        <w:rPr>
          <w:rFonts w:ascii="仿宋_GB2312" w:eastAsia="仿宋_GB2312" w:hAnsi="仿宋_GB2312" w:cs="仿宋_GB2312" w:hint="eastAsia"/>
          <w:sz w:val="30"/>
          <w:lang w:val="zh-CN"/>
        </w:rPr>
        <w:t>1080676.34</w:t>
      </w:r>
      <w:r>
        <w:rPr>
          <w:rFonts w:ascii="仿宋_GB2312" w:eastAsia="仿宋_GB2312" w:hAnsi="仿宋_GB2312" w:cs="仿宋_GB2312" w:hint="eastAsia"/>
          <w:sz w:val="30"/>
          <w:szCs w:val="30"/>
        </w:rPr>
        <w:t>元，其中：授予小微企业合同金额</w:t>
      </w:r>
      <w:r>
        <w:rPr>
          <w:rFonts w:ascii="仿宋_GB2312" w:eastAsia="仿宋_GB2312" w:hAnsi="仿宋_GB2312" w:cs="仿宋_GB2312" w:hint="eastAsia"/>
          <w:sz w:val="30"/>
          <w:lang w:val="zh-CN"/>
        </w:rPr>
        <w:t>1080676.34</w:t>
      </w:r>
      <w:r>
        <w:rPr>
          <w:rFonts w:ascii="仿宋_GB2312" w:eastAsia="仿宋_GB2312" w:hAnsi="仿宋_GB2312" w:cs="仿宋_GB2312" w:hint="eastAsia"/>
          <w:sz w:val="30"/>
          <w:szCs w:val="30"/>
        </w:rPr>
        <w:t>元。</w:t>
      </w:r>
    </w:p>
    <w:p w:rsidR="007579D9" w:rsidRDefault="00A67124">
      <w:pPr>
        <w:spacing w:line="560" w:lineRule="exact"/>
        <w:ind w:firstLineChars="200" w:firstLine="600"/>
        <w:jc w:val="left"/>
        <w:outlineLvl w:val="1"/>
        <w:rPr>
          <w:rFonts w:ascii="黑体" w:eastAsia="黑体" w:hAnsi="黑体" w:cs="黑体"/>
          <w:sz w:val="30"/>
          <w:szCs w:val="30"/>
        </w:rPr>
      </w:pPr>
      <w:r>
        <w:rPr>
          <w:rFonts w:ascii="黑体" w:eastAsia="黑体" w:hAnsi="黑体" w:cs="黑体" w:hint="eastAsia"/>
          <w:sz w:val="30"/>
          <w:szCs w:val="30"/>
        </w:rPr>
        <w:t>四、单位绩效自评情况</w:t>
      </w:r>
    </w:p>
    <w:p w:rsidR="007579D9" w:rsidRDefault="00A67124">
      <w:pPr>
        <w:widowControl/>
        <w:spacing w:line="560" w:lineRule="exact"/>
        <w:ind w:firstLineChars="200" w:firstLine="600"/>
        <w:outlineLvl w:val="1"/>
        <w:rPr>
          <w:rFonts w:ascii="仿宋_GB2312" w:eastAsia="仿宋_GB2312" w:hAnsi="黑体" w:cs="黑体"/>
          <w:sz w:val="30"/>
          <w:szCs w:val="30"/>
        </w:rPr>
      </w:pPr>
      <w:r>
        <w:rPr>
          <w:rFonts w:ascii="仿宋_GB2312" w:eastAsia="仿宋_GB2312" w:hAnsi="黑体" w:cs="黑体" w:hint="eastAsia"/>
          <w:sz w:val="30"/>
          <w:szCs w:val="30"/>
        </w:rPr>
        <w:lastRenderedPageBreak/>
        <w:t>单位绩效自评情况详见附表，包括：</w:t>
      </w:r>
    </w:p>
    <w:p w:rsidR="007579D9" w:rsidRDefault="00A67124">
      <w:pPr>
        <w:widowControl/>
        <w:snapToGrid w:val="0"/>
        <w:spacing w:before="100" w:after="100"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（一）部门整体支出绩效自评情况</w:t>
      </w:r>
    </w:p>
    <w:p w:rsidR="007579D9" w:rsidRDefault="00A67124">
      <w:pPr>
        <w:widowControl/>
        <w:snapToGrid w:val="0"/>
        <w:spacing w:before="100" w:after="100"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（二）部门整体支出绩效自评表</w:t>
      </w:r>
    </w:p>
    <w:p w:rsidR="007579D9" w:rsidRDefault="00A67124">
      <w:pPr>
        <w:widowControl/>
        <w:snapToGrid w:val="0"/>
        <w:spacing w:before="100" w:after="100"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（三）项目支出绩效自评表详</w:t>
      </w:r>
    </w:p>
    <w:p w:rsidR="007579D9" w:rsidRDefault="00A67124">
      <w:pPr>
        <w:widowControl/>
        <w:snapToGrid w:val="0"/>
        <w:spacing w:before="100" w:after="100" w:line="560" w:lineRule="exact"/>
        <w:ind w:firstLineChars="200" w:firstLine="600"/>
        <w:jc w:val="left"/>
        <w:outlineLvl w:val="1"/>
        <w:rPr>
          <w:rFonts w:ascii="黑体" w:eastAsia="黑体" w:hAnsi="黑体" w:cs="黑体"/>
          <w:sz w:val="30"/>
          <w:szCs w:val="30"/>
        </w:rPr>
      </w:pPr>
      <w:r>
        <w:rPr>
          <w:rFonts w:ascii="黑体" w:eastAsia="黑体" w:hAnsi="黑体" w:cs="黑体" w:hint="eastAsia"/>
          <w:sz w:val="30"/>
          <w:szCs w:val="30"/>
        </w:rPr>
        <w:t>五、其他重要事项情况说明</w:t>
      </w:r>
    </w:p>
    <w:p w:rsidR="007579D9" w:rsidRDefault="00A67124">
      <w:pPr>
        <w:spacing w:line="560" w:lineRule="exact"/>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无</w:t>
      </w:r>
    </w:p>
    <w:p w:rsidR="007579D9" w:rsidRDefault="00A67124">
      <w:pPr>
        <w:widowControl/>
        <w:snapToGrid w:val="0"/>
        <w:spacing w:before="100" w:after="100" w:line="560" w:lineRule="exact"/>
        <w:ind w:firstLineChars="200" w:firstLine="600"/>
        <w:jc w:val="left"/>
        <w:outlineLvl w:val="1"/>
        <w:rPr>
          <w:rFonts w:ascii="黑体" w:eastAsia="黑体" w:hAnsi="黑体" w:cs="黑体"/>
          <w:sz w:val="30"/>
          <w:szCs w:val="30"/>
        </w:rPr>
      </w:pPr>
      <w:r>
        <w:rPr>
          <w:rFonts w:ascii="黑体" w:eastAsia="黑体" w:hAnsi="黑体" w:cs="黑体" w:hint="eastAsia"/>
          <w:sz w:val="30"/>
          <w:szCs w:val="30"/>
        </w:rPr>
        <w:t>六、相关口径说明</w:t>
      </w:r>
    </w:p>
    <w:p w:rsidR="007579D9" w:rsidRDefault="00A67124">
      <w:pPr>
        <w:spacing w:line="560" w:lineRule="exact"/>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（一）基本支出中人员经费包括工资福利支出和对个人和家庭的补助，公用经费包括商品和服务支出、资本性支出等人员经费以外的支出。</w:t>
      </w:r>
    </w:p>
    <w:p w:rsidR="007579D9" w:rsidRDefault="00A67124">
      <w:pPr>
        <w:spacing w:line="560" w:lineRule="exact"/>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（二）机关运行经费指行政单位和参照公务员法管理的事业单位使用一般公共预算财政拨款安排的基本支出中的公用经费支出。</w:t>
      </w:r>
    </w:p>
    <w:p w:rsidR="007579D9" w:rsidRDefault="00A67124">
      <w:pPr>
        <w:spacing w:line="560" w:lineRule="exact"/>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w:t>
      </w:r>
      <w:r>
        <w:rPr>
          <w:rFonts w:ascii="仿宋_GB2312" w:eastAsia="仿宋_GB2312" w:hAnsi="黑体" w:cs="方正小标宋简体" w:hint="eastAsia"/>
          <w:sz w:val="30"/>
          <w:szCs w:val="30"/>
        </w:rPr>
        <w:lastRenderedPageBreak/>
        <w:t>关数据是一般公共预算、政府性基金及国有资本经营预算财政拨款支出的相关经费，不含非财政拨款部分。</w:t>
      </w:r>
    </w:p>
    <w:p w:rsidR="007579D9" w:rsidRDefault="00A67124">
      <w:pPr>
        <w:spacing w:line="560" w:lineRule="exact"/>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rsidR="007579D9" w:rsidRDefault="007579D9">
      <w:pPr>
        <w:spacing w:line="560" w:lineRule="exact"/>
        <w:ind w:firstLineChars="200" w:firstLine="600"/>
        <w:jc w:val="left"/>
        <w:rPr>
          <w:rFonts w:ascii="仿宋_GB2312" w:eastAsia="仿宋_GB2312" w:hAnsi="黑体" w:cs="方正小标宋简体"/>
          <w:sz w:val="30"/>
          <w:szCs w:val="30"/>
        </w:rPr>
      </w:pPr>
    </w:p>
    <w:p w:rsidR="007579D9" w:rsidRDefault="00A67124">
      <w:pPr>
        <w:spacing w:line="560" w:lineRule="exact"/>
        <w:jc w:val="center"/>
        <w:outlineLvl w:val="0"/>
        <w:rPr>
          <w:rFonts w:ascii="黑体" w:eastAsia="黑体" w:hAnsi="黑体" w:cs="方正小标宋简体"/>
          <w:sz w:val="32"/>
          <w:szCs w:val="32"/>
        </w:rPr>
      </w:pPr>
      <w:r>
        <w:rPr>
          <w:rFonts w:ascii="黑体" w:eastAsia="黑体" w:hAnsi="黑体" w:cs="方正小标宋简体" w:hint="eastAsia"/>
          <w:sz w:val="32"/>
          <w:szCs w:val="32"/>
        </w:rPr>
        <w:t>第五部分  名词解释</w:t>
      </w:r>
    </w:p>
    <w:p w:rsidR="007579D9" w:rsidRDefault="00A67124">
      <w:pPr>
        <w:spacing w:line="560" w:lineRule="exact"/>
        <w:ind w:firstLineChars="200" w:firstLine="600"/>
        <w:jc w:val="left"/>
        <w:rPr>
          <w:rFonts w:ascii="仿宋_GB2312" w:eastAsia="仿宋_GB2312" w:hAnsi="黑体" w:cs="方正小标宋简体"/>
          <w:sz w:val="30"/>
          <w:szCs w:val="30"/>
        </w:rPr>
      </w:pPr>
      <w:r>
        <w:rPr>
          <w:rFonts w:ascii="仿宋_GB2312" w:eastAsia="仿宋_GB2312" w:hAnsi="黑体" w:cs="方正小标宋简体" w:hint="eastAsia"/>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决算公开：是指经本级人代会或人大常委会批准的决算及报表，应当在批准后二十日内由本级政府财政部门向社会公开，并作相应说明；经本级政府财政部门批复的部门决算及报表，应当在批复后二十日内由各部门向社会公开，并作相应说明。</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一般公共预算：是对以税收为主体的财政收入，安排用于保障和改善民生、推动经济社会发展、维护国家安全、维持国家机构正常运转等方面的收支预算。</w:t>
      </w:r>
    </w:p>
    <w:p w:rsidR="007579D9" w:rsidRDefault="00A67124">
      <w:pPr>
        <w:spacing w:line="560" w:lineRule="exact"/>
        <w:ind w:firstLineChars="200" w:firstLine="600"/>
        <w:rPr>
          <w:rFonts w:ascii="仿宋_GB2312" w:eastAsia="仿宋_GB2312"/>
          <w:sz w:val="30"/>
          <w:szCs w:val="30"/>
        </w:rPr>
      </w:pPr>
      <w:r>
        <w:rPr>
          <w:rFonts w:ascii="仿宋_GB2312" w:eastAsia="仿宋_GB2312" w:hint="eastAsia"/>
          <w:sz w:val="30"/>
          <w:szCs w:val="30"/>
        </w:rPr>
        <w:t>政府性基金预算：是国家通过向社会征收以及出让土地、发行彩票等方式取得收入，并专项用于支持特定基础设施建设和社会事业发展的财政收支预算，是政府预算体系的重要组成部分。</w:t>
      </w:r>
    </w:p>
    <w:p w:rsidR="007579D9" w:rsidRDefault="007579D9">
      <w:pPr>
        <w:spacing w:line="560" w:lineRule="exact"/>
        <w:ind w:firstLineChars="200" w:firstLine="600"/>
        <w:rPr>
          <w:rFonts w:ascii="仿宋_GB2312" w:eastAsia="仿宋_GB2312"/>
          <w:sz w:val="30"/>
          <w:szCs w:val="30"/>
        </w:rPr>
      </w:pPr>
    </w:p>
    <w:p w:rsidR="007579D9" w:rsidRDefault="00A67124">
      <w:pPr>
        <w:rPr>
          <w:rFonts w:ascii="Arial" w:eastAsiaTheme="minorEastAsia" w:hAnsi="Arial" w:cs="Arial"/>
          <w:b/>
          <w:sz w:val="36"/>
        </w:rPr>
      </w:pPr>
      <w:r>
        <w:rPr>
          <w:rFonts w:ascii="Arial" w:eastAsia="Arial" w:hAnsi="Arial" w:cs="Arial"/>
          <w:b/>
          <w:sz w:val="36"/>
        </w:rPr>
        <w:lastRenderedPageBreak/>
        <w:t>监督索引号53012670531600101111</w:t>
      </w:r>
    </w:p>
    <w:sectPr w:rsidR="007579D9" w:rsidSect="007579D9">
      <w:headerReference w:type="default" r:id="rId10"/>
      <w:footerReference w:type="even" r:id="rId11"/>
      <w:footerReference w:type="default" r:id="rId12"/>
      <w:pgSz w:w="11906" w:h="16838"/>
      <w:pgMar w:top="2098" w:right="1418" w:bottom="1588" w:left="164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D9" w:rsidRDefault="007579D9" w:rsidP="007579D9">
      <w:r>
        <w:separator/>
      </w:r>
    </w:p>
  </w:endnote>
  <w:endnote w:type="continuationSeparator" w:id="0">
    <w:p w:rsidR="007579D9" w:rsidRDefault="007579D9" w:rsidP="00757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D9" w:rsidRDefault="00AB4DD7">
    <w:pPr>
      <w:pStyle w:val="Footer0"/>
      <w:framePr w:wrap="around" w:vAnchor="text" w:hAnchor="margin" w:xAlign="center" w:y="1"/>
      <w:rPr>
        <w:rStyle w:val="PageNumber"/>
      </w:rPr>
    </w:pPr>
    <w:r w:rsidRPr="00AB4DD7">
      <w:rPr>
        <w:rStyle w:val="PageNumber"/>
      </w:rPr>
      <w:fldChar w:fldCharType="begin"/>
    </w:r>
    <w:r w:rsidR="00A67124">
      <w:rPr>
        <w:rStyle w:val="PageNumber"/>
      </w:rPr>
      <w:instrText xml:space="preserve">PAGE  </w:instrText>
    </w:r>
    <w:r>
      <w:fldChar w:fldCharType="end"/>
    </w:r>
  </w:p>
  <w:p w:rsidR="007579D9" w:rsidRDefault="007579D9">
    <w:pPr>
      <w:pStyle w:val="Foo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D9" w:rsidRDefault="00AB4DD7">
    <w:pPr>
      <w:pStyle w:val="Footer0"/>
    </w:pPr>
    <w:r>
      <w:pict>
        <v:shapetype id="_x0000_t202" coordsize="21600,21600" o:spt="202" path="m,l,21600r21600,l21600,xe">
          <v:stroke joinstyle="miter"/>
          <v:path gradientshapeok="t" o:connecttype="rect"/>
        </v:shapetype>
        <v:shape id="_x0000_s1025" type="#_x0000_t202" style="position:absolute;margin-left:312pt;margin-top:0;width:2in;height:2in;z-index:251659264;mso-wrap-style:none;mso-position-horizontal:outside;mso-position-horizontal-relative:margin;mso-width-relative:page;mso-height-relative:page" filled="f" stroked="f">
          <v:textbox style="mso-fit-shape-to-text:t" inset="0,0,0,0">
            <w:txbxContent>
              <w:p w:rsidR="007579D9" w:rsidRDefault="00AB4DD7">
                <w:pPr>
                  <w:pStyle w:val="Footer0"/>
                  <w:rPr>
                    <w:rStyle w:val="PageNumber"/>
                  </w:rPr>
                </w:pPr>
                <w:r w:rsidRPr="00AB4DD7">
                  <w:rPr>
                    <w:rStyle w:val="PageNumber"/>
                  </w:rPr>
                  <w:fldChar w:fldCharType="begin"/>
                </w:r>
                <w:r w:rsidR="00A67124">
                  <w:rPr>
                    <w:rStyle w:val="PageNumber"/>
                    <w:sz w:val="28"/>
                    <w:szCs w:val="28"/>
                  </w:rPr>
                  <w:instrText xml:space="preserve">PAGE  </w:instrText>
                </w:r>
                <w:r>
                  <w:rPr>
                    <w:sz w:val="28"/>
                    <w:szCs w:val="28"/>
                  </w:rPr>
                  <w:fldChar w:fldCharType="separate"/>
                </w:r>
                <w:r w:rsidR="006B2C58">
                  <w:rPr>
                    <w:rStyle w:val="PageNumber"/>
                    <w:noProof/>
                    <w:sz w:val="28"/>
                    <w:szCs w:val="28"/>
                  </w:rPr>
                  <w:t>- 2 -</w:t>
                </w:r>
                <w:r>
                  <w:rPr>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D9" w:rsidRDefault="007579D9" w:rsidP="007579D9">
      <w:r>
        <w:separator/>
      </w:r>
    </w:p>
  </w:footnote>
  <w:footnote w:type="continuationSeparator" w:id="0">
    <w:p w:rsidR="007579D9" w:rsidRDefault="007579D9" w:rsidP="00757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9D9" w:rsidRDefault="007579D9">
    <w:pPr>
      <w:pStyle w:val="Header0"/>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NmMDdkYWIxMjgzYWJlMDg5M2FmZWJlNTc3MTZmZDAifQ=="/>
  </w:docVars>
  <w:rsids>
    <w:rsidRoot w:val="0063517A"/>
    <w:rsid w:val="00004343"/>
    <w:rsid w:val="0001195A"/>
    <w:rsid w:val="0001574D"/>
    <w:rsid w:val="00050AF3"/>
    <w:rsid w:val="000563ED"/>
    <w:rsid w:val="000805D0"/>
    <w:rsid w:val="000960E5"/>
    <w:rsid w:val="00097FF0"/>
    <w:rsid w:val="000A4756"/>
    <w:rsid w:val="000B014F"/>
    <w:rsid w:val="000C0F6F"/>
    <w:rsid w:val="000F0ED8"/>
    <w:rsid w:val="000F783A"/>
    <w:rsid w:val="00101FAC"/>
    <w:rsid w:val="001242BA"/>
    <w:rsid w:val="00131D40"/>
    <w:rsid w:val="00140A0C"/>
    <w:rsid w:val="00141AE3"/>
    <w:rsid w:val="00141DCA"/>
    <w:rsid w:val="001428AF"/>
    <w:rsid w:val="0015292C"/>
    <w:rsid w:val="001550F7"/>
    <w:rsid w:val="00160CDB"/>
    <w:rsid w:val="00163914"/>
    <w:rsid w:val="00175397"/>
    <w:rsid w:val="00176DC8"/>
    <w:rsid w:val="00180C62"/>
    <w:rsid w:val="00191D60"/>
    <w:rsid w:val="001B2550"/>
    <w:rsid w:val="001D33FA"/>
    <w:rsid w:val="001E6E2B"/>
    <w:rsid w:val="00206367"/>
    <w:rsid w:val="00215AA4"/>
    <w:rsid w:val="00222F3F"/>
    <w:rsid w:val="002339D2"/>
    <w:rsid w:val="0023602F"/>
    <w:rsid w:val="0024150A"/>
    <w:rsid w:val="00247416"/>
    <w:rsid w:val="00265523"/>
    <w:rsid w:val="00271C7E"/>
    <w:rsid w:val="002C210F"/>
    <w:rsid w:val="00301FD9"/>
    <w:rsid w:val="00317726"/>
    <w:rsid w:val="0034574D"/>
    <w:rsid w:val="003549D9"/>
    <w:rsid w:val="003628D7"/>
    <w:rsid w:val="0036432E"/>
    <w:rsid w:val="00383755"/>
    <w:rsid w:val="003A164A"/>
    <w:rsid w:val="003B472F"/>
    <w:rsid w:val="003C471D"/>
    <w:rsid w:val="003E1A18"/>
    <w:rsid w:val="00431808"/>
    <w:rsid w:val="00444D4A"/>
    <w:rsid w:val="0046513B"/>
    <w:rsid w:val="0046572F"/>
    <w:rsid w:val="00484B1F"/>
    <w:rsid w:val="00490545"/>
    <w:rsid w:val="004C4196"/>
    <w:rsid w:val="004D064D"/>
    <w:rsid w:val="004D2D19"/>
    <w:rsid w:val="004E54BB"/>
    <w:rsid w:val="0051436F"/>
    <w:rsid w:val="005407ED"/>
    <w:rsid w:val="00571BBA"/>
    <w:rsid w:val="00571FF1"/>
    <w:rsid w:val="00582929"/>
    <w:rsid w:val="00582D3F"/>
    <w:rsid w:val="00585E78"/>
    <w:rsid w:val="005F232D"/>
    <w:rsid w:val="0063517A"/>
    <w:rsid w:val="00635AA4"/>
    <w:rsid w:val="00644503"/>
    <w:rsid w:val="0068723E"/>
    <w:rsid w:val="00687659"/>
    <w:rsid w:val="00690F94"/>
    <w:rsid w:val="006A097B"/>
    <w:rsid w:val="006A2509"/>
    <w:rsid w:val="006A53DE"/>
    <w:rsid w:val="006B2C58"/>
    <w:rsid w:val="006E681A"/>
    <w:rsid w:val="006E6893"/>
    <w:rsid w:val="007063FA"/>
    <w:rsid w:val="007579D9"/>
    <w:rsid w:val="00762817"/>
    <w:rsid w:val="0078779C"/>
    <w:rsid w:val="007A0730"/>
    <w:rsid w:val="007B7E92"/>
    <w:rsid w:val="007D3681"/>
    <w:rsid w:val="007D4E6E"/>
    <w:rsid w:val="007D772F"/>
    <w:rsid w:val="008270E5"/>
    <w:rsid w:val="008410DF"/>
    <w:rsid w:val="00854752"/>
    <w:rsid w:val="0086062F"/>
    <w:rsid w:val="00884E26"/>
    <w:rsid w:val="008852D9"/>
    <w:rsid w:val="008A0032"/>
    <w:rsid w:val="008B220B"/>
    <w:rsid w:val="008B365A"/>
    <w:rsid w:val="008B625C"/>
    <w:rsid w:val="008C038C"/>
    <w:rsid w:val="008D3488"/>
    <w:rsid w:val="008E419F"/>
    <w:rsid w:val="00915F53"/>
    <w:rsid w:val="00917D50"/>
    <w:rsid w:val="00930D95"/>
    <w:rsid w:val="009427B0"/>
    <w:rsid w:val="009566FF"/>
    <w:rsid w:val="009A2C47"/>
    <w:rsid w:val="009B6EA9"/>
    <w:rsid w:val="009C08E1"/>
    <w:rsid w:val="009C2C58"/>
    <w:rsid w:val="009D13E9"/>
    <w:rsid w:val="009E086E"/>
    <w:rsid w:val="009E545E"/>
    <w:rsid w:val="009F69DD"/>
    <w:rsid w:val="009F7975"/>
    <w:rsid w:val="00A01283"/>
    <w:rsid w:val="00A15758"/>
    <w:rsid w:val="00A3164B"/>
    <w:rsid w:val="00A67124"/>
    <w:rsid w:val="00A71A4B"/>
    <w:rsid w:val="00A80754"/>
    <w:rsid w:val="00A86432"/>
    <w:rsid w:val="00A92E07"/>
    <w:rsid w:val="00AB2053"/>
    <w:rsid w:val="00AB4DD7"/>
    <w:rsid w:val="00AC70A8"/>
    <w:rsid w:val="00AE0B36"/>
    <w:rsid w:val="00B17544"/>
    <w:rsid w:val="00B25A6D"/>
    <w:rsid w:val="00B4367C"/>
    <w:rsid w:val="00B5300F"/>
    <w:rsid w:val="00B72945"/>
    <w:rsid w:val="00B9013B"/>
    <w:rsid w:val="00B938DC"/>
    <w:rsid w:val="00B955BC"/>
    <w:rsid w:val="00B96E95"/>
    <w:rsid w:val="00BD41B8"/>
    <w:rsid w:val="00BE7C08"/>
    <w:rsid w:val="00BF6189"/>
    <w:rsid w:val="00C11F5D"/>
    <w:rsid w:val="00C4241E"/>
    <w:rsid w:val="00C43E48"/>
    <w:rsid w:val="00C61A14"/>
    <w:rsid w:val="00C9020F"/>
    <w:rsid w:val="00C91B65"/>
    <w:rsid w:val="00C931E4"/>
    <w:rsid w:val="00CA515E"/>
    <w:rsid w:val="00D021CE"/>
    <w:rsid w:val="00D47BB6"/>
    <w:rsid w:val="00D7245A"/>
    <w:rsid w:val="00D77E0F"/>
    <w:rsid w:val="00D840DC"/>
    <w:rsid w:val="00D918C4"/>
    <w:rsid w:val="00DA2F1B"/>
    <w:rsid w:val="00DA4492"/>
    <w:rsid w:val="00DA544B"/>
    <w:rsid w:val="00DA6E76"/>
    <w:rsid w:val="00DC3268"/>
    <w:rsid w:val="00DC78D8"/>
    <w:rsid w:val="00DE5383"/>
    <w:rsid w:val="00DE5564"/>
    <w:rsid w:val="00DF1CA9"/>
    <w:rsid w:val="00DF6BBD"/>
    <w:rsid w:val="00E162CB"/>
    <w:rsid w:val="00E212F4"/>
    <w:rsid w:val="00E232D5"/>
    <w:rsid w:val="00E304A8"/>
    <w:rsid w:val="00E42058"/>
    <w:rsid w:val="00E530E5"/>
    <w:rsid w:val="00E67241"/>
    <w:rsid w:val="00E71EFE"/>
    <w:rsid w:val="00E75F96"/>
    <w:rsid w:val="00E822B7"/>
    <w:rsid w:val="00E90C2E"/>
    <w:rsid w:val="00E943C8"/>
    <w:rsid w:val="00E96DB8"/>
    <w:rsid w:val="00EA7B68"/>
    <w:rsid w:val="00ED285D"/>
    <w:rsid w:val="00ED3CAB"/>
    <w:rsid w:val="00F11050"/>
    <w:rsid w:val="00F23702"/>
    <w:rsid w:val="00F35153"/>
    <w:rsid w:val="00F40C0C"/>
    <w:rsid w:val="00F6436E"/>
    <w:rsid w:val="00F6528E"/>
    <w:rsid w:val="00F7766A"/>
    <w:rsid w:val="00F77BCF"/>
    <w:rsid w:val="00FA2FEE"/>
    <w:rsid w:val="00FB036E"/>
    <w:rsid w:val="00FB148A"/>
    <w:rsid w:val="00FD0B0A"/>
    <w:rsid w:val="00FD2413"/>
    <w:rsid w:val="00FE6A19"/>
    <w:rsid w:val="00FF19E0"/>
    <w:rsid w:val="07E955A0"/>
    <w:rsid w:val="0B2C354F"/>
    <w:rsid w:val="1A4B39A4"/>
    <w:rsid w:val="1DBE272D"/>
    <w:rsid w:val="245F009A"/>
    <w:rsid w:val="27714A63"/>
    <w:rsid w:val="27D36DD5"/>
    <w:rsid w:val="2A0E2346"/>
    <w:rsid w:val="2B035F3B"/>
    <w:rsid w:val="2F181B10"/>
    <w:rsid w:val="336508A8"/>
    <w:rsid w:val="3CBD5770"/>
    <w:rsid w:val="4F796FF2"/>
    <w:rsid w:val="605C1330"/>
    <w:rsid w:val="60EA6962"/>
    <w:rsid w:val="645C36D2"/>
    <w:rsid w:val="68171751"/>
    <w:rsid w:val="6D843A50"/>
    <w:rsid w:val="6E2F0A19"/>
    <w:rsid w:val="7AEC710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79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7579D9"/>
    <w:pPr>
      <w:spacing w:beforeLines="30"/>
    </w:pPr>
    <w:rPr>
      <w:rFonts w:ascii="仿宋_GB2312" w:eastAsia="仿宋_GB2312"/>
      <w:sz w:val="30"/>
    </w:rPr>
  </w:style>
  <w:style w:type="paragraph" w:styleId="a4">
    <w:name w:val="footer"/>
    <w:basedOn w:val="a"/>
    <w:link w:val="Char"/>
    <w:qFormat/>
    <w:rsid w:val="007579D9"/>
    <w:pPr>
      <w:tabs>
        <w:tab w:val="center" w:pos="4153"/>
        <w:tab w:val="right" w:pos="8306"/>
      </w:tabs>
      <w:snapToGrid w:val="0"/>
      <w:jc w:val="left"/>
    </w:pPr>
    <w:rPr>
      <w:sz w:val="18"/>
      <w:szCs w:val="18"/>
    </w:rPr>
  </w:style>
  <w:style w:type="paragraph" w:styleId="a5">
    <w:name w:val="header"/>
    <w:basedOn w:val="a"/>
    <w:link w:val="Char0"/>
    <w:qFormat/>
    <w:rsid w:val="007579D9"/>
    <w:pPr>
      <w:pBdr>
        <w:bottom w:val="single" w:sz="6" w:space="1" w:color="auto"/>
      </w:pBdr>
      <w:tabs>
        <w:tab w:val="center" w:pos="4153"/>
        <w:tab w:val="right" w:pos="8306"/>
      </w:tabs>
      <w:snapToGrid w:val="0"/>
      <w:jc w:val="center"/>
    </w:pPr>
    <w:rPr>
      <w:sz w:val="18"/>
      <w:szCs w:val="18"/>
    </w:rPr>
  </w:style>
  <w:style w:type="table" w:styleId="a6">
    <w:name w:val="Table Grid"/>
    <w:qFormat/>
    <w:rsid w:val="007579D9"/>
    <w:tblPr>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Footer0">
    <w:name w:val="Footer_0"/>
    <w:basedOn w:val="a"/>
    <w:qFormat/>
    <w:rsid w:val="007579D9"/>
    <w:pPr>
      <w:tabs>
        <w:tab w:val="center" w:pos="4153"/>
        <w:tab w:val="right" w:pos="8306"/>
      </w:tabs>
      <w:snapToGrid w:val="0"/>
      <w:jc w:val="left"/>
    </w:pPr>
    <w:rPr>
      <w:sz w:val="18"/>
      <w:szCs w:val="18"/>
    </w:rPr>
  </w:style>
  <w:style w:type="paragraph" w:customStyle="1" w:styleId="Header0">
    <w:name w:val="Header_0"/>
    <w:basedOn w:val="a"/>
    <w:qFormat/>
    <w:rsid w:val="007579D9"/>
    <w:pPr>
      <w:pBdr>
        <w:bottom w:val="single" w:sz="6" w:space="1" w:color="auto"/>
      </w:pBdr>
      <w:tabs>
        <w:tab w:val="center" w:pos="4153"/>
        <w:tab w:val="right" w:pos="8306"/>
      </w:tabs>
      <w:snapToGrid w:val="0"/>
      <w:jc w:val="center"/>
    </w:pPr>
    <w:rPr>
      <w:sz w:val="18"/>
      <w:szCs w:val="18"/>
    </w:rPr>
  </w:style>
  <w:style w:type="character" w:customStyle="1" w:styleId="PageNumber">
    <w:name w:val="Page Number"/>
    <w:basedOn w:val="a0"/>
    <w:qFormat/>
    <w:rsid w:val="007579D9"/>
  </w:style>
  <w:style w:type="character" w:customStyle="1" w:styleId="Char0">
    <w:name w:val="页眉 Char"/>
    <w:basedOn w:val="a0"/>
    <w:link w:val="a5"/>
    <w:qFormat/>
    <w:rsid w:val="007579D9"/>
    <w:rPr>
      <w:rFonts w:ascii="Times New Roman" w:hAnsi="Times New Roman"/>
      <w:kern w:val="2"/>
      <w:sz w:val="18"/>
      <w:szCs w:val="18"/>
    </w:rPr>
  </w:style>
  <w:style w:type="character" w:customStyle="1" w:styleId="Char">
    <w:name w:val="页脚 Char"/>
    <w:basedOn w:val="a0"/>
    <w:link w:val="a4"/>
    <w:qFormat/>
    <w:rsid w:val="007579D9"/>
    <w:rPr>
      <w:rFonts w:ascii="Times New Roman" w:hAnsi="Times New Roman"/>
      <w:kern w:val="2"/>
      <w:sz w:val="18"/>
      <w:szCs w:val="18"/>
    </w:rPr>
  </w:style>
  <w:style w:type="character" w:customStyle="1" w:styleId="15">
    <w:name w:val="15"/>
    <w:basedOn w:val="a0"/>
    <w:qFormat/>
    <w:rsid w:val="007579D9"/>
    <w:rPr>
      <w:rFonts w:ascii="Calibri" w:eastAsia="宋体" w:hAnsi="Calibri" w:cs="Times New Roman" w:hint="default"/>
      <w:sz w:val="21"/>
      <w:szCs w:val="21"/>
    </w:rPr>
  </w:style>
  <w:style w:type="character" w:customStyle="1" w:styleId="NormalCharacter">
    <w:name w:val="NormalCharacter"/>
    <w:link w:val="UserStyle0"/>
    <w:qFormat/>
    <w:rsid w:val="007579D9"/>
    <w:rPr>
      <w:rFonts w:ascii="Times New Roman" w:hAnsi="Times New Roman"/>
    </w:rPr>
  </w:style>
  <w:style w:type="paragraph" w:customStyle="1" w:styleId="UserStyle0">
    <w:name w:val="UserStyle_0"/>
    <w:link w:val="NormalCharacter"/>
    <w:qFormat/>
    <w:rsid w:val="007579D9"/>
    <w:pPr>
      <w:spacing w:before="100" w:beforeAutospacing="1" w:after="100" w:afterAutospacing="1" w:line="330" w:lineRule="atLeast"/>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2.xml><?xml version="1.0" encoding="utf-8"?>
<s:customData xmlns="http://www.wps.cn/officeDocument/2013/wpsCustomData" xmlns:s="http://www.wps.cn/officeDocument/2013/wpsCustomData">
  <customSectProps/>
  <customShpExts>
    <customShpInfo spid="_x0000_s1025"/>
  </customShpExts>
</s:customData>
</file>

<file path=customXml/item3.xml><?xml version="1.0" encoding="utf-8"?>
<Properties xmlns="http://schemas.openxmlformats.org/officeDocument/2006/extended-properties" xmlns:vt="http://schemas.openxmlformats.org/officeDocument/2006/docPropsVTypes">
  <Template>Normal.dotm</Template>
  <Company>云南省财政厅</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jq</cp:lastModifiedBy>
  <cp:lastPrinted>2024-07-30T06:24:00Z</cp:lastPrinted>
  <dcterms:modified xsi:type="dcterms:W3CDTF">2025-07-14T06:11:38Z</dcterms:modified>
  <cp:revision>1</cp:revision>
</cp:coreProperties>
</file>

<file path=customXml/itemProps1.xml><?xml version="1.0" encoding="utf-8"?>
<ds:datastoreItem xmlns:ds="http://schemas.openxmlformats.org/officeDocument/2006/customXml" ds:itemID="{03B74AA8-46DB-4EE8-B008-7AA7BBE9722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2612B53-7D8E-4CD9-B019-52FD91CCBD1A}">
  <ds:schemaRefs/>
</ds:datastoreItem>
</file>

<file path=customXml/itemProps4.xml><?xml version="1.0" encoding="utf-8"?>
<ds:datastoreItem xmlns:ds="http://schemas.openxmlformats.org/officeDocument/2006/customXml" ds:itemID="{BA5ED6E6-2A2E-4380-A5ED-128D53881236}">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2024</Words>
  <Characters>11542</Characters>
  <Application>Microsoft Office Word</Application>
  <DocSecurity>0</DocSecurity>
  <Lines>96</Lines>
  <Paragraphs>27</Paragraphs>
  <ScaleCrop>false</ScaleCrop>
  <Company>云南省财政厅</Company>
  <LinksUpToDate>false</LinksUpToDate>
  <CharactersWithSpaces>13539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李瑞婷(拟稿)</dc:creator>
  <cp:lastModifiedBy>Administrator</cp:lastModifiedBy>
  <cp:revision>185</cp:revision>
  <cp:lastPrinted>2024-07-30T06:24:00Z</cp:lastPrinted>
  <dcterms:created xsi:type="dcterms:W3CDTF">2024-06-03T01:34:00Z</dcterms:created>
  <dcterms:modified xsi:type="dcterms:W3CDTF">2025-08-21T03:02:00Z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1C7A60C377D94646BB9D277C2A29BA4A_12</vt:lpwstr>
  </property>
  <property fmtid="{D5CDD505-2E9C-101B-9397-08002B2CF9AE}" pid="3" name="KSOProductBuildVer">
    <vt:lpwstr>2052-12.1.0.20784</vt:lpwstr>
  </property>
  <property fmtid="{D5CDD505-2E9C-101B-9397-08002B2CF9AE}" pid="4" name="KSOTemplateDocerSaveRecord">
    <vt:lpwstr>eyJoZGlkIjoiMDZjNTNkNzg1YzQyMDc5MTc3NzA5MTQ4NzA5OTYxYjMiLCJ1c2VySWQiOiI5OTg1MDgzNjMifQ==</vt:lpwstr>
  </property>
</Properties>
</file>