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F0" w:rsidRDefault="00E70AC3">
      <w:pPr>
        <w:rPr>
          <w:rFonts w:ascii="Arial" w:eastAsia="Arial" w:hAnsi="Arial" w:cs="Arial"/>
          <w:b/>
          <w:sz w:val="36"/>
        </w:rPr>
      </w:pPr>
      <w:r>
        <w:rPr>
          <w:rFonts w:ascii="Arial" w:eastAsia="Arial" w:hAnsi="Arial" w:cs="Arial"/>
          <w:b/>
          <w:sz w:val="36"/>
        </w:rPr>
        <w:t>监督索引号53012670531601000</w:t>
      </w:r>
    </w:p>
    <w:p w:rsidR="00C87FF0" w:rsidRDefault="00C87FF0">
      <w:pPr>
        <w:jc w:val="center"/>
        <w:outlineLvl w:val="0"/>
        <w:rPr>
          <w:rFonts w:ascii="方正小标宋简体" w:eastAsia="方正小标宋简体" w:hAnsi="方正小标宋简体"/>
          <w:sz w:val="36"/>
          <w:lang w:val="zh-CN"/>
        </w:rPr>
      </w:pPr>
    </w:p>
    <w:p w:rsidR="00C87FF0" w:rsidRDefault="00E70AC3">
      <w:pPr>
        <w:jc w:val="center"/>
        <w:outlineLvl w:val="0"/>
        <w:rPr>
          <w:rFonts w:ascii="方正小标宋简体" w:eastAsia="方正小标宋简体" w:hAnsi="方正小标宋简体"/>
          <w:sz w:val="36"/>
          <w:lang w:val="zh-CN"/>
        </w:rPr>
      </w:pPr>
      <w:r>
        <w:rPr>
          <w:rFonts w:ascii="方正小标宋简体" w:eastAsia="方正小标宋简体" w:hAnsi="方正小标宋简体" w:hint="eastAsia"/>
          <w:sz w:val="36"/>
          <w:lang w:val="zh-CN"/>
        </w:rPr>
        <w:t>石林彝族自治县人力资源和社会保障局</w:t>
      </w:r>
    </w:p>
    <w:p w:rsidR="00C87FF0" w:rsidRDefault="00E70AC3">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2024年度部门决算</w:t>
      </w:r>
    </w:p>
    <w:p w:rsidR="00C87FF0" w:rsidRDefault="00C87FF0">
      <w:pPr>
        <w:jc w:val="center"/>
        <w:rPr>
          <w:rFonts w:ascii="方正小标宋简体" w:eastAsia="方正小标宋简体" w:hAnsi="方正小标宋简体" w:cs="方正小标宋简体"/>
          <w:sz w:val="36"/>
          <w:szCs w:val="36"/>
        </w:rPr>
      </w:pPr>
    </w:p>
    <w:p w:rsidR="00C87FF0" w:rsidRDefault="00E70AC3">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目录</w:t>
      </w:r>
    </w:p>
    <w:p w:rsidR="00C87FF0" w:rsidRDefault="00C87FF0">
      <w:pPr>
        <w:jc w:val="left"/>
        <w:rPr>
          <w:rFonts w:ascii="黑体" w:eastAsia="黑体" w:hAnsi="黑体"/>
          <w:sz w:val="30"/>
          <w:szCs w:val="30"/>
        </w:rPr>
      </w:pPr>
    </w:p>
    <w:p w:rsidR="00C87FF0" w:rsidRDefault="00E70AC3">
      <w:pPr>
        <w:jc w:val="left"/>
        <w:outlineLvl w:val="0"/>
        <w:rPr>
          <w:rFonts w:ascii="黑体" w:eastAsia="黑体" w:hAnsi="黑体"/>
          <w:sz w:val="30"/>
          <w:szCs w:val="30"/>
        </w:rPr>
      </w:pPr>
      <w:r>
        <w:rPr>
          <w:rFonts w:ascii="黑体" w:eastAsia="黑体" w:hAnsi="黑体" w:hint="eastAsia"/>
          <w:sz w:val="30"/>
          <w:szCs w:val="30"/>
        </w:rPr>
        <w:t>第一部分  部门概况</w:t>
      </w:r>
    </w:p>
    <w:p w:rsidR="00C87FF0" w:rsidRDefault="00E70AC3">
      <w:pPr>
        <w:spacing w:line="240" w:lineRule="atLeast"/>
        <w:jc w:val="left"/>
        <w:outlineLvl w:val="1"/>
        <w:rPr>
          <w:rFonts w:ascii="楷体" w:eastAsia="楷体" w:hAnsi="楷体"/>
          <w:sz w:val="30"/>
          <w:szCs w:val="30"/>
        </w:rPr>
      </w:pPr>
      <w:r>
        <w:rPr>
          <w:rFonts w:ascii="楷体" w:eastAsia="楷体" w:hAnsi="楷体" w:hint="eastAsia"/>
          <w:sz w:val="30"/>
          <w:szCs w:val="30"/>
        </w:rPr>
        <w:t>一、主要职能</w:t>
      </w:r>
    </w:p>
    <w:p w:rsidR="00C87FF0" w:rsidRDefault="00E70AC3">
      <w:pPr>
        <w:spacing w:line="240" w:lineRule="atLeast"/>
        <w:jc w:val="left"/>
        <w:outlineLvl w:val="1"/>
        <w:rPr>
          <w:rFonts w:ascii="楷体" w:eastAsia="楷体" w:hAnsi="楷体"/>
          <w:sz w:val="30"/>
          <w:szCs w:val="30"/>
        </w:rPr>
      </w:pPr>
      <w:r>
        <w:rPr>
          <w:rFonts w:ascii="楷体" w:eastAsia="楷体" w:hAnsi="楷体" w:hint="eastAsia"/>
          <w:sz w:val="30"/>
          <w:szCs w:val="30"/>
        </w:rPr>
        <w:t>二、单位基本情况</w:t>
      </w:r>
    </w:p>
    <w:p w:rsidR="00C87FF0" w:rsidRDefault="00E70AC3">
      <w:pPr>
        <w:spacing w:line="240" w:lineRule="atLeast"/>
        <w:jc w:val="left"/>
        <w:outlineLvl w:val="1"/>
        <w:rPr>
          <w:rFonts w:ascii="楷体" w:eastAsia="楷体" w:hAnsi="楷体"/>
          <w:sz w:val="30"/>
          <w:szCs w:val="30"/>
        </w:rPr>
      </w:pPr>
      <w:r>
        <w:rPr>
          <w:rFonts w:ascii="楷体" w:eastAsia="楷体" w:hAnsi="楷体" w:hint="eastAsia"/>
          <w:sz w:val="30"/>
          <w:szCs w:val="30"/>
        </w:rPr>
        <w:t>三、重点工作概述</w:t>
      </w:r>
    </w:p>
    <w:p w:rsidR="00C87FF0" w:rsidRDefault="00E70AC3">
      <w:pPr>
        <w:jc w:val="left"/>
        <w:outlineLvl w:val="0"/>
        <w:rPr>
          <w:rFonts w:ascii="黑体" w:eastAsia="黑体" w:hAnsi="黑体"/>
          <w:sz w:val="30"/>
          <w:szCs w:val="30"/>
        </w:rPr>
      </w:pPr>
      <w:r>
        <w:rPr>
          <w:rFonts w:ascii="黑体" w:eastAsia="黑体" w:hAnsi="黑体" w:hint="eastAsia"/>
          <w:sz w:val="30"/>
          <w:szCs w:val="30"/>
        </w:rPr>
        <w:t>第二部分  2024年度部门决算表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一、收入支出决算表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二、收入决算表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三、支出决算表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四、财政拨款收入支出决算表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五、一般公共预算财政拨款收入支出决算表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六、一般公共预算财政拨款基本支出决算表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七、一般公共预算财政拨款项目支出决算表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八、政府性基金预算财政拨款收入支出决算表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九、国有资本经营预算财政拨款收入支出决算表</w:t>
      </w:r>
    </w:p>
    <w:p w:rsidR="00C87FF0" w:rsidRDefault="00E70AC3">
      <w:pPr>
        <w:jc w:val="left"/>
        <w:outlineLvl w:val="1"/>
        <w:rPr>
          <w:rFonts w:ascii="楷体" w:eastAsia="楷体" w:hAnsi="楷体"/>
          <w:sz w:val="30"/>
          <w:szCs w:val="30"/>
        </w:rPr>
      </w:pPr>
      <w:r>
        <w:rPr>
          <w:rFonts w:ascii="楷体" w:eastAsia="楷体" w:hAnsi="楷体" w:hint="eastAsia"/>
          <w:sz w:val="30"/>
          <w:szCs w:val="30"/>
        </w:rPr>
        <w:lastRenderedPageBreak/>
        <w:t>十、财政拨款“三公”经费、行政参公单位机关运行经费情况表</w:t>
      </w:r>
    </w:p>
    <w:p w:rsidR="00C87FF0" w:rsidRDefault="00E70AC3">
      <w:pPr>
        <w:jc w:val="left"/>
        <w:outlineLvl w:val="1"/>
        <w:rPr>
          <w:rFonts w:ascii="楷体" w:eastAsia="楷体" w:hAnsi="楷体" w:hint="eastAsia"/>
          <w:sz w:val="30"/>
          <w:szCs w:val="30"/>
        </w:rPr>
      </w:pPr>
      <w:r>
        <w:rPr>
          <w:rFonts w:ascii="楷体" w:eastAsia="楷体" w:hAnsi="楷体" w:hint="eastAsia"/>
          <w:sz w:val="30"/>
          <w:szCs w:val="30"/>
        </w:rPr>
        <w:t>十一、一般公共预算财政拨款“三公”经费情况表</w:t>
      </w:r>
    </w:p>
    <w:p w:rsidR="00A3342D" w:rsidRDefault="00A3342D" w:rsidP="00A3342D">
      <w:pPr>
        <w:jc w:val="left"/>
        <w:outlineLvl w:val="1"/>
        <w:rPr>
          <w:rFonts w:ascii="楷体" w:eastAsia="楷体" w:hAnsi="楷体"/>
          <w:sz w:val="30"/>
          <w:szCs w:val="30"/>
        </w:rPr>
      </w:pPr>
      <w:r>
        <w:rPr>
          <w:rFonts w:ascii="楷体" w:eastAsia="楷体" w:hAnsi="楷体" w:hint="eastAsia"/>
          <w:sz w:val="30"/>
          <w:szCs w:val="30"/>
        </w:rPr>
        <w:t>十二、2024年度部门整体支出绩效自评情况</w:t>
      </w:r>
    </w:p>
    <w:p w:rsidR="00A3342D" w:rsidRDefault="00A3342D" w:rsidP="00A3342D">
      <w:pPr>
        <w:jc w:val="left"/>
        <w:outlineLvl w:val="1"/>
        <w:rPr>
          <w:rFonts w:ascii="楷体" w:eastAsia="楷体" w:hAnsi="楷体" w:hint="eastAsia"/>
          <w:sz w:val="30"/>
          <w:szCs w:val="30"/>
        </w:rPr>
      </w:pPr>
      <w:r>
        <w:rPr>
          <w:rFonts w:ascii="楷体" w:eastAsia="楷体" w:hAnsi="楷体" w:hint="eastAsia"/>
          <w:sz w:val="30"/>
          <w:szCs w:val="30"/>
        </w:rPr>
        <w:t>十三、2024年度部门整体支出绩效自评表</w:t>
      </w:r>
    </w:p>
    <w:p w:rsidR="00A3342D" w:rsidRDefault="00A3342D" w:rsidP="00A3342D">
      <w:pPr>
        <w:jc w:val="left"/>
        <w:outlineLvl w:val="1"/>
        <w:rPr>
          <w:rFonts w:ascii="楷体" w:eastAsia="楷体" w:hAnsi="楷体" w:hint="eastAsia"/>
          <w:sz w:val="30"/>
          <w:szCs w:val="30"/>
        </w:rPr>
      </w:pPr>
      <w:r>
        <w:rPr>
          <w:rFonts w:ascii="楷体" w:eastAsia="楷体" w:hAnsi="楷体" w:hint="eastAsia"/>
          <w:sz w:val="30"/>
          <w:szCs w:val="30"/>
        </w:rPr>
        <w:t>十四、2024年度项目支出绩效自评表</w:t>
      </w:r>
    </w:p>
    <w:p w:rsidR="00A3342D" w:rsidRDefault="00A3342D">
      <w:pPr>
        <w:jc w:val="left"/>
        <w:outlineLvl w:val="1"/>
        <w:rPr>
          <w:rFonts w:ascii="楷体" w:eastAsia="楷体" w:hAnsi="楷体"/>
          <w:sz w:val="30"/>
          <w:szCs w:val="30"/>
        </w:rPr>
      </w:pPr>
      <w:r>
        <w:rPr>
          <w:rFonts w:ascii="楷体" w:eastAsia="楷体" w:hAnsi="楷体" w:hint="eastAsia"/>
          <w:sz w:val="30"/>
          <w:szCs w:val="30"/>
        </w:rPr>
        <w:t>十五、国有资产使用情况表</w:t>
      </w:r>
    </w:p>
    <w:p w:rsidR="00C87FF0" w:rsidRDefault="00E70AC3">
      <w:pPr>
        <w:jc w:val="left"/>
        <w:outlineLvl w:val="0"/>
        <w:rPr>
          <w:rFonts w:ascii="楷体" w:eastAsia="楷体" w:hAnsi="楷体"/>
          <w:sz w:val="30"/>
          <w:szCs w:val="30"/>
        </w:rPr>
      </w:pPr>
      <w:r>
        <w:rPr>
          <w:rFonts w:ascii="黑体" w:eastAsia="黑体" w:hAnsi="黑体" w:hint="eastAsia"/>
          <w:sz w:val="30"/>
          <w:szCs w:val="30"/>
        </w:rPr>
        <w:t>第三部分  2024年度部门决算情况说明</w:t>
      </w:r>
    </w:p>
    <w:p w:rsidR="00C87FF0" w:rsidRDefault="00E70AC3">
      <w:pPr>
        <w:jc w:val="left"/>
        <w:outlineLvl w:val="1"/>
        <w:rPr>
          <w:rFonts w:ascii="楷体" w:eastAsia="楷体" w:hAnsi="楷体"/>
          <w:sz w:val="30"/>
          <w:szCs w:val="30"/>
        </w:rPr>
      </w:pPr>
      <w:r>
        <w:rPr>
          <w:rFonts w:ascii="楷体" w:eastAsia="楷体" w:hAnsi="楷体" w:hint="eastAsia"/>
          <w:sz w:val="30"/>
          <w:szCs w:val="30"/>
        </w:rPr>
        <w:t>一、收入决算情况说明</w:t>
      </w:r>
    </w:p>
    <w:p w:rsidR="00C87FF0" w:rsidRDefault="00E70AC3">
      <w:pPr>
        <w:jc w:val="left"/>
        <w:outlineLvl w:val="1"/>
        <w:rPr>
          <w:rFonts w:ascii="楷体" w:eastAsia="楷体" w:hAnsi="楷体"/>
          <w:sz w:val="30"/>
          <w:szCs w:val="30"/>
        </w:rPr>
      </w:pPr>
      <w:r>
        <w:rPr>
          <w:rFonts w:ascii="楷体" w:eastAsia="楷体" w:hAnsi="楷体" w:hint="eastAsia"/>
          <w:sz w:val="30"/>
          <w:szCs w:val="30"/>
        </w:rPr>
        <w:t>二、支出决算情况说明</w:t>
      </w:r>
    </w:p>
    <w:p w:rsidR="00C87FF0" w:rsidRDefault="00E70AC3">
      <w:pPr>
        <w:jc w:val="left"/>
        <w:outlineLvl w:val="1"/>
        <w:rPr>
          <w:rFonts w:ascii="楷体" w:eastAsia="楷体" w:hAnsi="楷体"/>
          <w:sz w:val="30"/>
          <w:szCs w:val="30"/>
        </w:rPr>
      </w:pPr>
      <w:r>
        <w:rPr>
          <w:rFonts w:ascii="楷体" w:eastAsia="楷体" w:hAnsi="楷体" w:hint="eastAsia"/>
          <w:sz w:val="30"/>
          <w:szCs w:val="30"/>
        </w:rPr>
        <w:t>三、一般公共预算财政拨款支出决算情况说明</w:t>
      </w:r>
    </w:p>
    <w:p w:rsidR="00C87FF0" w:rsidRDefault="00E70AC3">
      <w:pPr>
        <w:widowControl/>
        <w:snapToGrid w:val="0"/>
        <w:spacing w:before="100" w:after="100" w:line="360" w:lineRule="auto"/>
        <w:jc w:val="left"/>
        <w:outlineLvl w:val="1"/>
        <w:rPr>
          <w:rFonts w:ascii="楷体" w:eastAsia="楷体" w:hAnsi="楷体"/>
          <w:sz w:val="30"/>
          <w:szCs w:val="30"/>
        </w:rPr>
      </w:pPr>
      <w:r>
        <w:rPr>
          <w:rFonts w:ascii="楷体" w:eastAsia="楷体" w:hAnsi="楷体" w:hint="eastAsia"/>
          <w:sz w:val="30"/>
          <w:szCs w:val="30"/>
        </w:rPr>
        <w:t>四、财政拨款“三公”经费支出决算情况说明</w:t>
      </w:r>
    </w:p>
    <w:p w:rsidR="00C87FF0" w:rsidRDefault="00E70AC3">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第四部分</w:t>
      </w:r>
      <w:r>
        <w:rPr>
          <w:rFonts w:ascii="楷体" w:eastAsia="楷体" w:hAnsi="楷体" w:hint="eastAsia"/>
          <w:sz w:val="30"/>
          <w:szCs w:val="30"/>
        </w:rPr>
        <w:t xml:space="preserve">  </w:t>
      </w:r>
      <w:r>
        <w:rPr>
          <w:rFonts w:ascii="黑体" w:eastAsia="黑体" w:hAnsi="黑体" w:hint="eastAsia"/>
          <w:sz w:val="30"/>
          <w:szCs w:val="30"/>
        </w:rPr>
        <w:t>其他重要事项及相关口径情况说明</w:t>
      </w:r>
    </w:p>
    <w:p w:rsidR="00C87FF0" w:rsidRDefault="00E70AC3">
      <w:pPr>
        <w:jc w:val="left"/>
        <w:outlineLvl w:val="1"/>
        <w:rPr>
          <w:rFonts w:ascii="楷体" w:eastAsia="楷体" w:hAnsi="楷体"/>
          <w:sz w:val="30"/>
          <w:szCs w:val="30"/>
        </w:rPr>
      </w:pPr>
      <w:r>
        <w:rPr>
          <w:rFonts w:ascii="楷体" w:eastAsia="楷体" w:hAnsi="楷体" w:hint="eastAsia"/>
          <w:sz w:val="30"/>
          <w:szCs w:val="30"/>
        </w:rPr>
        <w:t>一、机关运行经费支出情况</w:t>
      </w:r>
    </w:p>
    <w:p w:rsidR="00C87FF0" w:rsidRDefault="00E70AC3">
      <w:pPr>
        <w:jc w:val="left"/>
        <w:outlineLvl w:val="1"/>
        <w:rPr>
          <w:rFonts w:ascii="楷体" w:eastAsia="楷体" w:hAnsi="楷体"/>
          <w:sz w:val="30"/>
          <w:szCs w:val="30"/>
        </w:rPr>
      </w:pPr>
      <w:r>
        <w:rPr>
          <w:rFonts w:ascii="楷体" w:eastAsia="楷体" w:hAnsi="楷体" w:hint="eastAsia"/>
          <w:sz w:val="30"/>
          <w:szCs w:val="30"/>
        </w:rPr>
        <w:t>二、国有资产占用情况</w:t>
      </w:r>
    </w:p>
    <w:p w:rsidR="00C87FF0" w:rsidRDefault="00E70AC3">
      <w:pPr>
        <w:jc w:val="left"/>
        <w:outlineLvl w:val="1"/>
        <w:rPr>
          <w:rFonts w:ascii="楷体" w:eastAsia="楷体" w:hAnsi="楷体"/>
          <w:sz w:val="30"/>
          <w:szCs w:val="30"/>
        </w:rPr>
      </w:pPr>
      <w:r>
        <w:rPr>
          <w:rFonts w:ascii="楷体" w:eastAsia="楷体" w:hAnsi="楷体" w:hint="eastAsia"/>
          <w:sz w:val="30"/>
          <w:szCs w:val="30"/>
        </w:rPr>
        <w:t>三、政府采购支出情况</w:t>
      </w:r>
    </w:p>
    <w:p w:rsidR="00C87FF0" w:rsidRDefault="00E70AC3">
      <w:pPr>
        <w:jc w:val="left"/>
        <w:outlineLvl w:val="1"/>
        <w:rPr>
          <w:rFonts w:ascii="楷体" w:eastAsia="楷体" w:hAnsi="楷体"/>
          <w:sz w:val="30"/>
          <w:szCs w:val="30"/>
        </w:rPr>
      </w:pPr>
      <w:r>
        <w:rPr>
          <w:rFonts w:ascii="楷体" w:eastAsia="楷体" w:hAnsi="楷体" w:hint="eastAsia"/>
          <w:sz w:val="30"/>
          <w:szCs w:val="30"/>
        </w:rPr>
        <w:t>四、单位绩效自评情况</w:t>
      </w:r>
    </w:p>
    <w:p w:rsidR="00C87FF0" w:rsidRDefault="00E70AC3">
      <w:pPr>
        <w:ind w:firstLineChars="50" w:firstLine="150"/>
        <w:jc w:val="left"/>
        <w:outlineLvl w:val="1"/>
        <w:rPr>
          <w:rFonts w:ascii="楷体" w:eastAsia="楷体" w:hAnsi="楷体"/>
          <w:sz w:val="30"/>
          <w:szCs w:val="30"/>
        </w:rPr>
      </w:pPr>
      <w:r>
        <w:rPr>
          <w:rFonts w:ascii="楷体" w:eastAsia="楷体" w:hAnsi="楷体" w:hint="eastAsia"/>
          <w:sz w:val="30"/>
          <w:szCs w:val="30"/>
        </w:rPr>
        <w:t>(一)部门整体支出绩效目标情况</w:t>
      </w:r>
    </w:p>
    <w:p w:rsidR="00C87FF0" w:rsidRDefault="00E70AC3">
      <w:pPr>
        <w:jc w:val="left"/>
        <w:outlineLvl w:val="1"/>
        <w:rPr>
          <w:rFonts w:ascii="楷体" w:eastAsia="楷体" w:hAnsi="楷体"/>
          <w:sz w:val="30"/>
          <w:szCs w:val="30"/>
        </w:rPr>
      </w:pPr>
      <w:r>
        <w:rPr>
          <w:rFonts w:ascii="楷体" w:eastAsia="楷体" w:hAnsi="楷体" w:hint="eastAsia"/>
          <w:sz w:val="30"/>
          <w:szCs w:val="30"/>
        </w:rPr>
        <w:t>（二）部门整体支出绩效自评表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（三）项目支出绩效自评表</w:t>
      </w:r>
    </w:p>
    <w:p w:rsidR="00C87FF0" w:rsidRDefault="00E70AC3">
      <w:pPr>
        <w:jc w:val="left"/>
        <w:outlineLvl w:val="1"/>
        <w:rPr>
          <w:rFonts w:ascii="楷体" w:eastAsia="楷体" w:hAnsi="楷体"/>
          <w:sz w:val="30"/>
          <w:szCs w:val="30"/>
        </w:rPr>
      </w:pPr>
      <w:r>
        <w:rPr>
          <w:rFonts w:ascii="楷体" w:eastAsia="楷体" w:hAnsi="楷体" w:hint="eastAsia"/>
          <w:sz w:val="30"/>
          <w:szCs w:val="30"/>
        </w:rPr>
        <w:t>五、其他重要事项情况说明</w:t>
      </w:r>
    </w:p>
    <w:p w:rsidR="00C87FF0" w:rsidRDefault="00E70AC3">
      <w:pPr>
        <w:jc w:val="left"/>
        <w:outlineLvl w:val="1"/>
        <w:rPr>
          <w:rFonts w:ascii="楷体" w:eastAsia="楷体" w:hAnsi="楷体"/>
          <w:sz w:val="30"/>
          <w:szCs w:val="30"/>
        </w:rPr>
      </w:pPr>
      <w:r>
        <w:rPr>
          <w:rFonts w:ascii="楷体" w:eastAsia="楷体" w:hAnsi="楷体" w:hint="eastAsia"/>
          <w:sz w:val="30"/>
          <w:szCs w:val="30"/>
        </w:rPr>
        <w:lastRenderedPageBreak/>
        <w:t>六、相关口径说明</w:t>
      </w:r>
    </w:p>
    <w:p w:rsidR="00C87FF0" w:rsidRDefault="00E70AC3">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第五部分  名词解释</w:t>
      </w:r>
    </w:p>
    <w:p w:rsidR="00C87FF0" w:rsidRDefault="00C87FF0">
      <w:pPr>
        <w:jc w:val="center"/>
        <w:rPr>
          <w:rFonts w:ascii="黑体" w:eastAsia="黑体" w:hAnsi="黑体"/>
          <w:sz w:val="32"/>
          <w:szCs w:val="32"/>
        </w:rPr>
      </w:pPr>
    </w:p>
    <w:p w:rsidR="00C87FF0" w:rsidRDefault="00C87FF0">
      <w:pPr>
        <w:rPr>
          <w:rFonts w:ascii="黑体" w:eastAsia="黑体" w:hAnsi="黑体"/>
          <w:sz w:val="32"/>
          <w:szCs w:val="32"/>
        </w:rPr>
      </w:pPr>
    </w:p>
    <w:p w:rsidR="00C87FF0" w:rsidRDefault="00E70AC3">
      <w:pPr>
        <w:jc w:val="center"/>
        <w:outlineLvl w:val="0"/>
        <w:rPr>
          <w:rFonts w:ascii="黑体" w:eastAsia="黑体" w:hAnsi="黑体"/>
          <w:sz w:val="32"/>
          <w:szCs w:val="32"/>
        </w:rPr>
      </w:pPr>
      <w:r>
        <w:rPr>
          <w:rFonts w:ascii="黑体" w:eastAsia="黑体" w:hAnsi="黑体" w:hint="eastAsia"/>
          <w:sz w:val="32"/>
          <w:szCs w:val="32"/>
        </w:rPr>
        <w:t>第一部分  部门概况</w:t>
      </w:r>
    </w:p>
    <w:p w:rsidR="00C87FF0" w:rsidRPr="00BB6184" w:rsidRDefault="00E70AC3"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一、主</w:t>
      </w:r>
      <w:bookmarkStart w:id="0" w:name="_GoBack"/>
      <w:bookmarkEnd w:id="0"/>
      <w:r w:rsidRPr="00BB6184">
        <w:rPr>
          <w:rFonts w:ascii="黑体" w:eastAsia="黑体" w:hAnsi="黑体" w:hint="eastAsia"/>
          <w:sz w:val="30"/>
          <w:szCs w:val="30"/>
        </w:rPr>
        <w:t>要职能</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1.贯彻执行国家、省、市人力资源和社会保障工作的法律法规和政策；拟订全县人力资源和社会保障事业发展规划，制定相关政策，并组织实施和监督检查。</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拟订全县人力资源市场发展规划和人力资源服务业发展、人力资源流动政策，建立统一规范的人力资源市场，并对其进行监督和指导；指导、监督职业中介机构，设立人力资源服务机构及其业务范围审批，促进人力资源合理流动、有效配置。</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3.负责全县促进就业和创业工作，拟订城乡统筹就业发展规划和措施，促进城乡劳动力实现充分就业；完善公共就业服务体系和创业服务体系，组织实施援助制度；完善职业资格制度，逐步建立面向城乡劳动者的职业培训制度；认真贯彻落实高校毕业生就业政策。</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4.统筹建立覆盖城乡的多层次社会保障体系。认真执行上级养老、失业、工伤等社会保险政策和标准。会同有关部门实施全民参保计划；负责全县社会保险基金管理和监督工作；根据上级预案实施预防、调节和控制，保持就业形势稳定和社会保险基金总体收支</w:t>
      </w:r>
      <w:r w:rsidRPr="00BB6184">
        <w:rPr>
          <w:rFonts w:ascii="仿宋_GB2312" w:eastAsia="仿宋_GB2312" w:hint="eastAsia"/>
          <w:sz w:val="30"/>
          <w:szCs w:val="30"/>
        </w:rPr>
        <w:lastRenderedPageBreak/>
        <w:t>平衡。</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 xml:space="preserve">5.牵头负责职称制度改革、管理工作，综合管理专业技术人才队伍建设工作，负责高层次专业技术人才选拔和培养工作；负责事业单位人员招聘、评聘、解聘、岗位设置、聘用合同等人事综合管理工作；拟定事业单位人员和工勤人员管理政策。按照管理权限负责规范事业单位会同有关部门做好高技能人才培养和激励工作。配合有关部门做好表彰奖励申报工作。 </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6.贯彻执行事业单位的工资福利政策，会同有关部门规范地方性津贴、补贴，深化收入分配制度改革；建立健全事业单位工资正常增长和支付保障机制；认真贯彻执行最低工资标准；负责机关、企事业单位工作人员工伤认定工作；负责事业单位、企业和自谋职业人员退休审批及工龄审定工作。</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7.贯彻执行劳动人事争议调解仲裁制度和劳动关系政策，完善劳动关系协商协调机制，监督、指导各用人单位做好招工登记、劳动合同签订、劳动合同解除（终止）工作；负责劳动合同登记、集体合同审核备案、用工登记管理服务工作；完善劳动人事关系协调机制，依法办理劳动人事争议调解仲裁事宜，维护劳动人事关系双方的合法权益。</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8.执行农民工工作综合性政策，推动农民工相关政策落实，协调解决重点、难点问题，维护农民工合法权益；组织实施禁止使用童工政策和女职工、未成年工的特殊劳动保护政策；组织实施劳动监察，做好劳动者维权工作；依法查处侵犯劳动者合法权益的违法案件。</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lastRenderedPageBreak/>
        <w:t>9.承担全县人力资源和社会保障综合统计、信息工作；管理全县人力资源和社会保障信息网络，发布人力资源和社会保障工作有关信息。</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10.完成县委、县政府和上级部门交办的其他任务。</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11.职能转变。深入推进简政放权、放管结合、优化服务改革，进一步减少行政审批事项，规范和优化对外办理事项，落实国家职业资格目录清单管理制度，加强事中事后监管，创新就业和社会保障等公共服务方式，加强信息共享，提高公共服务水平。</w:t>
      </w:r>
    </w:p>
    <w:p w:rsidR="00C87FF0" w:rsidRPr="00BB6184" w:rsidRDefault="00E70AC3"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二、部门基本情况</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（一）机构设置情况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我单位共设置6个内设机构，包括：办公室、政策法规科（县农民工工作领导小组办公室）、就业促进与社会保险科（基金监督科）、事业单位人事管理科、工资福利科、劳动关系科;</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所属单位4个，分别是：</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1.石林彝族自治县人力资源和社会保障局(本级)</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2.石林彝族自治县社会保险中心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3.石林彝族自治县劳动就业服务中心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4. 石林彝族自治县城乡居民社会养老保险局</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5.石林彝族自治县劳动人事争议仲裁院</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（二）决算单位构成情况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纳入我部门2024年度部门决算编报的单位共5个。分别是：</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1.石林彝族自治县人力资源和社会保障局(本级)</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2.石林彝族自治县社会保险中心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lastRenderedPageBreak/>
        <w:t>3.石林彝族自治县劳动就业服务中心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4. 石林彝族自治县城乡居民社会养老保险局</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5.石林彝族自治县劳动人事争议仲裁院</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纳入我部门2024年度部门决算编报的单位与我部门所属单位范围保持一致。</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（三）部门人员和车辆的编制及实有情况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我部门2024年末编制内实有人员58.0人。包括财政拨款开支经费的：公务员11.0人，参照公务员法管理人员28.0人，事业管理人员和专业技术人员13.0人，机关和事业工人6.0人；经费自理人员0.0人。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我部门2024年末其他人员16.0人。包括财政拨款开支经费的人员13.0人；经费自理人员3.0人。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年末尚未移交养老保险基金发放养老金的离退休人员共计13.0人（离休13.0人，退休0.0人）。年末由养老保险基金发放养老金的离退休人员21.0人（离休0.0人，退休21.0人）。年末遗属3.0人。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车辆编制1辆，在编实有车辆1辆，超编0辆。</w:t>
      </w:r>
    </w:p>
    <w:p w:rsidR="00C87FF0" w:rsidRPr="00BB6184" w:rsidRDefault="00E70AC3"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三、重点工作概述</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一）在稳定就业扩大上“做文章”。把牢就业基本盘，以高校毕业生群体为重点，采取“菜单式培训+跟进式”服务，搭建“线上+线下”招聘平台，加大岗位开发力度，全力做好就业服务。用足用活现行政策，巩固提升现有创业园孵化能力建设，为初创业者提供创业空间和必需的办公设施，提供创业指导服务。全力打造石林“撒</w:t>
      </w:r>
      <w:r w:rsidRPr="00BB6184">
        <w:rPr>
          <w:rFonts w:ascii="仿宋_GB2312" w:eastAsia="仿宋_GB2312" w:hint="eastAsia"/>
          <w:sz w:val="30"/>
          <w:szCs w:val="30"/>
        </w:rPr>
        <w:lastRenderedPageBreak/>
        <w:t>尼绣娘”“人参果产业工人”两个劳务品牌，助推部分城乡劳动力由“体力型”向“技术型”转变。2024年完成农村劳动力培训12950人，其中引导性培训（含脱贫劳动力）11000人次，农村劳动力补贴性职业技能培训1800人次，创业培训150人。完成农村劳动力转移就业10000人，脱贫农村劳动力转移就业400人，转移就业收入1.7亿元。收集开发有效就业岗位2000个，实现城镇新增就业1500人，城镇下岗失业人员再就业258人，就业困难人员实现就业80人。实名登记的高校毕业生就业率不低于80%，新增青年就业见习100人，留用就业率50%以上；举办高校毕业生就业专场招聘活动2场。“贷免扶补”扶持创业60人，创业担保贷款扶持创业82人，小微企业扶持贷款创业1户。</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二）在社保服务优化上“下功夫”。健全覆盖全民、统筹城乡、公平统一、安全规范、可持续的多层次社会保障体系。强化服务意识，常态化开展社保服务“康乃馨”行动，进一步扩大社保政策知晓率，提升社保参保率，各项社会保险参保人数达到22.78万人，其中,城镇职工养老保险参保3.57万人，工伤保险参保3.9万人，失业保险参保1.81万人，城乡养老保险参保13.5万人。加强社会保险基金管理，围绕堵点、难点、疑点数据等持续展开点对点核查，全面梳理排查经办环节潜在风险点，及时建立台账动态管理，提升经办人员的风险防控意识，做到早发现、早处置、早整改，强化基金监督检查和稽核工作，加强基金监管能力确保社保基金安全。</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（三）在人事人才管理上“求突破”。深入摸排，精准开展技能培训，全力打造与全县经济社会发展相适应的高技能人才队伍。做</w:t>
      </w:r>
      <w:r w:rsidRPr="00BB6184">
        <w:rPr>
          <w:rFonts w:ascii="仿宋_GB2312" w:eastAsia="仿宋_GB2312" w:hint="eastAsia"/>
          <w:sz w:val="30"/>
          <w:szCs w:val="30"/>
        </w:rPr>
        <w:lastRenderedPageBreak/>
        <w:t>好事业单位人员公开（定向）招聘、“三支一扶”招募人员补充工作。推进教育部直属师范大学免费师范毕业生，昆明学院定向培养公费师范毕业生，农村定向免费培养医学毕业生，退役士兵接收安置等工作。加强人员调流动、岗位设置、岗位变动、职称申报等日常工作管理。推进事业单位工作人员正常工资晋升、津贴补贴标准兑现及退休、抚恤等工作，指导做好事业单位奖励性绩效工资考核兑现工作。</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四）在和谐关系构建上“出实招”。持续加大劳动法律法规的宣传力度，严格把好劳动用工登记关，全面推行劳动合同制度和劳动用工备案制度，提高劳动合同的签订率，进一步规范企业用工行为，严格民办职业培训学校审批及管理工作。加强《保障农民工工资支付条例》宣传工作，在建筑工地全面推行“六制一金一表”制度，提高用人单位和劳动者特别是广大农民工的法律意识，促使用人单位自觉遵守劳动保障法律法规，规范合法用工。推动用人单位完善协商规则，建立内部申诉和协商回应制度，优化协商流程，及时回应劳动者协商诉求，推动工会组织、律师等力量参与劳动人事争议协商，开展咨询解答、释法说理、劝解疏导等方式，促进达成并全面履行和解协议。积极推进大信访工作机制建设，形成上下联动、左右配合、齐抓共管的工作格局。</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五）在人社服务提质上“求长效”。全面贯彻落实《法治石林建设规划（2021—2025年）》，坚持依法行政，进一步规范行政行为，严格按照法定权限和程序行使权力、履行职责。以开展主题教育为契机，加强干部政治思想引领，坚持不懈地用党的创新理论武装头</w:t>
      </w:r>
      <w:r w:rsidRPr="00BB6184">
        <w:rPr>
          <w:rFonts w:ascii="仿宋_GB2312" w:eastAsia="仿宋_GB2312" w:hint="eastAsia"/>
          <w:sz w:val="30"/>
          <w:szCs w:val="30"/>
        </w:rPr>
        <w:lastRenderedPageBreak/>
        <w:t>脑、指导实践，努力提高干部队伍整体素质。严把“入口关”，坚持人岗适宜，将合适的人放在适合的岗位上。常态化推进“我为群众办实事”，将以人为本、执政为民理念贯穿于各项工作始终。大力弘扬求真务实、真抓实干的优良作风，脚踏实地、深入扎实地抓好各项工作落实。大力加强党风廉政建设，严格落实党风廉政责任制，坚持用制度管权、管物、管人、管事，严防发生违规、违纪问题。</w:t>
      </w:r>
    </w:p>
    <w:p w:rsidR="00C87FF0" w:rsidRPr="00BB6184" w:rsidRDefault="00C87FF0" w:rsidP="00BB6184">
      <w:pPr>
        <w:spacing w:line="560" w:lineRule="exact"/>
        <w:ind w:firstLineChars="200" w:firstLine="600"/>
        <w:rPr>
          <w:rFonts w:ascii="仿宋_GB2312" w:eastAsia="仿宋_GB2312"/>
          <w:sz w:val="30"/>
          <w:szCs w:val="30"/>
        </w:rPr>
      </w:pPr>
    </w:p>
    <w:p w:rsidR="00C87FF0" w:rsidRPr="00BB6184" w:rsidRDefault="00E70AC3" w:rsidP="00BB6184">
      <w:pPr>
        <w:spacing w:line="560" w:lineRule="exact"/>
        <w:ind w:firstLineChars="200" w:firstLine="640"/>
        <w:jc w:val="center"/>
        <w:rPr>
          <w:rFonts w:ascii="黑体" w:eastAsia="黑体" w:hAnsi="黑体"/>
          <w:sz w:val="32"/>
          <w:szCs w:val="32"/>
        </w:rPr>
      </w:pPr>
      <w:r w:rsidRPr="00BB6184">
        <w:rPr>
          <w:rFonts w:ascii="黑体" w:eastAsia="黑体" w:hAnsi="黑体" w:hint="eastAsia"/>
          <w:sz w:val="32"/>
          <w:szCs w:val="32"/>
        </w:rPr>
        <w:t>第二部分  2024年度部门决算表</w:t>
      </w:r>
    </w:p>
    <w:p w:rsidR="00C87FF0" w:rsidRPr="00BB6184" w:rsidRDefault="00E70AC3" w:rsidP="00BB6184">
      <w:pPr>
        <w:spacing w:line="560" w:lineRule="exact"/>
        <w:ind w:firstLineChars="200" w:firstLine="600"/>
        <w:jc w:val="center"/>
        <w:rPr>
          <w:rFonts w:ascii="仿宋_GB2312" w:eastAsia="仿宋_GB2312"/>
          <w:sz w:val="30"/>
          <w:szCs w:val="30"/>
        </w:rPr>
      </w:pPr>
      <w:r w:rsidRPr="00BB6184">
        <w:rPr>
          <w:rFonts w:ascii="仿宋_GB2312" w:eastAsia="仿宋_GB2312" w:hint="eastAsia"/>
          <w:sz w:val="30"/>
          <w:szCs w:val="30"/>
        </w:rPr>
        <w:t>（详见附件）</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石林彝族自治县人力资源和社会保障局2023年度无国有资本经营预算财政拨款收入，无政府性基金预算财政拨款收入，故《国有资本经营预算财政拨款收入支出决算表》、《政府性基金预算财政拨款收入支出决算表》为空表。</w:t>
      </w:r>
    </w:p>
    <w:p w:rsidR="00C87FF0" w:rsidRPr="00BB6184" w:rsidRDefault="00C87FF0" w:rsidP="00BB6184">
      <w:pPr>
        <w:spacing w:line="560" w:lineRule="exact"/>
        <w:ind w:firstLineChars="200" w:firstLine="600"/>
        <w:rPr>
          <w:rFonts w:ascii="仿宋_GB2312" w:eastAsia="仿宋_GB2312"/>
          <w:sz w:val="30"/>
          <w:szCs w:val="30"/>
        </w:rPr>
      </w:pPr>
    </w:p>
    <w:p w:rsidR="00C87FF0" w:rsidRPr="00BB6184" w:rsidRDefault="00E70AC3" w:rsidP="00BB6184">
      <w:pPr>
        <w:spacing w:line="560" w:lineRule="exact"/>
        <w:ind w:firstLineChars="200" w:firstLine="640"/>
        <w:jc w:val="center"/>
        <w:rPr>
          <w:rFonts w:ascii="黑体" w:eastAsia="黑体" w:hAnsi="黑体"/>
          <w:sz w:val="32"/>
          <w:szCs w:val="32"/>
        </w:rPr>
      </w:pPr>
      <w:r w:rsidRPr="00BB6184">
        <w:rPr>
          <w:rFonts w:ascii="黑体" w:eastAsia="黑体" w:hAnsi="黑体" w:hint="eastAsia"/>
          <w:sz w:val="32"/>
          <w:szCs w:val="32"/>
        </w:rPr>
        <w:t>第三部分  2024年度部门决算情况说明</w:t>
      </w:r>
    </w:p>
    <w:p w:rsidR="00C87FF0" w:rsidRPr="00BB6184" w:rsidRDefault="00E70AC3"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一、收入决算情况说明</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石林彝族自治县人力资源和社会保障局2024年度收入合计48864066.86元。其中：财政拨款收入48829607.63元，占总收入的99.93%；无上级补助收入；无事业收入；无经营收入；无附属单位上缴收入；其他收入34459.23元，占总收入的0.07%。</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与上年相比，收入合计增加4241144.05元，增长9.50%。其中：财政拨款收入增加4377478.04元，增长9.85%；上级补助收入增加0.00元，增长0.00%；事业收入增加0.00元，增长0.00%；经营收</w:t>
      </w:r>
      <w:r w:rsidRPr="00BB6184">
        <w:rPr>
          <w:rFonts w:ascii="仿宋_GB2312" w:eastAsia="仿宋_GB2312" w:hint="eastAsia"/>
          <w:sz w:val="30"/>
          <w:szCs w:val="30"/>
        </w:rPr>
        <w:lastRenderedPageBreak/>
        <w:t>入增加0.00元，增长0.00%；附属单位上缴收入增加0.00元，增长%；其他收入减少136333.99元，下降79.82%。主要原因是：1. 2024全县退休人员和在职人员增加，退休人员经费拨款相应增加2. 2024年就业补助项目资金较上年增加了3474813.99元。</w:t>
      </w:r>
    </w:p>
    <w:p w:rsidR="00C87FF0" w:rsidRPr="00BB6184" w:rsidRDefault="00E70AC3"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二、支出决算情况说明</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石林彝族自治县人力资源和社会保障局2024年度支出合计49016015.31元。其中：基本支出36558885.15元，占总支出的74.59％；项目支出12457130.16元，占总支出的25.41％；上缴上级支出0.00元，占总支出的0.00％；经营支出0.00元，占总支出的0.00％；对附属单位补助支出0.00元，占总支出的0.00％。</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与上年相比，支出合计增加4049024.94元，增长9.00%。其中：基本支出增加1146536.54元，增长3.24%；项目支出增加2902488.40元，增长30.38%；上缴上级支出增加0.00元，增长0.00%；经营支出增加0.00元，增长0.00%；对附属单位补助支出增加0.00元，增长0.00%。主要原因是：基本支出增加原因是2024全县退休人员和在职人员增加，相应增加基本支出；项目支出增加的原因：1.2024年就业补助项目资金较上年增加了3474813.99元。2.2024年享受企业退休人员独子费人数和2023年失业动态监测调查费支出增加。</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（一）基本支出情况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2024年度用于保障石林彝族自治县人力资源和社会保障局机关、下属事业单位等机构正常运转的日常支出36558885.15元。其中：基本工资、津贴补贴等人员经费支出35557874.84元，占基本支出的97.26％；办公费、印刷费、水电费、办公设备购置等公用经费</w:t>
      </w:r>
      <w:r w:rsidRPr="00BB6184">
        <w:rPr>
          <w:rFonts w:ascii="仿宋_GB2312" w:eastAsia="仿宋_GB2312" w:hint="eastAsia"/>
          <w:sz w:val="30"/>
          <w:szCs w:val="30"/>
        </w:rPr>
        <w:lastRenderedPageBreak/>
        <w:t>1001010.31元，占基本支出的2.74％。</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（二）项目支出情况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2024年度用于保障石林彝族自治县人力资源和社会保障局机关、下属事业单位等机构为完成特定的行政工作任务或事业发展目标，用于专项业务工作的经费支出12457130.16元。其中：基本建设类项目支出0.00元。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政协小组活动经费13112.00元，主要用于政协社保生态小组培训费支出；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离退休党支部经费、“两新”组织党建经费7000元，主要用于退休党支部书记、委员补贴及党员教育等支出；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劳动人事争议仲裁办案经费28242.21元，主要用于劳动人事争议仲裁办案相关的差旅费、邮电费、法律咨询费、办公设备采购等支出；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石林县基层就业和社会保障服务建设项目后期设备设施款18550.00元，主要用于支付石林县基层就业和社会保障服务建设项目地勘费18000.00元和不动产登记费550.00元；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公岗性岗位补助经费7955.02元，主要用于本单位公岗人员社保缴费支出；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高校毕业生“三支一扶”计划补助资金709964.97元，主要用于石林县2024年在岗“三支一扶”人员生活补助、社会保险缴费、住房公积金及考核奖、安置费、体检费支出；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优秀事业人员奖状制作经费34830.00元，主要用于石林县2023年度考核为优秀的事业人员、机关工勤人员奖状、奖章制作费支出；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lastRenderedPageBreak/>
        <w:t>社会保障服务中心运行经费153940.00元，主要用于石林县社会保障服务中心物业管理费、保洁用品费、网络使用费、水电费、电梯、门窗等维（修）护、窗口办公设备采购等支出；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事业招聘工作经费122066.00元，主要用于2023年度石林县事业单位招聘工作人员考试考务费支出；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社会保险基金安全运行风险评估经费26000.00元，主要用于支付2022年度社保保险基金运行情况评估审计服务费；</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创业担保贷款工作经费89152.24元，主要用于创业担保贷款工作相关的办公费、差旅费、培训费等支出。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企业失业动态监测调查经费600元,主要用于样本企业失业动态监测调查费支出；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企业独子费1566039.90元, 主要用于符合享受企业独子费的退休人员独子费支出。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就业补助项目经费9449474.29元，主要用于职业培训补贴支出2080820元、社会保险补贴支出1729729.29元、公益性岗位补贴支出1802960元、就业见习补贴支出1897500元、求职创业补贴支出12000元、春节慰问就业困难家庭支出10000元、来昆留昆就业奖补支出6400元、基层治理专干补助支出897500元、基层就业奖补支出5000元、一次性吸纳就业补贴支出33000元，返乡农民工一次性创业补贴10000元、省级就业创业专项支出75555元、引导性培训支出880000元、省级鼓励创业“贷免扶补”创业担保贷款创业服务补助支出9010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2024年第二批中央财政衔接推进乡村振兴补助项目经费34000</w:t>
      </w:r>
      <w:r w:rsidRPr="00BB6184">
        <w:rPr>
          <w:rFonts w:ascii="仿宋_GB2312" w:eastAsia="仿宋_GB2312" w:hint="eastAsia"/>
          <w:sz w:val="30"/>
          <w:szCs w:val="30"/>
        </w:rPr>
        <w:lastRenderedPageBreak/>
        <w:t>元、2024年省级财政衔接推进乡村振兴补助资金经费143000元，主要用于外出务工一次性交通补助；</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2020至2022年县级创业担保贷款管理工作省级创业担保贷款奖补项目经费13695元，主要用于创业担保贷款办公费支出。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公益性岗位人员补贴 5604.05元，主要用于本单位公益性岗位人员补贴单位承担部分支出；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市级下拨2019年社保征收管理经费支出4049.52元；主要用于本单位办公耗材费支出；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城乡居民基本养老保险以奖代补经费29854.96元；主要用于本单位公益性岗位人员补贴单位承担部分和办公费支出。</w:t>
      </w:r>
    </w:p>
    <w:p w:rsidR="00C87FF0" w:rsidRPr="00BB6184" w:rsidRDefault="00E70AC3"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三、一般公共预算财政拨款支出决算情况说明</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（一）一般公共预算财政拨款支出决算总体情况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石林彝族自治县人力资源和社会保障局2024年度一般公共预算财政拨款支出48930036.32元,占本年支出合计的99.82%。与上年相比增加4562740.94元，增长10.28%,完成年初预算的118.13%。</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（二）一般公共预算财政拨款支出决算具体情况</w:t>
      </w:r>
      <w:r w:rsidRPr="00BB6184">
        <w:rPr>
          <w:rFonts w:ascii="楷体_GB2312" w:eastAsia="楷体_GB2312" w:hint="eastAsia"/>
          <w:sz w:val="30"/>
          <w:szCs w:val="30"/>
        </w:rPr>
        <w:tab/>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1.一般公共服务（类）支出7000.00元，占一般公共预算财政拨款总支出的0.01%,年初无此项预算。主要用于退休党支部书记、委员补贴及党员教育等支出；造成预决算差异的主要原因是年中财政追加预算。具体情况：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2013299其他组织事务支出7000元。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2.外交（类）支出0.00元，占一般公共预算财政拨款总支出的0.00%,年初无此项预算。本年无此项支出。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lastRenderedPageBreak/>
        <w:t>3.国防（类）支出0.00元，占一般公共预算财政拨款总支出的0.00%,年初无此项预算。本年无此项支出。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4.公共安全（类）支出0.00元，占一般公共预算财政拨款总支出的0.00%,年初无此项预算。本年无此项支出。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5.教育（类）支出0.00元，占一般公共预算财政拨款总支出的0.00%,年初无此项预算。本年无此项支出。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6.科学技术（类）支出0.00元，占一般公共预算财政拨款总支出的0.00%,年初无此项预算。本年无此项支出。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7.文化旅游体育与传媒（类）支出0.00元，占一般公共预算财政拨款总支出的0.00%,年初无此项预算。本年无此项支出。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8.社会保障和就业（类）支出45498766.93元，占一般公共预算财政拨款总支出的92.99%,完成年初预算的120.00%。主要用于在职人员工资福利、日常公用经费、养老保险、退休人员生活补助、职业年金等基本支出及“三支一扶”人员生活补助、社会保险缴费、事业招聘考试考务费、离退休人员离退休费、职业培训补贴支出、社会保险补贴支出、公益性岗位补贴支出、就业见习补贴支出、求职创业补贴支出、春节慰问就业困难家庭支出、来昆留昆就业奖补支出、基层治理专干补助支出、基层就业奖补支出、一次性吸纳就业补贴支出，返乡农民工一次性创业补贴、省级就业创业专项支出、引导性培训支出、省级鼓励创业“贷免扶补”创业担保贷款创业服务补助支出等专项支出；造成预决算差异的主要原因是决算包含上级拨入资金。具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2080101行政运行7174415.41元，占社会保障和就业（类）支</w:t>
      </w:r>
      <w:r w:rsidRPr="00BB6184">
        <w:rPr>
          <w:rFonts w:ascii="仿宋_GB2312" w:eastAsia="仿宋_GB2312" w:hint="eastAsia"/>
          <w:sz w:val="30"/>
          <w:szCs w:val="30"/>
        </w:rPr>
        <w:lastRenderedPageBreak/>
        <w:t>出的15.77%，完成年初预算的101.16%，主要用于行政在职人员基本工资、津贴补贴、奖金、失业保险缴费、编外人员补助及日常公用经费支出，造成预决算差异的主要原因是在职人数增加人员经费支出增加；</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2080109社会保险经办机构基本支出1221726.18元，占社会保障和就业（类）支出的2.69%，完成年初预算的92.33%，主要用于事业在职人员基本工资、津贴补贴、奖金、失业保险缴费、编外人员补助及日常公用经费支出，造成预决算差异的主要原因是在职人数减少人员经费支出减少；</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2080112劳动人事争议调解仲裁28242.21元，占社会保障和就业（类）支出的0.06%，完成年初预算的72.42%，主要用于劳动人事争议调解工作相关支出，造成预决算差异的主要原因是年末根据实际支出情况追减预算；</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2080150 事业运行582856.6元，占社会保障和就业（类）支出的1.28%，完成年初预算的100.32%，主要用于事业在职人员基本工资、津补贴、失业保险缴费、及日常公用经费支出，造成预决算差异的主要原因是根据实际支出追加预算；</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2080199 其他人力资源和社会保障管理事务支出931304.21占社会保障和就业（类）支出的2.05%，完成年初预算的35.38%，主要用于主要用于：1.社会保险基金安全运行风险评估审计服务费支出26000元；2.石林县社会保障服务中心水、电费、绿化费、维修维护费、劳务费等维持中心正常运行的支出153940元；3.2023年年终考核为优秀的事业人员、机关工人奖状、奖章制作费支出34830</w:t>
      </w:r>
      <w:r w:rsidRPr="00BB6184">
        <w:rPr>
          <w:rFonts w:ascii="仿宋_GB2312" w:eastAsia="仿宋_GB2312" w:hint="eastAsia"/>
          <w:sz w:val="30"/>
          <w:szCs w:val="30"/>
        </w:rPr>
        <w:lastRenderedPageBreak/>
        <w:t xml:space="preserve">元；4.2024年在岗“三支一扶”人员生活补助、社会保险及住房公积金缴费支出563413.25元；5.2023年事业单位招聘工作人员考试考务费支出122066元；6.公岗人员社会保险支出29854.96元；7.业昆留昆补贴1200元。造成预决算差异的主要原因是本年未发生需要垫付农民工工资应急周转金情况，年初预算的此项目资金无支出； </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2080501行政单位离退休7670229.67元，占社会保障和就业（类）支出的16.85%，完成年初预算的95.97%，主要用于全县行政离退休人员离退休费支出7438629.67元、生活补助支出231600元，造成预决算差异的主要原因是离休人数减少使经费支出减少；</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2080502事业单位离退休16930052.62元，占社会保障和就业（类）支出的37.21%，完成年初预算的101.74%，主要用于全县事业单位离退休人员离退休费支出16872452.62元、生活补助支出57600元。造成预决算差异的主要原因是退休人数增加使经费支出增加；</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2080505 机关事业单位基本养老保险缴费支出1050344.32元，占社会保障和就业（类）支出的2.31%，完成年初预算的88.72%，主要用于2024年度在职人员养老保险缴费支出; 造成预决算差异的主要原因是在职人数减少使经费支出减少；</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2080506 机关事业单位职业年金缴费支出276967.86，占社会保障和就业（类）支出的0.61%，完成年初预算的81.62%，主要用于退休人员职业年金缴费支出，造成预决算差异的主要原因是根据实际支出追减预算；</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2080702职业培训补贴880000.00元，占社会保障和就业（类）支出的1.93%，年初无此项预算，主要用于引导性培训支出，造成预</w:t>
      </w:r>
      <w:r w:rsidRPr="00BB6184">
        <w:rPr>
          <w:rFonts w:ascii="仿宋_GB2312" w:eastAsia="仿宋_GB2312" w:hint="eastAsia"/>
          <w:sz w:val="30"/>
          <w:szCs w:val="30"/>
        </w:rPr>
        <w:lastRenderedPageBreak/>
        <w:t>决算差异的主要原因是资金来源于上级拨款；</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2080711就业见习补贴2073500.00元，占社会保障和就业（类）支出的4.56%，年初无此项预算，主要用于就业见习补贴支出，造成预决算差异的主要原因是资金来源于上级拨款；</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2080799其他就业补助支出6642971.80元，占社会保障和就业（类）支出的14.6%，完成年初预算的10998.3%，主要用于社会保险、职业培训等补贴支出，造成预决算差异的主要原因是资金中6582571.8元来源于上级拨款；</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2080801死亡抚恤30552.00元占社会保障和就业（类）支出的0.07%，完成年初预算的99.96%，主要用于单位去世退休职工遗属补助支出，造成预决算差异的主要原因是根据实际支出追减预算；</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9.卫生健康（类）支出2327774.39元，占一般公共预算财政拨款总支出的4.76%,完成年初预算的90.75%。主要用于机关事业人员医疗保险缴费支出；造成预决算差异的主要原因是在职人数减少，相应追减医疗保险预算。具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2100799  其他计划生育事务支出1566089.90元，占卫生健康（类）支出的67.28%，完成年初预算的97.94%；主要用于企业退休人员独子费支出；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2101101行政单位医疗298211.17元，占卫生健康（类）支出的12.81%，完成年初预算的80.68%；主要用于在职行政人员基本医疗保险缴费；</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2101102事业单位医疗83532.14元，占卫生健康（类）支出的3.59%，完成年初预算的66.29%；主要用于在职事业人员基本医疗保</w:t>
      </w:r>
      <w:r w:rsidRPr="00BB6184">
        <w:rPr>
          <w:rFonts w:ascii="仿宋_GB2312" w:eastAsia="仿宋_GB2312" w:hint="eastAsia"/>
          <w:sz w:val="30"/>
          <w:szCs w:val="30"/>
        </w:rPr>
        <w:lastRenderedPageBreak/>
        <w:t>险缴费；</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2101103公务员医疗补助326879.43元，占卫生健康（类）支出的14.04%，完成年初预算的78.07%；主要用于在职行政事业人员公务员医疗补助缴费；</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2101199其他行政事业单位医疗支出53061.75元，占卫生健康（类）支出的2.28%，完成年初预算的102.83%；主要用于在职行政事业人员重特病医疗补助、工伤保险缴费。</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10.节能环保（类）支出0.00元，占一般公共预算财政拨款总支出的0.00%,年初无此项预算。本年无此项支出。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11.城乡社区（类）支出0.00元，占一般公共预算财政拨款总支出的0.00%,年初无此项预算。本年无此项支出。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12.农林水（类）支出236439.00元，占一般公共预算财政拨款总支出的0.48%,年初无此项预算。主要用于一次性外出务工交通补助及创业担保贷款办公费支出；造成预决算差异的主要原因是资金来源于上级拨款，本级年初无此项预算。具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2130599其他巩固脱贫攻坚成果衔接乡村振兴支出177000元，占农林水（类）支出的74.86%，主要用于一次性外出务工交通补助支出；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2130804创业担保贷款贴息及奖补59439元，占农林水（类）支出的25.14%，主要用于创业担保贷款办公费支出。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13.交通运输（类）支出0.00元，占一般公共预算财政拨款总支出的0.00%,年初无此项预算。本年无此项支出。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14.资源勘探工业信息等（类）支出0.00元，占一般公共预算</w:t>
      </w:r>
      <w:r w:rsidRPr="00BB6184">
        <w:rPr>
          <w:rFonts w:ascii="仿宋_GB2312" w:eastAsia="仿宋_GB2312" w:hint="eastAsia"/>
          <w:sz w:val="30"/>
          <w:szCs w:val="30"/>
        </w:rPr>
        <w:lastRenderedPageBreak/>
        <w:t>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15.商业服务业等（类）支出0.00元，占一般公共预算财政拨款总支出的0.00%,年初无此项预算。本年无此项支出。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16.金融（类）支出0.00元，占一般公共预算财政拨款总支出的0.00%,年初无此项预算。本年无此项支出。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17.援助其他地区（类）支出0.00元，占一般公共预算财政拨款总支出的0.00%,年初无此项预算。本年无此项支出。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18.自然资源海洋气象等（类）支出0.00元，占一般公共预算财政拨款总支出的0.00%,年初无此项预算。本年无此项支出。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19.住房保障（类）支出860056.00元，占一般公共预算财政拨款总支出的1.76%,完成年初预算的91.66%。主要用于缴纳在职职工住房公积金；造成预决算差异的主要原因是在职人数减少使经费支出减少。具体情况：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2210201住房公积金306620元。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20.粮油物资储备（类）支出0.00元，占一般公共预算财政拨款总支出的0.00%,年初无此项预算。本年无此项支出。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21.国有资本经营预算（类）支出0.00元，占一般公共预算财政拨款总支出的0.00%,年初无此项预算。本年无此项支出。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22.灾害防治及应急管理（类）支出0.00元，占一般公共预算财政拨款总支出的0.00%,年初无此项预算。本年无此项支出。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23.其他（类）支出0.00元，占一般公共预算财政拨款总支出的0.00%,年初无此项预算。本年无此项支出。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24.债务还本（类）支出0.00元，占一般公共预算财政拨款总</w:t>
      </w:r>
      <w:r w:rsidRPr="00BB6184">
        <w:rPr>
          <w:rFonts w:ascii="仿宋_GB2312" w:eastAsia="仿宋_GB2312" w:hint="eastAsia"/>
          <w:sz w:val="30"/>
          <w:szCs w:val="30"/>
        </w:rPr>
        <w:lastRenderedPageBreak/>
        <w:t>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25.债务付息（类）支出0.00元，占一般公共预算财政拨款总支出的0.00%,年初无此项预算。本年无此项支出。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26.抗疫特别国债安排（类）支出0.00元，占一般公共预算财政拨款总支出的0.00%,年初无此项预算。本年无此项支出。</w:t>
      </w:r>
    </w:p>
    <w:p w:rsidR="00C87FF0" w:rsidRPr="00BB6184" w:rsidRDefault="00BB6184"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四、</w:t>
      </w:r>
      <w:r w:rsidR="00E70AC3" w:rsidRPr="00BB6184">
        <w:rPr>
          <w:rFonts w:ascii="黑体" w:eastAsia="黑体" w:hAnsi="黑体" w:hint="eastAsia"/>
          <w:sz w:val="30"/>
          <w:szCs w:val="30"/>
        </w:rPr>
        <w:t>财政拨款“三公”经费支出决算情况说明</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（一）一般公共预算财政拨款“三公”经费支出决算总体情况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2024年度财政拨款“三公”经费支出决算中，财政拨款“三公”经费支出年初预算为148800.00元，决算为19552.91元，完成年初预算的13.14%；支出决算较上年减少10278.32元，下降34.45%。</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因公出国（境）费支出年初预算为0.00元，决算为0.00元，占财政拨款“三公”经费总支出决算的0.00%；公务用车购置费支出年初预算为0.00元，决算为0.00元，占财政拨款“三公”经费总支出决算的0.00%；公务用车运行维护费支出年初预算为40000.00元，决算为16477.11元，占财政拨款“三公”经费总支出决算的84.27%，完成年初预算的41.19%；公务接待费支出年初预算为108800.00元，决算为3075.80元，占财政拨款“三公”经费总支出决算的15.73%，完成年初预算的2.83%。</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因公出国（境）费支出决算较上年增加0.00元，上年无此项支出；公务用车购置费支出决算较上年增加0.00元，上年无此项支出；公务用车运行维护费支出决算较上年增加2459.88元，增长17.55%；公务接待费支出决算较上年减少12738.20元，下降80.55%；具体是国内接待费支出决算3075.80元（其中：外事接待费支出决算0.00</w:t>
      </w:r>
      <w:r w:rsidRPr="00BB6184">
        <w:rPr>
          <w:rFonts w:ascii="仿宋_GB2312" w:eastAsia="仿宋_GB2312" w:hint="eastAsia"/>
          <w:sz w:val="30"/>
          <w:szCs w:val="30"/>
        </w:rPr>
        <w:lastRenderedPageBreak/>
        <w:t>元），较上年减少12738.20元，下降80.55%；国（境）外接待费支出决算0.00元，较上年减少0.00元，上年无此项支出。</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（二）一般公共预算财政拨款“三公”经费支出决算情况说明</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2024年度一般公共预算财政拨款“三公”经费支出年初预算为148800.00元，支出决算为19552.91元，完成年初预算的13.14%，支出决算较上年减少10278.32元，下降34.45%。</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一般公共预算财政拨款“三公”经费支出中：因公出国（境）费支出年初预算为0.00元，决算为0.00元；公务用车购置费支出年初预算为0.00元，决算为0.00元；公务用车运行维护费支出年初预算为40000.00元，决算为16477.11元，完成年初预算的41.19%；公务接待费支出年初预算为108800.00元，决算为3075.80元，完成年初预算的2.83%。2024年度一般公共预算财政拨款“三公”经费支出决算数小于年初预算数的主要原因是单位严格控制支出超年初预算。1.公务接待严格执行中央八项规定，严格按公务接待制度规定确定接待事项、控制接待标准， 2024年度公务接待支出有效控制在预算数内。2.公务车辆派出和使用严格按公车管理规定，非必要不使用公务车辆，2024公务用车运行维护费控制在预算数内。</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一般公共预算财政拨款“三公”经费支出中：因公出国（境）费支出决算增加0.00元，上年无此项支出；公务用车购置费支出决算增加0.00元，上年无此项支出；公务用车运行维护费支出决算增加2459.88元，增长17.55%；公务接待费支出决算减少12738.20元，下降80.55%，具体是国内接待费支出决算3075.80元（其中：外事接待费支出决算0.00元），较上年减少0.00元，上年无此项支出；</w:t>
      </w:r>
      <w:r w:rsidRPr="00BB6184">
        <w:rPr>
          <w:rFonts w:ascii="仿宋_GB2312" w:eastAsia="仿宋_GB2312" w:hint="eastAsia"/>
          <w:sz w:val="30"/>
          <w:szCs w:val="30"/>
        </w:rPr>
        <w:lastRenderedPageBreak/>
        <w:t>国（境）外接待费支出决算0.00元较上年减少0.00元，上年无此项支出。2024年度一般公共预算财政拨款“三公”经费支出决算减少的主要原因是公务接待费决算数比上年减少，具体情况是：公务用车运行维护费比上年增加，增加的原因是一是车辆老化，维修维护费增加；二是本年工伤案件外出调查次数，下乡扶贫工作次数增加导致燃料费、过路费增加；公务接待费比上年减少的原因是本年接待批次比上年减少21批，下降77.78%，接待人次比上年减少201人，下降83.06%。</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一般公共预算财政拨款“三公”经费支出实物量的具体情况：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1.安排因公出国（境）团组0.0个，累计0.0人次。</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2.购置车辆0.0辆。开支一般公共预算财政拨款的公务用车保有量为1.0辆。主要用于处理突发事件、事业人员招聘考试等保密资料运送、职工到交通不便地区出差所需车辆燃料费、维修费、过路过桥费、保险费等。</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3.安排国内公务接待6.0批次（其中：外事接待0.0批次），接待人次41.0人（其中：外事接待人次0.0人）。主要用于：1.富民就业人才中心到石林调研接待1批次8人次；2.市就业人才中心调研石林就业“幸福里”社区建设接待1批次7人次；3.嵩明县社保中心到石林县社保中心交流学习接待1批次8人；4.呈贡区人社局到我县开展工伤认定风险隐患交叉检查工作接待1批次6人次；5.市人社局到我县开展构建和谐劳动关系和主要经济指标工作情况调研工作接待1批次6人次；6.市人社局工资福利处到我县开展工资福利调研工作接待1批次6人次发生的接待支出。安排国（境）外</w:t>
      </w:r>
      <w:r w:rsidRPr="00BB6184">
        <w:rPr>
          <w:rFonts w:ascii="仿宋_GB2312" w:eastAsia="仿宋_GB2312" w:hint="eastAsia"/>
          <w:sz w:val="30"/>
          <w:szCs w:val="30"/>
        </w:rPr>
        <w:lastRenderedPageBreak/>
        <w:t>公务接待0.0批次，接待人次0.0人。</w:t>
      </w:r>
    </w:p>
    <w:p w:rsidR="00C87FF0" w:rsidRPr="00BB6184" w:rsidRDefault="00E70AC3" w:rsidP="00BB6184">
      <w:pPr>
        <w:spacing w:line="560" w:lineRule="exact"/>
        <w:ind w:firstLineChars="200" w:firstLine="600"/>
        <w:rPr>
          <w:rFonts w:ascii="楷体_GB2312" w:eastAsia="楷体_GB2312"/>
          <w:sz w:val="30"/>
          <w:szCs w:val="30"/>
        </w:rPr>
      </w:pPr>
      <w:r w:rsidRPr="00BB6184">
        <w:rPr>
          <w:rFonts w:ascii="楷体_GB2312" w:eastAsia="楷体_GB2312" w:hint="eastAsia"/>
          <w:sz w:val="30"/>
          <w:szCs w:val="30"/>
        </w:rPr>
        <w:t>（三）需要说明的事项</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不存在需要说明的事项。</w:t>
      </w:r>
    </w:p>
    <w:p w:rsidR="00C87FF0" w:rsidRPr="00BB6184" w:rsidRDefault="00C87FF0" w:rsidP="00BB6184">
      <w:pPr>
        <w:spacing w:line="560" w:lineRule="exact"/>
        <w:ind w:firstLineChars="200" w:firstLine="600"/>
        <w:rPr>
          <w:rFonts w:ascii="仿宋_GB2312" w:eastAsia="仿宋_GB2312"/>
          <w:sz w:val="30"/>
          <w:szCs w:val="30"/>
        </w:rPr>
      </w:pPr>
    </w:p>
    <w:p w:rsidR="00C87FF0" w:rsidRPr="00BB6184" w:rsidRDefault="00E70AC3" w:rsidP="00BB6184">
      <w:pPr>
        <w:spacing w:line="560" w:lineRule="exact"/>
        <w:ind w:firstLineChars="200" w:firstLine="640"/>
        <w:jc w:val="center"/>
        <w:rPr>
          <w:rFonts w:ascii="黑体" w:eastAsia="黑体" w:hAnsi="黑体"/>
          <w:sz w:val="32"/>
          <w:szCs w:val="32"/>
        </w:rPr>
      </w:pPr>
      <w:r w:rsidRPr="00BB6184">
        <w:rPr>
          <w:rFonts w:ascii="黑体" w:eastAsia="黑体" w:hAnsi="黑体" w:hint="eastAsia"/>
          <w:sz w:val="32"/>
          <w:szCs w:val="32"/>
        </w:rPr>
        <w:t>第四部分  其他重要事项及相关口径情况说明</w:t>
      </w:r>
    </w:p>
    <w:p w:rsidR="00C87FF0" w:rsidRPr="00BB6184" w:rsidRDefault="00E70AC3" w:rsidP="00BB6184">
      <w:pPr>
        <w:spacing w:line="560" w:lineRule="exact"/>
        <w:ind w:firstLineChars="200" w:firstLine="600"/>
        <w:rPr>
          <w:rFonts w:ascii="黑体" w:eastAsia="黑体" w:hAnsi="黑体"/>
          <w:sz w:val="30"/>
          <w:szCs w:val="30"/>
        </w:rPr>
      </w:pPr>
      <w:r w:rsidRPr="00BB6184">
        <w:rPr>
          <w:rFonts w:ascii="黑体" w:eastAsia="黑体" w:hAnsi="黑体" w:hint="eastAsia"/>
          <w:sz w:val="30"/>
          <w:szCs w:val="30"/>
        </w:rPr>
        <w:t>一、机关运行经费支出情况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石林彝族自治县人力资源和社会保障局2024年机关运行经费支出936945.81元，比上年增加49083.31元，增长5.53%,主要原因是一是调入工作人员2人，在职人数增加公用经费支出相应增加。二是社保中心本年档案室修缮，公用经费支出增加。部门机关运行经费主要用于单位正常运转的办公费、水电费、差旅费、公务接待费、劳务费、其他交通费等支出。具体支出内容：1.办公费:66235.66元；2.水费5019.52元；3.印刷费150元、4.手续费：379元、5.邮电费:9948.35元；6.物业管理费500元；7.差旅费:18830元；8.维修（护）费42154.69元；9.会议费780元；10培训费11400元；11.公务接待费:3075.8元；12.劳务费:115885.68元；13.工会费:57903元；14. 福利费:150185元；15.公务用车运行维护费:16477.11元； 16.其他交通费用：393150元；17.其他商品服务支出：29672元；17.办公设备购置15200元。</w:t>
      </w:r>
    </w:p>
    <w:p w:rsidR="00C87FF0" w:rsidRPr="00E70AC3" w:rsidRDefault="00E70AC3" w:rsidP="00BB6184">
      <w:pPr>
        <w:spacing w:line="560" w:lineRule="exact"/>
        <w:ind w:firstLineChars="200" w:firstLine="600"/>
        <w:rPr>
          <w:rFonts w:ascii="黑体" w:eastAsia="黑体" w:hAnsi="黑体"/>
          <w:sz w:val="30"/>
          <w:szCs w:val="30"/>
        </w:rPr>
      </w:pPr>
      <w:r w:rsidRPr="00E70AC3">
        <w:rPr>
          <w:rFonts w:ascii="黑体" w:eastAsia="黑体" w:hAnsi="黑体" w:hint="eastAsia"/>
          <w:sz w:val="30"/>
          <w:szCs w:val="30"/>
        </w:rPr>
        <w:t>二、国有资产占用情况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截至2024年末，石林彝族自治县人力资源和社会保障局资产总额15732725.73元，其中，流动资产1027074.07元，固定资产14705651.66元（净值），对外投资及有价证券0.00元，在建工程</w:t>
      </w:r>
      <w:r w:rsidRPr="00BB6184">
        <w:rPr>
          <w:rFonts w:ascii="仿宋_GB2312" w:eastAsia="仿宋_GB2312" w:hint="eastAsia"/>
          <w:sz w:val="30"/>
          <w:szCs w:val="30"/>
        </w:rPr>
        <w:lastRenderedPageBreak/>
        <w:t>0.00元，无形资产0.00元（净值），其他资产0.00元（净值）（具体内容详见附表）。与上年相比，本年资产总额减少642568.38元，其中固定资产减少253615.89元。处置房屋建筑物0.00平方米，账面原值0.00元；处置车辆0辆，账面原值0.00元；报废报损资产24项，账面原值110800.00元，实现资产处置收入0.00元；出租房屋0.00平方米，账面原值0.00元，实现资产使用收入0.00元。</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（国有资产占有使用情况表详见附表）</w:t>
      </w:r>
    </w:p>
    <w:tbl>
      <w:tblPr>
        <w:tblpPr w:leftFromText="180" w:rightFromText="180" w:topFromText="100" w:bottomFromText="100" w:vertAnchor="text" w:horzAnchor="page" w:tblpX="534" w:tblpY="490"/>
        <w:tblOverlap w:val="never"/>
        <w:tblW w:w="0" w:type="auto"/>
        <w:tblInd w:w="-15" w:type="dxa"/>
        <w:tblLayout w:type="fixed"/>
        <w:tblCellMar>
          <w:left w:w="0" w:type="dxa"/>
          <w:right w:w="0" w:type="dxa"/>
        </w:tblCellMar>
        <w:tblLook w:val="04A0"/>
      </w:tblPr>
      <w:tblGrid>
        <w:gridCol w:w="142"/>
      </w:tblGrid>
      <w:tr w:rsidR="00C87FF0" w:rsidRPr="00BB6184">
        <w:trPr>
          <w:trHeight w:val="495"/>
        </w:trPr>
        <w:tc>
          <w:tcPr>
            <w:tcW w:w="142" w:type="dxa"/>
            <w:tcBorders>
              <w:top w:val="nil"/>
              <w:left w:val="nil"/>
              <w:bottom w:val="nil"/>
              <w:right w:val="nil"/>
            </w:tcBorders>
            <w:vAlign w:val="center"/>
          </w:tcPr>
          <w:p w:rsidR="00C87FF0" w:rsidRPr="00BB6184" w:rsidRDefault="00C87FF0" w:rsidP="00BB6184">
            <w:pPr>
              <w:spacing w:line="560" w:lineRule="exact"/>
              <w:ind w:firstLineChars="200" w:firstLine="600"/>
              <w:rPr>
                <w:rFonts w:ascii="仿宋_GB2312" w:eastAsia="仿宋_GB2312"/>
                <w:sz w:val="30"/>
                <w:szCs w:val="30"/>
              </w:rPr>
            </w:pPr>
          </w:p>
        </w:tc>
      </w:tr>
      <w:tr w:rsidR="00C87FF0" w:rsidRPr="00BB6184">
        <w:trPr>
          <w:trHeight w:val="347"/>
        </w:trPr>
        <w:tc>
          <w:tcPr>
            <w:tcW w:w="142" w:type="dxa"/>
            <w:tcBorders>
              <w:top w:val="nil"/>
              <w:left w:val="nil"/>
              <w:bottom w:val="nil"/>
              <w:right w:val="nil"/>
            </w:tcBorders>
            <w:vAlign w:val="center"/>
          </w:tcPr>
          <w:p w:rsidR="00C87FF0" w:rsidRPr="00BB6184" w:rsidRDefault="00C87FF0" w:rsidP="00BB6184">
            <w:pPr>
              <w:spacing w:line="560" w:lineRule="exact"/>
              <w:ind w:firstLineChars="200" w:firstLine="600"/>
              <w:rPr>
                <w:rFonts w:ascii="仿宋_GB2312" w:eastAsia="仿宋_GB2312"/>
                <w:sz w:val="30"/>
                <w:szCs w:val="30"/>
              </w:rPr>
            </w:pPr>
          </w:p>
        </w:tc>
      </w:tr>
      <w:tr w:rsidR="00C87FF0" w:rsidRPr="00BB6184">
        <w:trPr>
          <w:trHeight w:val="415"/>
        </w:trPr>
        <w:tc>
          <w:tcPr>
            <w:tcW w:w="142" w:type="dxa"/>
            <w:tcBorders>
              <w:top w:val="nil"/>
              <w:left w:val="nil"/>
              <w:bottom w:val="nil"/>
              <w:right w:val="nil"/>
            </w:tcBorders>
            <w:vAlign w:val="center"/>
          </w:tcPr>
          <w:p w:rsidR="00C87FF0" w:rsidRPr="00BB6184" w:rsidRDefault="00C87FF0" w:rsidP="00BB6184">
            <w:pPr>
              <w:spacing w:line="560" w:lineRule="exact"/>
              <w:ind w:firstLineChars="200" w:firstLine="600"/>
              <w:rPr>
                <w:rFonts w:ascii="仿宋_GB2312" w:eastAsia="仿宋_GB2312"/>
                <w:sz w:val="30"/>
                <w:szCs w:val="30"/>
              </w:rPr>
            </w:pPr>
          </w:p>
        </w:tc>
      </w:tr>
      <w:tr w:rsidR="00C87FF0" w:rsidRPr="00BB6184">
        <w:trPr>
          <w:trHeight w:val="345"/>
        </w:trPr>
        <w:tc>
          <w:tcPr>
            <w:tcW w:w="142" w:type="dxa"/>
            <w:tcBorders>
              <w:top w:val="nil"/>
              <w:left w:val="nil"/>
              <w:bottom w:val="nil"/>
              <w:right w:val="nil"/>
            </w:tcBorders>
            <w:vAlign w:val="center"/>
          </w:tcPr>
          <w:p w:rsidR="00C87FF0" w:rsidRPr="00BB6184" w:rsidRDefault="00C87FF0" w:rsidP="00BB6184">
            <w:pPr>
              <w:spacing w:line="560" w:lineRule="exact"/>
              <w:ind w:firstLineChars="200" w:firstLine="600"/>
              <w:rPr>
                <w:rFonts w:ascii="仿宋_GB2312" w:eastAsia="仿宋_GB2312"/>
                <w:sz w:val="30"/>
                <w:szCs w:val="30"/>
              </w:rPr>
            </w:pPr>
          </w:p>
        </w:tc>
      </w:tr>
      <w:tr w:rsidR="00C87FF0" w:rsidRPr="00BB6184">
        <w:trPr>
          <w:trHeight w:val="395"/>
        </w:trPr>
        <w:tc>
          <w:tcPr>
            <w:tcW w:w="142" w:type="dxa"/>
            <w:tcBorders>
              <w:top w:val="nil"/>
              <w:left w:val="nil"/>
              <w:bottom w:val="nil"/>
              <w:right w:val="nil"/>
            </w:tcBorders>
            <w:vAlign w:val="center"/>
          </w:tcPr>
          <w:p w:rsidR="00C87FF0" w:rsidRPr="00BB6184" w:rsidRDefault="00C87FF0" w:rsidP="00BB6184">
            <w:pPr>
              <w:spacing w:line="560" w:lineRule="exact"/>
              <w:ind w:firstLineChars="200" w:firstLine="600"/>
              <w:rPr>
                <w:rFonts w:ascii="仿宋_GB2312" w:eastAsia="仿宋_GB2312"/>
                <w:sz w:val="30"/>
                <w:szCs w:val="30"/>
              </w:rPr>
            </w:pPr>
          </w:p>
        </w:tc>
      </w:tr>
      <w:tr w:rsidR="00C87FF0" w:rsidRPr="00BB6184">
        <w:trPr>
          <w:trHeight w:val="358"/>
        </w:trPr>
        <w:tc>
          <w:tcPr>
            <w:tcW w:w="142" w:type="dxa"/>
            <w:tcBorders>
              <w:top w:val="nil"/>
              <w:left w:val="nil"/>
              <w:bottom w:val="nil"/>
              <w:right w:val="nil"/>
            </w:tcBorders>
            <w:vAlign w:val="center"/>
          </w:tcPr>
          <w:p w:rsidR="00C87FF0" w:rsidRPr="00BB6184" w:rsidRDefault="00C87FF0" w:rsidP="00BB6184">
            <w:pPr>
              <w:spacing w:line="560" w:lineRule="exact"/>
              <w:ind w:firstLineChars="200" w:firstLine="600"/>
              <w:rPr>
                <w:rFonts w:ascii="仿宋_GB2312" w:eastAsia="仿宋_GB2312"/>
                <w:sz w:val="30"/>
                <w:szCs w:val="30"/>
              </w:rPr>
            </w:pPr>
          </w:p>
        </w:tc>
      </w:tr>
      <w:tr w:rsidR="00C87FF0" w:rsidRPr="00BB6184">
        <w:trPr>
          <w:trHeight w:val="563"/>
        </w:trPr>
        <w:tc>
          <w:tcPr>
            <w:tcW w:w="142" w:type="dxa"/>
            <w:tcBorders>
              <w:top w:val="nil"/>
              <w:left w:val="nil"/>
              <w:bottom w:val="nil"/>
              <w:right w:val="nil"/>
            </w:tcBorders>
            <w:vAlign w:val="center"/>
          </w:tcPr>
          <w:p w:rsidR="00C87FF0" w:rsidRPr="00BB6184" w:rsidRDefault="00C87FF0" w:rsidP="00BB6184">
            <w:pPr>
              <w:spacing w:line="560" w:lineRule="exact"/>
              <w:ind w:firstLineChars="200" w:firstLine="600"/>
              <w:rPr>
                <w:rFonts w:ascii="仿宋_GB2312" w:eastAsia="仿宋_GB2312"/>
                <w:sz w:val="30"/>
                <w:szCs w:val="30"/>
              </w:rPr>
            </w:pPr>
          </w:p>
        </w:tc>
      </w:tr>
      <w:tr w:rsidR="00C87FF0" w:rsidRPr="00BB6184">
        <w:trPr>
          <w:trHeight w:val="495"/>
        </w:trPr>
        <w:tc>
          <w:tcPr>
            <w:tcW w:w="142" w:type="dxa"/>
            <w:vAlign w:val="center"/>
          </w:tcPr>
          <w:p w:rsidR="00C87FF0" w:rsidRPr="00BB6184" w:rsidRDefault="00C87FF0" w:rsidP="00BB6184">
            <w:pPr>
              <w:spacing w:line="560" w:lineRule="exact"/>
              <w:ind w:firstLineChars="200" w:firstLine="600"/>
              <w:rPr>
                <w:rFonts w:ascii="仿宋_GB2312" w:eastAsia="仿宋_GB2312"/>
                <w:sz w:val="30"/>
                <w:szCs w:val="30"/>
              </w:rPr>
            </w:pPr>
          </w:p>
        </w:tc>
      </w:tr>
    </w:tbl>
    <w:p w:rsidR="00C87FF0" w:rsidRPr="00E70AC3" w:rsidRDefault="00E70AC3" w:rsidP="00BB6184">
      <w:pPr>
        <w:spacing w:line="560" w:lineRule="exact"/>
        <w:ind w:firstLineChars="200" w:firstLine="600"/>
        <w:rPr>
          <w:rFonts w:ascii="黑体" w:eastAsia="黑体" w:hAnsi="黑体"/>
          <w:sz w:val="30"/>
          <w:szCs w:val="30"/>
        </w:rPr>
      </w:pPr>
      <w:r w:rsidRPr="00E70AC3">
        <w:rPr>
          <w:rFonts w:ascii="黑体" w:eastAsia="黑体" w:hAnsi="黑体" w:hint="eastAsia"/>
          <w:sz w:val="30"/>
          <w:szCs w:val="30"/>
        </w:rPr>
        <w:t>三、政府采购支出情况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2024年度，部门政府采购支出总额2363746.34元，其中：政府采购货物支出192706.34元；政府采购工程支出0.00元；政府采购服务支出2171040.00元。授予中小企业合同金额1199406.34元，其中：授予小微企业合同金额1199406.34元。</w:t>
      </w:r>
    </w:p>
    <w:p w:rsidR="00C87FF0" w:rsidRPr="00E70AC3" w:rsidRDefault="00E70AC3" w:rsidP="00BB6184">
      <w:pPr>
        <w:spacing w:line="560" w:lineRule="exact"/>
        <w:ind w:firstLineChars="200" w:firstLine="600"/>
        <w:rPr>
          <w:rFonts w:ascii="黑体" w:eastAsia="黑体" w:hAnsi="黑体"/>
          <w:sz w:val="30"/>
          <w:szCs w:val="30"/>
        </w:rPr>
      </w:pPr>
      <w:r w:rsidRPr="00E70AC3">
        <w:rPr>
          <w:rFonts w:ascii="黑体" w:eastAsia="黑体" w:hAnsi="黑体" w:hint="eastAsia"/>
          <w:sz w:val="30"/>
          <w:szCs w:val="30"/>
        </w:rPr>
        <w:t>四、部门绩效自评情况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单位绩效自评情况详见附表，包括：</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（一）部门整体支出绩效自评情况</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（二）部门整体支出绩效自评表</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（三）项目支出绩效自评表详</w:t>
      </w:r>
    </w:p>
    <w:p w:rsidR="00C87FF0" w:rsidRPr="00E70AC3" w:rsidRDefault="00E70AC3" w:rsidP="00BB6184">
      <w:pPr>
        <w:spacing w:line="560" w:lineRule="exact"/>
        <w:ind w:firstLineChars="200" w:firstLine="600"/>
        <w:rPr>
          <w:rFonts w:ascii="黑体" w:eastAsia="黑体" w:hAnsi="黑体"/>
          <w:sz w:val="30"/>
          <w:szCs w:val="30"/>
        </w:rPr>
      </w:pPr>
      <w:r w:rsidRPr="00E70AC3">
        <w:rPr>
          <w:rFonts w:ascii="黑体" w:eastAsia="黑体" w:hAnsi="黑体" w:hint="eastAsia"/>
          <w:sz w:val="30"/>
          <w:szCs w:val="30"/>
        </w:rPr>
        <w:t>五、其他重要事项情况说明</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无。</w:t>
      </w:r>
    </w:p>
    <w:p w:rsidR="00C87FF0" w:rsidRPr="00E70AC3" w:rsidRDefault="00E70AC3" w:rsidP="00BB6184">
      <w:pPr>
        <w:spacing w:line="560" w:lineRule="exact"/>
        <w:ind w:firstLineChars="200" w:firstLine="600"/>
        <w:rPr>
          <w:rFonts w:ascii="黑体" w:eastAsia="黑体" w:hAnsi="黑体"/>
          <w:sz w:val="30"/>
          <w:szCs w:val="30"/>
        </w:rPr>
      </w:pPr>
      <w:r w:rsidRPr="00E70AC3">
        <w:rPr>
          <w:rFonts w:ascii="黑体" w:eastAsia="黑体" w:hAnsi="黑体" w:hint="eastAsia"/>
          <w:sz w:val="30"/>
          <w:szCs w:val="30"/>
        </w:rPr>
        <w:t>六、相关口径说明</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（一）基本支出中人员经费包括工资福利支出和对个人和家庭的补助，公用经费包括商品和服务支出、资本性支出等人员经费以外的支出。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lastRenderedPageBreak/>
        <w:t>（二）机关运行经费指行政单位和参照公务员法管理的事业单位使用一般公共预算财政拨款安排的基本支出中的公用经费支出。</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rsidR="00C87FF0"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rsidR="00E70AC3" w:rsidRPr="00BB6184" w:rsidRDefault="00E70AC3" w:rsidP="00BB6184">
      <w:pPr>
        <w:spacing w:line="560" w:lineRule="exact"/>
        <w:ind w:firstLineChars="200" w:firstLine="600"/>
        <w:rPr>
          <w:rFonts w:ascii="仿宋_GB2312" w:eastAsia="仿宋_GB2312"/>
          <w:sz w:val="30"/>
          <w:szCs w:val="30"/>
        </w:rPr>
      </w:pPr>
    </w:p>
    <w:p w:rsidR="00C87FF0" w:rsidRPr="00E70AC3" w:rsidRDefault="00E70AC3" w:rsidP="00E70AC3">
      <w:pPr>
        <w:spacing w:line="560" w:lineRule="exact"/>
        <w:ind w:firstLineChars="200" w:firstLine="640"/>
        <w:jc w:val="center"/>
        <w:rPr>
          <w:rFonts w:ascii="黑体" w:eastAsia="黑体" w:hAnsi="黑体"/>
          <w:sz w:val="32"/>
          <w:szCs w:val="32"/>
        </w:rPr>
      </w:pPr>
      <w:r w:rsidRPr="00E70AC3">
        <w:rPr>
          <w:rFonts w:ascii="黑体" w:eastAsia="黑体" w:hAnsi="黑体" w:hint="eastAsia"/>
          <w:sz w:val="32"/>
          <w:szCs w:val="32"/>
        </w:rPr>
        <w:t>第五部分  名词解释</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部门决算：各部门依据国家有关法律法规规定及其履行职能情况编制，反映部门所有预算收支和结余执行结果及绩效等情况的综合性年度报告，是改进部门预算执行以及编制后续年度部门预算的</w:t>
      </w:r>
      <w:r w:rsidRPr="00BB6184">
        <w:rPr>
          <w:rFonts w:ascii="仿宋_GB2312" w:eastAsia="仿宋_GB2312" w:hint="eastAsia"/>
          <w:sz w:val="30"/>
          <w:szCs w:val="30"/>
        </w:rPr>
        <w:lastRenderedPageBreak/>
        <w:t>参考和依据。</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一般公共预算：是对以税收为主体的财政收入，安排用于保障和改善民生、推动经济社会发展、维护国家安全、维持国家机构正常运转等方面的收支预算。</w:t>
      </w:r>
    </w:p>
    <w:p w:rsidR="00C87FF0" w:rsidRPr="00BB6184" w:rsidRDefault="00E70AC3" w:rsidP="00BB6184">
      <w:pPr>
        <w:spacing w:line="560" w:lineRule="exact"/>
        <w:ind w:firstLineChars="200" w:firstLine="600"/>
        <w:rPr>
          <w:rFonts w:ascii="仿宋_GB2312" w:eastAsia="仿宋_GB2312"/>
          <w:sz w:val="30"/>
          <w:szCs w:val="30"/>
        </w:rPr>
      </w:pPr>
      <w:r w:rsidRPr="00BB6184">
        <w:rPr>
          <w:rFonts w:ascii="仿宋_GB2312" w:eastAsia="仿宋_GB2312" w:hint="eastAsia"/>
          <w:sz w:val="30"/>
          <w:szCs w:val="30"/>
        </w:rPr>
        <w:t>政府性基金预算：是国家通过向社会征收以及出让土地、发行彩票等方式取得收入，并专项用于支持特定基础设施建设和社会事业发展的财政收支预算，是政府预算体系的重要组成部分。</w:t>
      </w:r>
    </w:p>
    <w:p w:rsidR="00C87FF0" w:rsidRDefault="00C87FF0">
      <w:pPr>
        <w:jc w:val="left"/>
        <w:rPr>
          <w:rFonts w:ascii="仿宋_GB2312" w:eastAsia="仿宋_GB2312" w:hAnsi="黑体" w:cs="方正小标宋简体"/>
          <w:sz w:val="30"/>
          <w:szCs w:val="30"/>
        </w:rPr>
      </w:pPr>
    </w:p>
    <w:p w:rsidR="00C87FF0" w:rsidRDefault="00C87FF0"/>
    <w:p w:rsidR="00C87FF0" w:rsidRDefault="00E70AC3">
      <w:pPr>
        <w:rPr>
          <w:rFonts w:ascii="Arial" w:eastAsia="Arial" w:hAnsi="Arial" w:cs="Arial"/>
          <w:b/>
          <w:sz w:val="36"/>
        </w:rPr>
      </w:pPr>
      <w:r>
        <w:rPr>
          <w:rFonts w:ascii="Arial" w:eastAsia="Arial" w:hAnsi="Arial" w:cs="Arial"/>
          <w:b/>
          <w:sz w:val="36"/>
        </w:rPr>
        <w:t>监督索引号53012670531601111</w:t>
      </w:r>
    </w:p>
    <w:sectPr w:rsidR="00C87FF0" w:rsidSect="00C87FF0">
      <w:headerReference w:type="default" r:id="rId11"/>
      <w:footerReference w:type="even" r:id="rId12"/>
      <w:footerReference w:type="default" r:id="rId13"/>
      <w:pgSz w:w="11906" w:h="16838"/>
      <w:pgMar w:top="2098" w:right="1418" w:bottom="1588" w:left="164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FF0" w:rsidRDefault="00C87FF0" w:rsidP="00C87FF0">
      <w:r>
        <w:separator/>
      </w:r>
    </w:p>
  </w:endnote>
  <w:endnote w:type="continuationSeparator" w:id="0">
    <w:p w:rsidR="00C87FF0" w:rsidRDefault="00C87FF0" w:rsidP="00C87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F0" w:rsidRDefault="00C80076">
    <w:pPr>
      <w:pStyle w:val="Footer"/>
      <w:framePr w:wrap="around" w:vAnchor="text" w:hAnchor="margin" w:xAlign="center" w:y="1"/>
      <w:rPr>
        <w:rStyle w:val="PageNumber"/>
      </w:rPr>
    </w:pPr>
    <w:r w:rsidRPr="00C80076">
      <w:rPr>
        <w:rStyle w:val="PageNumber"/>
      </w:rPr>
      <w:fldChar w:fldCharType="begin"/>
    </w:r>
    <w:r w:rsidR="00E70AC3">
      <w:rPr>
        <w:rStyle w:val="PageNumber"/>
      </w:rPr>
      <w:instrText xml:space="preserve">PAGE  </w:instrText>
    </w:r>
    <w:r>
      <w:fldChar w:fldCharType="end"/>
    </w:r>
  </w:p>
  <w:p w:rsidR="00C87FF0" w:rsidRDefault="00C87F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F0" w:rsidRDefault="00C80076">
    <w:pPr>
      <w:pStyle w:val="Footer"/>
    </w:pPr>
    <w:r>
      <w:pict>
        <v:shapetype id="_x0000_t202" coordsize="21600,21600" o:spt="202" path="m,l,21600r21600,l21600,xe">
          <v:stroke joinstyle="miter"/>
          <v:path gradientshapeok="t" o:connecttype="rect"/>
        </v:shapetype>
        <v:shape id="_x0000_s1025" type="#_x0000_t202" style="position:absolute;margin-left:208pt;margin-top:0;width:2in;height:2in;z-index:251658240;mso-wrap-style:none;mso-position-horizontal:outside;mso-position-horizontal-relative:margin;mso-width-relative:page;mso-height-relative:page" filled="f" stroked="f">
          <v:textbox style="mso-fit-shape-to-text:t" inset="0,0,0,0">
            <w:txbxContent>
              <w:p w:rsidR="00C87FF0" w:rsidRDefault="00C80076">
                <w:pPr>
                  <w:pStyle w:val="Footer"/>
                  <w:rPr>
                    <w:rStyle w:val="PageNumber"/>
                  </w:rPr>
                </w:pPr>
                <w:r w:rsidRPr="00C80076">
                  <w:rPr>
                    <w:rStyle w:val="PageNumber"/>
                  </w:rPr>
                  <w:fldChar w:fldCharType="begin"/>
                </w:r>
                <w:r w:rsidR="00E70AC3">
                  <w:rPr>
                    <w:rStyle w:val="PageNumber"/>
                    <w:sz w:val="28"/>
                    <w:szCs w:val="28"/>
                  </w:rPr>
                  <w:instrText xml:space="preserve">PAGE  </w:instrText>
                </w:r>
                <w:r>
                  <w:rPr>
                    <w:sz w:val="28"/>
                    <w:szCs w:val="28"/>
                  </w:rPr>
                  <w:fldChar w:fldCharType="separate"/>
                </w:r>
                <w:r w:rsidR="00A3342D">
                  <w:rPr>
                    <w:rStyle w:val="PageNumber"/>
                    <w:noProof/>
                    <w:sz w:val="28"/>
                    <w:szCs w:val="28"/>
                  </w:rPr>
                  <w:t>- 26 -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FF0" w:rsidRDefault="00C87FF0" w:rsidP="00C87FF0">
      <w:r>
        <w:separator/>
      </w:r>
    </w:p>
  </w:footnote>
  <w:footnote w:type="continuationSeparator" w:id="0">
    <w:p w:rsidR="00C87FF0" w:rsidRDefault="00C87FF0" w:rsidP="00C87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F0" w:rsidRDefault="00C87FF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726BA"/>
    <w:multiLevelType w:val="singleLevel"/>
    <w:tmpl w:val="2A8726BA"/>
    <w:lvl w:ilvl="0">
      <w:start w:val="4"/>
      <w:numFmt w:val="chineseCounting"/>
      <w:suff w:val="nothing"/>
      <w:lvlText w:val="%1、"/>
      <w:lvlJc w:val="left"/>
      <w:rPr>
        <w:rFonts w:hint="eastAsia"/>
      </w:rPr>
    </w:lvl>
  </w:abstractNum>
  <w:abstractNum w:abstractNumId="1">
    <w:nsid w:val="7D9C2E0D"/>
    <w:multiLevelType w:val="singleLevel"/>
    <w:tmpl w:val="7D9C2E0D"/>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NmMDdkYWIxMjgzYWJlMDg5M2FmZWJlNTc3MTZmZDAifQ=="/>
  </w:docVars>
  <w:rsids>
    <w:rsidRoot w:val="004B6041"/>
    <w:rsid w:val="0002477B"/>
    <w:rsid w:val="000270FB"/>
    <w:rsid w:val="00042AC4"/>
    <w:rsid w:val="00063415"/>
    <w:rsid w:val="00071E75"/>
    <w:rsid w:val="0009427C"/>
    <w:rsid w:val="000C19F4"/>
    <w:rsid w:val="000D1DEF"/>
    <w:rsid w:val="000E39AF"/>
    <w:rsid w:val="00112520"/>
    <w:rsid w:val="00113E41"/>
    <w:rsid w:val="001418F0"/>
    <w:rsid w:val="001478CD"/>
    <w:rsid w:val="00165AA6"/>
    <w:rsid w:val="00174E2C"/>
    <w:rsid w:val="00193C64"/>
    <w:rsid w:val="00236D40"/>
    <w:rsid w:val="00266BBD"/>
    <w:rsid w:val="0027060B"/>
    <w:rsid w:val="002C176E"/>
    <w:rsid w:val="002E51C2"/>
    <w:rsid w:val="002E566C"/>
    <w:rsid w:val="0039523F"/>
    <w:rsid w:val="00395CCB"/>
    <w:rsid w:val="003C3F85"/>
    <w:rsid w:val="004025D6"/>
    <w:rsid w:val="00462485"/>
    <w:rsid w:val="00476B54"/>
    <w:rsid w:val="00481C46"/>
    <w:rsid w:val="00487195"/>
    <w:rsid w:val="004A75DE"/>
    <w:rsid w:val="004B1792"/>
    <w:rsid w:val="004B6041"/>
    <w:rsid w:val="004B6688"/>
    <w:rsid w:val="004E4503"/>
    <w:rsid w:val="00513F30"/>
    <w:rsid w:val="00540837"/>
    <w:rsid w:val="00544566"/>
    <w:rsid w:val="00580695"/>
    <w:rsid w:val="005B14D6"/>
    <w:rsid w:val="005C6DBB"/>
    <w:rsid w:val="00601CA3"/>
    <w:rsid w:val="00690636"/>
    <w:rsid w:val="006C7F1B"/>
    <w:rsid w:val="006D6D73"/>
    <w:rsid w:val="007061EE"/>
    <w:rsid w:val="00732D81"/>
    <w:rsid w:val="0074125F"/>
    <w:rsid w:val="007841FB"/>
    <w:rsid w:val="00786F88"/>
    <w:rsid w:val="0079002C"/>
    <w:rsid w:val="00792E42"/>
    <w:rsid w:val="0079734F"/>
    <w:rsid w:val="007C057B"/>
    <w:rsid w:val="007C2FFB"/>
    <w:rsid w:val="007D1C37"/>
    <w:rsid w:val="0080171D"/>
    <w:rsid w:val="00820BA1"/>
    <w:rsid w:val="00825690"/>
    <w:rsid w:val="00843D8E"/>
    <w:rsid w:val="0088280C"/>
    <w:rsid w:val="008C30D3"/>
    <w:rsid w:val="008D67B9"/>
    <w:rsid w:val="009133CF"/>
    <w:rsid w:val="00920E48"/>
    <w:rsid w:val="009565CF"/>
    <w:rsid w:val="00987110"/>
    <w:rsid w:val="009B46CD"/>
    <w:rsid w:val="009D1641"/>
    <w:rsid w:val="009F2A69"/>
    <w:rsid w:val="00A10A6F"/>
    <w:rsid w:val="00A3342D"/>
    <w:rsid w:val="00A73990"/>
    <w:rsid w:val="00A7745C"/>
    <w:rsid w:val="00A96687"/>
    <w:rsid w:val="00AA3326"/>
    <w:rsid w:val="00AC7806"/>
    <w:rsid w:val="00AD53DB"/>
    <w:rsid w:val="00AF3AAD"/>
    <w:rsid w:val="00B22861"/>
    <w:rsid w:val="00B25C3D"/>
    <w:rsid w:val="00B338BE"/>
    <w:rsid w:val="00B37032"/>
    <w:rsid w:val="00BA1F4D"/>
    <w:rsid w:val="00BA5E2A"/>
    <w:rsid w:val="00BB6184"/>
    <w:rsid w:val="00BE17C5"/>
    <w:rsid w:val="00BF1E99"/>
    <w:rsid w:val="00C02840"/>
    <w:rsid w:val="00C309FB"/>
    <w:rsid w:val="00C32FCF"/>
    <w:rsid w:val="00C51981"/>
    <w:rsid w:val="00C540C8"/>
    <w:rsid w:val="00C57C05"/>
    <w:rsid w:val="00C80076"/>
    <w:rsid w:val="00C87FF0"/>
    <w:rsid w:val="00CA232D"/>
    <w:rsid w:val="00CC28D6"/>
    <w:rsid w:val="00CC40B9"/>
    <w:rsid w:val="00CE179B"/>
    <w:rsid w:val="00D01D17"/>
    <w:rsid w:val="00D36B02"/>
    <w:rsid w:val="00D432AB"/>
    <w:rsid w:val="00D635B4"/>
    <w:rsid w:val="00D76226"/>
    <w:rsid w:val="00DA2947"/>
    <w:rsid w:val="00DA76DC"/>
    <w:rsid w:val="00DE5ACC"/>
    <w:rsid w:val="00DE7D1B"/>
    <w:rsid w:val="00DF1524"/>
    <w:rsid w:val="00DF3697"/>
    <w:rsid w:val="00E14B6C"/>
    <w:rsid w:val="00E15676"/>
    <w:rsid w:val="00E2632E"/>
    <w:rsid w:val="00E3656A"/>
    <w:rsid w:val="00E5388E"/>
    <w:rsid w:val="00E617B0"/>
    <w:rsid w:val="00E70AC3"/>
    <w:rsid w:val="00E934E5"/>
    <w:rsid w:val="00EA125F"/>
    <w:rsid w:val="00EC2550"/>
    <w:rsid w:val="00F204D7"/>
    <w:rsid w:val="00F604BB"/>
    <w:rsid w:val="00F607A4"/>
    <w:rsid w:val="00F70883"/>
    <w:rsid w:val="00F86697"/>
    <w:rsid w:val="00FB6943"/>
    <w:rsid w:val="00FE5C21"/>
    <w:rsid w:val="00FE7F1E"/>
    <w:rsid w:val="00FF100E"/>
    <w:rsid w:val="39186D3D"/>
    <w:rsid w:val="3D2C0E41"/>
    <w:rsid w:val="43BF6222"/>
    <w:rsid w:val="57155D48"/>
    <w:rsid w:val="63485A0E"/>
    <w:rsid w:val="67BB0E6E"/>
    <w:rsid w:val="6B5647F5"/>
    <w:rsid w:val="73762DE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note text"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7FF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unhideWhenUsed/>
    <w:qFormat/>
    <w:rsid w:val="00C87FF0"/>
    <w:pPr>
      <w:ind w:firstLine="420"/>
    </w:pPr>
  </w:style>
  <w:style w:type="paragraph" w:styleId="a4">
    <w:name w:val="Body Text"/>
    <w:basedOn w:val="a"/>
    <w:qFormat/>
    <w:rsid w:val="00C87FF0"/>
    <w:pPr>
      <w:spacing w:beforeLines="30"/>
    </w:pPr>
    <w:rPr>
      <w:rFonts w:ascii="仿宋_GB2312" w:eastAsia="仿宋_GB2312"/>
      <w:sz w:val="30"/>
    </w:rPr>
  </w:style>
  <w:style w:type="paragraph" w:styleId="a5">
    <w:name w:val="footnote text"/>
    <w:basedOn w:val="a"/>
    <w:link w:val="Char"/>
    <w:uiPriority w:val="99"/>
    <w:unhideWhenUsed/>
    <w:qFormat/>
    <w:rsid w:val="00C87FF0"/>
    <w:pPr>
      <w:snapToGrid w:val="0"/>
      <w:jc w:val="left"/>
    </w:pPr>
    <w:rPr>
      <w:sz w:val="18"/>
      <w:szCs w:val="18"/>
    </w:rPr>
  </w:style>
  <w:style w:type="table" w:styleId="a6">
    <w:name w:val="Table Grid"/>
    <w:qFormat/>
    <w:rsid w:val="00C87FF0"/>
    <w:tblPr>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Footer">
    <w:name w:val="Footer"/>
    <w:basedOn w:val="a"/>
    <w:qFormat/>
    <w:rsid w:val="00C87FF0"/>
    <w:pPr>
      <w:tabs>
        <w:tab w:val="center" w:pos="4153"/>
        <w:tab w:val="right" w:pos="8306"/>
      </w:tabs>
      <w:snapToGrid w:val="0"/>
      <w:jc w:val="left"/>
    </w:pPr>
    <w:rPr>
      <w:sz w:val="18"/>
      <w:szCs w:val="18"/>
    </w:rPr>
  </w:style>
  <w:style w:type="paragraph" w:customStyle="1" w:styleId="Header">
    <w:name w:val="Header"/>
    <w:basedOn w:val="a"/>
    <w:qFormat/>
    <w:rsid w:val="00C87FF0"/>
    <w:pPr>
      <w:pBdr>
        <w:bottom w:val="single" w:sz="6" w:space="1" w:color="auto"/>
      </w:pBdr>
      <w:tabs>
        <w:tab w:val="center" w:pos="4153"/>
        <w:tab w:val="right" w:pos="8306"/>
      </w:tabs>
      <w:snapToGrid w:val="0"/>
      <w:jc w:val="center"/>
    </w:pPr>
    <w:rPr>
      <w:sz w:val="18"/>
      <w:szCs w:val="18"/>
    </w:rPr>
  </w:style>
  <w:style w:type="character" w:customStyle="1" w:styleId="PageNumber">
    <w:name w:val="Page Number"/>
    <w:basedOn w:val="a0"/>
    <w:qFormat/>
    <w:rsid w:val="00C87FF0"/>
  </w:style>
  <w:style w:type="character" w:customStyle="1" w:styleId="Char">
    <w:name w:val="脚注文本 Char"/>
    <w:basedOn w:val="a0"/>
    <w:link w:val="a5"/>
    <w:uiPriority w:val="99"/>
    <w:qFormat/>
    <w:rsid w:val="00C87FF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282765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2025-07-14T06:11:19Z</dcterms:modified>
</cp:coreProperties>
</file>

<file path=customXml/item2.xml><?xml version="1.0" encoding="utf-8"?>
<s:customData xmlns="http://www.wps.cn/officeDocument/2013/wpsCustomData" xmlns:s="http://www.wps.cn/officeDocument/2013/wpsCustomData">
  <customSectProps/>
  <customShpExts>
    <customShpInfo spid="_x0000_s1025"/>
  </customShpExts>
</s:customData>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4.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Props1.xml><?xml version="1.0" encoding="utf-8"?>
<ds:datastoreItem xmlns:ds="http://schemas.openxmlformats.org/officeDocument/2006/customXml" ds:itemID="{A45378AB-8C10-4952-B288-10778C7CB86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4DA2CC9-8A73-4307-B91F-DC1166589E88}">
  <ds:schemaRefs/>
</ds:datastoreItem>
</file>

<file path=customXml/itemProps4.xml><?xml version="1.0" encoding="utf-8"?>
<ds:datastoreItem xmlns:ds="http://schemas.openxmlformats.org/officeDocument/2006/customXml" ds:itemID="{E50765C7-3C03-471A-90B8-F4AE3C445AD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Administrator</cp:lastModifiedBy>
  <cp:revision>111</cp:revision>
  <cp:lastPrinted>2025-08-14T03:31:00Z</cp:lastPrinted>
  <dcterms:created xsi:type="dcterms:W3CDTF">2025-06-26T01:23:00Z</dcterms:created>
  <dcterms:modified xsi:type="dcterms:W3CDTF">2025-08-21T03:03:00Z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ADEAAB72DB164E758B62069BE76F9BF3_12</vt:lpwstr>
  </property>
  <property fmtid="{D5CDD505-2E9C-101B-9397-08002B2CF9AE}" pid="3" name="KSOProductBuildVer">
    <vt:lpwstr>2052-12.1.0.18276</vt:lpwstr>
  </property>
</Properties>
</file>