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BD" w:rsidRDefault="0036432E">
      <w:pPr>
        <w:rPr>
          <w:rFonts w:ascii="Arial" w:eastAsia="Arial" w:hAnsi="Arial" w:cs="Arial"/>
          <w:b/>
          <w:sz w:val="36"/>
        </w:rPr>
      </w:pPr>
      <w:r>
        <w:rPr>
          <w:rFonts w:ascii="Arial" w:eastAsia="Arial" w:hAnsi="Arial" w:cs="Arial"/>
          <w:b/>
          <w:sz w:val="36"/>
        </w:rPr>
        <w:t>监督索引号53012670531600101000</w:t>
      </w:r>
    </w:p>
    <w:p w:rsidR="00F11050" w:rsidRDefault="00F11050">
      <w:pPr>
        <w:jc w:val="center"/>
        <w:outlineLvl w:val="0"/>
        <w:rPr>
          <w:rFonts w:ascii="方正小标宋简体" w:eastAsia="方正小标宋简体" w:hAnsi="方正小标宋简体"/>
          <w:sz w:val="36"/>
          <w:lang w:val="zh-CN"/>
        </w:rPr>
      </w:pPr>
    </w:p>
    <w:p w:rsidR="00DF6BBD" w:rsidRDefault="0036432E">
      <w:pPr>
        <w:jc w:val="center"/>
        <w:outlineLvl w:val="0"/>
        <w:rPr>
          <w:rFonts w:ascii="方正小标宋简体" w:eastAsia="方正小标宋简体" w:hAnsi="方正小标宋简体"/>
          <w:sz w:val="36"/>
          <w:lang w:val="zh-CN"/>
        </w:rPr>
      </w:pPr>
      <w:r>
        <w:rPr>
          <w:rFonts w:ascii="方正小标宋简体" w:eastAsia="方正小标宋简体" w:hAnsi="方正小标宋简体" w:hint="eastAsia"/>
          <w:sz w:val="36"/>
          <w:lang w:val="zh-CN"/>
        </w:rPr>
        <w:t>石林彝族自治县人力资源和社会保障局（本级）</w:t>
      </w:r>
    </w:p>
    <w:p w:rsidR="00DF6BBD" w:rsidRDefault="0036432E">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2024年度部门决算</w:t>
      </w:r>
    </w:p>
    <w:p w:rsidR="00DF6BBD" w:rsidRDefault="00DF6BBD" w:rsidP="00F11050">
      <w:pPr>
        <w:rPr>
          <w:rFonts w:ascii="方正小标宋简体" w:eastAsia="方正小标宋简体" w:hAnsi="方正小标宋简体" w:cs="方正小标宋简体"/>
          <w:sz w:val="36"/>
          <w:szCs w:val="36"/>
        </w:rPr>
      </w:pPr>
    </w:p>
    <w:p w:rsidR="00DF6BBD" w:rsidRDefault="0036432E">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rsidR="00DF6BBD" w:rsidRDefault="00DF6BBD">
      <w:pPr>
        <w:jc w:val="left"/>
        <w:rPr>
          <w:rFonts w:ascii="黑体" w:eastAsia="黑体" w:hAnsi="黑体"/>
          <w:sz w:val="30"/>
          <w:szCs w:val="30"/>
        </w:rPr>
      </w:pPr>
    </w:p>
    <w:p w:rsidR="00DF6BBD" w:rsidRDefault="0036432E">
      <w:pPr>
        <w:jc w:val="left"/>
        <w:outlineLvl w:val="0"/>
        <w:rPr>
          <w:rFonts w:ascii="黑体" w:eastAsia="黑体" w:hAnsi="黑体"/>
          <w:sz w:val="30"/>
          <w:szCs w:val="30"/>
        </w:rPr>
      </w:pPr>
      <w:r>
        <w:rPr>
          <w:rFonts w:ascii="黑体" w:eastAsia="黑体" w:hAnsi="黑体" w:hint="eastAsia"/>
          <w:sz w:val="30"/>
          <w:szCs w:val="30"/>
        </w:rPr>
        <w:t>第一部分  单位概况</w:t>
      </w:r>
    </w:p>
    <w:p w:rsidR="00DF6BBD" w:rsidRDefault="0036432E">
      <w:pPr>
        <w:spacing w:line="240" w:lineRule="atLeast"/>
        <w:jc w:val="left"/>
        <w:outlineLvl w:val="1"/>
        <w:rPr>
          <w:rFonts w:ascii="楷体" w:eastAsia="楷体" w:hAnsi="楷体"/>
          <w:sz w:val="30"/>
          <w:szCs w:val="30"/>
        </w:rPr>
      </w:pPr>
      <w:r>
        <w:rPr>
          <w:rFonts w:ascii="楷体" w:eastAsia="楷体" w:hAnsi="楷体" w:hint="eastAsia"/>
          <w:sz w:val="30"/>
          <w:szCs w:val="30"/>
        </w:rPr>
        <w:t>一、主要职能</w:t>
      </w:r>
    </w:p>
    <w:p w:rsidR="00DF6BBD" w:rsidRDefault="0036432E">
      <w:pPr>
        <w:spacing w:line="240" w:lineRule="atLeast"/>
        <w:jc w:val="left"/>
        <w:outlineLvl w:val="1"/>
        <w:rPr>
          <w:rFonts w:ascii="楷体" w:eastAsia="楷体" w:hAnsi="楷体"/>
          <w:sz w:val="30"/>
          <w:szCs w:val="30"/>
        </w:rPr>
      </w:pPr>
      <w:r>
        <w:rPr>
          <w:rFonts w:ascii="楷体" w:eastAsia="楷体" w:hAnsi="楷体" w:hint="eastAsia"/>
          <w:sz w:val="30"/>
          <w:szCs w:val="30"/>
        </w:rPr>
        <w:t>二、单位基本情况</w:t>
      </w:r>
    </w:p>
    <w:p w:rsidR="00DF6BBD" w:rsidRDefault="0036432E">
      <w:pPr>
        <w:spacing w:line="240" w:lineRule="atLeast"/>
        <w:jc w:val="left"/>
        <w:outlineLvl w:val="1"/>
        <w:rPr>
          <w:rFonts w:ascii="楷体" w:eastAsia="楷体" w:hAnsi="楷体"/>
          <w:sz w:val="30"/>
          <w:szCs w:val="30"/>
        </w:rPr>
      </w:pPr>
      <w:r>
        <w:rPr>
          <w:rFonts w:ascii="楷体" w:eastAsia="楷体" w:hAnsi="楷体" w:hint="eastAsia"/>
          <w:sz w:val="30"/>
          <w:szCs w:val="30"/>
        </w:rPr>
        <w:t>三、重点工作概述</w:t>
      </w:r>
    </w:p>
    <w:p w:rsidR="00DF6BBD" w:rsidRDefault="0036432E">
      <w:pPr>
        <w:jc w:val="left"/>
        <w:outlineLvl w:val="0"/>
        <w:rPr>
          <w:rFonts w:ascii="黑体" w:eastAsia="黑体" w:hAnsi="黑体"/>
          <w:sz w:val="30"/>
          <w:szCs w:val="30"/>
        </w:rPr>
      </w:pPr>
      <w:r>
        <w:rPr>
          <w:rFonts w:ascii="黑体" w:eastAsia="黑体" w:hAnsi="黑体" w:hint="eastAsia"/>
          <w:sz w:val="30"/>
          <w:szCs w:val="30"/>
        </w:rPr>
        <w:t>第二部分  2024年度部门决算表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一、收入支出决算表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二、收入决算表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三、支出决算表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四、财政拨款收入支出决算表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五、一般公共预算财政拨款收入支出决算表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六、一般公共预算财政拨款基本支出决算表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七、一般公共预算财政拨款项目支出决算表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八、政府性基金预算财政拨款收入支出决算表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九、国有资本经营预算财政拨款收入支出决算表</w:t>
      </w:r>
    </w:p>
    <w:p w:rsidR="00DF6BBD" w:rsidRDefault="0036432E">
      <w:pPr>
        <w:jc w:val="left"/>
        <w:outlineLvl w:val="1"/>
        <w:rPr>
          <w:rFonts w:ascii="楷体" w:eastAsia="楷体" w:hAnsi="楷体"/>
          <w:sz w:val="30"/>
          <w:szCs w:val="30"/>
        </w:rPr>
      </w:pPr>
      <w:r>
        <w:rPr>
          <w:rFonts w:ascii="楷体" w:eastAsia="楷体" w:hAnsi="楷体" w:hint="eastAsia"/>
          <w:sz w:val="30"/>
          <w:szCs w:val="30"/>
        </w:rPr>
        <w:lastRenderedPageBreak/>
        <w:t>十、财政拨款“三公”经费、行政参公单位机关运行经费情况表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十一、一般公共预算财政拨款“三公”经费情况表</w:t>
      </w:r>
    </w:p>
    <w:p w:rsidR="00DF6BBD" w:rsidRDefault="0036432E">
      <w:pPr>
        <w:jc w:val="left"/>
        <w:outlineLvl w:val="0"/>
        <w:rPr>
          <w:rFonts w:ascii="黑体" w:eastAsia="黑体" w:hAnsi="黑体"/>
          <w:sz w:val="30"/>
          <w:szCs w:val="30"/>
        </w:rPr>
      </w:pPr>
      <w:r>
        <w:rPr>
          <w:rFonts w:ascii="黑体" w:eastAsia="黑体" w:hAnsi="黑体" w:hint="eastAsia"/>
          <w:sz w:val="30"/>
          <w:szCs w:val="30"/>
        </w:rPr>
        <w:t>第三部分  2024年度部门决算情况说明</w:t>
      </w:r>
    </w:p>
    <w:p w:rsidR="00DF6BBD" w:rsidRDefault="0036432E">
      <w:pPr>
        <w:jc w:val="left"/>
        <w:outlineLvl w:val="1"/>
        <w:rPr>
          <w:rFonts w:ascii="楷体" w:eastAsia="楷体" w:hAnsi="楷体"/>
          <w:sz w:val="30"/>
          <w:szCs w:val="30"/>
        </w:rPr>
      </w:pPr>
      <w:r>
        <w:rPr>
          <w:rFonts w:ascii="楷体" w:eastAsia="楷体" w:hAnsi="楷体" w:hint="eastAsia"/>
          <w:sz w:val="30"/>
          <w:szCs w:val="30"/>
        </w:rPr>
        <w:t>一、收入决算情况说明</w:t>
      </w:r>
    </w:p>
    <w:p w:rsidR="00DF6BBD" w:rsidRDefault="0036432E">
      <w:pPr>
        <w:jc w:val="left"/>
        <w:outlineLvl w:val="1"/>
        <w:rPr>
          <w:rFonts w:ascii="楷体" w:eastAsia="楷体" w:hAnsi="楷体"/>
          <w:sz w:val="30"/>
          <w:szCs w:val="30"/>
        </w:rPr>
      </w:pPr>
      <w:r>
        <w:rPr>
          <w:rFonts w:ascii="楷体" w:eastAsia="楷体" w:hAnsi="楷体" w:hint="eastAsia"/>
          <w:sz w:val="30"/>
          <w:szCs w:val="30"/>
        </w:rPr>
        <w:t>二、支出决算情况说明</w:t>
      </w:r>
    </w:p>
    <w:p w:rsidR="00DF6BBD" w:rsidRDefault="0036432E">
      <w:pPr>
        <w:jc w:val="left"/>
        <w:outlineLvl w:val="1"/>
        <w:rPr>
          <w:rFonts w:ascii="楷体" w:eastAsia="楷体" w:hAnsi="楷体"/>
          <w:sz w:val="30"/>
          <w:szCs w:val="30"/>
        </w:rPr>
      </w:pPr>
      <w:r>
        <w:rPr>
          <w:rFonts w:ascii="楷体" w:eastAsia="楷体" w:hAnsi="楷体" w:hint="eastAsia"/>
          <w:sz w:val="30"/>
          <w:szCs w:val="30"/>
        </w:rPr>
        <w:t>三、一般公共预算财政拨款支出决算情况说明</w:t>
      </w:r>
    </w:p>
    <w:p w:rsidR="00DF6BBD" w:rsidRDefault="0036432E">
      <w:pPr>
        <w:widowControl/>
        <w:snapToGrid w:val="0"/>
        <w:spacing w:before="100" w:after="100" w:line="360" w:lineRule="auto"/>
        <w:jc w:val="left"/>
        <w:outlineLvl w:val="1"/>
        <w:rPr>
          <w:rFonts w:ascii="楷体" w:eastAsia="楷体" w:hAnsi="楷体"/>
          <w:sz w:val="30"/>
          <w:szCs w:val="30"/>
        </w:rPr>
      </w:pPr>
      <w:r>
        <w:rPr>
          <w:rFonts w:ascii="楷体" w:eastAsia="楷体" w:hAnsi="楷体" w:hint="eastAsia"/>
          <w:sz w:val="30"/>
          <w:szCs w:val="30"/>
        </w:rPr>
        <w:t>四、财政拨款“三公”经费支出决算情况说明</w:t>
      </w:r>
    </w:p>
    <w:p w:rsidR="00DF6BBD" w:rsidRDefault="0036432E">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DF6BBD" w:rsidRDefault="0036432E">
      <w:pPr>
        <w:jc w:val="left"/>
        <w:outlineLvl w:val="1"/>
        <w:rPr>
          <w:rFonts w:ascii="楷体" w:eastAsia="楷体" w:hAnsi="楷体"/>
          <w:sz w:val="30"/>
          <w:szCs w:val="30"/>
        </w:rPr>
      </w:pPr>
      <w:r>
        <w:rPr>
          <w:rFonts w:ascii="楷体" w:eastAsia="楷体" w:hAnsi="楷体" w:hint="eastAsia"/>
          <w:sz w:val="30"/>
          <w:szCs w:val="30"/>
        </w:rPr>
        <w:t>一、机关运行经费支出情况</w:t>
      </w:r>
    </w:p>
    <w:p w:rsidR="00DF6BBD" w:rsidRDefault="0036432E">
      <w:pPr>
        <w:jc w:val="left"/>
        <w:outlineLvl w:val="1"/>
        <w:rPr>
          <w:rFonts w:ascii="楷体" w:eastAsia="楷体" w:hAnsi="楷体"/>
          <w:sz w:val="30"/>
          <w:szCs w:val="30"/>
        </w:rPr>
      </w:pPr>
      <w:r>
        <w:rPr>
          <w:rFonts w:ascii="楷体" w:eastAsia="楷体" w:hAnsi="楷体" w:hint="eastAsia"/>
          <w:sz w:val="30"/>
          <w:szCs w:val="30"/>
        </w:rPr>
        <w:t>二、国有资产占用情况</w:t>
      </w:r>
    </w:p>
    <w:p w:rsidR="00DF6BBD" w:rsidRDefault="0036432E">
      <w:pPr>
        <w:jc w:val="left"/>
        <w:outlineLvl w:val="1"/>
        <w:rPr>
          <w:rFonts w:ascii="楷体" w:eastAsia="楷体" w:hAnsi="楷体"/>
          <w:sz w:val="30"/>
          <w:szCs w:val="30"/>
        </w:rPr>
      </w:pPr>
      <w:r>
        <w:rPr>
          <w:rFonts w:ascii="楷体" w:eastAsia="楷体" w:hAnsi="楷体" w:hint="eastAsia"/>
          <w:sz w:val="30"/>
          <w:szCs w:val="30"/>
        </w:rPr>
        <w:t>三、政府采购支出情况</w:t>
      </w:r>
    </w:p>
    <w:p w:rsidR="00DF6BBD" w:rsidRDefault="0036432E">
      <w:pPr>
        <w:jc w:val="left"/>
        <w:outlineLvl w:val="1"/>
        <w:rPr>
          <w:rFonts w:ascii="楷体" w:eastAsia="楷体" w:hAnsi="楷体"/>
          <w:sz w:val="30"/>
          <w:szCs w:val="30"/>
        </w:rPr>
      </w:pPr>
      <w:r>
        <w:rPr>
          <w:rFonts w:ascii="楷体" w:eastAsia="楷体" w:hAnsi="楷体" w:hint="eastAsia"/>
          <w:sz w:val="30"/>
          <w:szCs w:val="30"/>
        </w:rPr>
        <w:t>四、部门绩效自评情况</w:t>
      </w:r>
    </w:p>
    <w:p w:rsidR="00DF6BBD" w:rsidRDefault="0036432E">
      <w:pPr>
        <w:ind w:firstLineChars="50" w:firstLine="150"/>
        <w:jc w:val="left"/>
        <w:outlineLvl w:val="1"/>
        <w:rPr>
          <w:rFonts w:ascii="楷体" w:eastAsia="楷体" w:hAnsi="楷体"/>
          <w:sz w:val="30"/>
          <w:szCs w:val="30"/>
        </w:rPr>
      </w:pPr>
      <w:r>
        <w:rPr>
          <w:rFonts w:ascii="楷体" w:eastAsia="楷体" w:hAnsi="楷体" w:hint="eastAsia"/>
          <w:sz w:val="30"/>
          <w:szCs w:val="30"/>
        </w:rPr>
        <w:t>(一)部门整体支出绩效目标情况</w:t>
      </w:r>
    </w:p>
    <w:p w:rsidR="00DF6BBD" w:rsidRDefault="0036432E">
      <w:pPr>
        <w:jc w:val="left"/>
        <w:outlineLvl w:val="1"/>
        <w:rPr>
          <w:rFonts w:ascii="楷体" w:eastAsia="楷体" w:hAnsi="楷体"/>
          <w:sz w:val="30"/>
          <w:szCs w:val="30"/>
        </w:rPr>
      </w:pPr>
      <w:r>
        <w:rPr>
          <w:rFonts w:ascii="楷体" w:eastAsia="楷体" w:hAnsi="楷体" w:hint="eastAsia"/>
          <w:sz w:val="30"/>
          <w:szCs w:val="30"/>
        </w:rPr>
        <w:t>（二）部门整体支出绩效自评表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（三）项目支出绩效自评表</w:t>
      </w:r>
    </w:p>
    <w:p w:rsidR="00DF6BBD" w:rsidRDefault="0036432E">
      <w:pPr>
        <w:jc w:val="left"/>
        <w:outlineLvl w:val="1"/>
        <w:rPr>
          <w:rFonts w:ascii="楷体" w:eastAsia="楷体" w:hAnsi="楷体"/>
          <w:sz w:val="30"/>
          <w:szCs w:val="30"/>
        </w:rPr>
      </w:pPr>
      <w:r>
        <w:rPr>
          <w:rFonts w:ascii="楷体" w:eastAsia="楷体" w:hAnsi="楷体" w:hint="eastAsia"/>
          <w:sz w:val="30"/>
          <w:szCs w:val="30"/>
        </w:rPr>
        <w:t>（四）单位绩效自评情况</w:t>
      </w:r>
    </w:p>
    <w:p w:rsidR="00DF6BBD" w:rsidRDefault="0036432E">
      <w:pPr>
        <w:jc w:val="left"/>
        <w:outlineLvl w:val="1"/>
        <w:rPr>
          <w:rFonts w:ascii="楷体" w:eastAsia="楷体" w:hAnsi="楷体"/>
          <w:sz w:val="30"/>
          <w:szCs w:val="30"/>
        </w:rPr>
      </w:pPr>
      <w:r>
        <w:rPr>
          <w:rFonts w:ascii="楷体" w:eastAsia="楷体" w:hAnsi="楷体" w:hint="eastAsia"/>
          <w:sz w:val="30"/>
          <w:szCs w:val="30"/>
        </w:rPr>
        <w:t>五、其他重要事项情况说明</w:t>
      </w:r>
    </w:p>
    <w:p w:rsidR="00DF6BBD" w:rsidRDefault="0036432E">
      <w:pPr>
        <w:jc w:val="left"/>
        <w:outlineLvl w:val="1"/>
        <w:rPr>
          <w:rFonts w:ascii="楷体" w:eastAsia="楷体" w:hAnsi="楷体"/>
          <w:sz w:val="30"/>
          <w:szCs w:val="30"/>
        </w:rPr>
      </w:pPr>
      <w:r>
        <w:rPr>
          <w:rFonts w:ascii="楷体" w:eastAsia="楷体" w:hAnsi="楷体" w:hint="eastAsia"/>
          <w:sz w:val="30"/>
          <w:szCs w:val="30"/>
        </w:rPr>
        <w:t>六、相关口径说明</w:t>
      </w:r>
    </w:p>
    <w:p w:rsidR="00DF6BBD" w:rsidRDefault="0036432E">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第五部分  名词解释</w:t>
      </w:r>
    </w:p>
    <w:p w:rsidR="00DF6BBD" w:rsidRDefault="00DF6BBD">
      <w:pPr>
        <w:rPr>
          <w:rFonts w:ascii="黑体" w:eastAsia="黑体" w:hAnsi="黑体"/>
          <w:sz w:val="32"/>
          <w:szCs w:val="32"/>
        </w:rPr>
      </w:pPr>
    </w:p>
    <w:p w:rsidR="00DF6BBD" w:rsidRDefault="0036432E" w:rsidP="0036432E">
      <w:pPr>
        <w:spacing w:line="560" w:lineRule="exact"/>
        <w:jc w:val="center"/>
        <w:outlineLvl w:val="0"/>
        <w:rPr>
          <w:rFonts w:ascii="黑体" w:eastAsia="黑体" w:hAnsi="黑体"/>
          <w:sz w:val="32"/>
          <w:szCs w:val="32"/>
        </w:rPr>
      </w:pPr>
      <w:r>
        <w:rPr>
          <w:rFonts w:ascii="黑体" w:eastAsia="黑体" w:hAnsi="黑体" w:hint="eastAsia"/>
          <w:sz w:val="32"/>
          <w:szCs w:val="32"/>
        </w:rPr>
        <w:lastRenderedPageBreak/>
        <w:t>第一部分  单位概况</w:t>
      </w:r>
    </w:p>
    <w:p w:rsidR="00DF6BBD" w:rsidRDefault="0036432E" w:rsidP="0036432E">
      <w:pPr>
        <w:spacing w:line="560" w:lineRule="exact"/>
        <w:ind w:firstLineChars="200" w:firstLine="600"/>
        <w:outlineLvl w:val="1"/>
        <w:rPr>
          <w:rFonts w:ascii="黑体" w:eastAsia="黑体" w:hAnsi="黑体"/>
          <w:sz w:val="30"/>
          <w:szCs w:val="30"/>
        </w:rPr>
      </w:pPr>
      <w:r>
        <w:rPr>
          <w:rFonts w:ascii="黑体" w:eastAsia="黑体" w:hAnsi="黑体" w:hint="eastAsia"/>
          <w:sz w:val="30"/>
          <w:szCs w:val="30"/>
        </w:rPr>
        <w:t>一、主要职能</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1.贯彻执行国家、省、市人力资源和社会保障工作的法律法规和政策；拟订全县人力资源和社会保障事业发展规划，制定相关政策，并组织实施和监督检查。</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2.拟订全县人力资源市场发展规划和人力资源服务业发展、人力资源流动政策，建立统一规范的人力资源市场，并对其进行监督和指导；指导、监督职业中介机构，设立人力资源服务机构及其业务范围审批，促进人力资源合理流动、有效配置。</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3.负责全县促进就业和创业工作，拟订城乡统筹就业发展规划和措施，促进城乡劳动力实现充分就业；完善公共就业服务体系和创业服务体系，组织实施援助制度；完善职业资格制度，逐步建立面向城乡劳动者的职业培训制度；认真贯彻落实高校毕业生就业政策。</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4.统筹建立覆盖城乡的多层次社会保障体系。认真执行上级养老、失业、工伤等社会保险政策和标准。会同有关部门实施全民参保计划；负责全县社会保险基金管理和监督工作；根据上级预案实施预防、调节和控制，保持就业形势稳定和社会保险基金总体收支平衡。</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5.牵头负责职称制度改革、管理工作，综合管理专业技术人才队伍建设工作，负责高层次专业技术人才选拔和培养工作；负责事业单位人员招聘、评聘、解聘、岗位设置、聘用合同等人事综合管理工作；拟定事业单位人员和工勤人员管理政策。按照管理权限负</w:t>
      </w:r>
      <w:r w:rsidRPr="00176DC8">
        <w:rPr>
          <w:rFonts w:ascii="仿宋_GB2312" w:eastAsia="仿宋_GB2312" w:hint="eastAsia"/>
          <w:sz w:val="30"/>
          <w:szCs w:val="30"/>
        </w:rPr>
        <w:lastRenderedPageBreak/>
        <w:t xml:space="preserve">责规范事业单位会同有关部门做好高技能人才培养和激励工作。配合有关部门做好表彰奖励申报工作。 </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6.贯彻执行事业单位的工资福利政策，会同有关部门规范地方性津贴、补贴，深化收入分配制度改革；建立健全事业单位工资正常增长和支付保障机制；认真贯彻执行最低工资标准；负责机关、企事业单位工作人员工伤认定工作；负责事业单位、企业和自谋职业人员退休审批及工龄审定工作。</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7.贯彻执行劳动人事争议调解仲裁制度和劳动关系政策，完善劳动关系协商协调机制，监督、指导各用人单位做好招工登记、劳动合同签订、劳动合同解除（终止）工作；负责劳动合同登记、集体合同审核备案、用工登记管理服务工作；完善劳动人事关系协调机制，依法办理劳动人事争议调解仲裁事宜，维护劳动人事关系双方的合法权益。</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8.执行农民工工作综合性政策，推动农民工相关政策落实，协调解决重点、难点问题，维护农民工合法权益；组织实施禁止使用童工政策和女职工、未成年工的特殊劳动保护政策；组织实施劳动监察，做好劳动者维权工作；依法查处侵犯劳动者合法权益的违法案件。</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9.承担全县人力资源和社会保障综合统计、信息工作；管理全县人力资源和社会保障信息网络，发布人力资源和社会保障工作有关信息。</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10.完成县委、县政府和上级部门交办的其他任务。</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11.职能转变。深入推进简政放权、放管结合、优化服务改革，</w:t>
      </w:r>
      <w:r w:rsidRPr="00176DC8">
        <w:rPr>
          <w:rFonts w:ascii="仿宋_GB2312" w:eastAsia="仿宋_GB2312" w:hint="eastAsia"/>
          <w:sz w:val="30"/>
          <w:szCs w:val="30"/>
        </w:rPr>
        <w:lastRenderedPageBreak/>
        <w:t>进一步减少行政审批事项，规范和优化对外办理事项，落实国家职业资格目录清单管理制度，加强事中事后监管，创新就业和社会保障等公共服务方式，加强信息共享，提高公共服务水平。</w:t>
      </w:r>
    </w:p>
    <w:p w:rsidR="00DF6BBD" w:rsidRDefault="0036432E" w:rsidP="0036432E">
      <w:pPr>
        <w:spacing w:line="560" w:lineRule="exact"/>
        <w:ind w:firstLineChars="200" w:firstLine="600"/>
        <w:outlineLvl w:val="1"/>
        <w:rPr>
          <w:rFonts w:ascii="黑体" w:eastAsia="黑体" w:hAnsi="黑体"/>
          <w:sz w:val="30"/>
          <w:szCs w:val="30"/>
        </w:rPr>
      </w:pPr>
      <w:r>
        <w:rPr>
          <w:rFonts w:ascii="黑体" w:eastAsia="黑体" w:hAnsi="黑体" w:hint="eastAsia"/>
          <w:sz w:val="30"/>
          <w:szCs w:val="30"/>
        </w:rPr>
        <w:t>二、部门</w:t>
      </w:r>
      <w:bookmarkStart w:id="0" w:name="_GoBack"/>
      <w:bookmarkEnd w:id="0"/>
      <w:r>
        <w:rPr>
          <w:rFonts w:ascii="黑体" w:eastAsia="黑体" w:hAnsi="黑体" w:hint="eastAsia"/>
          <w:sz w:val="30"/>
          <w:szCs w:val="30"/>
        </w:rPr>
        <w:t>基本情况</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（一）机构设置情况</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我单位共设置6个内设机构，包括：办公室、政策法规科（县农民工工作领导小组办公室）、就业促进与社会保险科（基金监督科）、事业单位人事管理科、工资福利科、劳动关系科;</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我单位为基层预算单位，无下属单位。</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（二）决算单位构成</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我单位作为石林彝族自治县人力资源和社会保障局的二级预算单位纳入2024年度部门决算编报范围。</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 xml:space="preserve">（三）单位人员和车辆的编制及实有情况 </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我单位2024年末编制内实有人员18.0人。包括财政拨款开支经费的：公务员11.0人，参照公务员法管理人员0.0人，事业管理人员和专业技术人员5.0人，机关和事业工人2.0人；经费自理人员0.0人。</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我单位2024年末其他人员4.0人。包括财政拨款开支经费的人员4.0人；经费自理人员0.0人。</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年末尚未移交养老保险基金发放养老金的离退休人员共计0.0人（离休0.0人，退休0.0人）。年末由养老保险基金发放养老金的离退休人员9.0人（离休0.0人，退休9.0人）。年末遗属2.0人。</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lastRenderedPageBreak/>
        <w:t>车辆编制1辆，在编实有车辆1辆，超编0.0辆。</w:t>
      </w:r>
    </w:p>
    <w:p w:rsidR="00DF6BBD" w:rsidRDefault="0036432E" w:rsidP="0036432E">
      <w:pPr>
        <w:spacing w:line="560" w:lineRule="exact"/>
        <w:ind w:firstLineChars="200" w:firstLine="600"/>
        <w:outlineLvl w:val="1"/>
        <w:rPr>
          <w:rFonts w:ascii="黑体" w:eastAsia="黑体" w:hAnsi="黑体"/>
          <w:sz w:val="30"/>
          <w:szCs w:val="30"/>
        </w:rPr>
      </w:pPr>
      <w:r>
        <w:rPr>
          <w:rFonts w:ascii="黑体" w:eastAsia="黑体" w:hAnsi="黑体" w:hint="eastAsia"/>
          <w:sz w:val="30"/>
          <w:szCs w:val="30"/>
        </w:rPr>
        <w:t>三、重点工作概述</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一）在稳定就业扩大上“做文章”。把牢就业基本盘，以高校毕业生群体为重点，采取“菜单式培训+跟进式”服务，搭建“线上+线下”招聘平台，加大岗位开发力度，全力做好就业服务。用足用活现行政策，巩固提升现有创业园孵化能力建设，为初创业者提供创业空间和必需的办公设施，提供创业指导服务。全力打造石林“撒尼绣娘”“人参果产业工人”两个劳务品牌，助推部分城乡劳动力由“体力型”向“技术型”转变。2024年完成农村劳动力培训12950人，其中引导性培训（含脱贫劳动力）11000人次，农村劳动力补贴性职业技能培训1800人次，创业培训150人。完成农村劳动力转移就业10000人，脱贫农村劳动力转移就业400人，转移就业收入1.7亿元。收集开发有效就业岗位2000个，实现城镇新增就业1500人，城镇下岗失业人员再就业258人，就业困难人员实现就业80人。实名登记的高校毕业生就业率不低于80%，新增青年就业见习100人，留用就业率50%以上；举办高校毕业生就业专场招聘活动2场。“贷免扶补”扶持创业60人，创业担保贷款扶持创业82人，小微企业扶持贷款创业1户。</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二）在社保服务优化上“下功夫”。健全覆盖全民、统筹城乡、公平统一、安全规范、可持续的多层次社会保障体系。强化服务意识，常态化开展社保服务“康乃馨”行动，进一步扩大社保政策知晓率，提升社保参保率，各项社会保险参保人数达到22.78万人，其中,城镇职工养老保险参保3.57万人，工伤保险参保3.9万</w:t>
      </w:r>
      <w:r w:rsidRPr="00176DC8">
        <w:rPr>
          <w:rFonts w:ascii="仿宋_GB2312" w:eastAsia="仿宋_GB2312" w:hint="eastAsia"/>
          <w:sz w:val="30"/>
          <w:szCs w:val="30"/>
        </w:rPr>
        <w:lastRenderedPageBreak/>
        <w:t>人，失业保险参保1.81万人，城乡养老保险参保13.5万人。加强社会保险基金管理，围绕堵点、难点、疑点数据等持续展开点对点核查，全面梳理排查经办环节潜在风险点，及时建立台账动态管理，提升经办人员的风险防控意识，做到早发现、早处置、早整改，强化基金监督检查和稽核工作，加强基金监管能力确保社保基金安全。</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三）在人事人才管理上“求突破”。深入摸排，精准开展技能培训，全力打造与全县经济社会发展相适应的高技能人才队伍。做好事业单位人员公开（定向）招聘、“三支一扶”招募人员补充工作。推进教育部直属师范大学免费师范毕业生，昆明学院定向培养公费师范毕业生，农村定向免费培养医学毕业生，退役士兵接收安置等工作。加强人员调流动、岗位设置、岗位变动、职称申报等日常工作管理。推进事业单位工作人员正常工资晋升、津贴补贴标准兑现及退休、抚恤等工作，指导做好事业单位奖励性绩效工资考核兑现工作。</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四）在和谐关系构建上“出实招”。持续加大劳动法律法规的宣传力度，严格把好劳动用工登记关，全面推行劳动合同制度和劳动用工备案制度，提高劳动合同的签订率，进一步规范企业用工行为，严格民办职业培训学校审批及管理工作。加强《保障农民工工资支付条例》宣传工作，在建筑工地全面推行“六制一金一表”制度，提高用人单位和劳动者特别是广大农民工的法律意识，促使用人单位自觉遵守劳动保障法律法规，规范合法用工。推动用人单位完善协商规则，建立内部申诉和协商回应制度，优化协商流程，及时回应劳动者协商诉求，推动工会组织、律师等力量参与劳动人</w:t>
      </w:r>
      <w:r w:rsidRPr="00176DC8">
        <w:rPr>
          <w:rFonts w:ascii="仿宋_GB2312" w:eastAsia="仿宋_GB2312" w:hint="eastAsia"/>
          <w:sz w:val="30"/>
          <w:szCs w:val="30"/>
        </w:rPr>
        <w:lastRenderedPageBreak/>
        <w:t>事争议协商，开展咨询解答、释法说理、劝解疏导等方式，促进达成并全面履行和解协议。积极推进大信访工作机制建设，形成上下联动、左右配合、齐抓共管的工作格局。</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五）在人社服务提质上“求长效”。全面贯彻落实《法治石林建设规划（2021—2025年）》，坚持依法行政，进一步规范行政行为，严格按照法定权限和程序行使权力、履行职责。以开展主题教育为契机，加强干部政治思想引领，坚持不懈地用党的创新理论武装头脑、指导实践，努力提高干部队伍整体素质。严把“入口关”，坚持人岗适宜，将合适的人放在适合的岗位上。常态化推进“我为群众办实事”，将以人为本、执政为民理念贯穿于各项工作始终。大力弘扬求真务实、真抓实干的优良作风，脚踏实地、深入扎实地抓好各项工作落实。大力加强党风廉政建设，严格落实党风廉政责任制，坚持用制度管权、管物、管人、管事，严防发生违规、违纪问题。</w:t>
      </w:r>
    </w:p>
    <w:p w:rsidR="00DF6BBD" w:rsidRDefault="00DF6BBD" w:rsidP="0036432E">
      <w:pPr>
        <w:spacing w:line="560" w:lineRule="exact"/>
        <w:ind w:firstLineChars="200" w:firstLine="600"/>
        <w:jc w:val="left"/>
        <w:rPr>
          <w:rFonts w:ascii="仿宋_GB2312" w:eastAsia="仿宋_GB2312" w:hAnsi="宋体" w:cs="Arial"/>
          <w:kern w:val="0"/>
          <w:sz w:val="30"/>
          <w:szCs w:val="30"/>
        </w:rPr>
      </w:pPr>
    </w:p>
    <w:p w:rsidR="00DF6BBD" w:rsidRDefault="0036432E" w:rsidP="0036432E">
      <w:pPr>
        <w:spacing w:line="560" w:lineRule="exact"/>
        <w:jc w:val="center"/>
        <w:outlineLvl w:val="0"/>
        <w:rPr>
          <w:rFonts w:ascii="黑体" w:eastAsia="黑体" w:hAnsi="黑体"/>
          <w:sz w:val="32"/>
          <w:szCs w:val="32"/>
        </w:rPr>
      </w:pPr>
      <w:r>
        <w:rPr>
          <w:rFonts w:ascii="黑体" w:eastAsia="黑体" w:hAnsi="黑体" w:hint="eastAsia"/>
          <w:sz w:val="32"/>
          <w:szCs w:val="32"/>
        </w:rPr>
        <w:t>第二部分  2024年度部门决算表</w:t>
      </w:r>
    </w:p>
    <w:p w:rsidR="00DF6BBD" w:rsidRPr="00176DC8" w:rsidRDefault="0036432E" w:rsidP="0036432E">
      <w:pPr>
        <w:spacing w:line="560" w:lineRule="exact"/>
        <w:ind w:firstLineChars="200" w:firstLine="600"/>
        <w:jc w:val="center"/>
        <w:rPr>
          <w:rFonts w:ascii="仿宋_GB2312" w:eastAsia="仿宋_GB2312"/>
          <w:sz w:val="30"/>
          <w:szCs w:val="30"/>
        </w:rPr>
      </w:pPr>
      <w:r w:rsidRPr="00176DC8">
        <w:rPr>
          <w:rFonts w:ascii="仿宋_GB2312" w:eastAsia="仿宋_GB2312" w:hint="eastAsia"/>
          <w:sz w:val="30"/>
          <w:szCs w:val="30"/>
        </w:rPr>
        <w:t>（详见附件）</w:t>
      </w:r>
    </w:p>
    <w:p w:rsidR="00DF6BBD" w:rsidRPr="00176DC8" w:rsidRDefault="0036432E" w:rsidP="0036432E">
      <w:pPr>
        <w:spacing w:line="560" w:lineRule="exact"/>
        <w:ind w:firstLineChars="200" w:firstLine="600"/>
        <w:rPr>
          <w:rFonts w:ascii="仿宋_GB2312" w:eastAsia="仿宋_GB2312"/>
          <w:sz w:val="30"/>
          <w:szCs w:val="30"/>
        </w:rPr>
      </w:pPr>
      <w:r w:rsidRPr="00176DC8">
        <w:rPr>
          <w:rFonts w:ascii="仿宋_GB2312" w:eastAsia="仿宋_GB2312" w:hint="eastAsia"/>
          <w:sz w:val="30"/>
          <w:szCs w:val="30"/>
        </w:rPr>
        <w:t>石林彝族自治县人力资源和社会保障局（本级）2024年度无国有资本经营预算财政拨款收入，无政府性基金预算财政拨款收入，故《国有资本经营预算财政拨款收入支出决算表》、《政府性基金预算财政拨款收入支出决算表》为空表。</w:t>
      </w:r>
    </w:p>
    <w:p w:rsidR="00DF6BBD" w:rsidRDefault="00DF6BBD" w:rsidP="0036432E">
      <w:pPr>
        <w:spacing w:line="560" w:lineRule="exact"/>
        <w:ind w:firstLineChars="200" w:firstLine="600"/>
        <w:jc w:val="left"/>
        <w:rPr>
          <w:rFonts w:ascii="仿宋_GB2312" w:eastAsia="仿宋_GB2312"/>
          <w:color w:val="FF0000"/>
          <w:sz w:val="30"/>
          <w:szCs w:val="30"/>
        </w:rPr>
      </w:pPr>
    </w:p>
    <w:p w:rsidR="00DF6BBD" w:rsidRDefault="0036432E" w:rsidP="0036432E">
      <w:pPr>
        <w:spacing w:line="560" w:lineRule="exact"/>
        <w:jc w:val="center"/>
        <w:outlineLvl w:val="0"/>
        <w:rPr>
          <w:rFonts w:ascii="黑体" w:eastAsia="黑体" w:hAnsi="黑体"/>
          <w:sz w:val="32"/>
          <w:szCs w:val="32"/>
        </w:rPr>
      </w:pPr>
      <w:r>
        <w:rPr>
          <w:rFonts w:ascii="黑体" w:eastAsia="黑体" w:hAnsi="黑体" w:hint="eastAsia"/>
          <w:sz w:val="32"/>
          <w:szCs w:val="32"/>
        </w:rPr>
        <w:t>第三部分  2024年度部门决算情况说明</w:t>
      </w:r>
    </w:p>
    <w:p w:rsidR="00DF6BBD" w:rsidRDefault="0036432E" w:rsidP="0036432E">
      <w:pPr>
        <w:spacing w:line="560" w:lineRule="exact"/>
        <w:ind w:firstLineChars="200" w:firstLine="600"/>
        <w:jc w:val="left"/>
        <w:outlineLvl w:val="1"/>
        <w:rPr>
          <w:rFonts w:ascii="黑体" w:eastAsia="黑体" w:hAnsi="黑体"/>
          <w:sz w:val="30"/>
          <w:szCs w:val="30"/>
        </w:rPr>
      </w:pPr>
      <w:r>
        <w:rPr>
          <w:rFonts w:ascii="黑体" w:eastAsia="黑体" w:hAnsi="黑体" w:hint="eastAsia"/>
          <w:sz w:val="30"/>
          <w:szCs w:val="30"/>
        </w:rPr>
        <w:lastRenderedPageBreak/>
        <w:t>一、收入决算情况说明</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石林彝族自治县人力资源和社会保障局（本级）2024年度收入合计5475686.34元。其中：财政拨款收入5441227.11元，占总收入的99.37%；无上级补助收入；无事业收入；无经营收入；无附属单位上缴收入；其他收入34459.23元，占总收入的0.63%。</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与上年相比，收入合计减少794062.10元，下降12.66%。其中：财政拨款收入减少657728.11元，下降10.78%；上级补助收入减少0.00元，下降0.00%；事业收入减少0.00元，下降0.00%；经营收入减少0.00元，下降0.00%；附属单位上缴收入减少0.00元，下降0.00%；其他收入减少136333.99元，下降79.82%。主要原因是：1.机构改革，原与我单位财务合并核算的石林县劳动监察大队撤销后人员转隶、人员调出使在职人数减少，基本支出拨款减少：2. “三支一扶”在岗人数因转岗、解聘原因减少，“三支一扶”项目资金拨款减少；3. 减少了石林县就业服务中心拨入创业担保贷款工作经费。</w:t>
      </w:r>
    </w:p>
    <w:p w:rsidR="00DF6BBD" w:rsidRDefault="0036432E" w:rsidP="0036432E">
      <w:pPr>
        <w:widowControl/>
        <w:snapToGrid w:val="0"/>
        <w:spacing w:before="100" w:after="100" w:line="560" w:lineRule="exact"/>
        <w:ind w:firstLine="538"/>
        <w:jc w:val="left"/>
        <w:rPr>
          <w:rFonts w:ascii="仿宋_GB2312" w:eastAsia="仿宋_GB2312"/>
          <w:sz w:val="30"/>
          <w:szCs w:val="30"/>
        </w:rPr>
      </w:pPr>
      <w:r>
        <w:rPr>
          <w:rFonts w:ascii="黑体" w:eastAsia="黑体" w:hAnsi="黑体" w:hint="eastAsia"/>
          <w:sz w:val="30"/>
          <w:szCs w:val="30"/>
        </w:rPr>
        <w:t>二、支出决算情况说明</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石林彝族自治县人力资源和社会保障局（本级）2024年度支出合计5523156.58元。其中：基本支出4312344.14元，占总支出的78.08％；项目支出1210812.44元，占总支出的21.92％；无上缴上级支出；无经营支出；无对附属单位补助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与上年相比，支出合计减少996826.98元，下降15.29%。其中：基本支出减少676248.33元，下降13.56%；项目支出减少320578.65元，下降20.93%；上缴上级支出减少0.00元，下降0.00%；经营支</w:t>
      </w:r>
      <w:r w:rsidRPr="006E6893">
        <w:rPr>
          <w:rFonts w:ascii="仿宋_GB2312" w:eastAsia="仿宋_GB2312" w:hint="eastAsia"/>
          <w:sz w:val="30"/>
          <w:szCs w:val="30"/>
        </w:rPr>
        <w:lastRenderedPageBreak/>
        <w:t>出减少0.00元，下降0.00%；对附属单位补助支出减少0.00元，下降0.00%。主要原因是：1.基本支出减少的原因是机构改革，原与我单位财务合并核算的石林县劳动监察大队撤销后人员转隶、人员调出使在职人数减少，人员经费、公用经费拨款相应减少；2.三支一扶在岗人数减少，项目预算拨款收支相应减少。</w:t>
      </w:r>
    </w:p>
    <w:p w:rsidR="00DF6BBD" w:rsidRPr="006E6893" w:rsidRDefault="0036432E" w:rsidP="0036432E">
      <w:pPr>
        <w:spacing w:line="560" w:lineRule="exact"/>
        <w:ind w:firstLineChars="200" w:firstLine="600"/>
        <w:rPr>
          <w:rFonts w:ascii="楷体_GB2312" w:eastAsia="楷体_GB2312"/>
          <w:sz w:val="30"/>
          <w:szCs w:val="30"/>
        </w:rPr>
      </w:pPr>
      <w:r w:rsidRPr="006E6893">
        <w:rPr>
          <w:rFonts w:ascii="楷体_GB2312" w:eastAsia="楷体_GB2312" w:hint="eastAsia"/>
          <w:sz w:val="30"/>
          <w:szCs w:val="30"/>
        </w:rPr>
        <w:t>（一）基本支出情况</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2024年度用于保障石林彝族自治县人力资源和社会保障局（本级）机构正常运转的日常支出4312344.14元。其中：基本工资、津贴补贴等人员经费支出3999966.13元，占基本支出的92.76％；办公费、印刷费、水电费、办公设备购置等公用经费312378.01元，占基本支出的7.24％。</w:t>
      </w:r>
    </w:p>
    <w:p w:rsidR="00DF6BBD" w:rsidRPr="006E6893" w:rsidRDefault="0036432E" w:rsidP="0036432E">
      <w:pPr>
        <w:spacing w:line="560" w:lineRule="exact"/>
        <w:ind w:firstLineChars="200" w:firstLine="600"/>
        <w:rPr>
          <w:rFonts w:ascii="楷体_GB2312" w:eastAsia="楷体_GB2312"/>
          <w:sz w:val="30"/>
          <w:szCs w:val="30"/>
        </w:rPr>
      </w:pPr>
      <w:r w:rsidRPr="006E6893">
        <w:rPr>
          <w:rFonts w:ascii="楷体_GB2312" w:eastAsia="楷体_GB2312" w:hint="eastAsia"/>
          <w:sz w:val="30"/>
          <w:szCs w:val="30"/>
        </w:rPr>
        <w:t>（二）项目支出情况</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2024年度用于保障石林彝族自治县人力资源和社会保障局（本级）为完成特定的行政工作任务或事业发展目标，用于专项业务工作的经费支出1210812.44元。其中：基本建设类项目支出0.00元。</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政协小组活动经费13112.00元，主要用于政协社保生态小组培训费支出；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离退休党支部经费、“两新”组织党建经费7000元，主要用于退休党支部书记、委员补贴及党员教育等支出；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劳动人事争议仲裁办案经费28242.21元，主要用于劳动人事争议仲裁办案相关的差旅费、邮电费、法律咨询费、办公设备采购等支出；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石林县基层就业和社会保障服务建设项目后期设备设施款</w:t>
      </w:r>
      <w:r w:rsidRPr="006E6893">
        <w:rPr>
          <w:rFonts w:ascii="仿宋_GB2312" w:eastAsia="仿宋_GB2312" w:hint="eastAsia"/>
          <w:sz w:val="30"/>
          <w:szCs w:val="30"/>
        </w:rPr>
        <w:lastRenderedPageBreak/>
        <w:t>18550.00元，主要用于支付石林县基层就业和社会保障服务建设项目地勘费18000.00元和不动产登记费550.00元；</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公岗性岗位补助经费7955.02元，主要用于本单位公岗人员社保缴费支出；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高校毕业生“三支一扶”计划补助资金709964.97元，主要用于石林县2024年在岗“三支一扶”人员生活补助、社会保险缴费、住房公积金及考核奖、安置费、体检费支出；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优秀事业人员奖状制作经费34830.00元，主要用于石林县2023年度考核为优秀的事业人员、机关工勤人员奖状、奖章制作费支出；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社会保障服务中心运行经费153940.00元，主要用于石林县社会保障服务中心物业管理费、保洁用品费、网络使用费、水电费、电梯、门窗等维（修）护、窗口办公设备采购等支出；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事业招聘工作经费122066.00元，主要用于2023年度石林县事业单位招聘工作人员考试考务费支出；</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社会保险基金安全运行风险评估经费26000.00元，主要用于支付2022年度社保保险基金运行情况评估审计服务费；</w:t>
      </w:r>
    </w:p>
    <w:p w:rsidR="00DF6BBD" w:rsidRPr="006E6893" w:rsidRDefault="0036432E" w:rsidP="0036432E">
      <w:pPr>
        <w:spacing w:line="560" w:lineRule="exact"/>
        <w:ind w:firstLineChars="200" w:firstLine="600"/>
        <w:rPr>
          <w:rFonts w:ascii="仿宋_GB2312" w:eastAsia="仿宋_GB2312"/>
          <w:sz w:val="30"/>
          <w:szCs w:val="30"/>
        </w:rPr>
      </w:pPr>
      <w:r w:rsidRPr="006E6893">
        <w:rPr>
          <w:rFonts w:ascii="仿宋_GB2312" w:eastAsia="仿宋_GB2312" w:hint="eastAsia"/>
          <w:sz w:val="30"/>
          <w:szCs w:val="30"/>
        </w:rPr>
        <w:t>创业担保贷款工作经费89152.24元，主要用于创业担保贷款工作相关的办公费、差旅费、培训费等支出。</w:t>
      </w:r>
    </w:p>
    <w:p w:rsidR="00DF6BBD" w:rsidRDefault="0036432E" w:rsidP="0036432E">
      <w:pPr>
        <w:widowControl/>
        <w:snapToGrid w:val="0"/>
        <w:spacing w:before="100" w:after="100" w:line="560" w:lineRule="exact"/>
        <w:ind w:firstLineChars="200" w:firstLine="600"/>
        <w:jc w:val="left"/>
        <w:outlineLvl w:val="1"/>
        <w:rPr>
          <w:rFonts w:ascii="黑体" w:eastAsia="黑体" w:hAnsi="黑体"/>
          <w:sz w:val="30"/>
          <w:szCs w:val="30"/>
        </w:rPr>
      </w:pPr>
      <w:r>
        <w:rPr>
          <w:rFonts w:ascii="黑体" w:eastAsia="黑体" w:hAnsi="黑体" w:hint="eastAsia"/>
          <w:sz w:val="30"/>
          <w:szCs w:val="30"/>
        </w:rPr>
        <w:t>三、一般公共预算财政拨款支出决算情况说明</w:t>
      </w:r>
    </w:p>
    <w:p w:rsidR="00DF6BBD" w:rsidRDefault="0036432E" w:rsidP="0036432E">
      <w:pPr>
        <w:widowControl/>
        <w:snapToGrid w:val="0"/>
        <w:spacing w:before="100" w:after="100" w:line="560" w:lineRule="exact"/>
        <w:ind w:firstLineChars="200" w:firstLine="600"/>
        <w:jc w:val="left"/>
        <w:outlineLvl w:val="2"/>
        <w:rPr>
          <w:rFonts w:ascii="楷体" w:eastAsia="楷体" w:hAnsi="楷体"/>
          <w:sz w:val="30"/>
          <w:szCs w:val="30"/>
        </w:rPr>
      </w:pPr>
      <w:r>
        <w:rPr>
          <w:rFonts w:ascii="楷体" w:eastAsia="楷体" w:hAnsi="楷体" w:hint="eastAsia"/>
          <w:sz w:val="30"/>
          <w:szCs w:val="30"/>
        </w:rPr>
        <w:t>（一）一般公共预算财政拨款支出决算总体情况</w:t>
      </w:r>
    </w:p>
    <w:p w:rsidR="00DF6BBD" w:rsidRDefault="0036432E" w:rsidP="0036432E">
      <w:pPr>
        <w:widowControl/>
        <w:snapToGrid w:val="0"/>
        <w:spacing w:before="100" w:after="100" w:line="560" w:lineRule="exact"/>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lang w:val="zh-CN"/>
        </w:rPr>
        <w:lastRenderedPageBreak/>
        <w:t>石林彝族自治县人力资源和社会保障局（本级）</w:t>
      </w:r>
      <w:r>
        <w:rPr>
          <w:rFonts w:ascii="仿宋_GB2312" w:eastAsia="仿宋_GB2312" w:hint="eastAsia"/>
          <w:sz w:val="30"/>
          <w:szCs w:val="30"/>
        </w:rPr>
        <w:t>2024年度一般公共预算财政拨款支出</w:t>
      </w:r>
      <w:r>
        <w:rPr>
          <w:rFonts w:ascii="仿宋_GB2312" w:eastAsia="仿宋_GB2312" w:hAnsi="仿宋_GB2312" w:cs="仿宋_GB2312" w:hint="eastAsia"/>
          <w:kern w:val="0"/>
          <w:sz w:val="30"/>
          <w:lang w:val="zh-CN"/>
        </w:rPr>
        <w:t>5441227.11</w:t>
      </w:r>
      <w:r>
        <w:rPr>
          <w:rFonts w:ascii="仿宋_GB2312" w:eastAsia="仿宋_GB2312" w:hAnsi="宋体" w:cs="Arial" w:hint="eastAsia"/>
          <w:kern w:val="0"/>
          <w:sz w:val="30"/>
          <w:szCs w:val="30"/>
        </w:rPr>
        <w:t>元,占本年支出合计的</w:t>
      </w:r>
      <w:r>
        <w:rPr>
          <w:rFonts w:ascii="仿宋_GB2312" w:eastAsia="仿宋_GB2312" w:hAnsi="仿宋_GB2312" w:cs="仿宋_GB2312" w:hint="eastAsia"/>
          <w:sz w:val="30"/>
          <w:lang w:val="zh-CN"/>
        </w:rPr>
        <w:t>98.52</w:t>
      </w:r>
      <w:r>
        <w:rPr>
          <w:rFonts w:ascii="仿宋_GB2312" w:eastAsia="仿宋_GB2312" w:hAnsi="宋体" w:cs="Arial" w:hint="eastAsia"/>
          <w:kern w:val="0"/>
          <w:sz w:val="30"/>
          <w:szCs w:val="30"/>
        </w:rPr>
        <w:t>%。与上年相比减少</w:t>
      </w:r>
      <w:r>
        <w:rPr>
          <w:rFonts w:ascii="仿宋_GB2312" w:eastAsia="仿宋_GB2312" w:hAnsi="仿宋_GB2312" w:cs="仿宋_GB2312" w:hint="eastAsia"/>
          <w:kern w:val="0"/>
          <w:sz w:val="30"/>
          <w:lang w:val="zh-CN"/>
        </w:rPr>
        <w:t>657989.72</w:t>
      </w:r>
      <w:r>
        <w:rPr>
          <w:rFonts w:ascii="仿宋_GB2312" w:eastAsia="仿宋_GB2312" w:hAnsi="宋体" w:cs="Arial" w:hint="eastAsia"/>
          <w:kern w:val="0"/>
          <w:sz w:val="30"/>
          <w:szCs w:val="30"/>
        </w:rPr>
        <w:t>元，下降</w:t>
      </w:r>
      <w:r>
        <w:rPr>
          <w:rFonts w:ascii="仿宋_GB2312" w:eastAsia="仿宋_GB2312" w:hAnsi="仿宋_GB2312" w:cs="仿宋_GB2312" w:hint="eastAsia"/>
          <w:kern w:val="0"/>
          <w:sz w:val="30"/>
          <w:lang w:val="zh-CN"/>
        </w:rPr>
        <w:t>10.79</w:t>
      </w:r>
      <w:r>
        <w:rPr>
          <w:rFonts w:ascii="仿宋_GB2312" w:eastAsia="仿宋_GB2312" w:hAnsi="宋体" w:cs="Arial" w:hint="eastAsia"/>
          <w:kern w:val="0"/>
          <w:sz w:val="30"/>
          <w:szCs w:val="30"/>
        </w:rPr>
        <w:t>%</w:t>
      </w:r>
      <w:r>
        <w:rPr>
          <w:rFonts w:ascii="仿宋_GB2312" w:eastAsia="仿宋_GB2312" w:hint="eastAsia"/>
          <w:sz w:val="30"/>
          <w:szCs w:val="30"/>
        </w:rPr>
        <w:t>,完成年初预算的</w:t>
      </w:r>
      <w:r>
        <w:rPr>
          <w:rFonts w:ascii="仿宋_GB2312" w:eastAsia="仿宋_GB2312" w:hAnsi="仿宋_GB2312" w:cs="仿宋_GB2312" w:hint="eastAsia"/>
          <w:sz w:val="30"/>
          <w:lang w:val="zh-CN"/>
        </w:rPr>
        <w:t>72.37</w:t>
      </w:r>
      <w:r>
        <w:rPr>
          <w:rFonts w:ascii="仿宋_GB2312" w:eastAsia="仿宋_GB2312" w:hint="eastAsia"/>
          <w:sz w:val="30"/>
          <w:szCs w:val="30"/>
        </w:rPr>
        <w:t>%</w:t>
      </w:r>
      <w:r>
        <w:rPr>
          <w:rFonts w:ascii="仿宋_GB2312" w:eastAsia="仿宋_GB2312" w:hAnsi="宋体" w:cs="Arial" w:hint="eastAsia"/>
          <w:kern w:val="0"/>
          <w:sz w:val="30"/>
          <w:szCs w:val="30"/>
        </w:rPr>
        <w:t>。</w:t>
      </w:r>
    </w:p>
    <w:p w:rsidR="00DF6BBD" w:rsidRDefault="0036432E" w:rsidP="0036432E">
      <w:pPr>
        <w:widowControl/>
        <w:snapToGrid w:val="0"/>
        <w:spacing w:before="100" w:after="100" w:line="560" w:lineRule="exact"/>
        <w:ind w:firstLineChars="200" w:firstLine="600"/>
        <w:jc w:val="left"/>
        <w:outlineLvl w:val="2"/>
        <w:rPr>
          <w:rFonts w:ascii="楷体" w:eastAsia="楷体" w:hAnsi="楷体"/>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1.一般公共服务（类）支出7000.00元，占一般公共预算财政拨款总支出的0.13%,年初无此项预算。主要用于退休党支部书记、委员补贴及党员教育等支出；造成预决算差异的主要原因是年中财政追加预算。具体情况：</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2013299其他组织事务支出7000元。</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2.外交（类）支出0.00元，占一般公共预算财政拨款总支出的0.00%,年初无此项预算。本年无此项支出。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3.国防（类）支出0.00元，占一般公共预算财政拨款总支出的0.00%,年初无此项预算。本年无此项支出。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4.公共安全（类）支出0.00元，占一般公共预算财政拨款总支出的0.00%,年初无此项预算。本年无此项支出。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5.教育（类）支出0.00元，占一般公共预算财政拨款总支出的0.00%,年初无此项预算。本年无此项支出。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6.科学技术（类）支出0.00元，占一般公共预算财政拨款总支出的0.00%,年初无此项预算。本年无此项支出。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7.文化旅游体育与传媒（类）支出0.00元，占一般公共预算财政拨款总支出的0.00%,年初无此项预算。本年无此项支出。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8.社会保障和就业（类）支出4800868.75元，占一般公共预算财政拨款总支出的88.23%,完成年初预算的70.90%。主要用于在职</w:t>
      </w:r>
      <w:r w:rsidRPr="00DC3268">
        <w:rPr>
          <w:rFonts w:ascii="仿宋_GB2312" w:eastAsia="仿宋_GB2312" w:hint="eastAsia"/>
          <w:sz w:val="30"/>
          <w:szCs w:val="30"/>
        </w:rPr>
        <w:lastRenderedPageBreak/>
        <w:t>人员工资福利、日常公用经费、养老保险、退休人员生活补助、职业年金等基本支出及“三支一扶”人员生活补助、社会保险缴费、事业招聘考试考务费等专项支出；造成预决算差异的主要原因是本年未发生需要垫付农民工工资应急周转金情况，年初预算的此项目资金无支出。具体情况：</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2080101行政运行2535462.77元，占社会保障和就业（类）支出的52.81%，完成年初预算的89.27%，主要用于在职人员基本工资、津贴补贴、奖金、失业保险缴费、编外人员补助及日常公用经费支出，造成预决算差异的主要原因是机构改革，原与我单位财务合并核算的石林县劳动监察大队撤销后人员转隶、人员调出使在职人数减少，相应追减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2080112劳动人事争议调解仲裁28242.21元，占社会保障和就业（类）支出的0.59%，完成年初预算的72.42%，主要用于劳动人事争议调解工作相关支出，造成预决算差异的主要原因是年末根据实际支出情况追减预算；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2080150 事业运行582856.6元，占社会保障和就业（类）支出的12.14%，完成年初预算的100.32%，主要用于事业在职人员基本工资、津补贴、失业保险缴费、及日常公用经费支出，造成预决算差异的主要原因是根据实际支出追加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2080199 其他人力资源和社会保障管理事务支出900249.25元，占社会保障和就业（类）支出的18.75%，完成年初预算的34.59%，主要用于：1.社会保险基金安全运行风险评估审计服务费支出26000元；2.石林县社会保障服务中心水、电费、绿化费、维修维护费、</w:t>
      </w:r>
      <w:r w:rsidRPr="00DC3268">
        <w:rPr>
          <w:rFonts w:ascii="仿宋_GB2312" w:eastAsia="仿宋_GB2312" w:hint="eastAsia"/>
          <w:sz w:val="30"/>
          <w:szCs w:val="30"/>
        </w:rPr>
        <w:lastRenderedPageBreak/>
        <w:t>劳务费等维持中心正常运行的支出153940元；3.2023年年终考核为优秀的事业人员、机关工人奖状、奖章制作费支出34830元；4.2024年在岗“三支一扶”人员生活补助、社会保险及住房公积金缴费支出563413.25元；5.2023年事业单位招聘工作人员考试考务费支出122066元；造成预决算差异的主要原因是本年未发生需要垫付农民工工资应急周转金情况，年初预算的此项目资金无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2080501 行政单位离退休129600元，占社会保障和就业（类）支出的2.70%，完成年初预算的112.5%，主要用于退休人员生活补助支出；造成预决算差异的主要原因是退休人数增加1人，相应追加预算；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2080505 机关事业单位基本养老保险缴费支出367385.6元，占社会保障和就业（类）支出的7.65%，完成年初预算的79.61%，主要用于2024年度在职人员养老保险缴费支出; 造成预决算差异的主要原因是机构改革，原与我单位财务合并核算的石林县劳动监察大队撤销后人员转隶、人员调出使在职人数减少，相应追减预算；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2080506 机关事业单位职业年金缴费支出90224.81元，占社会保障和就业（类）支出的1.88%，完成年初预算的79.77%，主要用于2024年退休人员职业年金支出；造成预决算差异的主要原因是根据实际支出追减预算；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2080799 其他就业补助支出147647.51元，占社会保障和就业（类）支出的3.08%，年初无此项预算；主要用于：1.缴纳公岗人员社会保险支出1095.79元；2.发放2024年在岗“三支一扶”人员生活补助、缴纳社会保险费等支出146551.72元；造成预决算差异的</w:t>
      </w:r>
      <w:r w:rsidRPr="00DC3268">
        <w:rPr>
          <w:rFonts w:ascii="仿宋_GB2312" w:eastAsia="仿宋_GB2312" w:hint="eastAsia"/>
          <w:sz w:val="30"/>
          <w:szCs w:val="30"/>
        </w:rPr>
        <w:lastRenderedPageBreak/>
        <w:t>主要原因是资金来源于上级拨款；</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2080801 死亡抚恤19200元，占社会保障和就业（类）支出的0.40%，完成年初预算的99.97%；主要用于单位去世退休职工遗属补助支出。造成预决算差异的主要原因是根据实际支出追减预算。</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9.卫生健康（类）支出280994.36元，占一般公共预算财政拨款总支出的5.16%,完成年初预算的73.76%。主要用于机关事业人员医疗保险缴费支出；造成预决算差异的主要原因是机构改革，原与我单位财务合并核算的石林县劳动监察大队撤销后人员转隶、人员调出使在职人数减少，相应追减医疗保险预算。具体情况：</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2101101行政单位医疗104747.01元，占卫生健康（类）支出的37.28%，完成年初预算的69.28%；主要用于在职行政人员基本医疗保险缴费；</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2101102事业单位医疗29867.28元，占卫生健康（类）支出的10.63%，完成年初预算的71.11%；主要用于在职事业人员基本医疗保险缴费；</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2101103公务员医疗补助126860.16元，占卫生健康（类）支出的45.15%，完成年初预算的75.90%；主要用于在职行政事业人员公务员医疗补助缴费；</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2101199其他行政事业单位医疗支出19519.88元，占卫生健康（类）支出的6.95%，完成年初预算的94.73%；主要用于在职行政事业人员重特病医疗补助、工伤保险缴费。</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10.节能环保（类）支出0.00元，占一般公共预算财政拨款总支出的0.00%,年初无此项预算。本年无此项支出。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lastRenderedPageBreak/>
        <w:t>11.城乡社区（类）支出0.00元，占一般公共预算财政拨款总支出的0.00%,年初无此项预算。本年无此项支出。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12.农林水（类）支出45744.00元，占一般公共预算财政拨款总支出的0.84%,年初无此项预算。主要用于创业担保贷款工作相关的力公费、差旅费、邮电费、办公设备购置等支出；造成预决算差异的主要原因是县财政批准下达使用上年结转资金。具体情况：</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2130804创业担保贷款贴息及奖补45744.00元。</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13.交通运输（类）支出0.00元，占一般公共预算财政拨款总支出的0.00%,年初无此项预算。本年无此项支出。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14.资源勘探工业信息等（类）支出0.00元，占一般公共预算财政拨款总支出的0.00%,年初无此项预算。本年无此项支出。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15.商业服务业等（类）支出0.00元，占一般公共预算财政拨款总支出的0.00%,年初无此项预算。本年无此项支出。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16.金融（类）支出0.00元，占一般公共预算财政拨款总支出的0.00%,年初无此项预算。本年无此项支出。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17.援助其他地区（类）支出0.00元，占一般公共预算财政拨款总支出的0.00%,年初无此项预算。本年无此项支出。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18.自然资源海洋气象等（类）支出0.00元，占一般公共预算财政拨款总支出的0.00%,年初无此项预算。本年无此项支出。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19.住房保障（类）支出306620.00元，占一般公共预算财政拨款总支出的5.64%,完成年初预算的83.83%。主要用于缴纳在职职工住房公积金；造成预决算差异的主要原因是机构改革，原与我单位财务合并核算的石林县劳动监察大队撤销后人员转隶、人员调出使</w:t>
      </w:r>
      <w:r w:rsidRPr="00DC3268">
        <w:rPr>
          <w:rFonts w:ascii="仿宋_GB2312" w:eastAsia="仿宋_GB2312" w:hint="eastAsia"/>
          <w:sz w:val="30"/>
          <w:szCs w:val="30"/>
        </w:rPr>
        <w:lastRenderedPageBreak/>
        <w:t>在职人数减少，住房公积金收支相应减少。具体情况：</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2210201住房公积金306620元。</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20.粮油物资储备（类）支出0.00元，占一般公共预算财政拨款总支出的0.00%,年初无此项预算。本年无此项支出。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21.国有资本经营预算（类）支出0.00元，占一般公共预算财政拨款总支出的0.00%,年初无此项预算。本年无此项支出。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22.灾害防治及应急管理（类）支出0.00元，占一般公共预算财政拨款总支出的0.00%,年初无此项预算。本年无此项支出。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23.其他（类）支出0.00元，占一般公共预算财政拨款总支出的0.00%,年初无此项预算。本年无此项支出。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24.债务还本（类）支出0.00元，占一般公共预算财政拨款总支出的0.00%,年初无此项预算。本年无此项支出。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25.债务付息（类）支出0.00元，占一般公共预算财政拨款总支出的0.00%,年初无此项预算。本年无此项支出。</w:t>
      </w:r>
    </w:p>
    <w:p w:rsidR="00DF6BBD" w:rsidRPr="00DC3268" w:rsidRDefault="0036432E" w:rsidP="0036432E">
      <w:pPr>
        <w:spacing w:line="560" w:lineRule="exact"/>
        <w:ind w:firstLineChars="200" w:firstLine="600"/>
        <w:rPr>
          <w:rFonts w:ascii="仿宋_GB2312" w:eastAsia="仿宋_GB2312"/>
          <w:sz w:val="30"/>
          <w:szCs w:val="30"/>
        </w:rPr>
      </w:pPr>
      <w:r w:rsidRPr="00DC3268">
        <w:rPr>
          <w:rFonts w:ascii="仿宋_GB2312" w:eastAsia="仿宋_GB2312" w:hint="eastAsia"/>
          <w:sz w:val="30"/>
          <w:szCs w:val="30"/>
        </w:rPr>
        <w:t>26.抗疫特别国债安排（类）支出0.00元，占一般公共预算财政拨款总支出的0.00%,年初无此项预算。本年无此项支出。</w:t>
      </w:r>
    </w:p>
    <w:p w:rsidR="00DF6BBD" w:rsidRPr="00DC3268" w:rsidRDefault="00DC3268" w:rsidP="0036432E">
      <w:pPr>
        <w:spacing w:line="560" w:lineRule="exact"/>
        <w:ind w:firstLineChars="200" w:firstLine="600"/>
        <w:rPr>
          <w:rFonts w:ascii="黑体" w:eastAsia="黑体" w:hAnsi="黑体"/>
          <w:sz w:val="30"/>
          <w:szCs w:val="30"/>
        </w:rPr>
      </w:pPr>
      <w:r>
        <w:rPr>
          <w:rFonts w:ascii="黑体" w:eastAsia="黑体" w:hAnsi="黑体" w:hint="eastAsia"/>
          <w:sz w:val="30"/>
          <w:szCs w:val="30"/>
        </w:rPr>
        <w:t>四、</w:t>
      </w:r>
      <w:r w:rsidR="0036432E" w:rsidRPr="00DC3268">
        <w:rPr>
          <w:rFonts w:ascii="黑体" w:eastAsia="黑体" w:hAnsi="黑体" w:hint="eastAsia"/>
          <w:sz w:val="30"/>
          <w:szCs w:val="30"/>
        </w:rPr>
        <w:t>财政拨款“三公”经费支出决算情况说明</w:t>
      </w:r>
    </w:p>
    <w:p w:rsidR="00DF6BBD" w:rsidRPr="00484B1F" w:rsidRDefault="0036432E" w:rsidP="0036432E">
      <w:pPr>
        <w:widowControl/>
        <w:snapToGrid w:val="0"/>
        <w:spacing w:before="100" w:after="100" w:line="560" w:lineRule="exact"/>
        <w:ind w:firstLineChars="200" w:firstLine="600"/>
        <w:jc w:val="left"/>
        <w:outlineLvl w:val="2"/>
        <w:rPr>
          <w:rFonts w:ascii="楷体_GB2312" w:eastAsia="楷体_GB2312" w:hAnsi="仿宋_GB2312" w:cs="仿宋_GB2312"/>
          <w:kern w:val="0"/>
          <w:sz w:val="30"/>
          <w:szCs w:val="30"/>
        </w:rPr>
      </w:pPr>
      <w:r w:rsidRPr="00484B1F">
        <w:rPr>
          <w:rFonts w:ascii="楷体_GB2312" w:eastAsia="楷体_GB2312" w:hAnsi="楷体_GB2312" w:cs="楷体_GB2312" w:hint="eastAsia"/>
          <w:kern w:val="0"/>
          <w:sz w:val="30"/>
          <w:szCs w:val="30"/>
        </w:rPr>
        <w:t>（一）</w:t>
      </w:r>
      <w:r w:rsidRPr="00484B1F">
        <w:rPr>
          <w:rFonts w:ascii="楷体_GB2312" w:eastAsia="楷体_GB2312" w:hAnsi="仿宋_GB2312" w:cs="仿宋_GB2312" w:hint="eastAsia"/>
          <w:color w:val="000000"/>
          <w:sz w:val="30"/>
          <w:szCs w:val="30"/>
        </w:rPr>
        <w:t>一般公共预算财政拨款“三公”经费支出决算</w:t>
      </w:r>
      <w:r w:rsidRPr="00484B1F">
        <w:rPr>
          <w:rFonts w:ascii="楷体_GB2312" w:eastAsia="楷体_GB2312" w:hAnsi="仿宋_GB2312" w:cs="仿宋_GB2312" w:hint="eastAsia"/>
          <w:kern w:val="0"/>
          <w:sz w:val="30"/>
          <w:szCs w:val="30"/>
        </w:rPr>
        <w:t>总体情况</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2024年度财政拨款“三公”经费支出决算中，财政拨款“三公”经费支出年初预算为92000.00元，决算为17693.01元，完成年初预算的19.23%；支出决算较上年减少7224.22元，下降28.99%。</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因公出国（境）费支出年初预算为0.00元，决算为0.00元，占财政拨款“三公”经费总支出决算的0.00%；公务用车购置费支出</w:t>
      </w:r>
      <w:r w:rsidRPr="00484B1F">
        <w:rPr>
          <w:rFonts w:ascii="仿宋_GB2312" w:eastAsia="仿宋_GB2312" w:hint="eastAsia"/>
          <w:sz w:val="30"/>
          <w:szCs w:val="30"/>
        </w:rPr>
        <w:lastRenderedPageBreak/>
        <w:t>年初预算为0.00元，决算为0.00元，占财政拨款“三公”经费总支出决算的0.00%；公务用车运行维护费支出年初预算为40000.00元，决算为16477.11元，占财政拨款“三公”经费总支出决算的93.13%，完成年初预算的41.19%；公务接待费支出年初预算为52000.00元，决算为1215.90元，占财政拨款“三公”经费总支出决算的6.87%，完成年初预算的2.34%。</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因公出国（境）费支出决算较上年增加0.00元，上年无此项支出；公务用车购置费支出决算较上年增加0.00元，上年无此项支出；公务用车运行维护费支出决算较上年增加2459.88元，增长17.55%；公务接待费支出决算较上年减少9684.10元，下降88.84%；具体是国内接待费支出决算1215.90元（其中：外事接待费支出决算0.00元），较上年减少9684.10元，下降88.84%；国（境）外接待费支出决算0.00元较上年增加0.00元，上年无此项支出。</w:t>
      </w:r>
    </w:p>
    <w:p w:rsidR="00DF6BBD" w:rsidRPr="00484B1F" w:rsidRDefault="0036432E" w:rsidP="0036432E">
      <w:pPr>
        <w:spacing w:line="560" w:lineRule="exact"/>
        <w:ind w:firstLineChars="200" w:firstLine="600"/>
        <w:rPr>
          <w:rFonts w:ascii="楷体_GB2312" w:eastAsia="楷体_GB2312"/>
          <w:sz w:val="30"/>
          <w:szCs w:val="30"/>
        </w:rPr>
      </w:pPr>
      <w:r w:rsidRPr="00484B1F">
        <w:rPr>
          <w:rFonts w:ascii="楷体_GB2312" w:eastAsia="楷体_GB2312" w:hint="eastAsia"/>
          <w:sz w:val="30"/>
          <w:szCs w:val="30"/>
        </w:rPr>
        <w:t>（二）一般公共预算财政拨款“三公”经费支出决算情况说明</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2024年度一般公共预算财政拨款“三公”经费支出年初预算为92000.00元，支出决算为17693.01元，完成年初预算的19.23%，支出决算较上年减少7224.22元，下降28.99%。</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一般公共预算财政拨款“三公”经费支出中：因公出国（境）费支出年初预算为0.00元，决算为0.00元；公务用车购置费支出年初预算为0.00元，决算为0.00元；公务用车运行维护费支出年初预算为40000.00元，决算为16477.11元，完成年初预算的41.19%；公务接待费支出年初预算为52000.00元，决算为1215.90元，完成年初预算的2.34%。2024年度一般公共预算财政拨款“三公”经费</w:t>
      </w:r>
      <w:r w:rsidRPr="00484B1F">
        <w:rPr>
          <w:rFonts w:ascii="仿宋_GB2312" w:eastAsia="仿宋_GB2312" w:hint="eastAsia"/>
          <w:sz w:val="30"/>
          <w:szCs w:val="30"/>
        </w:rPr>
        <w:lastRenderedPageBreak/>
        <w:t>支出决算数小于年初预算数的主要原因是单位严格控制支出超年初预算。1.公务接待严格执行中央八项规定，严格按公务接待制度规定确定接待事项、控制接待标准， 2024年度公务接待支出有效控制在预算数内。2.公务车辆派出和使用严格按公车管理规定，非必要不使用公务车辆，2024公务用车运行维护费控制在预算数内。</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一般公共预算财政拨款“三公”经费支出中：因公出国（境）费支出决算增加0.00元，上年无此项支出；公务用车购置费支出决算增加0.00元，上年无此项支出；公务用车运行维护费支出决算增加2459.88元，增长17.55%；公务接待费支出决算减少9684.10元，下降88.84%，具体是国内接待费支出决算1215.90元（其中：外事接待费支出决算0.00元），较上年减少9684.1元，下降88.84%；国（境）外接待费支出决算0.00元较上年增加0.00元，上年无此项支出。2024年度一般公共预算财政拨款“三公”经费支出决算减少的主要原因是公务接待费决算比上年减少；具体情况是：公务用车运行维护费比上年增加，增加的原因是一是车辆老化，维修维护费增加；二是本年工伤案件外出调查次数，下乡扶贫工作次数增加导致燃料费、过路费增加；公务接待费比上年减少的原因是本年接待批次比上年减少17批，下降85%，接待人次比上年减少134人，下降88.16%。</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一般公共预算财政拨款“三公”经费支出实物量的具体情况：</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1.安排因公出国（境）团组0.0个，累计0.0人次。</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2.购置车辆0.0辆。开支一般公共预算财政拨款的公务用车保有量为1.0辆。主要用于主要用于处理突发事件、事业人员招聘考</w:t>
      </w:r>
      <w:r w:rsidRPr="00484B1F">
        <w:rPr>
          <w:rFonts w:ascii="仿宋_GB2312" w:eastAsia="仿宋_GB2312" w:hint="eastAsia"/>
          <w:sz w:val="30"/>
          <w:szCs w:val="30"/>
        </w:rPr>
        <w:lastRenderedPageBreak/>
        <w:t>试等保密资料运送、职工到交通不便地区出差所需车辆燃料费、维修费、过路过桥费、保险费等。</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3.安排国内公务接待3.0批次（其中：外事接待0.0批次），接待人次18.0人（其中：外事接待人次0.0人）。主要用于XX（相关工作，产生的接待批次及人次等）发生的接待支出。安排国（境）外公务接待0.0批次，接待人次0.0人。主要用于呈贡区人社局到我县开展工伤认定风险隐患交叉检查工作接待1批次6人次、市人社局到我县开展构建和谐劳动关系和主要经济指标工作情况调研工作接待1批次6人次、市人社局工资福利处到我县开展工资福利调研工作接待1批次6人次发生的接待支出。</w:t>
      </w:r>
    </w:p>
    <w:p w:rsidR="00DF6BBD" w:rsidRPr="00B25A6D" w:rsidRDefault="0036432E" w:rsidP="0036432E">
      <w:pPr>
        <w:spacing w:line="560" w:lineRule="exact"/>
        <w:ind w:firstLineChars="200" w:firstLine="600"/>
        <w:rPr>
          <w:rFonts w:ascii="楷体_GB2312" w:eastAsia="楷体_GB2312"/>
          <w:sz w:val="30"/>
          <w:szCs w:val="30"/>
        </w:rPr>
      </w:pPr>
      <w:r w:rsidRPr="00B25A6D">
        <w:rPr>
          <w:rFonts w:ascii="楷体_GB2312" w:eastAsia="楷体_GB2312" w:hint="eastAsia"/>
          <w:sz w:val="30"/>
          <w:szCs w:val="30"/>
        </w:rPr>
        <w:t>（三）需要说明的事项</w:t>
      </w:r>
    </w:p>
    <w:p w:rsidR="00DF6BBD" w:rsidRPr="00484B1F" w:rsidRDefault="0036432E" w:rsidP="0036432E">
      <w:pPr>
        <w:spacing w:line="560" w:lineRule="exact"/>
        <w:ind w:firstLineChars="200" w:firstLine="600"/>
        <w:rPr>
          <w:rFonts w:ascii="仿宋_GB2312" w:eastAsia="仿宋_GB2312"/>
          <w:sz w:val="30"/>
          <w:szCs w:val="30"/>
        </w:rPr>
      </w:pPr>
      <w:r w:rsidRPr="00484B1F">
        <w:rPr>
          <w:rFonts w:ascii="仿宋_GB2312" w:eastAsia="仿宋_GB2312" w:hint="eastAsia"/>
          <w:sz w:val="30"/>
          <w:szCs w:val="30"/>
        </w:rPr>
        <w:t>不存在需要说明的事项。</w:t>
      </w:r>
    </w:p>
    <w:p w:rsidR="00DF6BBD" w:rsidRDefault="00DF6BBD" w:rsidP="0036432E">
      <w:pPr>
        <w:widowControl/>
        <w:snapToGrid w:val="0"/>
        <w:spacing w:before="100" w:after="100" w:line="560" w:lineRule="exact"/>
        <w:ind w:firstLineChars="200" w:firstLine="600"/>
        <w:jc w:val="left"/>
        <w:rPr>
          <w:rFonts w:ascii="仿宋_GB2312" w:eastAsia="仿宋_GB2312"/>
          <w:color w:val="FF0000"/>
          <w:sz w:val="30"/>
          <w:szCs w:val="30"/>
        </w:rPr>
      </w:pPr>
    </w:p>
    <w:p w:rsidR="00DF6BBD" w:rsidRDefault="0036432E" w:rsidP="0036432E">
      <w:pPr>
        <w:widowControl/>
        <w:snapToGrid w:val="0"/>
        <w:spacing w:before="100" w:after="100" w:line="560" w:lineRule="exact"/>
        <w:ind w:firstLineChars="200" w:firstLine="640"/>
        <w:jc w:val="left"/>
        <w:outlineLvl w:val="0"/>
        <w:rPr>
          <w:rFonts w:ascii="仿宋_GB2312" w:eastAsia="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DF6BBD" w:rsidRDefault="0036432E" w:rsidP="0036432E">
      <w:pPr>
        <w:spacing w:line="560" w:lineRule="exact"/>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一、机关运行经费支出情况</w:t>
      </w:r>
    </w:p>
    <w:p w:rsidR="00DF6BBD" w:rsidRPr="00B25A6D" w:rsidRDefault="0036432E" w:rsidP="0036432E">
      <w:pPr>
        <w:spacing w:line="560" w:lineRule="exact"/>
        <w:ind w:firstLineChars="200" w:firstLine="600"/>
        <w:rPr>
          <w:rFonts w:ascii="仿宋_GB2312" w:eastAsia="仿宋_GB2312"/>
          <w:sz w:val="30"/>
          <w:szCs w:val="30"/>
        </w:rPr>
      </w:pPr>
      <w:r w:rsidRPr="00B25A6D">
        <w:rPr>
          <w:rFonts w:ascii="仿宋_GB2312" w:eastAsia="仿宋_GB2312" w:hint="eastAsia"/>
          <w:sz w:val="30"/>
          <w:szCs w:val="30"/>
        </w:rPr>
        <w:t>石林彝族自治县人力资源和社会保障局（本级）2024年机关运行经费支出312378.01元，比上年减少27742.12元，下降8.16%,主要原因是因机构改革，原与我单位财务合并核算的石林县劳动监察大队撤销后人员转隶、人员调出使在职人数减少，机关运行经费收支相应减少。单位机关运行经费主要用于单位正常运转的办公费、水电费、差旅费、公务接待费、劳务费、其他交通费等支出。具体支出内容：1.办公费:34000元；2.邮电费:4542元；3.差旅费:10690</w:t>
      </w:r>
      <w:r w:rsidRPr="00B25A6D">
        <w:rPr>
          <w:rFonts w:ascii="仿宋_GB2312" w:eastAsia="仿宋_GB2312" w:hint="eastAsia"/>
          <w:sz w:val="30"/>
          <w:szCs w:val="30"/>
        </w:rPr>
        <w:lastRenderedPageBreak/>
        <w:t>元；4. 公务接待费:1215.9元；5. 劳务费:1920元；6.工会费:23973元；7. 福利费:62435元；8. 公务用车运行维护费:16477.11元； 9. 其他交通费用：141400元；10.其他商品服务支出：15725元。</w:t>
      </w:r>
    </w:p>
    <w:p w:rsidR="00DF6BBD" w:rsidRDefault="0036432E" w:rsidP="0036432E">
      <w:pPr>
        <w:widowControl/>
        <w:spacing w:line="560" w:lineRule="exact"/>
        <w:ind w:firstLineChars="200" w:firstLine="600"/>
        <w:outlineLvl w:val="1"/>
        <w:rPr>
          <w:rFonts w:ascii="黑体" w:eastAsia="黑体" w:hAnsi="黑体" w:cs="黑体"/>
          <w:kern w:val="0"/>
          <w:sz w:val="30"/>
          <w:szCs w:val="30"/>
        </w:rPr>
      </w:pPr>
      <w:r>
        <w:rPr>
          <w:rFonts w:ascii="黑体" w:eastAsia="黑体" w:hAnsi="黑体" w:cs="黑体" w:hint="eastAsia"/>
          <w:kern w:val="0"/>
          <w:sz w:val="30"/>
          <w:szCs w:val="30"/>
        </w:rPr>
        <w:t>二、国有资产占用情况</w:t>
      </w:r>
    </w:p>
    <w:p w:rsidR="00DF6BBD" w:rsidRDefault="0036432E" w:rsidP="0036432E">
      <w:pPr>
        <w:widowControl/>
        <w:spacing w:line="560" w:lineRule="exact"/>
        <w:ind w:firstLineChars="200" w:firstLine="600"/>
        <w:rPr>
          <w:rFonts w:ascii="仿宋_GB2312" w:eastAsia="仿宋_GB2312" w:hAnsi="黑体" w:cs="方正小标宋简体"/>
          <w:kern w:val="0"/>
          <w:sz w:val="30"/>
          <w:szCs w:val="30"/>
        </w:rPr>
      </w:pPr>
      <w:r>
        <w:rPr>
          <w:rFonts w:ascii="仿宋_GB2312" w:eastAsia="仿宋_GB2312" w:hAnsi="仿宋_GB2312" w:cs="仿宋_GB2312" w:hint="eastAsia"/>
          <w:sz w:val="30"/>
          <w:szCs w:val="30"/>
        </w:rPr>
        <w:t>截至2024年末，</w:t>
      </w:r>
      <w:r>
        <w:rPr>
          <w:rFonts w:ascii="仿宋_GB2312" w:eastAsia="仿宋_GB2312" w:hAnsi="仿宋_GB2312" w:cs="仿宋_GB2312" w:hint="eastAsia"/>
          <w:sz w:val="30"/>
          <w:lang w:val="zh-CN"/>
        </w:rPr>
        <w:t>石林彝族自治县人力资源和社会保障局（本级）</w:t>
      </w:r>
      <w:r>
        <w:rPr>
          <w:rFonts w:ascii="仿宋_GB2312" w:eastAsia="仿宋_GB2312" w:hAnsi="仿宋_GB2312" w:cs="仿宋_GB2312" w:hint="eastAsia"/>
          <w:sz w:val="30"/>
          <w:szCs w:val="30"/>
        </w:rPr>
        <w:t>资产总额14587328.32元，其中，流动资产220348.21元，固定资产14366980.11元（净值），对外投资及有价证券0.00元，在建工程0.00元，无形资产0.00元（净值），其他资产0.00元（净值）（具体内容详见附表）</w:t>
      </w:r>
      <w:r>
        <w:rPr>
          <w:rFonts w:ascii="仿宋_GB2312" w:eastAsia="仿宋_GB2312" w:hAnsi="黑体" w:cs="方正小标宋简体" w:hint="eastAsia"/>
          <w:kern w:val="0"/>
          <w:sz w:val="30"/>
          <w:szCs w:val="30"/>
        </w:rPr>
        <w:t>。与上年相比，本年资产总额减少321172.43元，其中固定资产减少264051.21元。处置房屋建筑物0.00平方米，账面原值0.00元；处置车辆0辆，账面原值0.00元；报废报损资产0项，账面原值0.00元，实现资产处置收入0.00元；出租房屋0.00平方米，账面原值0.00元，实现资产使用收入0.00元。</w:t>
      </w:r>
    </w:p>
    <w:p w:rsidR="00DF6BBD" w:rsidRDefault="0036432E" w:rsidP="0036432E">
      <w:pPr>
        <w:widowControl/>
        <w:spacing w:line="560" w:lineRule="exact"/>
        <w:ind w:firstLineChars="200" w:firstLine="600"/>
        <w:rPr>
          <w:rFonts w:ascii="仿宋_GB2312" w:eastAsia="仿宋_GB2312" w:hAnsi="黑体" w:cs="方正小标宋简体"/>
          <w:kern w:val="0"/>
          <w:sz w:val="30"/>
          <w:szCs w:val="30"/>
        </w:rPr>
      </w:pPr>
      <w:r>
        <w:rPr>
          <w:rFonts w:ascii="仿宋_GB2312" w:eastAsia="仿宋_GB2312" w:hAnsi="黑体" w:cs="方正小标宋简体" w:hint="eastAsia"/>
          <w:kern w:val="0"/>
          <w:sz w:val="30"/>
          <w:szCs w:val="30"/>
        </w:rPr>
        <w:t>（国有资产占有使用情况表详见附表）</w:t>
      </w:r>
    </w:p>
    <w:tbl>
      <w:tblPr>
        <w:tblpPr w:leftFromText="180" w:rightFromText="180" w:topFromText="100" w:bottomFromText="100" w:vertAnchor="text" w:horzAnchor="page" w:tblpX="534" w:tblpY="490"/>
        <w:tblOverlap w:val="never"/>
        <w:tblW w:w="142" w:type="dxa"/>
        <w:tblInd w:w="-15" w:type="dxa"/>
        <w:tblLayout w:type="fixed"/>
        <w:tblCellMar>
          <w:left w:w="0" w:type="dxa"/>
          <w:right w:w="0" w:type="dxa"/>
        </w:tblCellMar>
        <w:tblLook w:val="04A0"/>
      </w:tblPr>
      <w:tblGrid>
        <w:gridCol w:w="142"/>
      </w:tblGrid>
      <w:tr w:rsidR="00DF6BBD">
        <w:trPr>
          <w:trHeight w:val="495"/>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347"/>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415"/>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345"/>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395"/>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358"/>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563"/>
        </w:trPr>
        <w:tc>
          <w:tcPr>
            <w:tcW w:w="142" w:type="dxa"/>
            <w:tcBorders>
              <w:top w:val="nil"/>
              <w:left w:val="nil"/>
              <w:bottom w:val="nil"/>
              <w:right w:val="nil"/>
            </w:tcBorders>
            <w:vAlign w:val="center"/>
          </w:tcPr>
          <w:p w:rsidR="00DF6BBD" w:rsidRDefault="00DF6BBD" w:rsidP="0036432E">
            <w:pPr>
              <w:widowControl/>
              <w:spacing w:line="560" w:lineRule="exact"/>
              <w:jc w:val="left"/>
              <w:rPr>
                <w:rFonts w:ascii="宋体" w:hAnsi="宋体" w:cs="宋体"/>
                <w:color w:val="FF0000"/>
                <w:kern w:val="0"/>
                <w:sz w:val="17"/>
                <w:szCs w:val="17"/>
              </w:rPr>
            </w:pPr>
          </w:p>
        </w:tc>
      </w:tr>
      <w:tr w:rsidR="00DF6BBD">
        <w:trPr>
          <w:trHeight w:val="495"/>
        </w:trPr>
        <w:tc>
          <w:tcPr>
            <w:tcW w:w="142" w:type="dxa"/>
            <w:vAlign w:val="center"/>
          </w:tcPr>
          <w:p w:rsidR="00DF6BBD" w:rsidRDefault="00DF6BBD" w:rsidP="0036432E">
            <w:pPr>
              <w:widowControl/>
              <w:spacing w:line="560" w:lineRule="exact"/>
              <w:jc w:val="left"/>
              <w:rPr>
                <w:rFonts w:eastAsia="Times New Roman"/>
                <w:color w:val="FF0000"/>
                <w:kern w:val="0"/>
                <w:sz w:val="20"/>
                <w:szCs w:val="20"/>
              </w:rPr>
            </w:pPr>
          </w:p>
        </w:tc>
      </w:tr>
    </w:tbl>
    <w:p w:rsidR="00DF6BBD" w:rsidRDefault="0036432E" w:rsidP="0036432E">
      <w:pPr>
        <w:spacing w:line="560" w:lineRule="exact"/>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三、政府采购支出情况</w:t>
      </w:r>
    </w:p>
    <w:p w:rsidR="00DF6BBD" w:rsidRDefault="0036432E" w:rsidP="0036432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2024年度，单位政府采购支出总额</w:t>
      </w:r>
      <w:r>
        <w:rPr>
          <w:rFonts w:ascii="仿宋_GB2312" w:eastAsia="仿宋_GB2312" w:hAnsi="仿宋_GB2312" w:cs="仿宋_GB2312" w:hint="eastAsia"/>
          <w:sz w:val="30"/>
          <w:lang w:val="zh-CN"/>
        </w:rPr>
        <w:t>1080676.34</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lang w:val="zh-CN"/>
        </w:rPr>
        <w:t>73976.34</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lang w:val="zh-CN"/>
        </w:rPr>
        <w:t>1006700.00</w:t>
      </w:r>
      <w:r>
        <w:rPr>
          <w:rFonts w:ascii="仿宋_GB2312" w:eastAsia="仿宋_GB2312" w:hAnsi="仿宋_GB2312" w:cs="仿宋_GB2312" w:hint="eastAsia"/>
          <w:sz w:val="30"/>
          <w:szCs w:val="30"/>
        </w:rPr>
        <w:t>元。授予中小企业合同金额</w:t>
      </w:r>
      <w:r>
        <w:rPr>
          <w:rFonts w:ascii="仿宋_GB2312" w:eastAsia="仿宋_GB2312" w:hAnsi="仿宋_GB2312" w:cs="仿宋_GB2312" w:hint="eastAsia"/>
          <w:sz w:val="30"/>
          <w:lang w:val="zh-CN"/>
        </w:rPr>
        <w:t>1080676.34</w:t>
      </w:r>
      <w:r>
        <w:rPr>
          <w:rFonts w:ascii="仿宋_GB2312" w:eastAsia="仿宋_GB2312" w:hAnsi="仿宋_GB2312" w:cs="仿宋_GB2312" w:hint="eastAsia"/>
          <w:sz w:val="30"/>
          <w:szCs w:val="30"/>
        </w:rPr>
        <w:t>元，其中：授予小微企业合同金额</w:t>
      </w:r>
      <w:r>
        <w:rPr>
          <w:rFonts w:ascii="仿宋_GB2312" w:eastAsia="仿宋_GB2312" w:hAnsi="仿宋_GB2312" w:cs="仿宋_GB2312" w:hint="eastAsia"/>
          <w:sz w:val="30"/>
          <w:lang w:val="zh-CN"/>
        </w:rPr>
        <w:t>1080676.34</w:t>
      </w:r>
      <w:r>
        <w:rPr>
          <w:rFonts w:ascii="仿宋_GB2312" w:eastAsia="仿宋_GB2312" w:hAnsi="仿宋_GB2312" w:cs="仿宋_GB2312" w:hint="eastAsia"/>
          <w:sz w:val="30"/>
          <w:szCs w:val="30"/>
        </w:rPr>
        <w:t>元。</w:t>
      </w:r>
    </w:p>
    <w:p w:rsidR="00DF6BBD" w:rsidRDefault="0036432E" w:rsidP="0036432E">
      <w:pPr>
        <w:spacing w:line="560" w:lineRule="exact"/>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四、单位绩效自评情况</w:t>
      </w:r>
    </w:p>
    <w:p w:rsidR="00DF6BBD" w:rsidRDefault="0036432E" w:rsidP="0036432E">
      <w:pPr>
        <w:widowControl/>
        <w:spacing w:line="560" w:lineRule="exact"/>
        <w:ind w:firstLineChars="200" w:firstLine="600"/>
        <w:outlineLvl w:val="1"/>
        <w:rPr>
          <w:rFonts w:ascii="仿宋_GB2312" w:eastAsia="仿宋_GB2312" w:hAnsi="黑体" w:cs="黑体"/>
          <w:sz w:val="30"/>
          <w:szCs w:val="30"/>
        </w:rPr>
      </w:pPr>
      <w:r>
        <w:rPr>
          <w:rFonts w:ascii="仿宋_GB2312" w:eastAsia="仿宋_GB2312" w:hAnsi="黑体" w:cs="黑体" w:hint="eastAsia"/>
          <w:sz w:val="30"/>
          <w:szCs w:val="30"/>
        </w:rPr>
        <w:t>单位绩效自评情况详见附表，包括：</w:t>
      </w:r>
    </w:p>
    <w:p w:rsidR="00DF6BBD" w:rsidRDefault="0036432E" w:rsidP="0036432E">
      <w:pPr>
        <w:widowControl/>
        <w:snapToGrid w:val="0"/>
        <w:spacing w:before="100" w:after="100"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（一）部门整体支出绩效自评情况</w:t>
      </w:r>
    </w:p>
    <w:p w:rsidR="00DF6BBD" w:rsidRDefault="0036432E" w:rsidP="0036432E">
      <w:pPr>
        <w:widowControl/>
        <w:snapToGrid w:val="0"/>
        <w:spacing w:before="100" w:after="100"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（二）部门整体支出绩效自评表</w:t>
      </w:r>
    </w:p>
    <w:p w:rsidR="00DF6BBD" w:rsidRDefault="0036432E" w:rsidP="0036432E">
      <w:pPr>
        <w:widowControl/>
        <w:snapToGrid w:val="0"/>
        <w:spacing w:before="100" w:after="100" w:line="56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（三）项目支出绩效自评表详</w:t>
      </w:r>
    </w:p>
    <w:p w:rsidR="00DF6BBD" w:rsidRDefault="0036432E" w:rsidP="0036432E">
      <w:pPr>
        <w:widowControl/>
        <w:snapToGrid w:val="0"/>
        <w:spacing w:before="100" w:after="100" w:line="560" w:lineRule="exact"/>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五、其他重要事项情况说明</w:t>
      </w:r>
    </w:p>
    <w:p w:rsidR="00DF6BBD" w:rsidRDefault="0036432E" w:rsidP="0036432E">
      <w:pPr>
        <w:spacing w:line="560" w:lineRule="exact"/>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无</w:t>
      </w:r>
    </w:p>
    <w:p w:rsidR="00DF6BBD" w:rsidRDefault="0036432E" w:rsidP="0036432E">
      <w:pPr>
        <w:widowControl/>
        <w:snapToGrid w:val="0"/>
        <w:spacing w:before="100" w:after="100" w:line="560" w:lineRule="exact"/>
        <w:ind w:firstLineChars="200" w:firstLine="600"/>
        <w:jc w:val="left"/>
        <w:outlineLvl w:val="1"/>
        <w:rPr>
          <w:rFonts w:ascii="黑体" w:eastAsia="黑体" w:hAnsi="黑体" w:cs="黑体"/>
          <w:sz w:val="30"/>
          <w:szCs w:val="30"/>
        </w:rPr>
      </w:pPr>
      <w:r>
        <w:rPr>
          <w:rFonts w:ascii="黑体" w:eastAsia="黑体" w:hAnsi="黑体" w:cs="黑体" w:hint="eastAsia"/>
          <w:sz w:val="30"/>
          <w:szCs w:val="30"/>
        </w:rPr>
        <w:t>六、相关口径说明</w:t>
      </w:r>
    </w:p>
    <w:p w:rsidR="00DF6BBD" w:rsidRDefault="0036432E" w:rsidP="0036432E">
      <w:pPr>
        <w:spacing w:line="560" w:lineRule="exact"/>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（一）基本支出中人员经费包括工资福利支出和对个人和家庭的补助，公用经费包括商品和服务支出、资本性支出等人员经费以外的支出。</w:t>
      </w:r>
    </w:p>
    <w:p w:rsidR="00DF6BBD" w:rsidRDefault="0036432E" w:rsidP="0036432E">
      <w:pPr>
        <w:spacing w:line="560" w:lineRule="exact"/>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（二）机关运行经费指行政单位和参照公务员法管理的事业单位使用一般公共预算财政拨款安排的基本支出中的公用经费支出。</w:t>
      </w:r>
    </w:p>
    <w:p w:rsidR="00DF6BBD" w:rsidRDefault="0036432E" w:rsidP="0036432E">
      <w:pPr>
        <w:spacing w:line="560" w:lineRule="exact"/>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rsidR="00DF6BBD" w:rsidRDefault="0036432E" w:rsidP="0036432E">
      <w:pPr>
        <w:spacing w:line="560" w:lineRule="exact"/>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（四）本文所称财政拨款“三公”经费决算数是指各部门（含</w:t>
      </w:r>
      <w:r>
        <w:rPr>
          <w:rFonts w:ascii="仿宋_GB2312" w:eastAsia="仿宋_GB2312" w:hAnsi="黑体" w:cs="方正小标宋简体" w:hint="eastAsia"/>
          <w:sz w:val="30"/>
          <w:szCs w:val="30"/>
        </w:rPr>
        <w:lastRenderedPageBreak/>
        <w:t>下属单位）或单位当年通过本级财政拨款和以前年度财政拨款结转结余资金安排的因公出国（境）费、公务用车购置及运行维护费和公务接待费支出数（包括基本支出和项目支出）。</w:t>
      </w:r>
    </w:p>
    <w:p w:rsidR="0036432E" w:rsidRDefault="0036432E" w:rsidP="0036432E">
      <w:pPr>
        <w:spacing w:line="560" w:lineRule="exact"/>
        <w:ind w:firstLineChars="200" w:firstLine="600"/>
        <w:jc w:val="left"/>
        <w:rPr>
          <w:rFonts w:ascii="仿宋_GB2312" w:eastAsia="仿宋_GB2312" w:hAnsi="黑体" w:cs="方正小标宋简体"/>
          <w:sz w:val="30"/>
          <w:szCs w:val="30"/>
        </w:rPr>
      </w:pPr>
    </w:p>
    <w:p w:rsidR="00DF6BBD" w:rsidRDefault="0036432E" w:rsidP="0036432E">
      <w:pPr>
        <w:spacing w:line="560" w:lineRule="exact"/>
        <w:jc w:val="center"/>
        <w:outlineLvl w:val="0"/>
        <w:rPr>
          <w:rFonts w:ascii="黑体" w:eastAsia="黑体" w:hAnsi="黑体" w:cs="方正小标宋简体"/>
          <w:sz w:val="32"/>
          <w:szCs w:val="32"/>
        </w:rPr>
      </w:pPr>
      <w:r>
        <w:rPr>
          <w:rFonts w:ascii="黑体" w:eastAsia="黑体" w:hAnsi="黑体" w:cs="方正小标宋简体" w:hint="eastAsia"/>
          <w:sz w:val="32"/>
          <w:szCs w:val="32"/>
        </w:rPr>
        <w:t>第五部分  名词解释</w:t>
      </w:r>
    </w:p>
    <w:p w:rsidR="00DF6BBD" w:rsidRDefault="0036432E" w:rsidP="0036432E">
      <w:pPr>
        <w:spacing w:line="560" w:lineRule="exact"/>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rsidR="00DF6BBD" w:rsidRDefault="0036432E" w:rsidP="0036432E">
      <w:pPr>
        <w:spacing w:line="560" w:lineRule="exact"/>
        <w:ind w:firstLineChars="200" w:firstLine="600"/>
        <w:rPr>
          <w:rFonts w:ascii="仿宋_GB2312" w:eastAsia="仿宋_GB2312"/>
          <w:sz w:val="30"/>
          <w:szCs w:val="30"/>
        </w:rPr>
      </w:pPr>
      <w:r>
        <w:rPr>
          <w:rFonts w:ascii="仿宋_GB2312" w:eastAsia="仿宋_GB2312" w:hint="eastAsia"/>
          <w:sz w:val="30"/>
          <w:szCs w:val="30"/>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rsidR="00DF6BBD" w:rsidRDefault="0036432E" w:rsidP="0036432E">
      <w:pPr>
        <w:spacing w:line="560" w:lineRule="exact"/>
        <w:ind w:firstLineChars="200" w:firstLine="600"/>
        <w:rPr>
          <w:rFonts w:ascii="仿宋_GB2312" w:eastAsia="仿宋_GB2312"/>
          <w:sz w:val="30"/>
          <w:szCs w:val="30"/>
        </w:rPr>
      </w:pPr>
      <w:r>
        <w:rPr>
          <w:rFonts w:ascii="仿宋_GB2312" w:eastAsia="仿宋_GB2312" w:hint="eastAsia"/>
          <w:sz w:val="30"/>
          <w:szCs w:val="30"/>
        </w:rPr>
        <w:t>一般公共预算：是对以税收为主体的财政收入，安排用于保障和改善民生、推动经济社会发展、维护国家安全、维持国家机构正常运转等方面的收支预算。</w:t>
      </w:r>
    </w:p>
    <w:p w:rsidR="00DF6BBD" w:rsidRDefault="0036432E" w:rsidP="0036432E">
      <w:pPr>
        <w:spacing w:line="560" w:lineRule="exact"/>
        <w:ind w:firstLineChars="200" w:firstLine="600"/>
        <w:rPr>
          <w:rFonts w:ascii="仿宋_GB2312" w:eastAsia="仿宋_GB2312"/>
          <w:sz w:val="30"/>
          <w:szCs w:val="30"/>
        </w:rPr>
      </w:pPr>
      <w:r>
        <w:rPr>
          <w:rFonts w:ascii="仿宋_GB2312" w:eastAsia="仿宋_GB2312" w:hint="eastAsia"/>
          <w:sz w:val="30"/>
          <w:szCs w:val="30"/>
        </w:rPr>
        <w:t>政府性基金预算：是国家通过向社会征收以及出让土地、发行彩票等方式取得收入，并专项用于支持特定基础设施建设和社会事业发展的财政收支预算，是政府预算体系的重要组成部分。</w:t>
      </w:r>
    </w:p>
    <w:p w:rsidR="00DA544B" w:rsidRDefault="00DA544B">
      <w:pPr>
        <w:spacing w:line="560" w:lineRule="exact"/>
        <w:ind w:firstLineChars="200" w:firstLine="600"/>
        <w:rPr>
          <w:rFonts w:ascii="仿宋_GB2312" w:eastAsia="仿宋_GB2312"/>
          <w:sz w:val="30"/>
          <w:szCs w:val="30"/>
        </w:rPr>
      </w:pPr>
    </w:p>
    <w:p w:rsidR="00DF6BBD" w:rsidRPr="00DA544B" w:rsidRDefault="0036432E">
      <w:pPr>
        <w:rPr>
          <w:rFonts w:ascii="Arial" w:eastAsiaTheme="minorEastAsia" w:hAnsi="Arial" w:cs="Arial"/>
          <w:b/>
          <w:sz w:val="36"/>
        </w:rPr>
      </w:pPr>
      <w:r>
        <w:rPr>
          <w:rFonts w:ascii="Arial" w:eastAsia="Arial" w:hAnsi="Arial" w:cs="Arial"/>
          <w:b/>
          <w:sz w:val="36"/>
        </w:rPr>
        <w:t>监督索引号53012670531600101111</w:t>
      </w:r>
    </w:p>
    <w:sectPr w:rsidR="00DF6BBD" w:rsidRPr="00DA544B" w:rsidSect="00DF6BBD">
      <w:headerReference w:type="default" r:id="rId11"/>
      <w:footerReference w:type="even" r:id="rId12"/>
      <w:footerReference w:type="default" r:id="rId13"/>
      <w:pgSz w:w="11906" w:h="16838"/>
      <w:pgMar w:top="2098" w:right="1418" w:bottom="1588" w:left="164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BD" w:rsidRDefault="00DF6BBD" w:rsidP="00DF6BBD">
      <w:r>
        <w:separator/>
      </w:r>
    </w:p>
  </w:endnote>
  <w:endnote w:type="continuationSeparator" w:id="0">
    <w:p w:rsidR="00DF6BBD" w:rsidRDefault="00DF6BBD" w:rsidP="00DF6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BD" w:rsidRDefault="002C210F">
    <w:pPr>
      <w:pStyle w:val="Footer0"/>
      <w:framePr w:wrap="around" w:vAnchor="text" w:hAnchor="margin" w:xAlign="center" w:y="1"/>
      <w:rPr>
        <w:rStyle w:val="PageNumber"/>
      </w:rPr>
    </w:pPr>
    <w:r w:rsidRPr="002C210F">
      <w:rPr>
        <w:rStyle w:val="PageNumber"/>
      </w:rPr>
      <w:fldChar w:fldCharType="begin"/>
    </w:r>
    <w:r w:rsidR="0036432E">
      <w:rPr>
        <w:rStyle w:val="PageNumber"/>
      </w:rPr>
      <w:instrText xml:space="preserve">PAGE  </w:instrText>
    </w:r>
    <w:r>
      <w:fldChar w:fldCharType="end"/>
    </w:r>
  </w:p>
  <w:p w:rsidR="00DF6BBD" w:rsidRDefault="00DF6BBD">
    <w:pPr>
      <w:pStyle w:val="Foo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BD" w:rsidRDefault="002C210F">
    <w:pPr>
      <w:pStyle w:val="Footer0"/>
    </w:pPr>
    <w:r>
      <w:pict>
        <v:shapetype id="_x0000_t202" coordsize="21600,21600" o:spt="202" path="m,l,21600r21600,l21600,xe">
          <v:stroke joinstyle="miter"/>
          <v:path gradientshapeok="t" o:connecttype="rect"/>
        </v:shapetype>
        <v:shape id="_x0000_s1025" type="#_x0000_t202" style="position:absolute;margin-left:208pt;margin-top:0;width:2in;height:2in;z-index:251658240;mso-wrap-style:none;mso-position-horizontal:outside;mso-position-horizontal-relative:margin;mso-width-relative:page;mso-height-relative:page" filled="f" stroked="f">
          <v:textbox style="mso-fit-shape-to-text:t" inset="0,0,0,0">
            <w:txbxContent>
              <w:p w:rsidR="00DF6BBD" w:rsidRDefault="002C210F">
                <w:pPr>
                  <w:pStyle w:val="Footer0"/>
                  <w:rPr>
                    <w:rStyle w:val="PageNumber"/>
                  </w:rPr>
                </w:pPr>
                <w:r w:rsidRPr="002C210F">
                  <w:rPr>
                    <w:rStyle w:val="PageNumber"/>
                  </w:rPr>
                  <w:fldChar w:fldCharType="begin"/>
                </w:r>
                <w:r w:rsidR="0036432E">
                  <w:rPr>
                    <w:rStyle w:val="PageNumber"/>
                    <w:sz w:val="28"/>
                    <w:szCs w:val="28"/>
                  </w:rPr>
                  <w:instrText xml:space="preserve">PAGE  </w:instrText>
                </w:r>
                <w:r>
                  <w:rPr>
                    <w:sz w:val="28"/>
                    <w:szCs w:val="28"/>
                  </w:rPr>
                  <w:fldChar w:fldCharType="separate"/>
                </w:r>
                <w:r w:rsidR="00BF6189">
                  <w:rPr>
                    <w:rStyle w:val="PageNumber"/>
                    <w:noProof/>
                    <w:sz w:val="28"/>
                    <w:szCs w:val="28"/>
                  </w:rPr>
                  <w:t>- 1 -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BD" w:rsidRDefault="00DF6BBD" w:rsidP="00DF6BBD">
      <w:r>
        <w:separator/>
      </w:r>
    </w:p>
  </w:footnote>
  <w:footnote w:type="continuationSeparator" w:id="0">
    <w:p w:rsidR="00DF6BBD" w:rsidRDefault="00DF6BBD" w:rsidP="00DF6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BD" w:rsidRDefault="00DF6BBD">
    <w:pPr>
      <w:pStyle w:val="Header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53C8"/>
    <w:multiLevelType w:val="singleLevel"/>
    <w:tmpl w:val="038C53C8"/>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NmMDdkYWIxMjgzYWJlMDg5M2FmZWJlNTc3MTZmZDAifQ=="/>
  </w:docVars>
  <w:rsids>
    <w:rsidRoot w:val="0063517A"/>
    <w:rsid w:val="00004343"/>
    <w:rsid w:val="0001195A"/>
    <w:rsid w:val="0001574D"/>
    <w:rsid w:val="00050AF3"/>
    <w:rsid w:val="000563ED"/>
    <w:rsid w:val="000805D0"/>
    <w:rsid w:val="000960E5"/>
    <w:rsid w:val="00097FF0"/>
    <w:rsid w:val="000A4756"/>
    <w:rsid w:val="000B014F"/>
    <w:rsid w:val="000C0F6F"/>
    <w:rsid w:val="000F0ED8"/>
    <w:rsid w:val="000F783A"/>
    <w:rsid w:val="00101FAC"/>
    <w:rsid w:val="001242BA"/>
    <w:rsid w:val="00131D40"/>
    <w:rsid w:val="00140A0C"/>
    <w:rsid w:val="00141AE3"/>
    <w:rsid w:val="00141DCA"/>
    <w:rsid w:val="001428AF"/>
    <w:rsid w:val="0015292C"/>
    <w:rsid w:val="001550F7"/>
    <w:rsid w:val="00160CDB"/>
    <w:rsid w:val="00163914"/>
    <w:rsid w:val="00175397"/>
    <w:rsid w:val="00176DC8"/>
    <w:rsid w:val="00180C62"/>
    <w:rsid w:val="00191D60"/>
    <w:rsid w:val="001B2550"/>
    <w:rsid w:val="001D33FA"/>
    <w:rsid w:val="001E6E2B"/>
    <w:rsid w:val="00206367"/>
    <w:rsid w:val="00215AA4"/>
    <w:rsid w:val="00222F3F"/>
    <w:rsid w:val="002339D2"/>
    <w:rsid w:val="0023602F"/>
    <w:rsid w:val="0024150A"/>
    <w:rsid w:val="00247416"/>
    <w:rsid w:val="00265523"/>
    <w:rsid w:val="00271C7E"/>
    <w:rsid w:val="002C210F"/>
    <w:rsid w:val="00301FD9"/>
    <w:rsid w:val="0034574D"/>
    <w:rsid w:val="003549D9"/>
    <w:rsid w:val="003628D7"/>
    <w:rsid w:val="0036432E"/>
    <w:rsid w:val="00383755"/>
    <w:rsid w:val="003A164A"/>
    <w:rsid w:val="003B472F"/>
    <w:rsid w:val="003C471D"/>
    <w:rsid w:val="003E1A18"/>
    <w:rsid w:val="00431808"/>
    <w:rsid w:val="00444D4A"/>
    <w:rsid w:val="0046513B"/>
    <w:rsid w:val="0046572F"/>
    <w:rsid w:val="00484B1F"/>
    <w:rsid w:val="00490545"/>
    <w:rsid w:val="004C4196"/>
    <w:rsid w:val="004D2D19"/>
    <w:rsid w:val="004E54BB"/>
    <w:rsid w:val="005407ED"/>
    <w:rsid w:val="00571BBA"/>
    <w:rsid w:val="00571FF1"/>
    <w:rsid w:val="00582929"/>
    <w:rsid w:val="00582D3F"/>
    <w:rsid w:val="00585E78"/>
    <w:rsid w:val="005F232D"/>
    <w:rsid w:val="0063517A"/>
    <w:rsid w:val="00635AA4"/>
    <w:rsid w:val="00644503"/>
    <w:rsid w:val="0068723E"/>
    <w:rsid w:val="00687659"/>
    <w:rsid w:val="00690F94"/>
    <w:rsid w:val="006A097B"/>
    <w:rsid w:val="006A2509"/>
    <w:rsid w:val="006A53DE"/>
    <w:rsid w:val="006E681A"/>
    <w:rsid w:val="006E6893"/>
    <w:rsid w:val="007063FA"/>
    <w:rsid w:val="00762817"/>
    <w:rsid w:val="0078779C"/>
    <w:rsid w:val="007A0730"/>
    <w:rsid w:val="007B7E92"/>
    <w:rsid w:val="007D3681"/>
    <w:rsid w:val="007D4E6E"/>
    <w:rsid w:val="007D772F"/>
    <w:rsid w:val="008270E5"/>
    <w:rsid w:val="008410DF"/>
    <w:rsid w:val="00854752"/>
    <w:rsid w:val="0086062F"/>
    <w:rsid w:val="00884E26"/>
    <w:rsid w:val="008852D9"/>
    <w:rsid w:val="008A0032"/>
    <w:rsid w:val="008B220B"/>
    <w:rsid w:val="008B365A"/>
    <w:rsid w:val="008B625C"/>
    <w:rsid w:val="008C038C"/>
    <w:rsid w:val="008D3488"/>
    <w:rsid w:val="008E419F"/>
    <w:rsid w:val="00915F53"/>
    <w:rsid w:val="00917D50"/>
    <w:rsid w:val="00930D95"/>
    <w:rsid w:val="009427B0"/>
    <w:rsid w:val="009566FF"/>
    <w:rsid w:val="009A2C47"/>
    <w:rsid w:val="009B6EA9"/>
    <w:rsid w:val="009C08E1"/>
    <w:rsid w:val="009C2C58"/>
    <w:rsid w:val="009D13E9"/>
    <w:rsid w:val="009E086E"/>
    <w:rsid w:val="009E545E"/>
    <w:rsid w:val="009F69DD"/>
    <w:rsid w:val="009F7975"/>
    <w:rsid w:val="00A01283"/>
    <w:rsid w:val="00A15758"/>
    <w:rsid w:val="00A3164B"/>
    <w:rsid w:val="00A71A4B"/>
    <w:rsid w:val="00A80754"/>
    <w:rsid w:val="00A86432"/>
    <w:rsid w:val="00A92E07"/>
    <w:rsid w:val="00AB2053"/>
    <w:rsid w:val="00AC70A8"/>
    <w:rsid w:val="00AE0B36"/>
    <w:rsid w:val="00B17544"/>
    <w:rsid w:val="00B25A6D"/>
    <w:rsid w:val="00B4367C"/>
    <w:rsid w:val="00B5300F"/>
    <w:rsid w:val="00B72945"/>
    <w:rsid w:val="00B9013B"/>
    <w:rsid w:val="00B938DC"/>
    <w:rsid w:val="00B955BC"/>
    <w:rsid w:val="00B96E95"/>
    <w:rsid w:val="00BD41B8"/>
    <w:rsid w:val="00BE7C08"/>
    <w:rsid w:val="00BF6189"/>
    <w:rsid w:val="00C11F5D"/>
    <w:rsid w:val="00C4241E"/>
    <w:rsid w:val="00C43E48"/>
    <w:rsid w:val="00C61A14"/>
    <w:rsid w:val="00C9020F"/>
    <w:rsid w:val="00C91B65"/>
    <w:rsid w:val="00C931E4"/>
    <w:rsid w:val="00CA515E"/>
    <w:rsid w:val="00D021CE"/>
    <w:rsid w:val="00D47BB6"/>
    <w:rsid w:val="00D7245A"/>
    <w:rsid w:val="00D77E0F"/>
    <w:rsid w:val="00D840DC"/>
    <w:rsid w:val="00D918C4"/>
    <w:rsid w:val="00DA2F1B"/>
    <w:rsid w:val="00DA4492"/>
    <w:rsid w:val="00DA544B"/>
    <w:rsid w:val="00DA6E76"/>
    <w:rsid w:val="00DC3268"/>
    <w:rsid w:val="00DC78D8"/>
    <w:rsid w:val="00DE5383"/>
    <w:rsid w:val="00DE5564"/>
    <w:rsid w:val="00DF1CA9"/>
    <w:rsid w:val="00DF6BBD"/>
    <w:rsid w:val="00E162CB"/>
    <w:rsid w:val="00E212F4"/>
    <w:rsid w:val="00E232D5"/>
    <w:rsid w:val="00E304A8"/>
    <w:rsid w:val="00E42058"/>
    <w:rsid w:val="00E530E5"/>
    <w:rsid w:val="00E71EFE"/>
    <w:rsid w:val="00E75F96"/>
    <w:rsid w:val="00E822B7"/>
    <w:rsid w:val="00E90C2E"/>
    <w:rsid w:val="00E943C8"/>
    <w:rsid w:val="00E96DB8"/>
    <w:rsid w:val="00EA7B68"/>
    <w:rsid w:val="00ED285D"/>
    <w:rsid w:val="00ED3CAB"/>
    <w:rsid w:val="00F11050"/>
    <w:rsid w:val="00F23702"/>
    <w:rsid w:val="00F35153"/>
    <w:rsid w:val="00F40C0C"/>
    <w:rsid w:val="00F6436E"/>
    <w:rsid w:val="00F6528E"/>
    <w:rsid w:val="00F7766A"/>
    <w:rsid w:val="00F77BCF"/>
    <w:rsid w:val="00FA2FEE"/>
    <w:rsid w:val="00FB036E"/>
    <w:rsid w:val="00FB148A"/>
    <w:rsid w:val="00FD0B0A"/>
    <w:rsid w:val="00FD2413"/>
    <w:rsid w:val="00FE6A19"/>
    <w:rsid w:val="00FF19E0"/>
    <w:rsid w:val="07E955A0"/>
    <w:rsid w:val="0B2C354F"/>
    <w:rsid w:val="1A4B39A4"/>
    <w:rsid w:val="1DBE272D"/>
    <w:rsid w:val="245F009A"/>
    <w:rsid w:val="27714A63"/>
    <w:rsid w:val="27D36DD5"/>
    <w:rsid w:val="2A0E2346"/>
    <w:rsid w:val="2B035F3B"/>
    <w:rsid w:val="2F181B10"/>
    <w:rsid w:val="336508A8"/>
    <w:rsid w:val="3CBD5770"/>
    <w:rsid w:val="605C1330"/>
    <w:rsid w:val="60EA6962"/>
    <w:rsid w:val="645C36D2"/>
    <w:rsid w:val="68171751"/>
    <w:rsid w:val="6D843A50"/>
    <w:rsid w:val="6E2F0A19"/>
    <w:rsid w:val="7AEC710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B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F6BBD"/>
    <w:pPr>
      <w:spacing w:beforeLines="30"/>
    </w:pPr>
    <w:rPr>
      <w:rFonts w:ascii="仿宋_GB2312" w:eastAsia="仿宋_GB2312"/>
      <w:sz w:val="30"/>
    </w:rPr>
  </w:style>
  <w:style w:type="paragraph" w:styleId="a4">
    <w:name w:val="footer"/>
    <w:basedOn w:val="a"/>
    <w:link w:val="Char"/>
    <w:qFormat/>
    <w:rsid w:val="00DF6BBD"/>
    <w:pPr>
      <w:tabs>
        <w:tab w:val="center" w:pos="4153"/>
        <w:tab w:val="right" w:pos="8306"/>
      </w:tabs>
      <w:snapToGrid w:val="0"/>
      <w:jc w:val="left"/>
    </w:pPr>
    <w:rPr>
      <w:sz w:val="18"/>
      <w:szCs w:val="18"/>
    </w:rPr>
  </w:style>
  <w:style w:type="paragraph" w:styleId="a5">
    <w:name w:val="header"/>
    <w:basedOn w:val="a"/>
    <w:link w:val="Char0"/>
    <w:qFormat/>
    <w:rsid w:val="00DF6BBD"/>
    <w:pPr>
      <w:pBdr>
        <w:bottom w:val="single" w:sz="6" w:space="1" w:color="auto"/>
      </w:pBdr>
      <w:tabs>
        <w:tab w:val="center" w:pos="4153"/>
        <w:tab w:val="right" w:pos="8306"/>
      </w:tabs>
      <w:snapToGrid w:val="0"/>
      <w:jc w:val="center"/>
    </w:pPr>
    <w:rPr>
      <w:sz w:val="18"/>
      <w:szCs w:val="18"/>
    </w:rPr>
  </w:style>
  <w:style w:type="table" w:styleId="a6">
    <w:name w:val="Table Grid"/>
    <w:qFormat/>
    <w:rsid w:val="00DF6BBD"/>
    <w:tblPr>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Footer0">
    <w:name w:val="Footer_0"/>
    <w:basedOn w:val="a"/>
    <w:qFormat/>
    <w:rsid w:val="00DF6BBD"/>
    <w:pPr>
      <w:tabs>
        <w:tab w:val="center" w:pos="4153"/>
        <w:tab w:val="right" w:pos="8306"/>
      </w:tabs>
      <w:snapToGrid w:val="0"/>
      <w:jc w:val="left"/>
    </w:pPr>
    <w:rPr>
      <w:sz w:val="18"/>
      <w:szCs w:val="18"/>
    </w:rPr>
  </w:style>
  <w:style w:type="paragraph" w:customStyle="1" w:styleId="Header0">
    <w:name w:val="Header_0"/>
    <w:basedOn w:val="a"/>
    <w:qFormat/>
    <w:rsid w:val="00DF6BBD"/>
    <w:pPr>
      <w:pBdr>
        <w:bottom w:val="single" w:sz="6" w:space="1" w:color="auto"/>
      </w:pBdr>
      <w:tabs>
        <w:tab w:val="center" w:pos="4153"/>
        <w:tab w:val="right" w:pos="8306"/>
      </w:tabs>
      <w:snapToGrid w:val="0"/>
      <w:jc w:val="center"/>
    </w:pPr>
    <w:rPr>
      <w:sz w:val="18"/>
      <w:szCs w:val="18"/>
    </w:rPr>
  </w:style>
  <w:style w:type="character" w:customStyle="1" w:styleId="PageNumber">
    <w:name w:val="Page Number"/>
    <w:basedOn w:val="a0"/>
    <w:qFormat/>
    <w:rsid w:val="00DF6BBD"/>
  </w:style>
  <w:style w:type="character" w:customStyle="1" w:styleId="Char0">
    <w:name w:val="页眉 Char"/>
    <w:basedOn w:val="a0"/>
    <w:link w:val="a5"/>
    <w:qFormat/>
    <w:rsid w:val="00DF6BBD"/>
    <w:rPr>
      <w:rFonts w:ascii="Times New Roman" w:hAnsi="Times New Roman"/>
      <w:kern w:val="2"/>
      <w:sz w:val="18"/>
      <w:szCs w:val="18"/>
    </w:rPr>
  </w:style>
  <w:style w:type="character" w:customStyle="1" w:styleId="Char">
    <w:name w:val="页脚 Char"/>
    <w:basedOn w:val="a0"/>
    <w:link w:val="a4"/>
    <w:qFormat/>
    <w:rsid w:val="00DF6BBD"/>
    <w:rPr>
      <w:rFonts w:ascii="Times New Roman" w:hAnsi="Times New Roman"/>
      <w:kern w:val="2"/>
      <w:sz w:val="18"/>
      <w:szCs w:val="18"/>
    </w:rPr>
  </w:style>
  <w:style w:type="character" w:customStyle="1" w:styleId="15">
    <w:name w:val="15"/>
    <w:basedOn w:val="a0"/>
    <w:qFormat/>
    <w:rsid w:val="00DF6BBD"/>
    <w:rPr>
      <w:rFonts w:ascii="Calibri" w:eastAsia="宋体" w:hAnsi="Calibri" w:cs="Times New Roman" w:hint="default"/>
      <w:sz w:val="21"/>
      <w:szCs w:val="21"/>
    </w:rPr>
  </w:style>
  <w:style w:type="character" w:customStyle="1" w:styleId="NormalCharacter">
    <w:name w:val="NormalCharacter"/>
    <w:link w:val="UserStyle0"/>
    <w:qFormat/>
    <w:rsid w:val="00DF6BBD"/>
    <w:rPr>
      <w:rFonts w:ascii="Times New Roman" w:hAnsi="Times New Roman"/>
    </w:rPr>
  </w:style>
  <w:style w:type="paragraph" w:customStyle="1" w:styleId="UserStyle0">
    <w:name w:val="UserStyle_0"/>
    <w:link w:val="NormalCharacter"/>
    <w:qFormat/>
    <w:rsid w:val="00DF6BBD"/>
    <w:pPr>
      <w:spacing w:before="100" w:beforeAutospacing="1" w:after="100" w:afterAutospacing="1" w:line="330" w:lineRule="atLeast"/>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2.xml><?xml version="1.0" encoding="utf-8"?>
<s:customData xmlns="http://www.wps.cn/officeDocument/2013/wpsCustomData" xmlns:s="http://www.wps.cn/officeDocument/2013/wpsCustomData">
  <customSectProps/>
  <customShpExts>
    <customShpInfo spid="_x0000_s1025"/>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jq</cp:lastModifiedBy>
  <cp:lastPrinted>2024-07-30T06:24:00Z</cp:lastPrinted>
  <dcterms:modified xsi:type="dcterms:W3CDTF">2025-07-14T06:11:38Z</dcterms:modified>
  <cp:revision>1</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C2612B53-7D8E-4CD9-B019-52FD91CCBD1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5ED6E6-2A2E-4380-A5ED-128D53881236}">
  <ds:schemaRefs/>
</ds:datastoreItem>
</file>

<file path=customXml/itemProps4.xml><?xml version="1.0" encoding="utf-8"?>
<ds:datastoreItem xmlns:ds="http://schemas.openxmlformats.org/officeDocument/2006/customXml" ds:itemID="{03B74AA8-46DB-4EE8-B008-7AA7BBE97229}">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2015</Words>
  <Characters>11492</Characters>
  <Application>Microsoft Office Word</Application>
  <DocSecurity>0</DocSecurity>
  <Lines>95</Lines>
  <Paragraphs>26</Paragraphs>
  <ScaleCrop>false</ScaleCrop>
  <Company>云南省财政厅</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Administrator</cp:lastModifiedBy>
  <cp:revision>180</cp:revision>
  <cp:lastPrinted>2024-07-30T06:24:00Z</cp:lastPrinted>
  <dcterms:created xsi:type="dcterms:W3CDTF">2024-06-03T01:34:00Z</dcterms:created>
  <dcterms:modified xsi:type="dcterms:W3CDTF">2025-08-15T03:06:00Z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1C7A60C377D94646BB9D277C2A29BA4A_12</vt:lpwstr>
  </property>
  <property fmtid="{D5CDD505-2E9C-101B-9397-08002B2CF9AE}" pid="3" name="KSOProductBuildVer">
    <vt:lpwstr>2052-12.1.0.18276</vt:lpwstr>
  </property>
</Properties>
</file>