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6EFD1">
      <w:pPr>
        <w:adjustRightInd w:val="0"/>
        <w:snapToGrid w:val="0"/>
        <w:spacing w:line="560" w:lineRule="exact"/>
        <w:jc w:val="center"/>
        <w:rPr>
          <w:rFonts w:ascii="方正小标宋简体" w:hAnsi="方正小标宋简体" w:eastAsia="方正小标宋简体" w:cs="方正小标宋简体"/>
          <w:color w:val="000000"/>
          <w:sz w:val="44"/>
          <w:szCs w:val="44"/>
        </w:rPr>
      </w:pPr>
      <w:bookmarkStart w:id="0" w:name="_Toc17610_WPSOffice_Type2"/>
    </w:p>
    <w:p w14:paraId="5A689649">
      <w:pPr>
        <w:adjustRightInd w:val="0"/>
        <w:snapToGrid w:val="0"/>
        <w:spacing w:line="560" w:lineRule="exact"/>
        <w:jc w:val="center"/>
        <w:rPr>
          <w:rFonts w:ascii="方正小标宋简体" w:hAnsi="方正小标宋简体" w:eastAsia="方正小标宋简体" w:cs="方正小标宋简体"/>
          <w:color w:val="000000"/>
          <w:sz w:val="44"/>
          <w:szCs w:val="44"/>
        </w:rPr>
      </w:pPr>
    </w:p>
    <w:p w14:paraId="2943824B">
      <w:pPr>
        <w:adjustRightInd w:val="0"/>
        <w:snapToGrid w:val="0"/>
        <w:spacing w:line="560" w:lineRule="exact"/>
        <w:jc w:val="center"/>
        <w:rPr>
          <w:rFonts w:ascii="方正小标宋简体" w:hAnsi="方正小标宋简体" w:eastAsia="方正小标宋简体" w:cs="方正小标宋简体"/>
          <w:color w:val="000000"/>
          <w:sz w:val="44"/>
          <w:szCs w:val="44"/>
        </w:rPr>
      </w:pPr>
    </w:p>
    <w:p w14:paraId="11E9F10E">
      <w:pPr>
        <w:adjustRightInd w:val="0"/>
        <w:snapToGrid w:val="0"/>
        <w:spacing w:line="560" w:lineRule="exact"/>
        <w:jc w:val="center"/>
        <w:rPr>
          <w:rFonts w:ascii="方正小标宋简体" w:hAnsi="方正小标宋简体" w:eastAsia="方正小标宋简体" w:cs="方正小标宋简体"/>
          <w:color w:val="000000"/>
          <w:sz w:val="44"/>
          <w:szCs w:val="44"/>
        </w:rPr>
      </w:pPr>
    </w:p>
    <w:p w14:paraId="3DA12C23">
      <w:pPr>
        <w:adjustRightInd w:val="0"/>
        <w:snapToGrid w:val="0"/>
        <w:spacing w:line="560" w:lineRule="exact"/>
        <w:jc w:val="center"/>
        <w:rPr>
          <w:rFonts w:ascii="方正小标宋简体" w:hAnsi="方正小标宋简体" w:eastAsia="方正小标宋简体" w:cs="方正小标宋简体"/>
          <w:color w:val="000000"/>
          <w:sz w:val="44"/>
          <w:szCs w:val="44"/>
        </w:rPr>
      </w:pPr>
    </w:p>
    <w:p w14:paraId="1203585E">
      <w:pPr>
        <w:adjustRightInd w:val="0"/>
        <w:snapToGrid w:val="0"/>
        <w:spacing w:line="560" w:lineRule="exact"/>
        <w:jc w:val="center"/>
        <w:rPr>
          <w:rFonts w:ascii="方正小标宋简体" w:hAnsi="方正小标宋简体" w:eastAsia="方正小标宋简体" w:cs="方正小标宋简体"/>
          <w:color w:val="000000"/>
          <w:sz w:val="44"/>
          <w:szCs w:val="44"/>
        </w:rPr>
      </w:pPr>
    </w:p>
    <w:p w14:paraId="7051D97B">
      <w:pPr>
        <w:adjustRightInd w:val="0"/>
        <w:snapToGrid w:val="0"/>
        <w:spacing w:line="560" w:lineRule="exact"/>
        <w:jc w:val="center"/>
        <w:rPr>
          <w:rFonts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石林彝族自治县</w:t>
      </w:r>
    </w:p>
    <w:p w14:paraId="5EA3633F">
      <w:pPr>
        <w:adjustRightInd w:val="0"/>
        <w:snapToGrid w:val="0"/>
        <w:spacing w:line="560" w:lineRule="exact"/>
        <w:jc w:val="center"/>
        <w:rPr>
          <w:rStyle w:val="30"/>
          <w:rFonts w:ascii="Times New Roman" w:hAnsi="Times New Roman" w:eastAsia="方正小标宋简体" w:cs="Times New Roman"/>
          <w:color w:val="000000"/>
          <w:sz w:val="32"/>
          <w:szCs w:val="32"/>
        </w:rPr>
      </w:pPr>
      <w:r>
        <w:rPr>
          <w:rFonts w:hint="eastAsia" w:ascii="方正小标宋简体" w:hAnsi="方正小标宋简体" w:eastAsia="方正小标宋简体" w:cs="方正小标宋简体"/>
          <w:color w:val="000000"/>
          <w:sz w:val="52"/>
          <w:szCs w:val="52"/>
        </w:rPr>
        <w:t>“十四五”民族团结进步发展规划</w:t>
      </w:r>
    </w:p>
    <w:p w14:paraId="7A2A1EF2">
      <w:pPr>
        <w:jc w:val="center"/>
        <w:rPr>
          <w:rFonts w:ascii="方正小标宋简体" w:hAnsi="方正大标宋_GBK" w:eastAsia="方正小标宋简体" w:cs="方正大标宋_GBK"/>
          <w:color w:val="000000"/>
          <w:sz w:val="44"/>
          <w:szCs w:val="44"/>
        </w:rPr>
      </w:pPr>
    </w:p>
    <w:p w14:paraId="586F2111">
      <w:pPr>
        <w:pStyle w:val="2"/>
        <w:ind w:firstLine="880"/>
        <w:rPr>
          <w:rFonts w:ascii="方正大标宋_GBK" w:hAnsi="方正大标宋_GBK" w:eastAsia="方正大标宋_GBK" w:cs="方正大标宋_GBK"/>
          <w:color w:val="000000"/>
          <w:sz w:val="44"/>
          <w:szCs w:val="44"/>
        </w:rPr>
      </w:pPr>
    </w:p>
    <w:p w14:paraId="11D835A3">
      <w:pPr>
        <w:pStyle w:val="2"/>
        <w:ind w:firstLine="880"/>
        <w:rPr>
          <w:rFonts w:ascii="方正大标宋_GBK" w:hAnsi="方正大标宋_GBK" w:eastAsia="方正大标宋_GBK" w:cs="方正大标宋_GBK"/>
          <w:color w:val="000000"/>
          <w:sz w:val="44"/>
          <w:szCs w:val="44"/>
        </w:rPr>
      </w:pPr>
    </w:p>
    <w:p w14:paraId="5C96C332">
      <w:pPr>
        <w:pStyle w:val="2"/>
        <w:ind w:firstLine="880"/>
        <w:rPr>
          <w:rFonts w:ascii="方正大标宋_GBK" w:hAnsi="方正大标宋_GBK" w:eastAsia="方正大标宋_GBK" w:cs="方正大标宋_GBK"/>
          <w:color w:val="000000"/>
          <w:sz w:val="44"/>
          <w:szCs w:val="44"/>
        </w:rPr>
      </w:pPr>
    </w:p>
    <w:p w14:paraId="5EB3C50B">
      <w:pPr>
        <w:pStyle w:val="2"/>
        <w:ind w:firstLine="880"/>
        <w:rPr>
          <w:rFonts w:ascii="方正大标宋_GBK" w:hAnsi="方正大标宋_GBK" w:eastAsia="方正大标宋_GBK" w:cs="方正大标宋_GBK"/>
          <w:color w:val="000000"/>
          <w:sz w:val="44"/>
          <w:szCs w:val="44"/>
        </w:rPr>
      </w:pPr>
    </w:p>
    <w:p w14:paraId="7BC81717">
      <w:pPr>
        <w:pStyle w:val="2"/>
        <w:ind w:firstLine="880"/>
        <w:rPr>
          <w:rFonts w:ascii="方正大标宋_GBK" w:hAnsi="方正大标宋_GBK" w:eastAsia="方正大标宋_GBK" w:cs="方正大标宋_GBK"/>
          <w:color w:val="000000"/>
          <w:sz w:val="44"/>
          <w:szCs w:val="44"/>
        </w:rPr>
      </w:pPr>
    </w:p>
    <w:p w14:paraId="0833C588">
      <w:pPr>
        <w:jc w:val="center"/>
        <w:rPr>
          <w:rFonts w:ascii="黑体" w:hAnsi="黑体" w:eastAsia="黑体" w:cs="黑体"/>
          <w:color w:val="000000"/>
          <w:sz w:val="32"/>
          <w:szCs w:val="32"/>
        </w:rPr>
      </w:pPr>
      <w:r>
        <w:rPr>
          <w:rFonts w:hint="eastAsia" w:ascii="黑体" w:hAnsi="黑体" w:eastAsia="黑体" w:cs="黑体"/>
          <w:color w:val="000000"/>
          <w:sz w:val="32"/>
          <w:szCs w:val="32"/>
        </w:rPr>
        <w:t>石林彝族自治县民族宗教事务局</w:t>
      </w:r>
    </w:p>
    <w:p w14:paraId="18FE1696">
      <w:pPr>
        <w:pStyle w:val="2"/>
        <w:ind w:firstLine="419"/>
        <w:jc w:val="center"/>
        <w:rPr>
          <w:color w:val="000000"/>
          <w:sz w:val="32"/>
          <w:szCs w:val="32"/>
        </w:rPr>
      </w:pPr>
      <w:r>
        <w:rPr>
          <w:rFonts w:hint="eastAsia" w:ascii="黑体" w:hAnsi="黑体" w:eastAsia="黑体" w:cs="黑体"/>
          <w:color w:val="000000"/>
          <w:sz w:val="32"/>
          <w:szCs w:val="32"/>
        </w:rPr>
        <w:t>2021年12月</w:t>
      </w:r>
    </w:p>
    <w:p w14:paraId="4B73A41B">
      <w:pPr>
        <w:jc w:val="center"/>
        <w:rPr>
          <w:rFonts w:ascii="黑体" w:hAnsi="黑体" w:eastAsia="黑体" w:cs="黑体"/>
          <w:color w:val="000000"/>
        </w:rPr>
      </w:pPr>
    </w:p>
    <w:p w14:paraId="406E91AD">
      <w:pPr>
        <w:jc w:val="center"/>
        <w:rPr>
          <w:rFonts w:ascii="黑体" w:hAnsi="黑体" w:eastAsia="黑体" w:cs="黑体"/>
          <w:color w:val="000000"/>
        </w:rPr>
      </w:pPr>
    </w:p>
    <w:p w14:paraId="7D0BD70A">
      <w:pPr>
        <w:jc w:val="center"/>
        <w:rPr>
          <w:rFonts w:ascii="方正大标宋_GBK" w:hAnsi="方正大标宋_GBK" w:eastAsia="方正大标宋_GBK" w:cs="方正大标宋_GBK"/>
          <w:color w:val="000000"/>
          <w:sz w:val="44"/>
          <w:szCs w:val="44"/>
        </w:rPr>
      </w:pPr>
      <w:r>
        <w:rPr>
          <w:rFonts w:hint="eastAsia" w:ascii="方正大标宋_GBK" w:hAnsi="方正大标宋_GBK" w:eastAsia="方正大标宋_GBK" w:cs="方正大标宋_GBK"/>
          <w:color w:val="000000"/>
          <w:sz w:val="44"/>
          <w:szCs w:val="44"/>
        </w:rPr>
        <w:t>目录</w:t>
      </w:r>
    </w:p>
    <w:p w14:paraId="456E846C">
      <w:pPr>
        <w:pStyle w:val="40"/>
        <w:tabs>
          <w:tab w:val="right" w:leader="dot" w:pos="8958"/>
        </w:tabs>
        <w:rPr>
          <w:rFonts w:ascii="方正小标宋简体" w:eastAsia="方正小标宋简体"/>
          <w:b/>
          <w:color w:val="000000"/>
        </w:rPr>
      </w:pPr>
      <w:r>
        <w:rPr>
          <w:rFonts w:hint="eastAsia" w:ascii="方正小标宋简体" w:eastAsia="方正小标宋简体"/>
          <w:b/>
          <w:color w:val="000000"/>
        </w:rPr>
        <w:t>石林彝族自治县</w:t>
      </w:r>
      <w:r>
        <w:fldChar w:fldCharType="begin"/>
      </w:r>
      <w:r>
        <w:instrText xml:space="preserve"> HYPERLINK \l "_Toc30955_WPSOffice_Level1" </w:instrText>
      </w:r>
      <w:r>
        <w:fldChar w:fldCharType="separate"/>
      </w:r>
      <w:r>
        <w:rPr>
          <w:rFonts w:hint="eastAsia" w:ascii="方正小标宋简体" w:hAnsi="方正小标宋简体" w:eastAsia="方正小标宋简体" w:cs="方正小标宋简体"/>
          <w:b/>
          <w:bCs/>
          <w:color w:val="000000"/>
        </w:rPr>
        <w:t>“十四五”民族团结进步发展规划</w:t>
      </w:r>
      <w:r>
        <w:rPr>
          <w:rFonts w:hint="eastAsia" w:ascii="方正小标宋简体" w:eastAsia="方正小标宋简体"/>
          <w:b/>
          <w:bCs/>
          <w:color w:val="000000"/>
        </w:rPr>
        <w:tab/>
      </w:r>
      <w:r>
        <w:rPr>
          <w:rFonts w:hint="eastAsia" w:ascii="方正小标宋简体" w:eastAsia="方正小标宋简体"/>
          <w:b/>
          <w:bCs/>
          <w:color w:val="000000"/>
        </w:rPr>
        <w:t>1</w:t>
      </w:r>
      <w:r>
        <w:rPr>
          <w:rFonts w:hint="eastAsia" w:ascii="方正小标宋简体" w:eastAsia="方正小标宋简体"/>
          <w:b/>
          <w:bCs/>
          <w:color w:val="000000"/>
        </w:rPr>
        <w:fldChar w:fldCharType="end"/>
      </w:r>
    </w:p>
    <w:p w14:paraId="16A6519C">
      <w:pPr>
        <w:pStyle w:val="40"/>
        <w:tabs>
          <w:tab w:val="right" w:leader="dot" w:pos="8958"/>
        </w:tabs>
        <w:rPr>
          <w:color w:val="000000"/>
        </w:rPr>
      </w:pPr>
      <w:r>
        <w:fldChar w:fldCharType="begin"/>
      </w:r>
      <w:r>
        <w:instrText xml:space="preserve"> HYPERLINK \l "_Toc3456_WPSOffice_Level1" </w:instrText>
      </w:r>
      <w:r>
        <w:fldChar w:fldCharType="separate"/>
      </w:r>
      <w:r>
        <w:rPr>
          <w:rFonts w:hint="eastAsia" w:eastAsia="黑体"/>
          <w:b/>
          <w:bCs/>
          <w:color w:val="000000"/>
        </w:rPr>
        <w:t>第一章“十三五”时期主要成绩</w:t>
      </w:r>
      <w:r>
        <w:rPr>
          <w:b/>
          <w:bCs/>
          <w:color w:val="000000"/>
        </w:rPr>
        <w:tab/>
      </w:r>
      <w:r>
        <w:rPr>
          <w:rFonts w:hint="eastAsia"/>
          <w:b/>
          <w:bCs/>
          <w:color w:val="000000"/>
        </w:rPr>
        <w:t>1</w:t>
      </w:r>
      <w:r>
        <w:rPr>
          <w:rFonts w:hint="eastAsia"/>
          <w:b/>
          <w:bCs/>
          <w:color w:val="000000"/>
        </w:rPr>
        <w:fldChar w:fldCharType="end"/>
      </w:r>
    </w:p>
    <w:p w14:paraId="47C1F3C0">
      <w:pPr>
        <w:pStyle w:val="44"/>
        <w:tabs>
          <w:tab w:val="right" w:leader="dot" w:pos="8958"/>
        </w:tabs>
        <w:ind w:left="420"/>
        <w:rPr>
          <w:color w:val="000000"/>
        </w:rPr>
      </w:pPr>
      <w:r>
        <w:fldChar w:fldCharType="begin"/>
      </w:r>
      <w:r>
        <w:instrText xml:space="preserve"> HYPERLINK \l "_Toc31512_WPSOffice_Level2" </w:instrText>
      </w:r>
      <w:r>
        <w:fldChar w:fldCharType="separate"/>
      </w:r>
      <w:r>
        <w:rPr>
          <w:rFonts w:hint="eastAsia" w:ascii="黑体" w:hAnsi="黑体" w:eastAsia="黑体" w:cs="黑体"/>
          <w:color w:val="000000"/>
        </w:rPr>
        <w:t>一、民族团结进步创建成效显著</w:t>
      </w:r>
      <w:r>
        <w:rPr>
          <w:color w:val="000000"/>
        </w:rPr>
        <w:tab/>
      </w:r>
      <w:r>
        <w:rPr>
          <w:rFonts w:hint="eastAsia"/>
          <w:color w:val="000000"/>
        </w:rPr>
        <w:t>1</w:t>
      </w:r>
      <w:r>
        <w:rPr>
          <w:rFonts w:hint="eastAsia"/>
          <w:color w:val="000000"/>
        </w:rPr>
        <w:fldChar w:fldCharType="end"/>
      </w:r>
    </w:p>
    <w:p w14:paraId="01C82AB6">
      <w:pPr>
        <w:pStyle w:val="44"/>
        <w:tabs>
          <w:tab w:val="right" w:leader="dot" w:pos="8958"/>
        </w:tabs>
        <w:ind w:left="420"/>
        <w:rPr>
          <w:color w:val="000000"/>
        </w:rPr>
      </w:pPr>
      <w:r>
        <w:fldChar w:fldCharType="begin"/>
      </w:r>
      <w:r>
        <w:instrText xml:space="preserve"> HYPERLINK \l "_Toc9528_WPSOffice_Level2" </w:instrText>
      </w:r>
      <w:r>
        <w:fldChar w:fldCharType="separate"/>
      </w:r>
      <w:r>
        <w:rPr>
          <w:rFonts w:hint="eastAsia" w:ascii="黑体" w:hAnsi="黑体" w:eastAsia="黑体" w:cs="黑体"/>
          <w:color w:val="000000"/>
        </w:rPr>
        <w:t>二、综合实力再上台阶</w:t>
      </w:r>
      <w:r>
        <w:rPr>
          <w:color w:val="000000"/>
        </w:rPr>
        <w:tab/>
      </w:r>
      <w:r>
        <w:rPr>
          <w:rFonts w:hint="eastAsia"/>
          <w:color w:val="000000"/>
        </w:rPr>
        <w:t>2</w:t>
      </w:r>
      <w:r>
        <w:rPr>
          <w:rFonts w:hint="eastAsia"/>
          <w:color w:val="000000"/>
        </w:rPr>
        <w:fldChar w:fldCharType="end"/>
      </w:r>
    </w:p>
    <w:p w14:paraId="3DD4FD18">
      <w:pPr>
        <w:pStyle w:val="44"/>
        <w:tabs>
          <w:tab w:val="right" w:leader="dot" w:pos="8958"/>
        </w:tabs>
        <w:ind w:left="420"/>
        <w:rPr>
          <w:color w:val="000000"/>
        </w:rPr>
      </w:pPr>
      <w:r>
        <w:fldChar w:fldCharType="begin"/>
      </w:r>
      <w:r>
        <w:instrText xml:space="preserve"> HYPERLINK \l "_Toc12116_WPSOffice_Level2" </w:instrText>
      </w:r>
      <w:r>
        <w:fldChar w:fldCharType="separate"/>
      </w:r>
      <w:r>
        <w:rPr>
          <w:rFonts w:hint="eastAsia" w:ascii="黑体" w:hAnsi="黑体" w:eastAsia="黑体" w:cs="黑体"/>
          <w:color w:val="000000"/>
        </w:rPr>
        <w:t>三、产业效益显著提升</w:t>
      </w:r>
      <w:r>
        <w:rPr>
          <w:color w:val="000000"/>
        </w:rPr>
        <w:tab/>
      </w:r>
      <w:r>
        <w:rPr>
          <w:rFonts w:hint="eastAsia"/>
          <w:color w:val="000000"/>
        </w:rPr>
        <w:t>2</w:t>
      </w:r>
      <w:r>
        <w:rPr>
          <w:rFonts w:hint="eastAsia"/>
          <w:color w:val="000000"/>
        </w:rPr>
        <w:fldChar w:fldCharType="end"/>
      </w:r>
    </w:p>
    <w:p w14:paraId="45949EFC">
      <w:pPr>
        <w:pStyle w:val="44"/>
        <w:tabs>
          <w:tab w:val="right" w:leader="dot" w:pos="8958"/>
        </w:tabs>
        <w:ind w:left="420"/>
        <w:rPr>
          <w:color w:val="000000"/>
        </w:rPr>
      </w:pPr>
      <w:r>
        <w:fldChar w:fldCharType="begin"/>
      </w:r>
      <w:r>
        <w:instrText xml:space="preserve"> HYPERLINK \l "_Toc5113_WPSOffice_Level2" </w:instrText>
      </w:r>
      <w:r>
        <w:fldChar w:fldCharType="separate"/>
      </w:r>
      <w:r>
        <w:rPr>
          <w:rFonts w:hint="eastAsia" w:ascii="黑体" w:hAnsi="黑体" w:eastAsia="黑体" w:cs="黑体"/>
          <w:color w:val="000000"/>
        </w:rPr>
        <w:t>四、三大攻坚战成效显著</w:t>
      </w:r>
      <w:r>
        <w:rPr>
          <w:color w:val="000000"/>
        </w:rPr>
        <w:tab/>
      </w:r>
      <w:r>
        <w:rPr>
          <w:rFonts w:hint="eastAsia"/>
          <w:color w:val="000000"/>
        </w:rPr>
        <w:t>3</w:t>
      </w:r>
      <w:r>
        <w:rPr>
          <w:rFonts w:hint="eastAsia"/>
          <w:color w:val="000000"/>
        </w:rPr>
        <w:fldChar w:fldCharType="end"/>
      </w:r>
    </w:p>
    <w:p w14:paraId="2BDDFF16">
      <w:pPr>
        <w:pStyle w:val="44"/>
        <w:tabs>
          <w:tab w:val="right" w:leader="dot" w:pos="8958"/>
        </w:tabs>
        <w:ind w:left="420"/>
        <w:rPr>
          <w:color w:val="000000"/>
        </w:rPr>
      </w:pPr>
      <w:r>
        <w:fldChar w:fldCharType="begin"/>
      </w:r>
      <w:r>
        <w:instrText xml:space="preserve"> HYPERLINK \l "_Toc18378_WPSOffice_Level2" </w:instrText>
      </w:r>
      <w:r>
        <w:fldChar w:fldCharType="separate"/>
      </w:r>
      <w:r>
        <w:rPr>
          <w:rFonts w:hint="eastAsia" w:ascii="黑体" w:hAnsi="黑体" w:eastAsia="黑体" w:cs="黑体"/>
          <w:color w:val="000000"/>
        </w:rPr>
        <w:t>五、城乡面貌显著改善</w:t>
      </w:r>
      <w:r>
        <w:rPr>
          <w:color w:val="000000"/>
        </w:rPr>
        <w:tab/>
      </w:r>
      <w:r>
        <w:rPr>
          <w:rFonts w:hint="eastAsia"/>
          <w:color w:val="000000"/>
        </w:rPr>
        <w:t>3</w:t>
      </w:r>
      <w:r>
        <w:rPr>
          <w:rFonts w:hint="eastAsia"/>
          <w:color w:val="000000"/>
        </w:rPr>
        <w:fldChar w:fldCharType="end"/>
      </w:r>
    </w:p>
    <w:p w14:paraId="1BCDEC07">
      <w:pPr>
        <w:pStyle w:val="44"/>
        <w:tabs>
          <w:tab w:val="right" w:leader="dot" w:pos="8958"/>
        </w:tabs>
        <w:ind w:left="420"/>
        <w:rPr>
          <w:color w:val="000000"/>
        </w:rPr>
      </w:pPr>
      <w:r>
        <w:fldChar w:fldCharType="begin"/>
      </w:r>
      <w:r>
        <w:instrText xml:space="preserve"> HYPERLINK \l "_Toc1800_WPSOffice_Level2" </w:instrText>
      </w:r>
      <w:r>
        <w:fldChar w:fldCharType="separate"/>
      </w:r>
      <w:r>
        <w:rPr>
          <w:rFonts w:hint="eastAsia" w:ascii="黑体" w:hAnsi="黑体" w:eastAsia="黑体" w:cs="黑体"/>
          <w:color w:val="000000"/>
        </w:rPr>
        <w:t>六、改革创新不断深化</w:t>
      </w:r>
      <w:r>
        <w:rPr>
          <w:color w:val="000000"/>
        </w:rPr>
        <w:tab/>
      </w:r>
      <w:r>
        <w:rPr>
          <w:rFonts w:hint="eastAsia"/>
          <w:color w:val="000000"/>
        </w:rPr>
        <w:t>4</w:t>
      </w:r>
      <w:r>
        <w:rPr>
          <w:rFonts w:hint="eastAsia"/>
          <w:color w:val="000000"/>
        </w:rPr>
        <w:fldChar w:fldCharType="end"/>
      </w:r>
    </w:p>
    <w:p w14:paraId="6A6A6CA7">
      <w:pPr>
        <w:pStyle w:val="44"/>
        <w:tabs>
          <w:tab w:val="right" w:leader="dot" w:pos="8958"/>
        </w:tabs>
        <w:ind w:left="420"/>
        <w:rPr>
          <w:color w:val="000000"/>
        </w:rPr>
      </w:pPr>
      <w:r>
        <w:fldChar w:fldCharType="begin"/>
      </w:r>
      <w:r>
        <w:instrText xml:space="preserve"> HYPERLINK \l "_Toc31080_WPSOffice_Level2" </w:instrText>
      </w:r>
      <w:r>
        <w:fldChar w:fldCharType="separate"/>
      </w:r>
      <w:r>
        <w:rPr>
          <w:rFonts w:hint="eastAsia" w:ascii="黑体" w:hAnsi="黑体" w:eastAsia="黑体" w:cs="黑体"/>
          <w:color w:val="000000"/>
        </w:rPr>
        <w:t>七、民族文化繁荣发展</w:t>
      </w:r>
      <w:r>
        <w:rPr>
          <w:color w:val="000000"/>
        </w:rPr>
        <w:tab/>
      </w:r>
      <w:r>
        <w:rPr>
          <w:rFonts w:hint="eastAsia"/>
          <w:color w:val="000000"/>
        </w:rPr>
        <w:t>5</w:t>
      </w:r>
      <w:r>
        <w:rPr>
          <w:rFonts w:hint="eastAsia"/>
          <w:color w:val="000000"/>
        </w:rPr>
        <w:fldChar w:fldCharType="end"/>
      </w:r>
    </w:p>
    <w:p w14:paraId="55016ED8">
      <w:pPr>
        <w:pStyle w:val="44"/>
        <w:tabs>
          <w:tab w:val="right" w:leader="dot" w:pos="8958"/>
        </w:tabs>
        <w:ind w:left="420"/>
        <w:rPr>
          <w:color w:val="000000"/>
        </w:rPr>
      </w:pPr>
      <w:r>
        <w:fldChar w:fldCharType="begin"/>
      </w:r>
      <w:r>
        <w:instrText xml:space="preserve"> HYPERLINK \l "_Toc4460_WPSOffice_Level2" </w:instrText>
      </w:r>
      <w:r>
        <w:fldChar w:fldCharType="separate"/>
      </w:r>
      <w:r>
        <w:rPr>
          <w:rFonts w:hint="eastAsia" w:ascii="黑体" w:hAnsi="黑体" w:eastAsia="黑体" w:cs="黑体"/>
          <w:color w:val="000000"/>
        </w:rPr>
        <w:t>八、民生福祉不断增进</w:t>
      </w:r>
      <w:r>
        <w:rPr>
          <w:color w:val="000000"/>
        </w:rPr>
        <w:tab/>
      </w:r>
      <w:r>
        <w:rPr>
          <w:rFonts w:hint="eastAsia"/>
          <w:color w:val="000000"/>
        </w:rPr>
        <w:t>5</w:t>
      </w:r>
      <w:r>
        <w:rPr>
          <w:rFonts w:hint="eastAsia"/>
          <w:color w:val="000000"/>
        </w:rPr>
        <w:fldChar w:fldCharType="end"/>
      </w:r>
    </w:p>
    <w:p w14:paraId="442C5C2F">
      <w:pPr>
        <w:pStyle w:val="44"/>
        <w:tabs>
          <w:tab w:val="right" w:leader="dot" w:pos="8958"/>
        </w:tabs>
        <w:ind w:left="420"/>
        <w:rPr>
          <w:color w:val="000000"/>
        </w:rPr>
      </w:pPr>
      <w:r>
        <w:fldChar w:fldCharType="begin"/>
      </w:r>
      <w:r>
        <w:instrText xml:space="preserve"> HYPERLINK \l "_Toc15779_WPSOffice_Level2" </w:instrText>
      </w:r>
      <w:r>
        <w:fldChar w:fldCharType="separate"/>
      </w:r>
      <w:r>
        <w:rPr>
          <w:rFonts w:hint="eastAsia" w:ascii="黑体" w:hAnsi="黑体" w:eastAsia="黑体" w:cs="黑体"/>
          <w:color w:val="000000"/>
        </w:rPr>
        <w:t>九、治理水平显著提升</w:t>
      </w:r>
      <w:r>
        <w:rPr>
          <w:color w:val="000000"/>
        </w:rPr>
        <w:tab/>
      </w:r>
      <w:r>
        <w:rPr>
          <w:rFonts w:hint="eastAsia"/>
          <w:color w:val="000000"/>
        </w:rPr>
        <w:t>6</w:t>
      </w:r>
      <w:r>
        <w:rPr>
          <w:rFonts w:hint="eastAsia"/>
          <w:color w:val="000000"/>
        </w:rPr>
        <w:fldChar w:fldCharType="end"/>
      </w:r>
    </w:p>
    <w:p w14:paraId="37E7B0AF">
      <w:pPr>
        <w:pStyle w:val="40"/>
        <w:tabs>
          <w:tab w:val="right" w:leader="dot" w:pos="8958"/>
        </w:tabs>
        <w:rPr>
          <w:color w:val="000000"/>
        </w:rPr>
      </w:pPr>
      <w:r>
        <w:fldChar w:fldCharType="begin"/>
      </w:r>
      <w:r>
        <w:instrText xml:space="preserve"> HYPERLINK \l "_Toc22313_WPSOffice_Level1" </w:instrText>
      </w:r>
      <w:r>
        <w:fldChar w:fldCharType="separate"/>
      </w:r>
      <w:r>
        <w:rPr>
          <w:rFonts w:hint="eastAsia" w:ascii="方正小标宋简体" w:hAnsi="方正小标宋简体" w:eastAsia="方正小标宋简体" w:cs="方正小标宋简体"/>
          <w:b/>
          <w:bCs/>
          <w:color w:val="000000"/>
        </w:rPr>
        <w:t>第二章 “十四五”时期发展形势</w:t>
      </w:r>
      <w:r>
        <w:rPr>
          <w:b/>
          <w:bCs/>
          <w:color w:val="000000"/>
        </w:rPr>
        <w:tab/>
      </w:r>
      <w:r>
        <w:rPr>
          <w:rFonts w:hint="eastAsia"/>
          <w:b/>
          <w:bCs/>
          <w:color w:val="000000"/>
        </w:rPr>
        <w:t>6</w:t>
      </w:r>
      <w:r>
        <w:rPr>
          <w:rFonts w:hint="eastAsia"/>
          <w:b/>
          <w:bCs/>
          <w:color w:val="000000"/>
        </w:rPr>
        <w:fldChar w:fldCharType="end"/>
      </w:r>
    </w:p>
    <w:p w14:paraId="6E96BEE8">
      <w:pPr>
        <w:pStyle w:val="44"/>
        <w:tabs>
          <w:tab w:val="right" w:leader="dot" w:pos="8958"/>
        </w:tabs>
        <w:ind w:left="420"/>
        <w:rPr>
          <w:color w:val="000000"/>
        </w:rPr>
      </w:pPr>
      <w:r>
        <w:fldChar w:fldCharType="begin"/>
      </w:r>
      <w:r>
        <w:instrText xml:space="preserve"> HYPERLINK \l "_Toc32584_WPSOffice_Level2" </w:instrText>
      </w:r>
      <w:r>
        <w:fldChar w:fldCharType="separate"/>
      </w:r>
      <w:r>
        <w:rPr>
          <w:rFonts w:hint="eastAsia" w:eastAsia="楷体" w:cs="楷体"/>
          <w:color w:val="000000"/>
        </w:rPr>
        <w:t>（一）铸牢中华民族共同体意识为石林县民族团结进步示范建设明确了新的工作主线</w:t>
      </w:r>
      <w:r>
        <w:rPr>
          <w:color w:val="000000"/>
        </w:rPr>
        <w:tab/>
      </w:r>
      <w:r>
        <w:rPr>
          <w:rFonts w:hint="eastAsia"/>
          <w:color w:val="000000"/>
        </w:rPr>
        <w:t>7</w:t>
      </w:r>
      <w:r>
        <w:rPr>
          <w:rFonts w:hint="eastAsia"/>
          <w:color w:val="000000"/>
        </w:rPr>
        <w:fldChar w:fldCharType="end"/>
      </w:r>
    </w:p>
    <w:p w14:paraId="76DE5F64">
      <w:pPr>
        <w:pStyle w:val="44"/>
        <w:tabs>
          <w:tab w:val="right" w:leader="dot" w:pos="8958"/>
        </w:tabs>
        <w:ind w:left="420"/>
        <w:rPr>
          <w:color w:val="000000"/>
        </w:rPr>
      </w:pPr>
      <w:r>
        <w:fldChar w:fldCharType="begin"/>
      </w:r>
      <w:r>
        <w:instrText xml:space="preserve"> HYPERLINK \l "_Toc31558_WPSOffice_Level2" </w:instrText>
      </w:r>
      <w:r>
        <w:fldChar w:fldCharType="separate"/>
      </w:r>
      <w:r>
        <w:rPr>
          <w:rFonts w:hint="eastAsia" w:eastAsia="楷体" w:cs="楷体"/>
          <w:color w:val="000000"/>
        </w:rPr>
        <w:t>（二）云南全力推进“三个定位”建设为石林县民族团结进步示范建设注入了新动能</w:t>
      </w:r>
      <w:r>
        <w:rPr>
          <w:color w:val="000000"/>
        </w:rPr>
        <w:tab/>
      </w:r>
      <w:r>
        <w:rPr>
          <w:rFonts w:hint="eastAsia"/>
          <w:color w:val="000000"/>
        </w:rPr>
        <w:t>8</w:t>
      </w:r>
      <w:r>
        <w:rPr>
          <w:rFonts w:hint="eastAsia"/>
          <w:color w:val="000000"/>
        </w:rPr>
        <w:fldChar w:fldCharType="end"/>
      </w:r>
    </w:p>
    <w:p w14:paraId="0575E2B3">
      <w:pPr>
        <w:pStyle w:val="44"/>
        <w:tabs>
          <w:tab w:val="right" w:leader="dot" w:pos="8958"/>
        </w:tabs>
        <w:ind w:left="420"/>
        <w:rPr>
          <w:color w:val="000000"/>
        </w:rPr>
      </w:pPr>
      <w:r>
        <w:fldChar w:fldCharType="begin"/>
      </w:r>
      <w:r>
        <w:instrText xml:space="preserve"> HYPERLINK \l "_Toc29419_WPSOffice_Level2" </w:instrText>
      </w:r>
      <w:r>
        <w:fldChar w:fldCharType="separate"/>
      </w:r>
      <w:r>
        <w:rPr>
          <w:rFonts w:hint="eastAsia" w:eastAsia="楷体" w:cs="楷体"/>
          <w:color w:val="000000"/>
        </w:rPr>
        <w:t>（三）民族团结进步示范创建成果为石林民族团结进步示范建设奠定了坚实的基础</w:t>
      </w:r>
      <w:r>
        <w:rPr>
          <w:color w:val="000000"/>
        </w:rPr>
        <w:tab/>
      </w:r>
      <w:r>
        <w:rPr>
          <w:rFonts w:hint="eastAsia"/>
          <w:color w:val="000000"/>
        </w:rPr>
        <w:t>8</w:t>
      </w:r>
      <w:r>
        <w:rPr>
          <w:rFonts w:hint="eastAsia"/>
          <w:color w:val="000000"/>
        </w:rPr>
        <w:fldChar w:fldCharType="end"/>
      </w:r>
    </w:p>
    <w:p w14:paraId="2C19F0F0">
      <w:pPr>
        <w:pStyle w:val="40"/>
        <w:tabs>
          <w:tab w:val="right" w:leader="dot" w:pos="8958"/>
        </w:tabs>
        <w:rPr>
          <w:color w:val="000000"/>
        </w:rPr>
      </w:pPr>
      <w:r>
        <w:fldChar w:fldCharType="begin"/>
      </w:r>
      <w:r>
        <w:instrText xml:space="preserve"> HYPERLINK \l "_Toc12042_WPSOffice_Level1" </w:instrText>
      </w:r>
      <w:r>
        <w:fldChar w:fldCharType="separate"/>
      </w:r>
      <w:r>
        <w:rPr>
          <w:rFonts w:hint="eastAsia" w:eastAsia="黑体"/>
          <w:b/>
          <w:bCs/>
          <w:color w:val="000000"/>
        </w:rPr>
        <w:t>第三章  “十四五”时期总体思路</w:t>
      </w:r>
      <w:r>
        <w:rPr>
          <w:b/>
          <w:bCs/>
          <w:color w:val="000000"/>
        </w:rPr>
        <w:tab/>
      </w:r>
      <w:r>
        <w:rPr>
          <w:rFonts w:hint="eastAsia"/>
          <w:b/>
          <w:bCs/>
          <w:color w:val="000000"/>
        </w:rPr>
        <w:t>9</w:t>
      </w:r>
      <w:r>
        <w:rPr>
          <w:rFonts w:hint="eastAsia"/>
          <w:b/>
          <w:bCs/>
          <w:color w:val="000000"/>
        </w:rPr>
        <w:fldChar w:fldCharType="end"/>
      </w:r>
    </w:p>
    <w:p w14:paraId="377150DC">
      <w:pPr>
        <w:pStyle w:val="44"/>
        <w:tabs>
          <w:tab w:val="right" w:leader="dot" w:pos="8958"/>
        </w:tabs>
        <w:ind w:left="420"/>
        <w:rPr>
          <w:color w:val="000000"/>
        </w:rPr>
      </w:pPr>
      <w:r>
        <w:fldChar w:fldCharType="begin"/>
      </w:r>
      <w:r>
        <w:instrText xml:space="preserve"> HYPERLINK \l "_Toc8116_WPSOffice_Level2" </w:instrText>
      </w:r>
      <w:r>
        <w:fldChar w:fldCharType="separate"/>
      </w:r>
      <w:r>
        <w:rPr>
          <w:rFonts w:hint="eastAsia" w:ascii="黑体" w:hAnsi="黑体" w:eastAsia="黑体" w:cs="黑体"/>
          <w:color w:val="000000"/>
        </w:rPr>
        <w:t>一、指导思想</w:t>
      </w:r>
      <w:r>
        <w:rPr>
          <w:color w:val="000000"/>
        </w:rPr>
        <w:tab/>
      </w:r>
      <w:r>
        <w:rPr>
          <w:rFonts w:hint="eastAsia"/>
          <w:color w:val="000000"/>
        </w:rPr>
        <w:t>9</w:t>
      </w:r>
      <w:r>
        <w:rPr>
          <w:rFonts w:hint="eastAsia"/>
          <w:color w:val="000000"/>
        </w:rPr>
        <w:fldChar w:fldCharType="end"/>
      </w:r>
    </w:p>
    <w:p w14:paraId="7A92C66C">
      <w:pPr>
        <w:pStyle w:val="44"/>
        <w:tabs>
          <w:tab w:val="right" w:leader="dot" w:pos="8958"/>
        </w:tabs>
        <w:ind w:left="420"/>
        <w:rPr>
          <w:color w:val="000000"/>
        </w:rPr>
      </w:pPr>
      <w:r>
        <w:fldChar w:fldCharType="begin"/>
      </w:r>
      <w:r>
        <w:instrText xml:space="preserve"> HYPERLINK \l "_Toc29715_WPSOffice_Level2" </w:instrText>
      </w:r>
      <w:r>
        <w:fldChar w:fldCharType="separate"/>
      </w:r>
      <w:r>
        <w:rPr>
          <w:rFonts w:hint="eastAsia" w:ascii="黑体" w:hAnsi="黑体" w:eastAsia="黑体" w:cs="黑体"/>
          <w:color w:val="000000"/>
        </w:rPr>
        <w:t>二、基本原则</w:t>
      </w:r>
      <w:r>
        <w:rPr>
          <w:color w:val="000000"/>
        </w:rPr>
        <w:tab/>
      </w:r>
      <w:bookmarkStart w:id="1" w:name="_Toc29715_WPSOffice_Level2Page"/>
      <w:r>
        <w:rPr>
          <w:color w:val="000000"/>
        </w:rPr>
        <w:t>1</w:t>
      </w:r>
      <w:bookmarkEnd w:id="1"/>
      <w:r>
        <w:rPr>
          <w:rFonts w:hint="eastAsia"/>
          <w:color w:val="000000"/>
        </w:rPr>
        <w:t>0</w:t>
      </w:r>
      <w:r>
        <w:rPr>
          <w:rFonts w:hint="eastAsia"/>
          <w:color w:val="000000"/>
        </w:rPr>
        <w:fldChar w:fldCharType="end"/>
      </w:r>
    </w:p>
    <w:p w14:paraId="74AD5897">
      <w:pPr>
        <w:pStyle w:val="44"/>
        <w:tabs>
          <w:tab w:val="right" w:leader="dot" w:pos="8958"/>
        </w:tabs>
        <w:ind w:left="420"/>
        <w:rPr>
          <w:color w:val="000000"/>
        </w:rPr>
      </w:pPr>
      <w:r>
        <w:fldChar w:fldCharType="begin"/>
      </w:r>
      <w:r>
        <w:instrText xml:space="preserve"> HYPERLINK \l "_Toc913_WPSOffice_Level2" </w:instrText>
      </w:r>
      <w:r>
        <w:fldChar w:fldCharType="separate"/>
      </w:r>
      <w:r>
        <w:rPr>
          <w:rFonts w:hint="eastAsia" w:ascii="黑体" w:hAnsi="黑体" w:eastAsia="黑体" w:cs="黑体"/>
          <w:color w:val="000000"/>
        </w:rPr>
        <w:t>三、主要目标</w:t>
      </w:r>
      <w:r>
        <w:rPr>
          <w:color w:val="000000"/>
        </w:rPr>
        <w:tab/>
      </w:r>
      <w:bookmarkStart w:id="2" w:name="_Toc913_WPSOffice_Level2Page"/>
      <w:r>
        <w:rPr>
          <w:color w:val="000000"/>
        </w:rPr>
        <w:t>1</w:t>
      </w:r>
      <w:bookmarkEnd w:id="2"/>
      <w:r>
        <w:rPr>
          <w:rFonts w:hint="eastAsia"/>
          <w:color w:val="000000"/>
        </w:rPr>
        <w:t>1</w:t>
      </w:r>
      <w:r>
        <w:rPr>
          <w:rFonts w:hint="eastAsia"/>
          <w:color w:val="000000"/>
        </w:rPr>
        <w:fldChar w:fldCharType="end"/>
      </w:r>
    </w:p>
    <w:p w14:paraId="082CECEB">
      <w:pPr>
        <w:pStyle w:val="40"/>
        <w:tabs>
          <w:tab w:val="right" w:leader="dot" w:pos="8958"/>
        </w:tabs>
        <w:rPr>
          <w:color w:val="000000"/>
        </w:rPr>
      </w:pPr>
      <w:r>
        <w:fldChar w:fldCharType="begin"/>
      </w:r>
      <w:r>
        <w:instrText xml:space="preserve"> HYPERLINK \l "_Toc22051_WPSOffice_Level1" </w:instrText>
      </w:r>
      <w:r>
        <w:fldChar w:fldCharType="separate"/>
      </w:r>
      <w:r>
        <w:rPr>
          <w:rFonts w:hint="eastAsia" w:ascii="黑体" w:hAnsi="黑体" w:eastAsia="黑体" w:cs="黑体"/>
          <w:b/>
          <w:bCs/>
          <w:color w:val="000000"/>
        </w:rPr>
        <w:t>第四章  “十四五”时期主要任务</w:t>
      </w:r>
      <w:r>
        <w:rPr>
          <w:b/>
          <w:bCs/>
          <w:color w:val="000000"/>
        </w:rPr>
        <w:tab/>
      </w:r>
      <w:bookmarkStart w:id="3" w:name="_Toc22051_WPSOffice_Level1Page"/>
      <w:r>
        <w:rPr>
          <w:b/>
          <w:bCs/>
          <w:color w:val="000000"/>
        </w:rPr>
        <w:t>1</w:t>
      </w:r>
      <w:bookmarkEnd w:id="3"/>
      <w:r>
        <w:rPr>
          <w:rFonts w:hint="eastAsia"/>
          <w:b/>
          <w:bCs/>
          <w:color w:val="000000"/>
        </w:rPr>
        <w:t>4</w:t>
      </w:r>
      <w:r>
        <w:rPr>
          <w:rFonts w:hint="eastAsia"/>
          <w:b/>
          <w:bCs/>
          <w:color w:val="000000"/>
        </w:rPr>
        <w:fldChar w:fldCharType="end"/>
      </w:r>
    </w:p>
    <w:p w14:paraId="5B099439">
      <w:pPr>
        <w:pStyle w:val="44"/>
        <w:tabs>
          <w:tab w:val="right" w:leader="dot" w:pos="8958"/>
        </w:tabs>
        <w:ind w:left="420"/>
        <w:rPr>
          <w:color w:val="000000"/>
        </w:rPr>
      </w:pPr>
      <w:r>
        <w:fldChar w:fldCharType="begin"/>
      </w:r>
      <w:r>
        <w:instrText xml:space="preserve"> HYPERLINK \l "_Toc26945_WPSOffice_Level2" </w:instrText>
      </w:r>
      <w:r>
        <w:fldChar w:fldCharType="separate"/>
      </w:r>
      <w:r>
        <w:rPr>
          <w:rFonts w:hint="eastAsia" w:ascii="黑体" w:hAnsi="黑体" w:eastAsia="黑体" w:cs="黑体"/>
          <w:color w:val="000000"/>
        </w:rPr>
        <w:t>第一节 加强党对民族宗教工作的全面领导，在夯实中华民族共同体政治基础上作出表率</w:t>
      </w:r>
      <w:r>
        <w:rPr>
          <w:color w:val="000000"/>
        </w:rPr>
        <w:tab/>
      </w:r>
      <w:r>
        <w:rPr>
          <w:color w:val="000000"/>
        </w:rPr>
        <w:t>1</w:t>
      </w:r>
      <w:r>
        <w:rPr>
          <w:rFonts w:hint="eastAsia"/>
          <w:color w:val="000000"/>
        </w:rPr>
        <w:t>4</w:t>
      </w:r>
      <w:r>
        <w:rPr>
          <w:rFonts w:hint="eastAsia"/>
          <w:color w:val="000000"/>
        </w:rPr>
        <w:fldChar w:fldCharType="end"/>
      </w:r>
    </w:p>
    <w:p w14:paraId="3CCEC473">
      <w:pPr>
        <w:pStyle w:val="44"/>
        <w:tabs>
          <w:tab w:val="right" w:leader="dot" w:pos="8958"/>
        </w:tabs>
        <w:ind w:left="420"/>
        <w:rPr>
          <w:color w:val="000000"/>
        </w:rPr>
      </w:pPr>
      <w:r>
        <w:fldChar w:fldCharType="begin"/>
      </w:r>
      <w:r>
        <w:instrText xml:space="preserve"> HYPERLINK \l "_Toc26945_WPSOffice_Level2" </w:instrText>
      </w:r>
      <w:r>
        <w:fldChar w:fldCharType="separate"/>
      </w:r>
      <w:r>
        <w:rPr>
          <w:rFonts w:hint="eastAsia" w:eastAsia="楷体" w:cs="楷体"/>
          <w:color w:val="000000"/>
        </w:rPr>
        <w:t>一、持续加强思想政治引领</w:t>
      </w:r>
      <w:r>
        <w:rPr>
          <w:color w:val="000000"/>
        </w:rPr>
        <w:tab/>
      </w:r>
      <w:bookmarkStart w:id="4" w:name="_Toc26945_WPSOffice_Level2Page"/>
      <w:r>
        <w:rPr>
          <w:color w:val="000000"/>
        </w:rPr>
        <w:t>1</w:t>
      </w:r>
      <w:bookmarkEnd w:id="4"/>
      <w:r>
        <w:rPr>
          <w:rFonts w:hint="eastAsia"/>
          <w:color w:val="000000"/>
        </w:rPr>
        <w:t>4</w:t>
      </w:r>
      <w:r>
        <w:rPr>
          <w:rFonts w:hint="eastAsia"/>
          <w:color w:val="000000"/>
        </w:rPr>
        <w:fldChar w:fldCharType="end"/>
      </w:r>
    </w:p>
    <w:p w14:paraId="617228E9">
      <w:pPr>
        <w:pStyle w:val="44"/>
        <w:tabs>
          <w:tab w:val="right" w:leader="dot" w:pos="8958"/>
        </w:tabs>
        <w:ind w:left="420"/>
        <w:rPr>
          <w:color w:val="000000"/>
        </w:rPr>
      </w:pPr>
      <w:r>
        <w:fldChar w:fldCharType="begin"/>
      </w:r>
      <w:r>
        <w:instrText xml:space="preserve"> HYPERLINK \l "_Toc18392_WPSOffice_Level2" </w:instrText>
      </w:r>
      <w:r>
        <w:fldChar w:fldCharType="separate"/>
      </w:r>
      <w:r>
        <w:rPr>
          <w:rFonts w:hint="eastAsia" w:eastAsia="楷体" w:cs="楷体"/>
          <w:color w:val="000000"/>
        </w:rPr>
        <w:t>二、健全完善党的领导机制</w:t>
      </w:r>
      <w:r>
        <w:rPr>
          <w:color w:val="000000"/>
        </w:rPr>
        <w:tab/>
      </w:r>
      <w:bookmarkStart w:id="5" w:name="_Toc18392_WPSOffice_Level2Page"/>
      <w:r>
        <w:rPr>
          <w:color w:val="000000"/>
        </w:rPr>
        <w:t>1</w:t>
      </w:r>
      <w:bookmarkEnd w:id="5"/>
      <w:r>
        <w:rPr>
          <w:rFonts w:hint="eastAsia"/>
          <w:color w:val="000000"/>
        </w:rPr>
        <w:t>5</w:t>
      </w:r>
      <w:r>
        <w:rPr>
          <w:rFonts w:hint="eastAsia"/>
          <w:color w:val="000000"/>
        </w:rPr>
        <w:fldChar w:fldCharType="end"/>
      </w:r>
    </w:p>
    <w:p w14:paraId="06C18861">
      <w:pPr>
        <w:pStyle w:val="44"/>
        <w:tabs>
          <w:tab w:val="right" w:leader="dot" w:pos="8958"/>
        </w:tabs>
        <w:ind w:left="420"/>
        <w:rPr>
          <w:color w:val="000000"/>
        </w:rPr>
      </w:pPr>
      <w:r>
        <w:fldChar w:fldCharType="begin"/>
      </w:r>
      <w:r>
        <w:instrText xml:space="preserve"> HYPERLINK \l "_Toc28717_WPSOffice_Level2" </w:instrText>
      </w:r>
      <w:r>
        <w:fldChar w:fldCharType="separate"/>
      </w:r>
      <w:r>
        <w:rPr>
          <w:rFonts w:hint="eastAsia" w:eastAsia="楷体" w:cs="楷体"/>
          <w:color w:val="000000"/>
        </w:rPr>
        <w:t>三、提升基层党组织组织力</w:t>
      </w:r>
      <w:r>
        <w:rPr>
          <w:color w:val="000000"/>
        </w:rPr>
        <w:tab/>
      </w:r>
      <w:bookmarkStart w:id="6" w:name="_Toc28717_WPSOffice_Level2Page"/>
      <w:r>
        <w:rPr>
          <w:color w:val="000000"/>
        </w:rPr>
        <w:t>1</w:t>
      </w:r>
      <w:bookmarkEnd w:id="6"/>
      <w:r>
        <w:rPr>
          <w:rFonts w:hint="eastAsia"/>
          <w:color w:val="000000"/>
        </w:rPr>
        <w:t>6</w:t>
      </w:r>
      <w:r>
        <w:rPr>
          <w:rFonts w:hint="eastAsia"/>
          <w:color w:val="000000"/>
        </w:rPr>
        <w:fldChar w:fldCharType="end"/>
      </w:r>
    </w:p>
    <w:p w14:paraId="2ACBB277">
      <w:pPr>
        <w:pStyle w:val="44"/>
        <w:tabs>
          <w:tab w:val="right" w:leader="dot" w:pos="8958"/>
        </w:tabs>
        <w:ind w:left="420"/>
        <w:rPr>
          <w:color w:val="000000"/>
        </w:rPr>
      </w:pPr>
      <w:r>
        <w:fldChar w:fldCharType="begin"/>
      </w:r>
      <w:r>
        <w:instrText xml:space="preserve"> HYPERLINK \l "_Toc18194_WPSOffice_Level2" </w:instrText>
      </w:r>
      <w:r>
        <w:fldChar w:fldCharType="separate"/>
      </w:r>
      <w:r>
        <w:rPr>
          <w:rFonts w:hint="eastAsia" w:eastAsia="楷体" w:cs="楷体"/>
          <w:color w:val="000000"/>
        </w:rPr>
        <w:t>四、深化爱党爱国宣传教育</w:t>
      </w:r>
      <w:r>
        <w:rPr>
          <w:color w:val="000000"/>
        </w:rPr>
        <w:tab/>
      </w:r>
      <w:bookmarkStart w:id="7" w:name="_Toc18194_WPSOffice_Level2Page"/>
      <w:r>
        <w:rPr>
          <w:color w:val="000000"/>
        </w:rPr>
        <w:t>1</w:t>
      </w:r>
      <w:bookmarkEnd w:id="7"/>
      <w:r>
        <w:rPr>
          <w:rFonts w:hint="eastAsia"/>
          <w:color w:val="000000"/>
        </w:rPr>
        <w:t>7</w:t>
      </w:r>
      <w:r>
        <w:rPr>
          <w:rFonts w:hint="eastAsia"/>
          <w:color w:val="000000"/>
        </w:rPr>
        <w:fldChar w:fldCharType="end"/>
      </w:r>
    </w:p>
    <w:p w14:paraId="293010F8">
      <w:pPr>
        <w:pStyle w:val="44"/>
        <w:tabs>
          <w:tab w:val="right" w:leader="dot" w:pos="8958"/>
        </w:tabs>
        <w:ind w:left="420"/>
        <w:rPr>
          <w:color w:val="000000"/>
        </w:rPr>
      </w:pPr>
      <w:r>
        <w:fldChar w:fldCharType="begin"/>
      </w:r>
      <w:r>
        <w:instrText xml:space="preserve"> HYPERLINK \l "_Toc15911_WPSOffice_Level2" </w:instrText>
      </w:r>
      <w:r>
        <w:fldChar w:fldCharType="separate"/>
      </w:r>
      <w:r>
        <w:rPr>
          <w:rFonts w:hint="eastAsia" w:eastAsia="楷体" w:cs="楷体"/>
          <w:color w:val="000000"/>
        </w:rPr>
        <w:t>五、加强干部人才队伍建设</w:t>
      </w:r>
      <w:r>
        <w:rPr>
          <w:color w:val="000000"/>
        </w:rPr>
        <w:tab/>
      </w:r>
      <w:r>
        <w:rPr>
          <w:rFonts w:hint="eastAsia"/>
          <w:color w:val="000000"/>
        </w:rPr>
        <w:t>1</w:t>
      </w:r>
      <w:r>
        <w:rPr>
          <w:rFonts w:hint="eastAsia"/>
          <w:color w:val="000000"/>
        </w:rPr>
        <w:fldChar w:fldCharType="end"/>
      </w:r>
      <w:r>
        <w:rPr>
          <w:rFonts w:hint="eastAsia"/>
          <w:color w:val="000000"/>
        </w:rPr>
        <w:t>7</w:t>
      </w:r>
    </w:p>
    <w:p w14:paraId="4936CF5C">
      <w:pPr>
        <w:pStyle w:val="44"/>
        <w:tabs>
          <w:tab w:val="right" w:leader="dot" w:pos="8958"/>
        </w:tabs>
        <w:ind w:left="420"/>
        <w:rPr>
          <w:color w:val="000000"/>
        </w:rPr>
      </w:pPr>
      <w:r>
        <w:fldChar w:fldCharType="begin"/>
      </w:r>
      <w:r>
        <w:instrText xml:space="preserve"> HYPERLINK \l "_Toc26945_WPSOffice_Level2" </w:instrText>
      </w:r>
      <w:r>
        <w:fldChar w:fldCharType="separate"/>
      </w:r>
      <w:r>
        <w:rPr>
          <w:rFonts w:hint="eastAsia" w:ascii="黑体" w:hAnsi="黑体" w:eastAsia="黑体" w:cs="黑体"/>
          <w:color w:val="000000"/>
        </w:rPr>
        <w:t>第二节 推进中华民族共有精神家园建设，在夯实中华民族共同体文化基础上作出表率</w:t>
      </w:r>
      <w:r>
        <w:rPr>
          <w:color w:val="000000"/>
        </w:rPr>
        <w:tab/>
      </w:r>
      <w:r>
        <w:rPr>
          <w:rFonts w:hint="eastAsia"/>
          <w:color w:val="000000"/>
        </w:rPr>
        <w:t>19</w:t>
      </w:r>
      <w:r>
        <w:rPr>
          <w:rFonts w:hint="eastAsia"/>
          <w:color w:val="000000"/>
        </w:rPr>
        <w:fldChar w:fldCharType="end"/>
      </w:r>
    </w:p>
    <w:p w14:paraId="04BF7860">
      <w:pPr>
        <w:pStyle w:val="44"/>
        <w:tabs>
          <w:tab w:val="right" w:leader="dot" w:pos="8958"/>
        </w:tabs>
        <w:ind w:left="420"/>
        <w:rPr>
          <w:color w:val="000000"/>
        </w:rPr>
      </w:pPr>
      <w:r>
        <w:fldChar w:fldCharType="begin"/>
      </w:r>
      <w:r>
        <w:instrText xml:space="preserve"> HYPERLINK \l "_Toc25421_WPSOffice_Level2" </w:instrText>
      </w:r>
      <w:r>
        <w:fldChar w:fldCharType="separate"/>
      </w:r>
      <w:r>
        <w:rPr>
          <w:rFonts w:hint="eastAsia" w:eastAsia="楷体" w:cs="楷体"/>
          <w:color w:val="000000"/>
        </w:rPr>
        <w:t>一、弘扬和践行社会主义核心价值观</w:t>
      </w:r>
      <w:r>
        <w:rPr>
          <w:color w:val="000000"/>
        </w:rPr>
        <w:tab/>
      </w:r>
      <w:bookmarkStart w:id="8" w:name="_Toc25421_WPSOffice_Level2Page"/>
      <w:r>
        <w:rPr>
          <w:rFonts w:hint="eastAsia"/>
          <w:color w:val="000000"/>
        </w:rPr>
        <w:t>1</w:t>
      </w:r>
      <w:bookmarkEnd w:id="8"/>
      <w:r>
        <w:rPr>
          <w:rFonts w:hint="eastAsia"/>
          <w:color w:val="000000"/>
        </w:rPr>
        <w:t>9</w:t>
      </w:r>
      <w:r>
        <w:rPr>
          <w:rFonts w:hint="eastAsia"/>
          <w:color w:val="000000"/>
        </w:rPr>
        <w:fldChar w:fldCharType="end"/>
      </w:r>
    </w:p>
    <w:p w14:paraId="7BAE9DD0">
      <w:pPr>
        <w:pStyle w:val="44"/>
        <w:tabs>
          <w:tab w:val="right" w:leader="dot" w:pos="8958"/>
        </w:tabs>
        <w:ind w:left="420"/>
        <w:rPr>
          <w:color w:val="000000"/>
        </w:rPr>
      </w:pPr>
      <w:r>
        <w:fldChar w:fldCharType="begin"/>
      </w:r>
      <w:r>
        <w:instrText xml:space="preserve"> HYPERLINK \l "_Toc7068_WPSOffice_Level2" </w:instrText>
      </w:r>
      <w:r>
        <w:fldChar w:fldCharType="separate"/>
      </w:r>
      <w:r>
        <w:rPr>
          <w:rFonts w:hint="eastAsia" w:eastAsia="楷体" w:cs="楷体"/>
          <w:color w:val="000000"/>
        </w:rPr>
        <w:t>二、树立中华文化符号和中华民族形象</w:t>
      </w:r>
      <w:r>
        <w:rPr>
          <w:color w:val="000000"/>
        </w:rPr>
        <w:tab/>
      </w:r>
      <w:bookmarkStart w:id="9" w:name="_Toc7068_WPSOffice_Level2Page"/>
      <w:r>
        <w:rPr>
          <w:color w:val="000000"/>
        </w:rPr>
        <w:t>2</w:t>
      </w:r>
      <w:bookmarkEnd w:id="9"/>
      <w:r>
        <w:rPr>
          <w:rFonts w:hint="eastAsia"/>
          <w:color w:val="000000"/>
        </w:rPr>
        <w:t>0</w:t>
      </w:r>
      <w:r>
        <w:rPr>
          <w:rFonts w:hint="eastAsia"/>
          <w:color w:val="000000"/>
        </w:rPr>
        <w:fldChar w:fldCharType="end"/>
      </w:r>
    </w:p>
    <w:p w14:paraId="7C38E1CC">
      <w:pPr>
        <w:pStyle w:val="44"/>
        <w:tabs>
          <w:tab w:val="right" w:leader="dot" w:pos="8958"/>
        </w:tabs>
        <w:ind w:left="420"/>
        <w:rPr>
          <w:color w:val="000000"/>
        </w:rPr>
      </w:pPr>
      <w:r>
        <w:fldChar w:fldCharType="begin"/>
      </w:r>
      <w:r>
        <w:instrText xml:space="preserve"> HYPERLINK \l "_Toc26268_WPSOffice_Level2" </w:instrText>
      </w:r>
      <w:r>
        <w:fldChar w:fldCharType="separate"/>
      </w:r>
      <w:r>
        <w:rPr>
          <w:rFonts w:hint="eastAsia" w:eastAsia="楷体" w:cs="楷体"/>
          <w:color w:val="000000"/>
        </w:rPr>
        <w:t>三、推动各民族文化传承保护</w:t>
      </w:r>
      <w:r>
        <w:rPr>
          <w:color w:val="000000"/>
        </w:rPr>
        <w:tab/>
      </w:r>
      <w:bookmarkStart w:id="10" w:name="_Toc26268_WPSOffice_Level2Page"/>
      <w:r>
        <w:rPr>
          <w:color w:val="000000"/>
        </w:rPr>
        <w:t>2</w:t>
      </w:r>
      <w:bookmarkEnd w:id="10"/>
      <w:r>
        <w:rPr>
          <w:rFonts w:hint="eastAsia"/>
          <w:color w:val="000000"/>
        </w:rPr>
        <w:t>0</w:t>
      </w:r>
      <w:r>
        <w:rPr>
          <w:rFonts w:hint="eastAsia"/>
          <w:color w:val="000000"/>
        </w:rPr>
        <w:fldChar w:fldCharType="end"/>
      </w:r>
    </w:p>
    <w:p w14:paraId="506B2720">
      <w:pPr>
        <w:pStyle w:val="44"/>
        <w:tabs>
          <w:tab w:val="right" w:leader="dot" w:pos="8958"/>
        </w:tabs>
        <w:ind w:left="420"/>
        <w:rPr>
          <w:color w:val="000000"/>
        </w:rPr>
      </w:pPr>
      <w:r>
        <w:fldChar w:fldCharType="begin"/>
      </w:r>
      <w:r>
        <w:instrText xml:space="preserve"> HYPERLINK \l "_Toc10310_WPSOffice_Level2" </w:instrText>
      </w:r>
      <w:r>
        <w:fldChar w:fldCharType="separate"/>
      </w:r>
      <w:r>
        <w:rPr>
          <w:rFonts w:hint="eastAsia" w:eastAsia="楷体" w:cs="楷体"/>
          <w:color w:val="000000"/>
        </w:rPr>
        <w:t>四、促进各民族文化创新交融</w:t>
      </w:r>
      <w:r>
        <w:rPr>
          <w:color w:val="000000"/>
        </w:rPr>
        <w:tab/>
      </w:r>
      <w:bookmarkStart w:id="11" w:name="_Toc10310_WPSOffice_Level2Page"/>
      <w:r>
        <w:rPr>
          <w:color w:val="000000"/>
        </w:rPr>
        <w:t>2</w:t>
      </w:r>
      <w:bookmarkEnd w:id="11"/>
      <w:r>
        <w:rPr>
          <w:rFonts w:hint="eastAsia"/>
          <w:color w:val="000000"/>
        </w:rPr>
        <w:t>1</w:t>
      </w:r>
      <w:r>
        <w:rPr>
          <w:rFonts w:hint="eastAsia"/>
          <w:color w:val="000000"/>
        </w:rPr>
        <w:fldChar w:fldCharType="end"/>
      </w:r>
    </w:p>
    <w:p w14:paraId="361E6C76">
      <w:pPr>
        <w:pStyle w:val="44"/>
        <w:tabs>
          <w:tab w:val="right" w:leader="dot" w:pos="8958"/>
        </w:tabs>
        <w:ind w:left="420"/>
        <w:rPr>
          <w:color w:val="000000"/>
        </w:rPr>
      </w:pPr>
      <w:r>
        <w:fldChar w:fldCharType="begin"/>
      </w:r>
      <w:r>
        <w:instrText xml:space="preserve"> HYPERLINK \l "_Toc16380_WPSOffice_Level2" </w:instrText>
      </w:r>
      <w:r>
        <w:fldChar w:fldCharType="separate"/>
      </w:r>
      <w:r>
        <w:rPr>
          <w:rFonts w:hint="eastAsia" w:eastAsia="楷体" w:cs="楷体"/>
          <w:color w:val="000000"/>
        </w:rPr>
        <w:t>五、全面推广普及国家通用语言文字</w:t>
      </w:r>
      <w:r>
        <w:rPr>
          <w:color w:val="000000"/>
        </w:rPr>
        <w:tab/>
      </w:r>
      <w:bookmarkStart w:id="12" w:name="_Toc16380_WPSOffice_Level2Page"/>
      <w:r>
        <w:rPr>
          <w:color w:val="000000"/>
        </w:rPr>
        <w:t>2</w:t>
      </w:r>
      <w:bookmarkEnd w:id="12"/>
      <w:r>
        <w:rPr>
          <w:rFonts w:hint="eastAsia"/>
          <w:color w:val="000000"/>
        </w:rPr>
        <w:t>2</w:t>
      </w:r>
      <w:r>
        <w:rPr>
          <w:rFonts w:hint="eastAsia"/>
          <w:color w:val="000000"/>
        </w:rPr>
        <w:fldChar w:fldCharType="end"/>
      </w:r>
    </w:p>
    <w:p w14:paraId="12E2824B">
      <w:pPr>
        <w:pStyle w:val="44"/>
        <w:tabs>
          <w:tab w:val="right" w:leader="dot" w:pos="8958"/>
        </w:tabs>
        <w:ind w:left="420"/>
        <w:rPr>
          <w:color w:val="000000"/>
        </w:rPr>
      </w:pPr>
      <w:r>
        <w:fldChar w:fldCharType="begin"/>
      </w:r>
      <w:r>
        <w:instrText xml:space="preserve"> HYPERLINK \l "_Toc26945_WPSOffice_Level2" </w:instrText>
      </w:r>
      <w:r>
        <w:fldChar w:fldCharType="separate"/>
      </w:r>
      <w:r>
        <w:rPr>
          <w:rFonts w:hint="eastAsia" w:ascii="黑体" w:hAnsi="黑体" w:eastAsia="黑体" w:cs="黑体"/>
          <w:color w:val="000000"/>
        </w:rPr>
        <w:t>第三节 推动各民族共同走向社会主义现代化，在夯实中华民族共同体物质基础上作出表率</w:t>
      </w:r>
      <w:r>
        <w:rPr>
          <w:color w:val="000000"/>
        </w:rPr>
        <w:tab/>
      </w:r>
      <w:r>
        <w:rPr>
          <w:rFonts w:hint="eastAsia"/>
          <w:color w:val="000000"/>
        </w:rPr>
        <w:t>2</w:t>
      </w:r>
      <w:r>
        <w:rPr>
          <w:rFonts w:hint="eastAsia"/>
          <w:color w:val="000000"/>
        </w:rPr>
        <w:fldChar w:fldCharType="end"/>
      </w:r>
      <w:r>
        <w:rPr>
          <w:rFonts w:hint="eastAsia"/>
          <w:color w:val="000000"/>
        </w:rPr>
        <w:t>4</w:t>
      </w:r>
    </w:p>
    <w:p w14:paraId="479469D3">
      <w:pPr>
        <w:pStyle w:val="44"/>
        <w:tabs>
          <w:tab w:val="right" w:leader="dot" w:pos="8958"/>
        </w:tabs>
        <w:ind w:left="420"/>
        <w:rPr>
          <w:color w:val="000000"/>
        </w:rPr>
      </w:pPr>
      <w:r>
        <w:fldChar w:fldCharType="begin"/>
      </w:r>
      <w:r>
        <w:instrText xml:space="preserve"> HYPERLINK \l "_Toc21677_WPSOffice_Level2" </w:instrText>
      </w:r>
      <w:r>
        <w:fldChar w:fldCharType="separate"/>
      </w:r>
      <w:r>
        <w:rPr>
          <w:rFonts w:hint="eastAsia" w:eastAsia="楷体" w:cs="楷体"/>
          <w:color w:val="000000"/>
        </w:rPr>
        <w:t>一、提档升级民族地区基础设施</w:t>
      </w:r>
      <w:r>
        <w:rPr>
          <w:color w:val="000000"/>
        </w:rPr>
        <w:tab/>
      </w:r>
      <w:bookmarkStart w:id="13" w:name="_Toc21677_WPSOffice_Level2Page"/>
      <w:r>
        <w:rPr>
          <w:color w:val="000000"/>
        </w:rPr>
        <w:t>2</w:t>
      </w:r>
      <w:bookmarkEnd w:id="13"/>
      <w:r>
        <w:rPr>
          <w:rFonts w:hint="eastAsia"/>
          <w:color w:val="000000"/>
        </w:rPr>
        <w:t>4</w:t>
      </w:r>
      <w:r>
        <w:rPr>
          <w:rFonts w:hint="eastAsia"/>
          <w:color w:val="000000"/>
        </w:rPr>
        <w:fldChar w:fldCharType="end"/>
      </w:r>
    </w:p>
    <w:p w14:paraId="4604C71C">
      <w:pPr>
        <w:pStyle w:val="44"/>
        <w:tabs>
          <w:tab w:val="right" w:leader="dot" w:pos="8958"/>
        </w:tabs>
        <w:ind w:left="420"/>
        <w:rPr>
          <w:color w:val="000000"/>
        </w:rPr>
      </w:pPr>
      <w:r>
        <w:fldChar w:fldCharType="begin"/>
      </w:r>
      <w:r>
        <w:instrText xml:space="preserve"> HYPERLINK \l "_Toc27979_WPSOffice_Level2" </w:instrText>
      </w:r>
      <w:r>
        <w:fldChar w:fldCharType="separate"/>
      </w:r>
      <w:r>
        <w:rPr>
          <w:rFonts w:hint="eastAsia" w:eastAsia="楷体" w:cs="楷体"/>
          <w:color w:val="000000"/>
        </w:rPr>
        <w:t>二、强化民族地区创新驱动发展</w:t>
      </w:r>
      <w:r>
        <w:rPr>
          <w:color w:val="000000"/>
        </w:rPr>
        <w:tab/>
      </w:r>
      <w:bookmarkStart w:id="14" w:name="_Toc27979_WPSOffice_Level2Page"/>
      <w:r>
        <w:rPr>
          <w:color w:val="000000"/>
        </w:rPr>
        <w:t>2</w:t>
      </w:r>
      <w:bookmarkEnd w:id="14"/>
      <w:r>
        <w:rPr>
          <w:rFonts w:hint="eastAsia"/>
          <w:color w:val="000000"/>
        </w:rPr>
        <w:t>6</w:t>
      </w:r>
      <w:r>
        <w:rPr>
          <w:rFonts w:hint="eastAsia"/>
          <w:color w:val="000000"/>
        </w:rPr>
        <w:fldChar w:fldCharType="end"/>
      </w:r>
    </w:p>
    <w:p w14:paraId="728650D5">
      <w:pPr>
        <w:pStyle w:val="44"/>
        <w:tabs>
          <w:tab w:val="right" w:leader="dot" w:pos="8958"/>
        </w:tabs>
        <w:ind w:left="420"/>
        <w:rPr>
          <w:color w:val="000000"/>
        </w:rPr>
      </w:pPr>
      <w:r>
        <w:fldChar w:fldCharType="begin"/>
      </w:r>
      <w:r>
        <w:instrText xml:space="preserve"> HYPERLINK \l "_Toc8398_WPSOffice_Level2" </w:instrText>
      </w:r>
      <w:r>
        <w:fldChar w:fldCharType="separate"/>
      </w:r>
      <w:r>
        <w:rPr>
          <w:rFonts w:hint="eastAsia" w:eastAsia="楷体" w:cs="楷体"/>
          <w:color w:val="000000"/>
        </w:rPr>
        <w:t>三、推动民族地区产业优化升级</w:t>
      </w:r>
      <w:r>
        <w:rPr>
          <w:color w:val="000000"/>
        </w:rPr>
        <w:tab/>
      </w:r>
      <w:r>
        <w:rPr>
          <w:rFonts w:hint="eastAsia"/>
          <w:color w:val="000000"/>
        </w:rPr>
        <w:t>2</w:t>
      </w:r>
      <w:r>
        <w:rPr>
          <w:rFonts w:hint="eastAsia"/>
          <w:color w:val="000000"/>
        </w:rPr>
        <w:fldChar w:fldCharType="end"/>
      </w:r>
      <w:r>
        <w:rPr>
          <w:rFonts w:hint="eastAsia"/>
          <w:color w:val="000000"/>
        </w:rPr>
        <w:t>7</w:t>
      </w:r>
    </w:p>
    <w:p w14:paraId="64F13189">
      <w:pPr>
        <w:pStyle w:val="44"/>
        <w:tabs>
          <w:tab w:val="right" w:leader="dot" w:pos="8958"/>
        </w:tabs>
        <w:ind w:left="420"/>
        <w:rPr>
          <w:color w:val="000000"/>
        </w:rPr>
      </w:pPr>
      <w:r>
        <w:fldChar w:fldCharType="begin"/>
      </w:r>
      <w:r>
        <w:instrText xml:space="preserve"> HYPERLINK \l "_Toc18915_WPSOffice_Level2" </w:instrText>
      </w:r>
      <w:r>
        <w:fldChar w:fldCharType="separate"/>
      </w:r>
      <w:r>
        <w:rPr>
          <w:rFonts w:hint="eastAsia" w:eastAsia="楷体" w:cs="楷体"/>
          <w:color w:val="000000"/>
        </w:rPr>
        <w:t>四、加快民族地区对外开放步伐</w:t>
      </w:r>
      <w:r>
        <w:rPr>
          <w:color w:val="000000"/>
        </w:rPr>
        <w:tab/>
      </w:r>
      <w:r>
        <w:rPr>
          <w:rFonts w:hint="eastAsia"/>
          <w:color w:val="000000"/>
        </w:rPr>
        <w:t>2</w:t>
      </w:r>
      <w:r>
        <w:rPr>
          <w:rFonts w:hint="eastAsia"/>
          <w:color w:val="000000"/>
        </w:rPr>
        <w:fldChar w:fldCharType="end"/>
      </w:r>
      <w:r>
        <w:rPr>
          <w:rFonts w:hint="eastAsia"/>
          <w:color w:val="000000"/>
        </w:rPr>
        <w:t>8</w:t>
      </w:r>
    </w:p>
    <w:p w14:paraId="7605C31F">
      <w:pPr>
        <w:pStyle w:val="44"/>
        <w:tabs>
          <w:tab w:val="right" w:leader="dot" w:pos="8958"/>
        </w:tabs>
        <w:ind w:left="420"/>
        <w:rPr>
          <w:color w:val="000000"/>
        </w:rPr>
        <w:sectPr>
          <w:pgSz w:w="11906" w:h="16838"/>
          <w:pgMar w:top="2098" w:right="1417" w:bottom="2098" w:left="1531" w:header="567" w:footer="567" w:gutter="0"/>
          <w:pgNumType w:fmt="numberInDash"/>
          <w:cols w:space="720" w:num="1"/>
          <w:docGrid w:type="lines" w:linePitch="312" w:charSpace="0"/>
        </w:sectPr>
      </w:pPr>
    </w:p>
    <w:p w14:paraId="3274A865">
      <w:pPr>
        <w:pStyle w:val="44"/>
        <w:tabs>
          <w:tab w:val="right" w:leader="dot" w:pos="8958"/>
        </w:tabs>
        <w:ind w:left="420"/>
        <w:rPr>
          <w:color w:val="000000"/>
        </w:rPr>
      </w:pPr>
      <w:r>
        <w:fldChar w:fldCharType="begin"/>
      </w:r>
      <w:r>
        <w:instrText xml:space="preserve"> HYPERLINK \l "_Toc4279_WPSOffice_Level2" </w:instrText>
      </w:r>
      <w:r>
        <w:fldChar w:fldCharType="separate"/>
      </w:r>
      <w:r>
        <w:rPr>
          <w:rFonts w:hint="eastAsia" w:eastAsia="楷体" w:cs="楷体"/>
          <w:color w:val="000000"/>
        </w:rPr>
        <w:t>五、全面推进民族地区乡村振兴</w:t>
      </w:r>
      <w:r>
        <w:rPr>
          <w:color w:val="000000"/>
        </w:rPr>
        <w:tab/>
      </w:r>
      <w:r>
        <w:rPr>
          <w:rFonts w:hint="eastAsia"/>
          <w:color w:val="000000"/>
        </w:rPr>
        <w:t>2</w:t>
      </w:r>
      <w:r>
        <w:rPr>
          <w:rFonts w:hint="eastAsia"/>
          <w:color w:val="000000"/>
        </w:rPr>
        <w:fldChar w:fldCharType="end"/>
      </w:r>
      <w:r>
        <w:rPr>
          <w:rFonts w:hint="eastAsia"/>
          <w:color w:val="000000"/>
        </w:rPr>
        <w:t>9</w:t>
      </w:r>
    </w:p>
    <w:p w14:paraId="3F140E42">
      <w:pPr>
        <w:pStyle w:val="44"/>
        <w:tabs>
          <w:tab w:val="right" w:leader="dot" w:pos="8958"/>
        </w:tabs>
        <w:ind w:left="420"/>
        <w:rPr>
          <w:color w:val="000000"/>
        </w:rPr>
      </w:pPr>
      <w:r>
        <w:fldChar w:fldCharType="begin"/>
      </w:r>
      <w:r>
        <w:instrText xml:space="preserve"> HYPERLINK \l "_Toc3886_WPSOffice_Level2" </w:instrText>
      </w:r>
      <w:r>
        <w:fldChar w:fldCharType="separate"/>
      </w:r>
      <w:r>
        <w:rPr>
          <w:rFonts w:hint="eastAsia" w:eastAsia="楷体" w:cs="楷体"/>
          <w:color w:val="000000"/>
        </w:rPr>
        <w:t>六、加强民族地区生态文明建设</w:t>
      </w:r>
      <w:r>
        <w:rPr>
          <w:color w:val="000000"/>
        </w:rPr>
        <w:tab/>
      </w:r>
      <w:bookmarkStart w:id="15" w:name="_Toc3886_WPSOffice_Level2Page"/>
      <w:r>
        <w:rPr>
          <w:color w:val="000000"/>
        </w:rPr>
        <w:t>3</w:t>
      </w:r>
      <w:bookmarkEnd w:id="15"/>
      <w:r>
        <w:rPr>
          <w:rFonts w:hint="eastAsia"/>
          <w:color w:val="000000"/>
        </w:rPr>
        <w:t>0</w:t>
      </w:r>
      <w:r>
        <w:rPr>
          <w:rFonts w:hint="eastAsia"/>
          <w:color w:val="000000"/>
        </w:rPr>
        <w:fldChar w:fldCharType="end"/>
      </w:r>
    </w:p>
    <w:p w14:paraId="3099984A">
      <w:pPr>
        <w:pStyle w:val="44"/>
        <w:tabs>
          <w:tab w:val="right" w:leader="dot" w:pos="8958"/>
        </w:tabs>
        <w:ind w:left="420"/>
        <w:rPr>
          <w:color w:val="000000"/>
        </w:rPr>
      </w:pPr>
      <w:r>
        <w:fldChar w:fldCharType="begin"/>
      </w:r>
      <w:r>
        <w:instrText xml:space="preserve"> HYPERLINK \l "_Toc26945_WPSOffice_Level2" </w:instrText>
      </w:r>
      <w:r>
        <w:fldChar w:fldCharType="separate"/>
      </w:r>
      <w:r>
        <w:rPr>
          <w:rFonts w:hint="eastAsia" w:ascii="黑体" w:hAnsi="黑体" w:eastAsia="黑体" w:cs="黑体"/>
          <w:color w:val="000000"/>
        </w:rPr>
        <w:t>第四节 促进各民族交往交流交融，在夯实中华民族共同体社会基础上作出表率</w:t>
      </w:r>
      <w:r>
        <w:rPr>
          <w:color w:val="000000"/>
        </w:rPr>
        <w:tab/>
      </w:r>
      <w:r>
        <w:rPr>
          <w:color w:val="000000"/>
        </w:rPr>
        <w:fldChar w:fldCharType="end"/>
      </w:r>
      <w:r>
        <w:rPr>
          <w:rFonts w:hint="eastAsia"/>
          <w:color w:val="000000"/>
        </w:rPr>
        <w:t>31</w:t>
      </w:r>
    </w:p>
    <w:p w14:paraId="563B3D51">
      <w:pPr>
        <w:pStyle w:val="44"/>
        <w:tabs>
          <w:tab w:val="right" w:leader="dot" w:pos="8958"/>
        </w:tabs>
        <w:ind w:left="420"/>
        <w:rPr>
          <w:color w:val="000000"/>
        </w:rPr>
      </w:pPr>
      <w:r>
        <w:fldChar w:fldCharType="begin"/>
      </w:r>
      <w:r>
        <w:instrText xml:space="preserve"> HYPERLINK \l "_Toc3940_WPSOffice_Level2" </w:instrText>
      </w:r>
      <w:r>
        <w:fldChar w:fldCharType="separate"/>
      </w:r>
      <w:r>
        <w:rPr>
          <w:rFonts w:hint="eastAsia" w:eastAsia="楷体" w:cs="楷体"/>
          <w:color w:val="000000"/>
        </w:rPr>
        <w:t>一、深化铸牢中华民族共同体意识宣传教育</w:t>
      </w:r>
      <w:r>
        <w:rPr>
          <w:color w:val="000000"/>
        </w:rPr>
        <w:tab/>
      </w:r>
      <w:r>
        <w:rPr>
          <w:rFonts w:hint="eastAsia"/>
          <w:color w:val="000000"/>
        </w:rPr>
        <w:t>3</w:t>
      </w:r>
      <w:r>
        <w:rPr>
          <w:rFonts w:hint="eastAsia"/>
          <w:color w:val="000000"/>
        </w:rPr>
        <w:fldChar w:fldCharType="end"/>
      </w:r>
      <w:r>
        <w:rPr>
          <w:rFonts w:hint="eastAsia"/>
          <w:color w:val="000000"/>
        </w:rPr>
        <w:t>1</w:t>
      </w:r>
    </w:p>
    <w:p w14:paraId="38BA43D7">
      <w:pPr>
        <w:pStyle w:val="44"/>
        <w:tabs>
          <w:tab w:val="right" w:leader="dot" w:pos="8958"/>
        </w:tabs>
        <w:ind w:left="420"/>
        <w:rPr>
          <w:color w:val="000000"/>
        </w:rPr>
      </w:pPr>
      <w:r>
        <w:fldChar w:fldCharType="begin"/>
      </w:r>
      <w:r>
        <w:instrText xml:space="preserve"> HYPERLINK \l "_Toc32423_WPSOffice_Level2" </w:instrText>
      </w:r>
      <w:r>
        <w:fldChar w:fldCharType="separate"/>
      </w:r>
      <w:r>
        <w:rPr>
          <w:rFonts w:hint="eastAsia" w:eastAsia="楷体" w:cs="楷体"/>
          <w:color w:val="000000"/>
        </w:rPr>
        <w:t>二、全面深入持久开展民族团结进步创建</w:t>
      </w:r>
      <w:r>
        <w:rPr>
          <w:color w:val="000000"/>
        </w:rPr>
        <w:tab/>
      </w:r>
      <w:r>
        <w:rPr>
          <w:rFonts w:hint="eastAsia"/>
          <w:color w:val="000000"/>
        </w:rPr>
        <w:t>3</w:t>
      </w:r>
      <w:r>
        <w:rPr>
          <w:rFonts w:hint="eastAsia"/>
          <w:color w:val="000000"/>
        </w:rPr>
        <w:fldChar w:fldCharType="end"/>
      </w:r>
      <w:r>
        <w:rPr>
          <w:rFonts w:hint="eastAsia"/>
          <w:color w:val="000000"/>
        </w:rPr>
        <w:t>3</w:t>
      </w:r>
    </w:p>
    <w:p w14:paraId="10681538">
      <w:pPr>
        <w:pStyle w:val="44"/>
        <w:tabs>
          <w:tab w:val="right" w:leader="dot" w:pos="8958"/>
        </w:tabs>
        <w:ind w:left="420"/>
        <w:rPr>
          <w:color w:val="000000"/>
        </w:rPr>
      </w:pPr>
      <w:r>
        <w:fldChar w:fldCharType="begin"/>
      </w:r>
      <w:r>
        <w:instrText xml:space="preserve"> HYPERLINK \l "_Toc31005_WPSOffice_Level2" </w:instrText>
      </w:r>
      <w:r>
        <w:fldChar w:fldCharType="separate"/>
      </w:r>
      <w:r>
        <w:rPr>
          <w:rFonts w:hint="eastAsia" w:eastAsia="楷体" w:cs="楷体"/>
          <w:color w:val="000000"/>
        </w:rPr>
        <w:t>三、推进城市民族工作高质量发展</w:t>
      </w:r>
      <w:r>
        <w:rPr>
          <w:color w:val="000000"/>
        </w:rPr>
        <w:tab/>
      </w:r>
      <w:bookmarkStart w:id="16" w:name="_Toc31005_WPSOffice_Level2Page"/>
      <w:r>
        <w:rPr>
          <w:color w:val="000000"/>
        </w:rPr>
        <w:t>3</w:t>
      </w:r>
      <w:bookmarkEnd w:id="16"/>
      <w:r>
        <w:rPr>
          <w:rFonts w:hint="eastAsia"/>
          <w:color w:val="000000"/>
        </w:rPr>
        <w:t>3</w:t>
      </w:r>
      <w:r>
        <w:rPr>
          <w:rFonts w:hint="eastAsia"/>
          <w:color w:val="000000"/>
        </w:rPr>
        <w:fldChar w:fldCharType="end"/>
      </w:r>
    </w:p>
    <w:p w14:paraId="65099A37">
      <w:pPr>
        <w:pStyle w:val="44"/>
        <w:tabs>
          <w:tab w:val="right" w:leader="dot" w:pos="8958"/>
        </w:tabs>
        <w:ind w:left="420"/>
        <w:rPr>
          <w:color w:val="000000"/>
        </w:rPr>
      </w:pPr>
      <w:r>
        <w:fldChar w:fldCharType="begin"/>
      </w:r>
      <w:r>
        <w:instrText xml:space="preserve"> HYPERLINK \l "_Toc10539_WPSOffice_Level2" </w:instrText>
      </w:r>
      <w:r>
        <w:fldChar w:fldCharType="separate"/>
      </w:r>
      <w:r>
        <w:rPr>
          <w:rFonts w:hint="eastAsia" w:eastAsia="楷体" w:cs="楷体"/>
          <w:color w:val="000000"/>
        </w:rPr>
        <w:t>四、共建共享高品质幸福美好石林</w:t>
      </w:r>
      <w:r>
        <w:rPr>
          <w:color w:val="000000"/>
        </w:rPr>
        <w:tab/>
      </w:r>
      <w:bookmarkStart w:id="17" w:name="_Toc10539_WPSOffice_Level2Page"/>
      <w:r>
        <w:rPr>
          <w:color w:val="000000"/>
        </w:rPr>
        <w:t>3</w:t>
      </w:r>
      <w:bookmarkEnd w:id="17"/>
      <w:r>
        <w:rPr>
          <w:rFonts w:hint="eastAsia"/>
          <w:color w:val="000000"/>
        </w:rPr>
        <w:t>5</w:t>
      </w:r>
      <w:r>
        <w:rPr>
          <w:rFonts w:hint="eastAsia"/>
          <w:color w:val="000000"/>
        </w:rPr>
        <w:fldChar w:fldCharType="end"/>
      </w:r>
    </w:p>
    <w:p w14:paraId="2F7C3B2F">
      <w:pPr>
        <w:pStyle w:val="44"/>
        <w:tabs>
          <w:tab w:val="right" w:leader="dot" w:pos="8958"/>
        </w:tabs>
        <w:ind w:left="420"/>
        <w:rPr>
          <w:color w:val="000000"/>
        </w:rPr>
      </w:pPr>
      <w:r>
        <w:fldChar w:fldCharType="begin"/>
      </w:r>
      <w:r>
        <w:instrText xml:space="preserve"> HYPERLINK \l "_Toc26945_WPSOffice_Level2" </w:instrText>
      </w:r>
      <w:r>
        <w:fldChar w:fldCharType="separate"/>
      </w:r>
      <w:r>
        <w:rPr>
          <w:rFonts w:hint="eastAsia" w:ascii="黑体" w:hAnsi="黑体" w:eastAsia="黑体" w:cs="黑体"/>
          <w:color w:val="000000"/>
        </w:rPr>
        <w:t>第五节 提升民族宗教事务治理能力和治理水平现代化，在夯实中华民族共同体法治基础上作出表率</w:t>
      </w:r>
      <w:r>
        <w:rPr>
          <w:color w:val="000000"/>
        </w:rPr>
        <w:tab/>
      </w:r>
      <w:r>
        <w:rPr>
          <w:rFonts w:hint="eastAsia"/>
          <w:color w:val="000000"/>
        </w:rPr>
        <w:t>3</w:t>
      </w:r>
      <w:r>
        <w:rPr>
          <w:rFonts w:hint="eastAsia"/>
          <w:color w:val="000000"/>
        </w:rPr>
        <w:fldChar w:fldCharType="end"/>
      </w:r>
      <w:r>
        <w:rPr>
          <w:rFonts w:hint="eastAsia"/>
          <w:color w:val="000000"/>
        </w:rPr>
        <w:t>8</w:t>
      </w:r>
    </w:p>
    <w:p w14:paraId="7EDFFB2D">
      <w:pPr>
        <w:pStyle w:val="44"/>
        <w:tabs>
          <w:tab w:val="right" w:leader="dot" w:pos="8958"/>
        </w:tabs>
        <w:ind w:left="420"/>
        <w:rPr>
          <w:color w:val="000000"/>
        </w:rPr>
      </w:pPr>
      <w:r>
        <w:fldChar w:fldCharType="begin"/>
      </w:r>
      <w:r>
        <w:instrText xml:space="preserve"> HYPERLINK \l "_Toc4642_WPSOffice_Level2" </w:instrText>
      </w:r>
      <w:r>
        <w:fldChar w:fldCharType="separate"/>
      </w:r>
      <w:r>
        <w:rPr>
          <w:rFonts w:hint="eastAsia" w:eastAsia="楷体" w:cs="楷体"/>
          <w:color w:val="000000"/>
        </w:rPr>
        <w:t>一、持续推进依法治理民族事务</w:t>
      </w:r>
      <w:r>
        <w:rPr>
          <w:color w:val="000000"/>
        </w:rPr>
        <w:tab/>
      </w:r>
      <w:r>
        <w:rPr>
          <w:rFonts w:hint="eastAsia"/>
          <w:color w:val="000000"/>
        </w:rPr>
        <w:t>3</w:t>
      </w:r>
      <w:r>
        <w:rPr>
          <w:rFonts w:hint="eastAsia"/>
          <w:color w:val="000000"/>
        </w:rPr>
        <w:fldChar w:fldCharType="end"/>
      </w:r>
      <w:r>
        <w:rPr>
          <w:rFonts w:hint="eastAsia"/>
          <w:color w:val="000000"/>
        </w:rPr>
        <w:t>8</w:t>
      </w:r>
    </w:p>
    <w:p w14:paraId="79863DB4">
      <w:pPr>
        <w:pStyle w:val="44"/>
        <w:tabs>
          <w:tab w:val="right" w:leader="dot" w:pos="8958"/>
        </w:tabs>
        <w:ind w:left="420"/>
        <w:rPr>
          <w:color w:val="000000"/>
        </w:rPr>
      </w:pPr>
      <w:r>
        <w:fldChar w:fldCharType="begin"/>
      </w:r>
      <w:r>
        <w:instrText xml:space="preserve"> HYPERLINK \l "_Toc9606_WPSOffice_Level2" </w:instrText>
      </w:r>
      <w:r>
        <w:fldChar w:fldCharType="separate"/>
      </w:r>
      <w:r>
        <w:rPr>
          <w:rFonts w:hint="eastAsia" w:eastAsia="楷体" w:cs="楷体"/>
          <w:color w:val="000000"/>
        </w:rPr>
        <w:t>二、始终坚持我国宗教中国化方向</w:t>
      </w:r>
      <w:r>
        <w:rPr>
          <w:color w:val="000000"/>
        </w:rPr>
        <w:tab/>
      </w:r>
      <w:r>
        <w:rPr>
          <w:rFonts w:hint="eastAsia"/>
          <w:color w:val="000000"/>
        </w:rPr>
        <w:t>3</w:t>
      </w:r>
      <w:r>
        <w:rPr>
          <w:rFonts w:hint="eastAsia"/>
          <w:color w:val="000000"/>
        </w:rPr>
        <w:fldChar w:fldCharType="end"/>
      </w:r>
      <w:r>
        <w:rPr>
          <w:rFonts w:hint="eastAsia"/>
          <w:color w:val="000000"/>
        </w:rPr>
        <w:t>9</w:t>
      </w:r>
    </w:p>
    <w:p w14:paraId="416CCD4E">
      <w:pPr>
        <w:pStyle w:val="44"/>
        <w:tabs>
          <w:tab w:val="right" w:leader="dot" w:pos="8958"/>
        </w:tabs>
        <w:ind w:left="420"/>
        <w:rPr>
          <w:color w:val="000000"/>
        </w:rPr>
      </w:pPr>
      <w:r>
        <w:fldChar w:fldCharType="begin"/>
      </w:r>
      <w:r>
        <w:instrText xml:space="preserve"> HYPERLINK \l "_Toc4978_WPSOffice_Level2" </w:instrText>
      </w:r>
      <w:r>
        <w:fldChar w:fldCharType="separate"/>
      </w:r>
      <w:r>
        <w:rPr>
          <w:rFonts w:hint="eastAsia" w:eastAsia="楷体" w:cs="楷体"/>
          <w:color w:val="000000"/>
        </w:rPr>
        <w:t>三、有效化解民族宗教领域风险隐患</w:t>
      </w:r>
      <w:r>
        <w:rPr>
          <w:color w:val="000000"/>
        </w:rPr>
        <w:tab/>
      </w:r>
      <w:bookmarkStart w:id="18" w:name="_Toc4978_WPSOffice_Level2Page"/>
      <w:r>
        <w:rPr>
          <w:color w:val="000000"/>
        </w:rPr>
        <w:t>4</w:t>
      </w:r>
      <w:bookmarkEnd w:id="18"/>
      <w:r>
        <w:rPr>
          <w:rFonts w:hint="eastAsia"/>
          <w:color w:val="000000"/>
        </w:rPr>
        <w:t>0</w:t>
      </w:r>
      <w:r>
        <w:rPr>
          <w:rFonts w:hint="eastAsia"/>
          <w:color w:val="000000"/>
        </w:rPr>
        <w:fldChar w:fldCharType="end"/>
      </w:r>
    </w:p>
    <w:p w14:paraId="36B4C498">
      <w:pPr>
        <w:pStyle w:val="44"/>
        <w:tabs>
          <w:tab w:val="right" w:leader="dot" w:pos="8958"/>
        </w:tabs>
        <w:ind w:left="420"/>
        <w:rPr>
          <w:color w:val="000000"/>
        </w:rPr>
      </w:pPr>
      <w:r>
        <w:fldChar w:fldCharType="begin"/>
      </w:r>
      <w:r>
        <w:instrText xml:space="preserve"> HYPERLINK \l "_Toc22679_WPSOffice_Level2" </w:instrText>
      </w:r>
      <w:r>
        <w:fldChar w:fldCharType="separate"/>
      </w:r>
      <w:r>
        <w:rPr>
          <w:rFonts w:hint="eastAsia" w:eastAsia="楷体" w:cs="楷体"/>
          <w:color w:val="000000"/>
        </w:rPr>
        <w:t>四、加强民族宗教工作信息化建设</w:t>
      </w:r>
      <w:r>
        <w:rPr>
          <w:color w:val="000000"/>
        </w:rPr>
        <w:tab/>
      </w:r>
      <w:bookmarkStart w:id="19" w:name="_Toc22679_WPSOffice_Level2Page"/>
      <w:r>
        <w:rPr>
          <w:color w:val="000000"/>
        </w:rPr>
        <w:t>4</w:t>
      </w:r>
      <w:bookmarkEnd w:id="19"/>
      <w:r>
        <w:rPr>
          <w:rFonts w:hint="eastAsia"/>
          <w:color w:val="000000"/>
        </w:rPr>
        <w:t>1</w:t>
      </w:r>
      <w:r>
        <w:rPr>
          <w:rFonts w:hint="eastAsia"/>
          <w:color w:val="000000"/>
        </w:rPr>
        <w:fldChar w:fldCharType="end"/>
      </w:r>
    </w:p>
    <w:p w14:paraId="0D24C206">
      <w:pPr>
        <w:pStyle w:val="40"/>
        <w:tabs>
          <w:tab w:val="right" w:leader="dot" w:pos="8958"/>
        </w:tabs>
        <w:rPr>
          <w:color w:val="000000"/>
        </w:rPr>
      </w:pPr>
      <w:r>
        <w:fldChar w:fldCharType="begin"/>
      </w:r>
      <w:r>
        <w:instrText xml:space="preserve"> HYPERLINK \l "_Toc1759_WPSOffice_Level1" </w:instrText>
      </w:r>
      <w:r>
        <w:fldChar w:fldCharType="separate"/>
      </w:r>
      <w:r>
        <w:rPr>
          <w:rFonts w:hint="eastAsia" w:ascii="黑体" w:hAnsi="黑体" w:eastAsia="黑体" w:cs="黑体"/>
          <w:b/>
          <w:bCs/>
          <w:color w:val="000000"/>
        </w:rPr>
        <w:t>第五章 保障措施</w:t>
      </w:r>
      <w:r>
        <w:rPr>
          <w:b/>
          <w:bCs/>
          <w:color w:val="000000"/>
        </w:rPr>
        <w:tab/>
      </w:r>
      <w:bookmarkStart w:id="20" w:name="_Toc1759_WPSOffice_Level1Page"/>
      <w:r>
        <w:rPr>
          <w:b/>
          <w:bCs/>
          <w:color w:val="000000"/>
        </w:rPr>
        <w:t>4</w:t>
      </w:r>
      <w:bookmarkEnd w:id="20"/>
      <w:r>
        <w:rPr>
          <w:rFonts w:hint="eastAsia"/>
          <w:b/>
          <w:bCs/>
          <w:color w:val="000000"/>
        </w:rPr>
        <w:t>2</w:t>
      </w:r>
      <w:r>
        <w:rPr>
          <w:rFonts w:hint="eastAsia"/>
          <w:b/>
          <w:bCs/>
          <w:color w:val="000000"/>
        </w:rPr>
        <w:fldChar w:fldCharType="end"/>
      </w:r>
    </w:p>
    <w:p w14:paraId="585A7A43">
      <w:pPr>
        <w:pStyle w:val="44"/>
        <w:tabs>
          <w:tab w:val="right" w:leader="dot" w:pos="8958"/>
        </w:tabs>
        <w:ind w:left="420"/>
        <w:rPr>
          <w:color w:val="000000"/>
        </w:rPr>
      </w:pPr>
      <w:r>
        <w:fldChar w:fldCharType="begin"/>
      </w:r>
      <w:r>
        <w:instrText xml:space="preserve"> HYPERLINK \l "_Toc17293_WPSOffice_Level2" </w:instrText>
      </w:r>
      <w:r>
        <w:fldChar w:fldCharType="separate"/>
      </w:r>
      <w:r>
        <w:rPr>
          <w:rFonts w:hint="eastAsia" w:ascii="黑体" w:hAnsi="黑体" w:eastAsia="黑体" w:cs="黑体"/>
          <w:color w:val="000000"/>
        </w:rPr>
        <w:t>一、加强组织领导</w:t>
      </w:r>
      <w:r>
        <w:rPr>
          <w:color w:val="000000"/>
        </w:rPr>
        <w:tab/>
      </w:r>
      <w:bookmarkStart w:id="21" w:name="_Toc17293_WPSOffice_Level2Page"/>
      <w:r>
        <w:rPr>
          <w:color w:val="000000"/>
        </w:rPr>
        <w:t>4</w:t>
      </w:r>
      <w:bookmarkEnd w:id="21"/>
      <w:r>
        <w:rPr>
          <w:rFonts w:hint="eastAsia"/>
          <w:color w:val="000000"/>
        </w:rPr>
        <w:t>2</w:t>
      </w:r>
      <w:r>
        <w:rPr>
          <w:rFonts w:hint="eastAsia"/>
          <w:color w:val="000000"/>
        </w:rPr>
        <w:fldChar w:fldCharType="end"/>
      </w:r>
    </w:p>
    <w:p w14:paraId="3FBED805">
      <w:pPr>
        <w:pStyle w:val="44"/>
        <w:tabs>
          <w:tab w:val="right" w:leader="dot" w:pos="8958"/>
        </w:tabs>
        <w:ind w:left="420"/>
        <w:rPr>
          <w:color w:val="000000"/>
        </w:rPr>
      </w:pPr>
      <w:r>
        <w:fldChar w:fldCharType="begin"/>
      </w:r>
      <w:r>
        <w:instrText xml:space="preserve"> HYPERLINK \l "_Toc13536_WPSOffice_Level2" </w:instrText>
      </w:r>
      <w:r>
        <w:fldChar w:fldCharType="separate"/>
      </w:r>
      <w:r>
        <w:rPr>
          <w:rFonts w:hint="eastAsia" w:ascii="黑体" w:hAnsi="黑体" w:eastAsia="黑体" w:cs="黑体"/>
          <w:color w:val="000000"/>
        </w:rPr>
        <w:t>二、强化分工协作</w:t>
      </w:r>
      <w:r>
        <w:rPr>
          <w:color w:val="000000"/>
        </w:rPr>
        <w:tab/>
      </w:r>
      <w:bookmarkStart w:id="22" w:name="_Toc13536_WPSOffice_Level2Page"/>
      <w:r>
        <w:rPr>
          <w:color w:val="000000"/>
        </w:rPr>
        <w:t>4</w:t>
      </w:r>
      <w:bookmarkEnd w:id="22"/>
      <w:r>
        <w:rPr>
          <w:rFonts w:hint="eastAsia"/>
          <w:color w:val="000000"/>
        </w:rPr>
        <w:t>2</w:t>
      </w:r>
      <w:r>
        <w:rPr>
          <w:rFonts w:hint="eastAsia"/>
          <w:color w:val="000000"/>
        </w:rPr>
        <w:fldChar w:fldCharType="end"/>
      </w:r>
    </w:p>
    <w:p w14:paraId="59301576">
      <w:pPr>
        <w:pStyle w:val="44"/>
        <w:tabs>
          <w:tab w:val="right" w:leader="dot" w:pos="8958"/>
        </w:tabs>
        <w:ind w:left="420"/>
        <w:rPr>
          <w:color w:val="000000"/>
        </w:rPr>
      </w:pPr>
      <w:r>
        <w:fldChar w:fldCharType="begin"/>
      </w:r>
      <w:r>
        <w:instrText xml:space="preserve"> HYPERLINK \l "_Toc12548_WPSOffice_Level2" </w:instrText>
      </w:r>
      <w:r>
        <w:fldChar w:fldCharType="separate"/>
      </w:r>
      <w:r>
        <w:rPr>
          <w:rFonts w:hint="eastAsia" w:ascii="黑体" w:hAnsi="黑体" w:eastAsia="黑体" w:cs="黑体"/>
          <w:color w:val="000000"/>
        </w:rPr>
        <w:t>三、强化资金保障</w:t>
      </w:r>
      <w:r>
        <w:rPr>
          <w:color w:val="000000"/>
        </w:rPr>
        <w:tab/>
      </w:r>
      <w:bookmarkStart w:id="23" w:name="_Toc12548_WPSOffice_Level2Page"/>
      <w:r>
        <w:rPr>
          <w:color w:val="000000"/>
        </w:rPr>
        <w:t>4</w:t>
      </w:r>
      <w:bookmarkEnd w:id="23"/>
      <w:r>
        <w:rPr>
          <w:rFonts w:hint="eastAsia"/>
          <w:color w:val="000000"/>
        </w:rPr>
        <w:t>3</w:t>
      </w:r>
      <w:r>
        <w:rPr>
          <w:rFonts w:hint="eastAsia"/>
          <w:color w:val="000000"/>
        </w:rPr>
        <w:fldChar w:fldCharType="end"/>
      </w:r>
    </w:p>
    <w:p w14:paraId="6653D5B0">
      <w:pPr>
        <w:pStyle w:val="44"/>
        <w:tabs>
          <w:tab w:val="right" w:leader="dot" w:pos="8958"/>
        </w:tabs>
        <w:ind w:left="420"/>
        <w:rPr>
          <w:color w:val="000000"/>
        </w:rPr>
      </w:pPr>
      <w:r>
        <w:fldChar w:fldCharType="begin"/>
      </w:r>
      <w:r>
        <w:instrText xml:space="preserve"> HYPERLINK \l "_Toc14769_WPSOffice_Level2" </w:instrText>
      </w:r>
      <w:r>
        <w:fldChar w:fldCharType="separate"/>
      </w:r>
      <w:r>
        <w:rPr>
          <w:rFonts w:hint="eastAsia" w:ascii="黑体" w:hAnsi="黑体" w:eastAsia="黑体" w:cs="黑体"/>
          <w:color w:val="000000"/>
        </w:rPr>
        <w:t>四、强化督促落实</w:t>
      </w:r>
      <w:r>
        <w:rPr>
          <w:color w:val="000000"/>
        </w:rPr>
        <w:tab/>
      </w:r>
      <w:bookmarkStart w:id="24" w:name="_Toc14769_WPSOffice_Level2Page"/>
      <w:r>
        <w:rPr>
          <w:color w:val="000000"/>
        </w:rPr>
        <w:t>4</w:t>
      </w:r>
      <w:bookmarkEnd w:id="24"/>
      <w:r>
        <w:rPr>
          <w:rFonts w:hint="eastAsia"/>
          <w:color w:val="000000"/>
        </w:rPr>
        <w:t>3</w:t>
      </w:r>
      <w:r>
        <w:rPr>
          <w:rFonts w:hint="eastAsia"/>
          <w:color w:val="000000"/>
        </w:rPr>
        <w:fldChar w:fldCharType="end"/>
      </w:r>
    </w:p>
    <w:p w14:paraId="645D5A54">
      <w:pPr>
        <w:pStyle w:val="44"/>
        <w:tabs>
          <w:tab w:val="right" w:leader="dot" w:pos="8958"/>
        </w:tabs>
        <w:ind w:left="420"/>
        <w:rPr>
          <w:color w:val="000000"/>
        </w:rPr>
      </w:pPr>
      <w:r>
        <w:fldChar w:fldCharType="begin"/>
      </w:r>
      <w:r>
        <w:instrText xml:space="preserve"> HYPERLINK \l "_Toc8203_WPSOffice_Level2" </w:instrText>
      </w:r>
      <w:r>
        <w:fldChar w:fldCharType="separate"/>
      </w:r>
      <w:r>
        <w:rPr>
          <w:rFonts w:hint="eastAsia" w:ascii="黑体" w:hAnsi="黑体" w:eastAsia="黑体" w:cs="黑体"/>
          <w:color w:val="000000"/>
        </w:rPr>
        <w:t>五、加强宣传推广</w:t>
      </w:r>
      <w:r>
        <w:rPr>
          <w:color w:val="000000"/>
        </w:rPr>
        <w:tab/>
      </w:r>
      <w:r>
        <w:rPr>
          <w:color w:val="000000"/>
        </w:rPr>
        <w:t>4</w:t>
      </w:r>
      <w:r>
        <w:rPr>
          <w:rFonts w:hint="eastAsia"/>
          <w:color w:val="000000"/>
        </w:rPr>
        <w:t>3</w:t>
      </w:r>
      <w:r>
        <w:rPr>
          <w:rFonts w:hint="eastAsia"/>
          <w:color w:val="000000"/>
        </w:rPr>
        <w:fldChar w:fldCharType="end"/>
      </w:r>
    </w:p>
    <w:p w14:paraId="1B5881B4">
      <w:pPr>
        <w:pStyle w:val="44"/>
        <w:tabs>
          <w:tab w:val="right" w:leader="dot" w:pos="8958"/>
        </w:tabs>
        <w:ind w:left="420"/>
        <w:rPr>
          <w:color w:val="000000"/>
        </w:rPr>
      </w:pPr>
      <w:r>
        <w:fldChar w:fldCharType="begin"/>
      </w:r>
      <w:r>
        <w:instrText xml:space="preserve"> HYPERLINK \l "_Toc8203_WPSOffice_Level2" </w:instrText>
      </w:r>
      <w:r>
        <w:fldChar w:fldCharType="separate"/>
      </w:r>
      <w:r>
        <w:rPr>
          <w:rFonts w:hint="eastAsia" w:ascii="黑体" w:hAnsi="黑体" w:eastAsia="黑体" w:cs="黑体"/>
          <w:color w:val="000000"/>
        </w:rPr>
        <w:t>附件：《石林彝族自治县“十四五”民族团结进步发展规划》指标、主要任务和专栏责任分工</w:t>
      </w:r>
      <w:r>
        <w:rPr>
          <w:color w:val="000000"/>
        </w:rPr>
        <w:tab/>
      </w:r>
      <w:bookmarkStart w:id="25" w:name="_Toc8203_WPSOffice_Level2Page"/>
      <w:r>
        <w:rPr>
          <w:color w:val="000000"/>
        </w:rPr>
        <w:t>4</w:t>
      </w:r>
      <w:bookmarkEnd w:id="25"/>
      <w:r>
        <w:rPr>
          <w:rFonts w:hint="eastAsia"/>
          <w:color w:val="000000"/>
        </w:rPr>
        <w:t>5</w:t>
      </w:r>
      <w:r>
        <w:rPr>
          <w:rFonts w:hint="eastAsia"/>
          <w:color w:val="000000"/>
        </w:rPr>
        <w:fldChar w:fldCharType="end"/>
      </w:r>
      <w:bookmarkEnd w:id="0"/>
    </w:p>
    <w:p w14:paraId="672CC5BB">
      <w:pPr>
        <w:adjustRightInd w:val="0"/>
        <w:snapToGrid w:val="0"/>
        <w:spacing w:line="560" w:lineRule="exact"/>
        <w:jc w:val="center"/>
        <w:rPr>
          <w:rFonts w:ascii="方正小标宋简体" w:hAnsi="方正小标宋简体" w:eastAsia="方正小标宋简体" w:cs="方正小标宋简体"/>
          <w:color w:val="000000"/>
          <w:sz w:val="44"/>
          <w:szCs w:val="44"/>
        </w:rPr>
      </w:pPr>
    </w:p>
    <w:p w14:paraId="3276A079">
      <w:pPr>
        <w:adjustRightInd w:val="0"/>
        <w:snapToGrid w:val="0"/>
        <w:spacing w:line="560" w:lineRule="exact"/>
        <w:ind w:firstLine="880"/>
        <w:jc w:val="center"/>
        <w:rPr>
          <w:rFonts w:ascii="方正小标宋简体" w:hAnsi="方正小标宋简体" w:eastAsia="方正小标宋简体" w:cs="方正小标宋简体"/>
          <w:color w:val="000000"/>
          <w:sz w:val="44"/>
          <w:szCs w:val="44"/>
        </w:rPr>
        <w:sectPr>
          <w:footerReference r:id="rId3" w:type="default"/>
          <w:pgSz w:w="11906" w:h="16838"/>
          <w:pgMar w:top="2098" w:right="1417" w:bottom="2098" w:left="1531" w:header="567" w:footer="567" w:gutter="0"/>
          <w:pgNumType w:fmt="numberInDash" w:start="1"/>
          <w:cols w:space="720" w:num="1"/>
          <w:docGrid w:type="lines" w:linePitch="312" w:charSpace="0"/>
        </w:sectPr>
      </w:pPr>
      <w:bookmarkStart w:id="26" w:name="_Toc10173_WPSOffice_Level1"/>
    </w:p>
    <w:p w14:paraId="66844727">
      <w:pPr>
        <w:adjustRightInd w:val="0"/>
        <w:snapToGrid w:val="0"/>
        <w:spacing w:line="560" w:lineRule="exact"/>
        <w:ind w:firstLine="880"/>
        <w:jc w:val="center"/>
        <w:rPr>
          <w:rFonts w:ascii="方正小标宋简体" w:hAnsi="方正小标宋简体" w:eastAsia="方正小标宋简体" w:cs="方正小标宋简体"/>
          <w:color w:val="000000"/>
          <w:sz w:val="44"/>
          <w:szCs w:val="44"/>
        </w:rPr>
      </w:pPr>
    </w:p>
    <w:p w14:paraId="0E1DED0B">
      <w:pPr>
        <w:adjustRightInd w:val="0"/>
        <w:snapToGrid w:val="0"/>
        <w:spacing w:line="560" w:lineRule="exact"/>
        <w:ind w:firstLine="880"/>
        <w:jc w:val="center"/>
        <w:rPr>
          <w:rFonts w:ascii="方正小标宋简体" w:hAnsi="方正小标宋简体" w:eastAsia="方正小标宋简体" w:cs="方正小标宋简体"/>
          <w:color w:val="000000"/>
          <w:sz w:val="44"/>
          <w:szCs w:val="44"/>
        </w:rPr>
      </w:pPr>
    </w:p>
    <w:p w14:paraId="56A927EC">
      <w:pPr>
        <w:adjustRightInd w:val="0"/>
        <w:snapToGrid w:val="0"/>
        <w:spacing w:line="560" w:lineRule="exact"/>
        <w:ind w:firstLine="880"/>
        <w:jc w:val="center"/>
        <w:rPr>
          <w:rFonts w:ascii="方正小标宋简体" w:hAnsi="方正小标宋简体" w:eastAsia="方正小标宋简体" w:cs="方正小标宋简体"/>
          <w:color w:val="000000"/>
          <w:sz w:val="44"/>
          <w:szCs w:val="44"/>
        </w:rPr>
      </w:pPr>
    </w:p>
    <w:p w14:paraId="2C6D09AF">
      <w:pPr>
        <w:adjustRightInd w:val="0"/>
        <w:snapToGrid w:val="0"/>
        <w:spacing w:line="560" w:lineRule="exact"/>
        <w:ind w:firstLine="880"/>
        <w:jc w:val="center"/>
        <w:rPr>
          <w:rFonts w:ascii="方正小标宋简体" w:hAnsi="方正小标宋简体" w:eastAsia="方正小标宋简体" w:cs="方正小标宋简体"/>
          <w:color w:val="000000"/>
          <w:sz w:val="44"/>
          <w:szCs w:val="44"/>
        </w:rPr>
      </w:pPr>
    </w:p>
    <w:p w14:paraId="435BD81A">
      <w:pPr>
        <w:adjustRightInd w:val="0"/>
        <w:snapToGrid w:val="0"/>
        <w:spacing w:line="560" w:lineRule="exact"/>
        <w:ind w:firstLine="880"/>
        <w:jc w:val="center"/>
        <w:rPr>
          <w:rFonts w:ascii="方正小标宋简体" w:hAnsi="方正小标宋简体" w:eastAsia="方正小标宋简体" w:cs="方正小标宋简体"/>
          <w:color w:val="000000"/>
          <w:sz w:val="44"/>
          <w:szCs w:val="44"/>
        </w:rPr>
      </w:pPr>
    </w:p>
    <w:p w14:paraId="64E451F9">
      <w:pPr>
        <w:adjustRightInd w:val="0"/>
        <w:snapToGrid w:val="0"/>
        <w:spacing w:line="560" w:lineRule="exact"/>
        <w:ind w:firstLine="880"/>
        <w:jc w:val="center"/>
        <w:rPr>
          <w:rFonts w:ascii="方正小标宋简体" w:hAnsi="方正小标宋简体" w:eastAsia="方正小标宋简体" w:cs="方正小标宋简体"/>
          <w:color w:val="000000"/>
          <w:sz w:val="44"/>
          <w:szCs w:val="44"/>
        </w:rPr>
      </w:pPr>
    </w:p>
    <w:p w14:paraId="5E76BCC3">
      <w:pPr>
        <w:adjustRightInd w:val="0"/>
        <w:snapToGrid w:val="0"/>
        <w:spacing w:line="560" w:lineRule="exact"/>
        <w:ind w:firstLine="880"/>
        <w:jc w:val="center"/>
        <w:rPr>
          <w:rFonts w:ascii="方正小标宋简体" w:hAnsi="方正小标宋简体" w:eastAsia="方正小标宋简体" w:cs="方正小标宋简体"/>
          <w:color w:val="000000"/>
          <w:sz w:val="44"/>
          <w:szCs w:val="44"/>
        </w:rPr>
      </w:pPr>
    </w:p>
    <w:p w14:paraId="3DF1664B">
      <w:pPr>
        <w:adjustRightInd w:val="0"/>
        <w:snapToGrid w:val="0"/>
        <w:spacing w:line="560" w:lineRule="exact"/>
        <w:ind w:firstLine="880"/>
        <w:jc w:val="center"/>
        <w:rPr>
          <w:rFonts w:ascii="方正小标宋简体" w:hAnsi="方正小标宋简体" w:eastAsia="方正小标宋简体" w:cs="方正小标宋简体"/>
          <w:color w:val="000000"/>
          <w:sz w:val="44"/>
          <w:szCs w:val="44"/>
        </w:rPr>
      </w:pPr>
    </w:p>
    <w:p w14:paraId="2630F98D">
      <w:pPr>
        <w:adjustRightInd w:val="0"/>
        <w:snapToGrid w:val="0"/>
        <w:spacing w:line="560" w:lineRule="exact"/>
        <w:ind w:firstLine="880"/>
        <w:jc w:val="center"/>
        <w:rPr>
          <w:rFonts w:ascii="方正小标宋简体" w:hAnsi="方正小标宋简体" w:eastAsia="方正小标宋简体" w:cs="方正小标宋简体"/>
          <w:color w:val="000000"/>
          <w:sz w:val="44"/>
          <w:szCs w:val="44"/>
        </w:rPr>
      </w:pPr>
    </w:p>
    <w:p w14:paraId="41E741B9">
      <w:pPr>
        <w:adjustRightInd w:val="0"/>
        <w:snapToGrid w:val="0"/>
        <w:spacing w:line="560" w:lineRule="exact"/>
        <w:ind w:firstLine="880"/>
        <w:jc w:val="center"/>
        <w:rPr>
          <w:rFonts w:ascii="方正小标宋简体" w:hAnsi="方正小标宋简体" w:eastAsia="方正小标宋简体" w:cs="方正小标宋简体"/>
          <w:color w:val="000000"/>
          <w:sz w:val="44"/>
          <w:szCs w:val="44"/>
        </w:rPr>
      </w:pPr>
    </w:p>
    <w:p w14:paraId="13666CB5">
      <w:pPr>
        <w:adjustRightInd w:val="0"/>
        <w:snapToGrid w:val="0"/>
        <w:spacing w:line="560" w:lineRule="exact"/>
        <w:jc w:val="center"/>
        <w:rPr>
          <w:rFonts w:ascii="方正小标宋简体" w:hAnsi="方正小标宋简体" w:eastAsia="方正小标宋简体" w:cs="方正小标宋简体"/>
          <w:color w:val="000000"/>
          <w:sz w:val="44"/>
          <w:szCs w:val="44"/>
        </w:rPr>
        <w:sectPr>
          <w:footerReference r:id="rId4" w:type="default"/>
          <w:type w:val="continuous"/>
          <w:pgSz w:w="11906" w:h="16838"/>
          <w:pgMar w:top="2098" w:right="1417" w:bottom="2098" w:left="1531" w:header="567" w:footer="567" w:gutter="0"/>
          <w:pgNumType w:fmt="numberInDash"/>
          <w:cols w:space="720" w:num="1"/>
          <w:docGrid w:type="lines" w:linePitch="312" w:charSpace="0"/>
        </w:sectPr>
      </w:pPr>
    </w:p>
    <w:p w14:paraId="00D66638">
      <w:pPr>
        <w:adjustRightInd w:val="0"/>
        <w:snapToGrid w:val="0"/>
        <w:spacing w:line="56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石林彝族自治县</w:t>
      </w:r>
      <w:bookmarkEnd w:id="26"/>
    </w:p>
    <w:p w14:paraId="08ADBC9D">
      <w:pPr>
        <w:adjustRightInd w:val="0"/>
        <w:snapToGrid w:val="0"/>
        <w:spacing w:line="560" w:lineRule="exact"/>
        <w:jc w:val="center"/>
        <w:rPr>
          <w:rStyle w:val="30"/>
          <w:rFonts w:ascii="Times New Roman" w:hAnsi="Times New Roman" w:eastAsia="方正小标宋简体" w:cs="Times New Roman"/>
          <w:color w:val="000000"/>
          <w:sz w:val="32"/>
          <w:szCs w:val="32"/>
        </w:rPr>
      </w:pPr>
      <w:bookmarkStart w:id="27" w:name="_Toc30955_WPSOffice_Level1"/>
      <w:r>
        <w:rPr>
          <w:rFonts w:hint="eastAsia" w:ascii="方正小标宋简体" w:hAnsi="方正小标宋简体" w:eastAsia="方正小标宋简体" w:cs="方正小标宋简体"/>
          <w:color w:val="000000"/>
          <w:sz w:val="44"/>
          <w:szCs w:val="44"/>
        </w:rPr>
        <w:t>“十四五”民族团结进步发展规划</w:t>
      </w:r>
      <w:bookmarkEnd w:id="27"/>
    </w:p>
    <w:p w14:paraId="41122963">
      <w:pPr>
        <w:pStyle w:val="13"/>
        <w:adjustRightInd w:val="0"/>
        <w:snapToGrid w:val="0"/>
        <w:spacing w:before="0" w:beforeAutospacing="0" w:after="0" w:afterAutospacing="0" w:line="560" w:lineRule="exact"/>
        <w:ind w:firstLine="640"/>
        <w:rPr>
          <w:rFonts w:ascii="Times New Roman" w:hAnsi="Times New Roman" w:eastAsia="黑体" w:cs="Times New Roman"/>
          <w:color w:val="000000"/>
          <w:sz w:val="32"/>
          <w:szCs w:val="32"/>
        </w:rPr>
      </w:pPr>
    </w:p>
    <w:p w14:paraId="3EF17BC8">
      <w:pPr>
        <w:pStyle w:val="13"/>
        <w:numPr>
          <w:ilvl w:val="0"/>
          <w:numId w:val="1"/>
        </w:numPr>
        <w:adjustRightInd w:val="0"/>
        <w:snapToGrid w:val="0"/>
        <w:spacing w:before="0" w:beforeAutospacing="0" w:after="0" w:afterAutospacing="0" w:line="560" w:lineRule="exact"/>
        <w:jc w:val="center"/>
        <w:rPr>
          <w:rFonts w:ascii="Times New Roman" w:hAnsi="Times New Roman" w:eastAsia="黑体" w:cs="Times New Roman"/>
          <w:color w:val="000000"/>
          <w:sz w:val="32"/>
          <w:szCs w:val="32"/>
        </w:rPr>
      </w:pPr>
      <w:bookmarkStart w:id="28" w:name="_Toc3456_WPSOffice_Level1"/>
      <w:r>
        <w:rPr>
          <w:rFonts w:hint="eastAsia" w:ascii="Times New Roman" w:hAnsi="Times New Roman" w:eastAsia="黑体" w:cs="Times New Roman"/>
          <w:color w:val="000000"/>
          <w:sz w:val="32"/>
          <w:szCs w:val="32"/>
        </w:rPr>
        <w:t xml:space="preserve"> “十三五”时期主要成绩</w:t>
      </w:r>
      <w:bookmarkEnd w:id="28"/>
    </w:p>
    <w:p w14:paraId="2CD506AC">
      <w:pPr>
        <w:pStyle w:val="13"/>
        <w:adjustRightInd w:val="0"/>
        <w:snapToGrid w:val="0"/>
        <w:spacing w:before="0" w:beforeAutospacing="0" w:after="0" w:afterAutospacing="0" w:line="560" w:lineRule="exact"/>
        <w:ind w:firstLine="640"/>
        <w:jc w:val="center"/>
        <w:rPr>
          <w:rFonts w:ascii="Times New Roman" w:hAnsi="Times New Roman" w:eastAsia="黑体" w:cs="Times New Roman"/>
          <w:color w:val="000000"/>
          <w:sz w:val="32"/>
          <w:szCs w:val="32"/>
        </w:rPr>
      </w:pPr>
    </w:p>
    <w:p w14:paraId="3E1485AD">
      <w:pPr>
        <w:pStyle w:val="13"/>
        <w:adjustRightInd w:val="0"/>
        <w:snapToGrid w:val="0"/>
        <w:spacing w:before="0" w:beforeAutospacing="0" w:after="0" w:afterAutospacing="0" w:line="560" w:lineRule="exact"/>
        <w:ind w:firstLine="640"/>
        <w:jc w:val="both"/>
        <w:rPr>
          <w:rFonts w:ascii="Times New Roman" w:hAnsi="Times New Roman" w:eastAsia="仿宋_GB2312" w:cs="仿宋_GB2312"/>
          <w:color w:val="000000"/>
          <w:sz w:val="32"/>
          <w:szCs w:val="32"/>
        </w:rPr>
      </w:pPr>
      <w:r>
        <w:rPr>
          <w:rFonts w:hint="eastAsia" w:ascii="Times New Roman" w:hAnsi="Times New Roman" w:eastAsia="仿宋_GB2312" w:cs="Times New Roman"/>
          <w:color w:val="000000"/>
          <w:sz w:val="32"/>
          <w:szCs w:val="32"/>
        </w:rPr>
        <w:t>“十三五”以来，在市委、市政府的正确领导下，县委、县政府深入贯彻落实习近平总书记考察云南重要讲话精神，坚持把民族工作融入全县发展大局，</w:t>
      </w:r>
      <w:r>
        <w:rPr>
          <w:rFonts w:hint="eastAsia" w:ascii="方正仿宋_GB2312" w:hAnsi="方正仿宋_GB2312" w:eastAsia="方正仿宋_GB2312" w:cs="方正仿宋_GB2312"/>
          <w:color w:val="000000"/>
          <w:sz w:val="32"/>
          <w:szCs w:val="32"/>
        </w:rPr>
        <w:t>以铸牢中华民族共同体意识为主线，以全面深入持久开展民族团结进步创建为抓手，</w:t>
      </w:r>
      <w:r>
        <w:rPr>
          <w:rFonts w:ascii="Times New Roman" w:hAnsi="Times New Roman" w:eastAsia="仿宋_GB2312" w:cs="Times New Roman"/>
          <w:color w:val="000000"/>
          <w:sz w:val="32"/>
          <w:szCs w:val="32"/>
        </w:rPr>
        <w:t>紧扣“中华民族一家亲，同心共筑中国梦”总目标，牢牢把握各民族“共同团结奋斗、共同繁荣发展”的主题，加快</w:t>
      </w:r>
      <w:r>
        <w:rPr>
          <w:rFonts w:hint="eastAsia" w:ascii="Times New Roman" w:hAnsi="Times New Roman" w:eastAsia="仿宋_GB2312" w:cs="Times New Roman"/>
          <w:color w:val="000000"/>
          <w:sz w:val="32"/>
          <w:szCs w:val="32"/>
        </w:rPr>
        <w:t>全县</w:t>
      </w:r>
      <w:r>
        <w:rPr>
          <w:rFonts w:ascii="Times New Roman" w:hAnsi="Times New Roman" w:eastAsia="仿宋_GB2312" w:cs="Times New Roman"/>
          <w:color w:val="000000"/>
          <w:sz w:val="32"/>
          <w:szCs w:val="32"/>
        </w:rPr>
        <w:t>经济社</w:t>
      </w:r>
      <w:r>
        <w:rPr>
          <w:rFonts w:hint="eastAsia" w:ascii="仿宋_GB2312" w:hAnsi="Times New Roman" w:eastAsia="仿宋_GB2312" w:cs="Times New Roman"/>
          <w:color w:val="000000"/>
          <w:sz w:val="32"/>
          <w:szCs w:val="32"/>
        </w:rPr>
        <w:t>会发展，不断</w:t>
      </w:r>
      <w:r>
        <w:rPr>
          <w:rFonts w:ascii="Times New Roman" w:hAnsi="Times New Roman" w:eastAsia="仿宋_GB2312" w:cs="Times New Roman"/>
          <w:color w:val="000000"/>
          <w:sz w:val="32"/>
          <w:szCs w:val="32"/>
        </w:rPr>
        <w:t>提高基本公共服务均等化水平，努力提升各族群众文明素质，加强各民族交往交流交融</w:t>
      </w:r>
      <w:r>
        <w:rPr>
          <w:rFonts w:hint="eastAsia" w:ascii="Times New Roman" w:hAnsi="Times New Roman" w:eastAsia="仿宋_GB2312" w:cs="Times New Roman"/>
          <w:color w:val="000000"/>
          <w:sz w:val="32"/>
          <w:szCs w:val="32"/>
        </w:rPr>
        <w:t>，成功创建为全国民族团结进步示范县，</w:t>
      </w:r>
      <w:r>
        <w:rPr>
          <w:rFonts w:eastAsia="仿宋_GB2312"/>
          <w:color w:val="000000"/>
          <w:sz w:val="32"/>
          <w:szCs w:val="32"/>
        </w:rPr>
        <w:t>为推进石林高质量发展营造民族团结进步、社会和谐稳定的良好氛围</w:t>
      </w:r>
      <w:r>
        <w:rPr>
          <w:rFonts w:hint="eastAsia" w:ascii="Times New Roman" w:hAnsi="Times New Roman" w:eastAsia="仿宋_GB2312" w:cs="Times New Roman"/>
          <w:color w:val="000000"/>
          <w:sz w:val="32"/>
          <w:szCs w:val="32"/>
        </w:rPr>
        <w:t>。</w:t>
      </w:r>
    </w:p>
    <w:p w14:paraId="340F98A2">
      <w:pPr>
        <w:pStyle w:val="5"/>
        <w:spacing w:before="0" w:after="0" w:line="560" w:lineRule="exact"/>
        <w:ind w:firstLine="640"/>
        <w:rPr>
          <w:rFonts w:ascii="黑体" w:hAnsi="黑体" w:eastAsia="黑体" w:cs="黑体"/>
          <w:b w:val="0"/>
          <w:bCs w:val="0"/>
          <w:color w:val="000000"/>
        </w:rPr>
      </w:pPr>
      <w:bookmarkStart w:id="29" w:name="_Toc25052"/>
      <w:bookmarkStart w:id="30" w:name="_Toc26966"/>
      <w:bookmarkStart w:id="31" w:name="_Toc31512_WPSOffice_Level2"/>
      <w:r>
        <w:rPr>
          <w:rFonts w:hint="eastAsia" w:ascii="黑体" w:hAnsi="黑体" w:eastAsia="黑体" w:cs="黑体"/>
          <w:b w:val="0"/>
          <w:bCs w:val="0"/>
          <w:color w:val="000000"/>
        </w:rPr>
        <w:t>一、民族团结进步创建成效显著</w:t>
      </w:r>
      <w:bookmarkEnd w:id="29"/>
      <w:bookmarkEnd w:id="30"/>
      <w:bookmarkEnd w:id="31"/>
    </w:p>
    <w:p w14:paraId="21BE6F11">
      <w:pPr>
        <w:pStyle w:val="42"/>
        <w:adjustRightInd w:val="0"/>
        <w:snapToGrid w:val="0"/>
        <w:spacing w:line="560" w:lineRule="exact"/>
        <w:ind w:firstLine="640"/>
        <w:rPr>
          <w:rFonts w:ascii="Times New Roman" w:hAnsi="Times New Roman" w:eastAsia="仿宋_GB2312" w:cs="仿宋_GB2312"/>
          <w:color w:val="000000"/>
          <w:sz w:val="32"/>
          <w:szCs w:val="32"/>
        </w:rPr>
      </w:pPr>
      <w:r>
        <w:rPr>
          <w:rFonts w:ascii="Times New Roman" w:hAnsi="Times New Roman" w:eastAsia="仿宋_GB2312" w:cs="Times New Roman"/>
          <w:color w:val="000000"/>
          <w:sz w:val="32"/>
          <w:szCs w:val="32"/>
        </w:rPr>
        <w:t>坚</w:t>
      </w:r>
      <w:r>
        <w:rPr>
          <w:rFonts w:ascii="Times New Roman" w:hAnsi="Times New Roman" w:eastAsia="仿宋" w:cs="Times New Roman"/>
          <w:color w:val="000000"/>
          <w:sz w:val="32"/>
          <w:szCs w:val="32"/>
        </w:rPr>
        <w:t>持把民族团结进步示范</w:t>
      </w:r>
      <w:r>
        <w:rPr>
          <w:rFonts w:hint="eastAsia" w:ascii="Times New Roman" w:hAnsi="Times New Roman" w:eastAsia="仿宋" w:cs="Times New Roman"/>
          <w:color w:val="000000"/>
          <w:sz w:val="32"/>
          <w:szCs w:val="32"/>
        </w:rPr>
        <w:t>创</w:t>
      </w:r>
      <w:r>
        <w:rPr>
          <w:rFonts w:ascii="Times New Roman" w:hAnsi="Times New Roman" w:eastAsia="仿宋" w:cs="Times New Roman"/>
          <w:color w:val="000000"/>
          <w:sz w:val="32"/>
          <w:szCs w:val="32"/>
        </w:rPr>
        <w:t>建作为</w:t>
      </w:r>
      <w:r>
        <w:rPr>
          <w:rFonts w:hint="eastAsia" w:ascii="Times New Roman" w:hAnsi="Times New Roman" w:eastAsia="仿宋" w:cs="Times New Roman"/>
          <w:color w:val="000000"/>
          <w:sz w:val="32"/>
          <w:szCs w:val="32"/>
        </w:rPr>
        <w:t>推</w:t>
      </w:r>
      <w:r>
        <w:rPr>
          <w:rFonts w:ascii="Times New Roman" w:hAnsi="Times New Roman" w:eastAsia="仿宋" w:cs="Times New Roman"/>
          <w:color w:val="000000"/>
          <w:sz w:val="32"/>
          <w:szCs w:val="32"/>
        </w:rPr>
        <w:t>进民族事业发展的主抓手和总动力，以</w:t>
      </w:r>
      <w:r>
        <w:rPr>
          <w:rFonts w:hint="eastAsia" w:ascii="Times New Roman" w:hAnsi="Times New Roman" w:eastAsia="仿宋" w:cs="Times New Roman"/>
          <w:color w:val="000000"/>
          <w:sz w:val="32"/>
          <w:szCs w:val="32"/>
        </w:rPr>
        <w:t>民族团结进步</w:t>
      </w:r>
      <w:r>
        <w:rPr>
          <w:rFonts w:ascii="Times New Roman" w:hAnsi="Times New Roman" w:eastAsia="仿宋" w:cs="Times New Roman"/>
          <w:color w:val="000000"/>
          <w:sz w:val="32"/>
          <w:szCs w:val="32"/>
        </w:rPr>
        <w:t>创建</w:t>
      </w:r>
      <w:r>
        <w:rPr>
          <w:rFonts w:ascii="Times New Roman" w:hAnsi="Times New Roman" w:eastAsia="仿宋_GB2312" w:cs="Times New Roman"/>
          <w:color w:val="000000"/>
          <w:sz w:val="32"/>
          <w:szCs w:val="32"/>
        </w:rPr>
        <w:t>“十进</w:t>
      </w:r>
      <w:r>
        <w:rPr>
          <w:rFonts w:ascii="Times New Roman" w:hAnsi="Times New Roman" w:eastAsia="仿宋_GB2312" w:cs="Times New Roman"/>
          <w:color w:val="000000"/>
          <w:spacing w:val="6"/>
          <w:kern w:val="10"/>
          <w:sz w:val="32"/>
          <w:szCs w:val="32"/>
        </w:rPr>
        <w:t>”</w:t>
      </w:r>
      <w:r>
        <w:rPr>
          <w:rFonts w:ascii="Times New Roman" w:hAnsi="Times New Roman" w:eastAsia="仿宋" w:cs="Times New Roman"/>
          <w:color w:val="000000"/>
          <w:sz w:val="32"/>
          <w:szCs w:val="32"/>
        </w:rPr>
        <w:t>为载体，全面深入持久</w:t>
      </w:r>
      <w:r>
        <w:rPr>
          <w:rFonts w:ascii="Times New Roman" w:hAnsi="Times New Roman" w:eastAsia="仿宋_GB2312" w:cs="仿宋_GB2312"/>
          <w:color w:val="000000"/>
          <w:sz w:val="32"/>
          <w:szCs w:val="32"/>
        </w:rPr>
        <w:t>开展民族团结进步创建，形成</w:t>
      </w:r>
      <w:r>
        <w:rPr>
          <w:rFonts w:hint="eastAsia" w:ascii="Times New Roman" w:hAnsi="Times New Roman" w:eastAsia="仿宋_GB2312" w:cs="仿宋_GB2312"/>
          <w:color w:val="000000"/>
          <w:sz w:val="32"/>
          <w:szCs w:val="32"/>
        </w:rPr>
        <w:t>了</w:t>
      </w:r>
      <w:r>
        <w:rPr>
          <w:rFonts w:ascii="Times New Roman" w:hAnsi="Times New Roman" w:eastAsia="仿宋_GB2312" w:cs="仿宋_GB2312"/>
          <w:color w:val="000000"/>
          <w:sz w:val="32"/>
          <w:szCs w:val="32"/>
        </w:rPr>
        <w:t>各民族和睦相处、和衷共济、和谐发展的良好局面。</w:t>
      </w:r>
      <w:r>
        <w:rPr>
          <w:rFonts w:hint="eastAsia" w:ascii="Times New Roman" w:hAnsi="Times New Roman" w:eastAsia="仿宋" w:cs="Times New Roman"/>
          <w:color w:val="000000"/>
          <w:sz w:val="32"/>
          <w:szCs w:val="32"/>
        </w:rPr>
        <w:t>“</w:t>
      </w:r>
      <w:r>
        <w:rPr>
          <w:rFonts w:ascii="Times New Roman" w:hAnsi="Times New Roman" w:eastAsia="仿宋_GB2312" w:cs="仿宋_GB2312"/>
          <w:color w:val="000000"/>
          <w:sz w:val="32"/>
          <w:szCs w:val="32"/>
        </w:rPr>
        <w:t>十三五</w:t>
      </w:r>
      <w:r>
        <w:rPr>
          <w:rFonts w:hint="eastAsia" w:ascii="仿宋_GB2312" w:hAnsi="仿宋_GB2312" w:eastAsia="仿宋_GB2312" w:cs="仿宋_GB2312"/>
          <w:color w:val="000000"/>
          <w:spacing w:val="6"/>
          <w:kern w:val="10"/>
          <w:sz w:val="32"/>
          <w:szCs w:val="32"/>
        </w:rPr>
        <w:t>”</w:t>
      </w:r>
      <w:r>
        <w:rPr>
          <w:rFonts w:ascii="Times New Roman" w:hAnsi="Times New Roman" w:eastAsia="仿宋_GB2312" w:cs="仿宋_GB2312"/>
          <w:color w:val="000000"/>
          <w:sz w:val="32"/>
          <w:szCs w:val="32"/>
        </w:rPr>
        <w:t>期间，</w:t>
      </w:r>
      <w:r>
        <w:rPr>
          <w:rFonts w:hint="eastAsia" w:ascii="Times New Roman" w:hAnsi="Times New Roman" w:eastAsia="仿宋_GB2312" w:cs="仿宋_GB2312"/>
          <w:color w:val="000000"/>
          <w:sz w:val="32"/>
          <w:szCs w:val="32"/>
        </w:rPr>
        <w:t>先后创建县级民族团结进步示范单位</w:t>
      </w:r>
      <w:r>
        <w:rPr>
          <w:rFonts w:hint="eastAsia" w:ascii="Times New Roman" w:hAnsi="Times New Roman" w:eastAsia="仿宋_GB2312" w:cs="Times New Roman"/>
          <w:color w:val="000000"/>
          <w:sz w:val="32"/>
          <w:szCs w:val="32"/>
        </w:rPr>
        <w:t>168</w:t>
      </w:r>
      <w:r>
        <w:rPr>
          <w:rFonts w:hint="eastAsia" w:ascii="Times New Roman" w:hAnsi="Times New Roman" w:eastAsia="仿宋_GB2312" w:cs="仿宋_GB2312"/>
          <w:color w:val="000000"/>
          <w:sz w:val="32"/>
          <w:szCs w:val="32"/>
        </w:rPr>
        <w:t>个、市级民族团结进步示范单位</w:t>
      </w:r>
      <w:r>
        <w:rPr>
          <w:rFonts w:hint="eastAsia" w:ascii="Times New Roman" w:hAnsi="Times New Roman" w:eastAsia="仿宋_GB2312" w:cs="Times New Roman"/>
          <w:color w:val="000000"/>
          <w:sz w:val="32"/>
          <w:szCs w:val="32"/>
        </w:rPr>
        <w:t>90</w:t>
      </w:r>
      <w:r>
        <w:rPr>
          <w:rFonts w:hint="eastAsia" w:ascii="Times New Roman" w:hAnsi="Times New Roman" w:eastAsia="仿宋_GB2312" w:cs="仿宋_GB2312"/>
          <w:color w:val="000000"/>
          <w:sz w:val="32"/>
          <w:szCs w:val="32"/>
        </w:rPr>
        <w:t>个、省级民族团结进步示范单位</w:t>
      </w:r>
      <w:r>
        <w:rPr>
          <w:rFonts w:ascii="Times New Roman" w:hAnsi="Times New Roman" w:eastAsia="仿宋_GB2312" w:cs="Times New Roman"/>
          <w:color w:val="000000"/>
          <w:sz w:val="32"/>
          <w:szCs w:val="32"/>
        </w:rPr>
        <w:t>14</w:t>
      </w:r>
      <w:r>
        <w:rPr>
          <w:rFonts w:hint="eastAsia" w:ascii="Times New Roman" w:hAnsi="Times New Roman" w:eastAsia="仿宋_GB2312" w:cs="仿宋_GB2312"/>
          <w:color w:val="000000"/>
          <w:sz w:val="32"/>
          <w:szCs w:val="32"/>
        </w:rPr>
        <w:t>个，</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中国少数民族特色村寨</w:t>
      </w:r>
      <w:r>
        <w:rPr>
          <w:rFonts w:ascii="Times New Roman" w:hAnsi="Times New Roman" w:eastAsia="仿宋_GB2312" w:cs="Times New Roman"/>
          <w:color w:val="000000"/>
          <w:sz w:val="32"/>
          <w:szCs w:val="32"/>
        </w:rPr>
        <w:t>”2</w:t>
      </w:r>
      <w:r>
        <w:rPr>
          <w:rFonts w:hint="eastAsia" w:ascii="Times New Roman" w:hAnsi="Times New Roman" w:eastAsia="仿宋_GB2312" w:cs="仿宋_GB2312"/>
          <w:color w:val="000000"/>
          <w:sz w:val="32"/>
          <w:szCs w:val="32"/>
        </w:rPr>
        <w:t>个；乡镇级和谐寺观教堂</w:t>
      </w:r>
      <w:r>
        <w:rPr>
          <w:rFonts w:ascii="Times New Roman" w:hAnsi="Times New Roman" w:eastAsia="仿宋_GB2312" w:cs="Times New Roman"/>
          <w:color w:val="000000"/>
          <w:sz w:val="32"/>
          <w:szCs w:val="32"/>
        </w:rPr>
        <w:t>2</w:t>
      </w:r>
      <w:r>
        <w:rPr>
          <w:rFonts w:hint="eastAsia" w:ascii="Times New Roman" w:hAnsi="Times New Roman" w:eastAsia="仿宋_GB2312" w:cs="仿宋_GB2312"/>
          <w:color w:val="000000"/>
          <w:sz w:val="32"/>
          <w:szCs w:val="32"/>
        </w:rPr>
        <w:t>个，县级和谐寺观教堂</w:t>
      </w:r>
      <w:r>
        <w:rPr>
          <w:rFonts w:ascii="Times New Roman" w:hAnsi="Times New Roman" w:eastAsia="仿宋_GB2312" w:cs="Times New Roman"/>
          <w:color w:val="000000"/>
          <w:sz w:val="32"/>
          <w:szCs w:val="32"/>
        </w:rPr>
        <w:t>4</w:t>
      </w:r>
      <w:r>
        <w:rPr>
          <w:rFonts w:hint="eastAsia" w:ascii="Times New Roman" w:hAnsi="Times New Roman" w:eastAsia="仿宋_GB2312" w:cs="仿宋_GB2312"/>
          <w:color w:val="000000"/>
          <w:sz w:val="32"/>
          <w:szCs w:val="32"/>
        </w:rPr>
        <w:t>个，市级和谐寺观教堂</w:t>
      </w:r>
      <w:r>
        <w:rPr>
          <w:rFonts w:ascii="Times New Roman" w:hAnsi="Times New Roman" w:eastAsia="仿宋_GB2312" w:cs="Times New Roman"/>
          <w:color w:val="000000"/>
          <w:sz w:val="32"/>
          <w:szCs w:val="32"/>
        </w:rPr>
        <w:t>4</w:t>
      </w:r>
      <w:r>
        <w:rPr>
          <w:rFonts w:hint="eastAsia" w:ascii="Times New Roman" w:hAnsi="Times New Roman" w:eastAsia="仿宋_GB2312" w:cs="仿宋_GB2312"/>
          <w:color w:val="000000"/>
          <w:sz w:val="32"/>
          <w:szCs w:val="32"/>
        </w:rPr>
        <w:t>个，省级和谐寺观教堂</w:t>
      </w:r>
      <w:r>
        <w:rPr>
          <w:rFonts w:ascii="Times New Roman" w:hAnsi="Times New Roman" w:eastAsia="仿宋_GB2312" w:cs="Times New Roman"/>
          <w:color w:val="000000"/>
          <w:sz w:val="32"/>
          <w:szCs w:val="32"/>
        </w:rPr>
        <w:t>1</w:t>
      </w:r>
      <w:r>
        <w:rPr>
          <w:rFonts w:hint="eastAsia" w:ascii="Times New Roman" w:hAnsi="Times New Roman" w:eastAsia="仿宋_GB2312" w:cs="仿宋_GB2312"/>
          <w:color w:val="000000"/>
          <w:sz w:val="32"/>
          <w:szCs w:val="32"/>
        </w:rPr>
        <w:t>个，</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全国和谐寺观教堂先进集体</w:t>
      </w:r>
      <w:r>
        <w:rPr>
          <w:rFonts w:ascii="Times New Roman" w:hAnsi="Times New Roman" w:eastAsia="仿宋_GB2312" w:cs="Times New Roman"/>
          <w:color w:val="000000"/>
          <w:sz w:val="32"/>
          <w:szCs w:val="32"/>
        </w:rPr>
        <w:t>”1</w:t>
      </w:r>
      <w:r>
        <w:rPr>
          <w:rFonts w:hint="eastAsia" w:ascii="Times New Roman" w:hAnsi="Times New Roman" w:eastAsia="仿宋_GB2312" w:cs="仿宋_GB2312"/>
          <w:color w:val="000000"/>
          <w:sz w:val="32"/>
          <w:szCs w:val="32"/>
        </w:rPr>
        <w:t>个。</w:t>
      </w:r>
      <w:r>
        <w:rPr>
          <w:rFonts w:hint="eastAsia" w:ascii="Times New Roman" w:hAnsi="Times New Roman" w:eastAsia="仿宋_GB2312" w:cs="Times New Roman"/>
          <w:color w:val="000000"/>
          <w:sz w:val="32"/>
          <w:szCs w:val="32"/>
        </w:rPr>
        <w:t>2</w:t>
      </w:r>
      <w:r>
        <w:rPr>
          <w:rFonts w:ascii="Times New Roman" w:hAnsi="Times New Roman" w:eastAsia="仿宋_GB2312" w:cs="Times New Roman"/>
          <w:color w:val="000000"/>
          <w:sz w:val="32"/>
          <w:szCs w:val="32"/>
        </w:rPr>
        <w:t>016</w:t>
      </w:r>
      <w:r>
        <w:rPr>
          <w:rFonts w:hint="eastAsia" w:ascii="Times New Roman" w:hAnsi="Times New Roman" w:eastAsia="仿宋_GB2312" w:cs="仿宋_GB2312"/>
          <w:color w:val="000000"/>
          <w:sz w:val="32"/>
          <w:szCs w:val="32"/>
        </w:rPr>
        <w:t>年创建为云南省民族团结进步示范县；</w:t>
      </w:r>
      <w:r>
        <w:rPr>
          <w:rFonts w:ascii="Times New Roman" w:hAnsi="Times New Roman" w:eastAsia="仿宋_GB2312" w:cs="Times New Roman"/>
          <w:color w:val="000000"/>
          <w:sz w:val="32"/>
          <w:szCs w:val="32"/>
        </w:rPr>
        <w:t>2017</w:t>
      </w:r>
      <w:r>
        <w:rPr>
          <w:rFonts w:hint="eastAsia" w:ascii="Times New Roman" w:hAnsi="Times New Roman" w:eastAsia="仿宋_GB2312" w:cs="仿宋_GB2312"/>
          <w:color w:val="000000"/>
          <w:sz w:val="32"/>
          <w:szCs w:val="32"/>
        </w:rPr>
        <w:t>年成功创建为全国民族团结进步示范县；</w:t>
      </w:r>
      <w:r>
        <w:rPr>
          <w:rFonts w:ascii="Times New Roman" w:hAnsi="Times New Roman" w:eastAsia="仿宋_GB2312" w:cs="Times New Roman"/>
          <w:color w:val="000000"/>
          <w:sz w:val="32"/>
          <w:szCs w:val="32"/>
        </w:rPr>
        <w:t>2018</w:t>
      </w:r>
      <w:r>
        <w:rPr>
          <w:rFonts w:hint="eastAsia" w:ascii="Times New Roman" w:hAnsi="Times New Roman" w:eastAsia="仿宋_GB2312" w:cs="仿宋_GB2312"/>
          <w:color w:val="000000"/>
          <w:sz w:val="32"/>
          <w:szCs w:val="32"/>
        </w:rPr>
        <w:t>年石林县、石林台创园分别被国家民委授予</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海峡两岸少数民族交流与合作基地</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和</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海峡两岸少数民族交流与合作基地示范园</w:t>
      </w:r>
      <w:r>
        <w:rPr>
          <w:rFonts w:ascii="Times New Roman" w:hAnsi="Times New Roman" w:eastAsia="仿宋_GB2312" w:cs="Times New Roman"/>
          <w:color w:val="000000"/>
          <w:sz w:val="32"/>
          <w:szCs w:val="32"/>
        </w:rPr>
        <w:t>”</w:t>
      </w:r>
      <w:r>
        <w:rPr>
          <w:rFonts w:hint="eastAsia" w:ascii="Times New Roman" w:hAnsi="Times New Roman" w:eastAsia="仿宋_GB2312" w:cs="仿宋_GB2312"/>
          <w:color w:val="000000"/>
          <w:sz w:val="32"/>
          <w:szCs w:val="32"/>
        </w:rPr>
        <w:t>荣誉称号。</w:t>
      </w:r>
      <w:r>
        <w:rPr>
          <w:rFonts w:ascii="Times New Roman" w:hAnsi="Times New Roman" w:eastAsia="仿宋_GB2312" w:cs="Times New Roman"/>
          <w:color w:val="000000"/>
          <w:sz w:val="32"/>
          <w:szCs w:val="32"/>
        </w:rPr>
        <w:t>2020</w:t>
      </w:r>
      <w:r>
        <w:rPr>
          <w:rFonts w:hint="eastAsia" w:ascii="Times New Roman" w:hAnsi="Times New Roman" w:eastAsia="仿宋_GB2312" w:cs="仿宋_GB2312"/>
          <w:color w:val="000000"/>
          <w:sz w:val="32"/>
          <w:szCs w:val="32"/>
        </w:rPr>
        <w:t>年昆明市人民政府表彰石林县</w:t>
      </w:r>
      <w:r>
        <w:rPr>
          <w:rFonts w:ascii="Times New Roman" w:hAnsi="Times New Roman" w:eastAsia="仿宋_GB2312" w:cs="Times New Roman"/>
          <w:color w:val="000000"/>
          <w:sz w:val="32"/>
          <w:szCs w:val="32"/>
        </w:rPr>
        <w:t>3</w:t>
      </w:r>
      <w:r>
        <w:rPr>
          <w:rFonts w:hint="eastAsia" w:ascii="Times New Roman" w:hAnsi="Times New Roman" w:eastAsia="仿宋_GB2312" w:cs="仿宋_GB2312"/>
          <w:color w:val="000000"/>
          <w:sz w:val="32"/>
          <w:szCs w:val="32"/>
        </w:rPr>
        <w:t>家单位为昆明市全国民族团结进步示范市创建工作先进集体，表彰</w:t>
      </w:r>
      <w:r>
        <w:rPr>
          <w:rFonts w:ascii="Times New Roman" w:hAnsi="Times New Roman" w:eastAsia="仿宋_GB2312" w:cs="Times New Roman"/>
          <w:color w:val="000000"/>
          <w:sz w:val="32"/>
          <w:szCs w:val="32"/>
        </w:rPr>
        <w:t>10</w:t>
      </w:r>
      <w:r>
        <w:rPr>
          <w:rFonts w:hint="eastAsia" w:ascii="Times New Roman" w:hAnsi="Times New Roman" w:eastAsia="仿宋_GB2312" w:cs="仿宋_GB2312"/>
          <w:color w:val="000000"/>
          <w:sz w:val="32"/>
          <w:szCs w:val="32"/>
        </w:rPr>
        <w:t>位同志为昆明市全国民族团结进步示范市创建工作先进个人。</w:t>
      </w:r>
    </w:p>
    <w:p w14:paraId="429ADE90">
      <w:pPr>
        <w:pStyle w:val="42"/>
        <w:adjustRightInd w:val="0"/>
        <w:snapToGrid w:val="0"/>
        <w:spacing w:line="560" w:lineRule="exact"/>
        <w:ind w:firstLine="640"/>
        <w:rPr>
          <w:rFonts w:ascii="黑体" w:hAnsi="黑体" w:eastAsia="黑体" w:cs="黑体"/>
          <w:color w:val="000000"/>
          <w:sz w:val="32"/>
          <w:szCs w:val="32"/>
        </w:rPr>
      </w:pPr>
      <w:bookmarkStart w:id="32" w:name="_Toc9528_WPSOffice_Level2"/>
      <w:r>
        <w:rPr>
          <w:rFonts w:hint="eastAsia" w:ascii="黑体" w:hAnsi="黑体" w:eastAsia="黑体" w:cs="黑体"/>
          <w:color w:val="000000"/>
          <w:sz w:val="32"/>
          <w:szCs w:val="32"/>
        </w:rPr>
        <w:t>二、综合实力再上台阶</w:t>
      </w:r>
      <w:bookmarkEnd w:id="32"/>
    </w:p>
    <w:p w14:paraId="0C25DB22">
      <w:pPr>
        <w:pStyle w:val="42"/>
        <w:adjustRightInd w:val="0"/>
        <w:snapToGrid w:val="0"/>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十三五</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期间，全县地区生产总值突破百亿，达11</w:t>
      </w:r>
      <w:r>
        <w:rPr>
          <w:rFonts w:hint="eastAsia" w:ascii="Times New Roman" w:hAnsi="Times New Roman" w:eastAsia="仿宋_GB2312" w:cs="Times New Roman"/>
          <w:color w:val="000000"/>
          <w:sz w:val="32"/>
          <w:szCs w:val="32"/>
        </w:rPr>
        <w:t>7.07</w:t>
      </w:r>
      <w:r>
        <w:rPr>
          <w:rFonts w:ascii="Times New Roman" w:hAnsi="Times New Roman" w:eastAsia="仿宋_GB2312" w:cs="Times New Roman"/>
          <w:color w:val="000000"/>
          <w:sz w:val="32"/>
          <w:szCs w:val="32"/>
        </w:rPr>
        <w:t>亿元，年均增长4.</w:t>
      </w:r>
      <w:r>
        <w:rPr>
          <w:rFonts w:hint="eastAsia" w:ascii="Times New Roman" w:hAnsi="Times New Roman" w:eastAsia="仿宋_GB2312" w:cs="Times New Roman"/>
          <w:color w:val="000000"/>
          <w:sz w:val="32"/>
          <w:szCs w:val="32"/>
        </w:rPr>
        <w:t>4</w:t>
      </w:r>
      <w:r>
        <w:rPr>
          <w:rFonts w:ascii="Times New Roman" w:hAnsi="Times New Roman" w:eastAsia="仿宋_GB2312" w:cs="Times New Roman"/>
          <w:color w:val="000000"/>
          <w:sz w:val="32"/>
          <w:szCs w:val="32"/>
        </w:rPr>
        <w:t>%。人均GDP达4</w:t>
      </w:r>
      <w:r>
        <w:rPr>
          <w:rFonts w:hint="eastAsia" w:ascii="Times New Roman" w:hAnsi="Times New Roman" w:eastAsia="仿宋_GB2312" w:cs="Times New Roman"/>
          <w:color w:val="000000"/>
          <w:sz w:val="32"/>
          <w:szCs w:val="32"/>
        </w:rPr>
        <w:t>8613</w:t>
      </w:r>
      <w:r>
        <w:rPr>
          <w:rFonts w:ascii="Times New Roman" w:hAnsi="Times New Roman" w:eastAsia="仿宋_GB2312" w:cs="Times New Roman"/>
          <w:color w:val="000000"/>
          <w:sz w:val="32"/>
          <w:szCs w:val="32"/>
        </w:rPr>
        <w:t>元，年均增长</w:t>
      </w:r>
      <w:r>
        <w:rPr>
          <w:rFonts w:hint="eastAsia" w:ascii="Times New Roman" w:hAnsi="Times New Roman" w:eastAsia="仿宋_GB2312" w:cs="Times New Roman"/>
          <w:color w:val="000000"/>
          <w:sz w:val="32"/>
          <w:szCs w:val="32"/>
        </w:rPr>
        <w:t>4.2</w:t>
      </w:r>
      <w:r>
        <w:rPr>
          <w:rFonts w:ascii="Times New Roman" w:hAnsi="Times New Roman" w:eastAsia="仿宋_GB2312" w:cs="Times New Roman"/>
          <w:color w:val="000000"/>
          <w:sz w:val="32"/>
          <w:szCs w:val="32"/>
        </w:rPr>
        <w:t>%。规模以上固定资产投资累计达</w:t>
      </w:r>
      <w:r>
        <w:rPr>
          <w:rFonts w:hint="eastAsia" w:ascii="Times New Roman" w:hAnsi="Times New Roman" w:eastAsia="仿宋_GB2312" w:cs="Times New Roman"/>
          <w:color w:val="000000"/>
          <w:sz w:val="32"/>
          <w:szCs w:val="32"/>
        </w:rPr>
        <w:t>489.2</w:t>
      </w:r>
      <w:r>
        <w:rPr>
          <w:rFonts w:ascii="Times New Roman" w:hAnsi="Times New Roman" w:eastAsia="仿宋_GB2312" w:cs="Times New Roman"/>
          <w:color w:val="000000"/>
          <w:sz w:val="32"/>
          <w:szCs w:val="32"/>
        </w:rPr>
        <w:t>亿元；社会消费品零售总额</w:t>
      </w:r>
      <w:r>
        <w:rPr>
          <w:rFonts w:hint="eastAsia" w:ascii="Times New Roman" w:hAnsi="Times New Roman" w:eastAsia="仿宋_GB2312" w:cs="Times New Roman"/>
          <w:color w:val="000000"/>
          <w:sz w:val="32"/>
          <w:szCs w:val="32"/>
        </w:rPr>
        <w:t>完成44.98</w:t>
      </w:r>
      <w:r>
        <w:rPr>
          <w:rFonts w:ascii="Times New Roman" w:hAnsi="Times New Roman" w:eastAsia="仿宋_GB2312" w:cs="Times New Roman"/>
          <w:color w:val="000000"/>
          <w:sz w:val="32"/>
          <w:szCs w:val="32"/>
        </w:rPr>
        <w:t>亿元，年均增长</w:t>
      </w:r>
      <w:r>
        <w:rPr>
          <w:rFonts w:hint="eastAsia" w:ascii="Times New Roman" w:hAnsi="Times New Roman" w:eastAsia="仿宋_GB2312" w:cs="Times New Roman"/>
          <w:color w:val="000000"/>
          <w:sz w:val="32"/>
          <w:szCs w:val="32"/>
        </w:rPr>
        <w:t>9.6</w:t>
      </w:r>
      <w:r>
        <w:rPr>
          <w:rFonts w:ascii="Times New Roman" w:hAnsi="Times New Roman" w:eastAsia="仿宋_GB2312" w:cs="Times New Roman"/>
          <w:color w:val="000000"/>
          <w:sz w:val="32"/>
          <w:szCs w:val="32"/>
        </w:rPr>
        <w:t>%。城镇常住居民</w:t>
      </w:r>
      <w:r>
        <w:rPr>
          <w:rFonts w:hint="eastAsia" w:ascii="Times New Roman" w:hAnsi="Times New Roman" w:eastAsia="仿宋_GB2312" w:cs="Times New Roman"/>
          <w:color w:val="000000"/>
          <w:sz w:val="32"/>
          <w:szCs w:val="32"/>
        </w:rPr>
        <w:t>人均</w:t>
      </w:r>
      <w:r>
        <w:rPr>
          <w:rFonts w:ascii="Times New Roman" w:hAnsi="Times New Roman" w:eastAsia="仿宋_GB2312" w:cs="Times New Roman"/>
          <w:color w:val="000000"/>
          <w:sz w:val="32"/>
          <w:szCs w:val="32"/>
        </w:rPr>
        <w:t>可支配收入4</w:t>
      </w:r>
      <w:r>
        <w:rPr>
          <w:rFonts w:hint="eastAsia" w:ascii="Times New Roman" w:hAnsi="Times New Roman" w:eastAsia="仿宋_GB2312" w:cs="Times New Roman"/>
          <w:color w:val="000000"/>
          <w:sz w:val="32"/>
          <w:szCs w:val="32"/>
        </w:rPr>
        <w:t>5213</w:t>
      </w:r>
      <w:r>
        <w:rPr>
          <w:rFonts w:ascii="Times New Roman" w:hAnsi="Times New Roman" w:eastAsia="仿宋_GB2312" w:cs="Times New Roman"/>
          <w:color w:val="000000"/>
          <w:sz w:val="32"/>
          <w:szCs w:val="32"/>
        </w:rPr>
        <w:t>元，年均增长7.</w:t>
      </w:r>
      <w:r>
        <w:rPr>
          <w:rFonts w:hint="eastAsia" w:ascii="Times New Roman" w:hAnsi="Times New Roman" w:eastAsia="仿宋_GB2312" w:cs="Times New Roman"/>
          <w:color w:val="000000"/>
          <w:sz w:val="32"/>
          <w:szCs w:val="32"/>
        </w:rPr>
        <w:t>1</w:t>
      </w:r>
      <w:r>
        <w:rPr>
          <w:rFonts w:ascii="Times New Roman" w:hAnsi="Times New Roman" w:eastAsia="仿宋_GB2312" w:cs="Times New Roman"/>
          <w:color w:val="000000"/>
          <w:sz w:val="32"/>
          <w:szCs w:val="32"/>
        </w:rPr>
        <w:t>%，农村居民</w:t>
      </w:r>
      <w:r>
        <w:rPr>
          <w:rFonts w:hint="eastAsia" w:ascii="Times New Roman" w:hAnsi="Times New Roman" w:eastAsia="仿宋_GB2312" w:cs="Times New Roman"/>
          <w:color w:val="000000"/>
          <w:sz w:val="32"/>
          <w:szCs w:val="32"/>
        </w:rPr>
        <w:t>人均</w:t>
      </w:r>
      <w:r>
        <w:rPr>
          <w:rFonts w:ascii="Times New Roman" w:hAnsi="Times New Roman" w:eastAsia="仿宋_GB2312" w:cs="Times New Roman"/>
          <w:color w:val="000000"/>
          <w:sz w:val="32"/>
          <w:szCs w:val="32"/>
        </w:rPr>
        <w:t>可支配收入17</w:t>
      </w:r>
      <w:r>
        <w:rPr>
          <w:rFonts w:hint="eastAsia" w:ascii="Times New Roman" w:hAnsi="Times New Roman" w:eastAsia="仿宋_GB2312" w:cs="Times New Roman"/>
          <w:color w:val="000000"/>
          <w:sz w:val="32"/>
          <w:szCs w:val="32"/>
        </w:rPr>
        <w:t>440</w:t>
      </w:r>
      <w:r>
        <w:rPr>
          <w:rFonts w:ascii="Times New Roman" w:hAnsi="Times New Roman" w:eastAsia="仿宋_GB2312" w:cs="Times New Roman"/>
          <w:color w:val="000000"/>
          <w:sz w:val="32"/>
          <w:szCs w:val="32"/>
        </w:rPr>
        <w:t>元，年均增长</w:t>
      </w:r>
      <w:r>
        <w:rPr>
          <w:rFonts w:hint="eastAsia" w:ascii="Times New Roman" w:hAnsi="Times New Roman" w:eastAsia="仿宋_GB2312" w:cs="Times New Roman"/>
          <w:color w:val="000000"/>
          <w:sz w:val="32"/>
          <w:szCs w:val="32"/>
        </w:rPr>
        <w:t>9</w:t>
      </w:r>
      <w:r>
        <w:rPr>
          <w:rFonts w:ascii="Times New Roman" w:hAnsi="Times New Roman" w:eastAsia="仿宋_GB2312" w:cs="Times New Roman"/>
          <w:color w:val="000000"/>
          <w:sz w:val="32"/>
          <w:szCs w:val="32"/>
        </w:rPr>
        <w:t>%，城乡居民收入比为2.</w:t>
      </w:r>
      <w:r>
        <w:rPr>
          <w:rFonts w:hint="eastAsia" w:ascii="Times New Roman" w:hAnsi="Times New Roman" w:eastAsia="仿宋_GB2312" w:cs="Times New Roman"/>
          <w:color w:val="000000"/>
          <w:sz w:val="32"/>
          <w:szCs w:val="32"/>
        </w:rPr>
        <w:t>59</w:t>
      </w:r>
      <w:r>
        <w:rPr>
          <w:rFonts w:ascii="Times New Roman" w:hAnsi="Times New Roman" w:eastAsia="仿宋_GB2312" w:cs="Times New Roman"/>
          <w:color w:val="000000"/>
          <w:sz w:val="32"/>
          <w:szCs w:val="32"/>
        </w:rPr>
        <w:t>，差距较</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十二五</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末缩小0.</w:t>
      </w:r>
      <w:r>
        <w:rPr>
          <w:rFonts w:hint="eastAsia" w:ascii="Times New Roman" w:hAnsi="Times New Roman" w:eastAsia="仿宋_GB2312" w:cs="Times New Roman"/>
          <w:color w:val="000000"/>
          <w:sz w:val="32"/>
          <w:szCs w:val="32"/>
        </w:rPr>
        <w:t>4</w:t>
      </w:r>
      <w:r>
        <w:rPr>
          <w:rFonts w:ascii="Times New Roman" w:hAnsi="Times New Roman" w:eastAsia="仿宋_GB2312" w:cs="Times New Roman"/>
          <w:color w:val="000000"/>
          <w:sz w:val="32"/>
          <w:szCs w:val="32"/>
        </w:rPr>
        <w:t>个百分点。</w:t>
      </w:r>
      <w:r>
        <w:rPr>
          <w:rFonts w:hint="eastAsia" w:ascii="Times New Roman" w:hAnsi="Times New Roman" w:eastAsia="仿宋_GB2312" w:cs="Times New Roman"/>
          <w:color w:val="000000"/>
          <w:sz w:val="32"/>
          <w:szCs w:val="32"/>
        </w:rPr>
        <w:t>2019年</w:t>
      </w:r>
      <w:r>
        <w:rPr>
          <w:rFonts w:ascii="Times New Roman" w:hAnsi="Times New Roman" w:eastAsia="仿宋_GB2312" w:cs="Times New Roman"/>
          <w:color w:val="000000"/>
          <w:sz w:val="32"/>
          <w:szCs w:val="32"/>
        </w:rPr>
        <w:t>获得</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云南省县域跨越发展先进县</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称号。</w:t>
      </w:r>
    </w:p>
    <w:p w14:paraId="2C1D8011">
      <w:pPr>
        <w:pStyle w:val="42"/>
        <w:adjustRightInd w:val="0"/>
        <w:snapToGrid w:val="0"/>
        <w:spacing w:line="560" w:lineRule="exact"/>
        <w:ind w:firstLine="640"/>
        <w:rPr>
          <w:rFonts w:ascii="黑体" w:hAnsi="黑体" w:eastAsia="黑体" w:cs="黑体"/>
          <w:color w:val="000000"/>
          <w:sz w:val="32"/>
          <w:szCs w:val="32"/>
        </w:rPr>
      </w:pPr>
      <w:bookmarkStart w:id="33" w:name="_Toc12116_WPSOffice_Level2"/>
      <w:r>
        <w:rPr>
          <w:rFonts w:hint="eastAsia" w:ascii="黑体" w:hAnsi="黑体" w:eastAsia="黑体" w:cs="黑体"/>
          <w:color w:val="000000"/>
          <w:sz w:val="32"/>
          <w:szCs w:val="32"/>
        </w:rPr>
        <w:t>三、产业效益显著提升</w:t>
      </w:r>
      <w:bookmarkEnd w:id="33"/>
    </w:p>
    <w:p w14:paraId="44D8AAB4">
      <w:pPr>
        <w:pStyle w:val="42"/>
        <w:adjustRightInd w:val="0"/>
        <w:snapToGrid w:val="0"/>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全域旅游有序推进，景区品质不断提升，新增2个4A级旅游景区，1个省级旅游度假区，冰雪海洋世界、杏林大观园等旅游产品供给不断丰富，</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一部手机游石林</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上线运行，阿诗玛文化旅游节、人参果节等节庆品牌影响力不断扩大，</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石林旅游</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品牌知名度进一步提升，成功创建为首批国家全域旅游示范区。工业经济提质增效，园区优化整合提升稳妥推进，绿色食品加工、生物医药等重点产业加快发展，成功引进华润三九、维他源等名优企业，煤矿整治、非煤矿山转型升级工作全面完成。现代农业稳步发展，粮食产量实现5年连增，获云南省</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最具影响力烟区</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称号，建成全国规模最大的人参果种植基地，西街口镇获评全国</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一村一品</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示范村镇。获评云南省有机产品认证示范创建县、农村创新创业孵化实训基地、全国农村一二三产业融合发展先导区。</w:t>
      </w:r>
    </w:p>
    <w:p w14:paraId="22E0A0F9">
      <w:pPr>
        <w:pStyle w:val="42"/>
        <w:adjustRightInd w:val="0"/>
        <w:snapToGrid w:val="0"/>
        <w:spacing w:line="560" w:lineRule="exact"/>
        <w:ind w:firstLine="640"/>
        <w:rPr>
          <w:rFonts w:ascii="黑体" w:hAnsi="黑体" w:eastAsia="黑体" w:cs="黑体"/>
          <w:color w:val="000000"/>
          <w:sz w:val="32"/>
          <w:szCs w:val="32"/>
        </w:rPr>
      </w:pPr>
      <w:bookmarkStart w:id="34" w:name="_Toc5113_WPSOffice_Level2"/>
      <w:r>
        <w:rPr>
          <w:rFonts w:hint="eastAsia" w:ascii="黑体" w:hAnsi="黑体" w:eastAsia="黑体" w:cs="黑体"/>
          <w:color w:val="000000"/>
          <w:sz w:val="32"/>
          <w:szCs w:val="32"/>
        </w:rPr>
        <w:t>四、三大攻坚战成效显著</w:t>
      </w:r>
      <w:bookmarkEnd w:id="34"/>
    </w:p>
    <w:p w14:paraId="2C97DFF3">
      <w:pPr>
        <w:pStyle w:val="42"/>
        <w:adjustRightInd w:val="0"/>
        <w:snapToGrid w:val="0"/>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实施精准扶贫战略，</w:t>
      </w:r>
      <w:r>
        <w:rPr>
          <w:rFonts w:ascii="Times New Roman" w:hAnsi="Times New Roman" w:eastAsia="仿宋_GB2312" w:cs="Times New Roman"/>
          <w:color w:val="000000"/>
          <w:sz w:val="32"/>
          <w:szCs w:val="32"/>
        </w:rPr>
        <w:t>脱贫成果持续巩固，如期实现7个贫困村1308户4184贫困人口全面脱贫。强化风险预警管控，多渠道筹集偿债资金，政府债务风险得到有效缓解。污染防治成效显著，空气环境质量稳居全市第一</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河（湖）长制</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全面落实，地表水和饮用水环境质量达标率连续多年保持100%；完成重点企业行业土壤污染整治，医疗废物集中处置率达100%。林业生态建设暨森林资源保护三年行动取得明显成效，完成石漠化综合治理16.53万亩，森林覆盖率达4</w:t>
      </w:r>
      <w:r>
        <w:rPr>
          <w:rFonts w:hint="eastAsia" w:ascii="Times New Roman" w:hAnsi="Times New Roman" w:eastAsia="仿宋_GB2312" w:cs="Times New Roman"/>
          <w:color w:val="000000"/>
          <w:sz w:val="32"/>
          <w:szCs w:val="32"/>
        </w:rPr>
        <w:t>3.36</w:t>
      </w:r>
      <w:r>
        <w:rPr>
          <w:rFonts w:ascii="Times New Roman" w:hAnsi="Times New Roman" w:eastAsia="仿宋_GB2312" w:cs="Times New Roman"/>
          <w:color w:val="000000"/>
          <w:sz w:val="32"/>
          <w:szCs w:val="32"/>
        </w:rPr>
        <w:t>%。全县所有乡镇均创建为国家级生态乡镇，获评云南省首个</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中国天然氧吧</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，成功创建为国家生态文明建设示范县。</w:t>
      </w:r>
    </w:p>
    <w:p w14:paraId="0B51584C">
      <w:pPr>
        <w:pStyle w:val="42"/>
        <w:numPr>
          <w:ilvl w:val="0"/>
          <w:numId w:val="2"/>
        </w:numPr>
        <w:adjustRightInd w:val="0"/>
        <w:snapToGrid w:val="0"/>
        <w:spacing w:line="560" w:lineRule="exact"/>
        <w:ind w:firstLine="640"/>
        <w:rPr>
          <w:rFonts w:ascii="黑体" w:hAnsi="黑体" w:eastAsia="黑体" w:cs="黑体"/>
          <w:color w:val="000000"/>
          <w:sz w:val="32"/>
          <w:szCs w:val="32"/>
        </w:rPr>
      </w:pPr>
      <w:bookmarkStart w:id="35" w:name="_Toc18378_WPSOffice_Level2"/>
      <w:r>
        <w:rPr>
          <w:rFonts w:hint="eastAsia" w:ascii="黑体" w:hAnsi="黑体" w:eastAsia="黑体" w:cs="黑体"/>
          <w:color w:val="000000"/>
          <w:sz w:val="32"/>
          <w:szCs w:val="32"/>
        </w:rPr>
        <w:t>城乡面貌显著改善</w:t>
      </w:r>
      <w:bookmarkEnd w:id="35"/>
    </w:p>
    <w:p w14:paraId="400E3FF0">
      <w:pPr>
        <w:pStyle w:val="42"/>
        <w:adjustRightInd w:val="0"/>
        <w:snapToGrid w:val="0"/>
        <w:spacing w:line="560" w:lineRule="exact"/>
        <w:ind w:firstLine="64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五网</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设施建设扎实推进，云桂高铁、石泸高速、宜石高速、长湖旅游专线一期、大叠水旅游专线和环城南路实现通车，自然村道路硬化率、通车率达100%，创建为云南省首批</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四好农村路</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示范县。</w:t>
      </w:r>
      <w:r>
        <w:rPr>
          <w:rFonts w:hint="eastAsia" w:ascii="Times New Roman" w:hAnsi="Times New Roman" w:eastAsia="仿宋_GB2312" w:cs="Times New Roman"/>
          <w:color w:val="000000"/>
          <w:sz w:val="32"/>
          <w:szCs w:val="32"/>
        </w:rPr>
        <w:t>石林</w:t>
      </w:r>
      <w:r>
        <w:rPr>
          <w:rFonts w:ascii="Times New Roman" w:hAnsi="Times New Roman" w:eastAsia="仿宋_GB2312" w:cs="Times New Roman"/>
          <w:color w:val="000000"/>
          <w:sz w:val="32"/>
          <w:szCs w:val="32"/>
        </w:rPr>
        <w:t>地下水库实现蓄水，柴石滩水库灌区石林提水灌</w:t>
      </w:r>
      <w:r>
        <w:rPr>
          <w:rFonts w:hint="eastAsia" w:ascii="Times New Roman" w:hAnsi="Times New Roman" w:eastAsia="仿宋_GB2312" w:cs="Times New Roman"/>
          <w:color w:val="000000"/>
          <w:sz w:val="32"/>
          <w:szCs w:val="32"/>
        </w:rPr>
        <w:t>溉</w:t>
      </w:r>
      <w:r>
        <w:rPr>
          <w:rFonts w:ascii="Times New Roman" w:hAnsi="Times New Roman" w:eastAsia="仿宋_GB2312" w:cs="Times New Roman"/>
          <w:color w:val="000000"/>
          <w:sz w:val="32"/>
          <w:szCs w:val="32"/>
        </w:rPr>
        <w:t>试运行，矣马伴水库、小白龙潭水库竣工验收，鱼龙水库建设加快推进，年供水能力增加2628万立方米。太阳能、风能发电等新能源项目装机规模</w:t>
      </w:r>
      <w:r>
        <w:rPr>
          <w:rFonts w:hint="eastAsia" w:ascii="Times New Roman" w:hAnsi="Times New Roman" w:eastAsia="仿宋_GB2312" w:cs="Times New Roman"/>
          <w:color w:val="000000"/>
          <w:sz w:val="32"/>
          <w:szCs w:val="32"/>
        </w:rPr>
        <w:t>达</w:t>
      </w:r>
      <w:r>
        <w:rPr>
          <w:rFonts w:ascii="Times New Roman" w:hAnsi="Times New Roman" w:eastAsia="仿宋_GB2312" w:cs="Times New Roman"/>
          <w:color w:val="000000"/>
          <w:sz w:val="32"/>
          <w:szCs w:val="32"/>
        </w:rPr>
        <w:t>410兆瓦。新建110千伏黄家庄变电站、35千伏西街口变电站，建成汽车充电桩129个、5G基站170个，行政村4G网络覆盖率达100%，是全省第一个</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村村通</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光纤宽带的县区，被列为国家数字乡村试点县。实施特色街区、风貌改造、城市亮化、旅游厕所等项目建设，城镇生活垃圾无害化处理率达100%、污水集中处理率达90.</w:t>
      </w:r>
      <w:r>
        <w:rPr>
          <w:rFonts w:hint="eastAsia" w:ascii="Times New Roman" w:hAnsi="Times New Roman" w:eastAsia="仿宋_GB2312" w:cs="Times New Roman"/>
          <w:color w:val="000000"/>
          <w:sz w:val="32"/>
          <w:szCs w:val="32"/>
        </w:rPr>
        <w:t>09</w:t>
      </w:r>
      <w:r>
        <w:rPr>
          <w:rFonts w:ascii="Times New Roman" w:hAnsi="Times New Roman" w:eastAsia="仿宋_GB2312" w:cs="Times New Roman"/>
          <w:color w:val="000000"/>
          <w:sz w:val="32"/>
          <w:szCs w:val="32"/>
        </w:rPr>
        <w:t>%。农村人居环境不断改善，建成8个美丽宜居省级重点村、13个县级示范村，糯黑村、五棵树村被评为省级</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美丽乡村</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rPr>
        <w:t>成功创建为</w:t>
      </w:r>
      <w:r>
        <w:rPr>
          <w:rFonts w:ascii="Times New Roman" w:hAnsi="Times New Roman" w:eastAsia="仿宋_GB2312" w:cs="Times New Roman"/>
          <w:color w:val="000000"/>
          <w:sz w:val="32"/>
          <w:szCs w:val="32"/>
        </w:rPr>
        <w:t>全国文明城市</w:t>
      </w:r>
      <w:r>
        <w:rPr>
          <w:rFonts w:hint="eastAsia" w:ascii="Times New Roman" w:hAnsi="Times New Roman" w:eastAsia="仿宋_GB2312" w:cs="Times New Roman"/>
          <w:color w:val="000000"/>
          <w:sz w:val="32"/>
          <w:szCs w:val="32"/>
        </w:rPr>
        <w:t>和</w:t>
      </w:r>
      <w:r>
        <w:rPr>
          <w:rFonts w:ascii="Times New Roman" w:hAnsi="Times New Roman" w:eastAsia="仿宋_GB2312" w:cs="Times New Roman"/>
          <w:color w:val="000000"/>
          <w:sz w:val="32"/>
          <w:szCs w:val="32"/>
        </w:rPr>
        <w:t>云南省首批</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美丽县城</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w:t>
      </w:r>
    </w:p>
    <w:p w14:paraId="13CF347A">
      <w:pPr>
        <w:pStyle w:val="42"/>
        <w:numPr>
          <w:ilvl w:val="0"/>
          <w:numId w:val="2"/>
        </w:numPr>
        <w:adjustRightInd w:val="0"/>
        <w:snapToGrid w:val="0"/>
        <w:spacing w:line="560" w:lineRule="exact"/>
        <w:ind w:firstLine="640"/>
        <w:rPr>
          <w:rFonts w:ascii="Times New Roman" w:hAnsi="Times New Roman" w:eastAsia="仿宋_GB2312" w:cs="Times New Roman"/>
          <w:color w:val="000000"/>
          <w:sz w:val="32"/>
          <w:szCs w:val="32"/>
        </w:rPr>
      </w:pPr>
      <w:bookmarkStart w:id="36" w:name="_Toc1800_WPSOffice_Level2"/>
      <w:r>
        <w:rPr>
          <w:rFonts w:hint="eastAsia" w:ascii="黑体" w:hAnsi="黑体" w:eastAsia="黑体" w:cs="黑体"/>
          <w:color w:val="000000"/>
          <w:sz w:val="32"/>
          <w:szCs w:val="32"/>
        </w:rPr>
        <w:t>改革创新不断深化</w:t>
      </w:r>
      <w:bookmarkEnd w:id="36"/>
    </w:p>
    <w:p w14:paraId="43354A83">
      <w:pPr>
        <w:pStyle w:val="42"/>
        <w:adjustRightInd w:val="0"/>
        <w:snapToGrid w:val="0"/>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完成新一轮政府机构改革和公务用车制度改革，国有企业改革</w:t>
      </w:r>
      <w:r>
        <w:rPr>
          <w:rFonts w:hint="eastAsia" w:ascii="Times New Roman" w:hAnsi="Times New Roman" w:eastAsia="仿宋_GB2312" w:cs="Times New Roman"/>
          <w:color w:val="000000"/>
          <w:sz w:val="32"/>
          <w:szCs w:val="32"/>
        </w:rPr>
        <w:t>扎实推进</w:t>
      </w:r>
      <w:r>
        <w:rPr>
          <w:rFonts w:ascii="Times New Roman" w:hAnsi="Times New Roman" w:eastAsia="仿宋_GB2312" w:cs="Times New Roman"/>
          <w:color w:val="000000"/>
          <w:sz w:val="32"/>
          <w:szCs w:val="32"/>
        </w:rPr>
        <w:t>。深化</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放管服</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改革，完成</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一网四中心</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建设，推进政务服务</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七办</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模式，政务服务事项全程网办率达84%，营商环境持续改善。全面完成农村土地承包经营权确权登记颁证，被列为全国农村集体产权制度改革试点县。支持和鼓励企业创新发展，</w:t>
      </w:r>
      <w:r>
        <w:rPr>
          <w:rFonts w:hint="eastAsia" w:ascii="Times New Roman" w:hAnsi="Times New Roman" w:eastAsia="仿宋_GB2312" w:cs="Times New Roman"/>
          <w:color w:val="000000"/>
          <w:sz w:val="32"/>
          <w:szCs w:val="32"/>
        </w:rPr>
        <w:t>完成</w:t>
      </w:r>
      <w:r>
        <w:rPr>
          <w:rFonts w:ascii="Times New Roman" w:hAnsi="Times New Roman" w:eastAsia="仿宋_GB2312" w:cs="Times New Roman"/>
          <w:color w:val="000000"/>
          <w:sz w:val="32"/>
          <w:szCs w:val="32"/>
        </w:rPr>
        <w:t>园区小微创业示范基地、云南三七生物技术与制药工程研究中心</w:t>
      </w:r>
      <w:r>
        <w:rPr>
          <w:rFonts w:hint="eastAsia" w:ascii="Times New Roman" w:hAnsi="Times New Roman" w:eastAsia="仿宋_GB2312" w:cs="Times New Roman"/>
          <w:color w:val="000000"/>
          <w:sz w:val="32"/>
          <w:szCs w:val="32"/>
        </w:rPr>
        <w:t>建设</w:t>
      </w:r>
      <w:r>
        <w:rPr>
          <w:rFonts w:ascii="Times New Roman" w:hAnsi="Times New Roman" w:eastAsia="仿宋_GB2312" w:cs="Times New Roman"/>
          <w:color w:val="000000"/>
          <w:sz w:val="32"/>
          <w:szCs w:val="32"/>
        </w:rPr>
        <w:t>。建成云南省科技成果转化中心1个，新增高新企业5家，台创园被评为</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全国农村创业创新园区</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，石林县被</w:t>
      </w:r>
      <w:r>
        <w:rPr>
          <w:rFonts w:hint="eastAsia" w:ascii="Times New Roman" w:hAnsi="Times New Roman" w:eastAsia="仿宋_GB2312" w:cs="Times New Roman"/>
          <w:color w:val="000000"/>
          <w:sz w:val="32"/>
          <w:szCs w:val="32"/>
        </w:rPr>
        <w:t>列为全国农村创业创新监测调查试点县</w:t>
      </w:r>
      <w:r>
        <w:rPr>
          <w:rFonts w:ascii="Times New Roman" w:hAnsi="Times New Roman" w:eastAsia="仿宋_GB2312" w:cs="Times New Roman"/>
          <w:color w:val="000000"/>
          <w:sz w:val="32"/>
          <w:szCs w:val="32"/>
        </w:rPr>
        <w:t>。开展</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阿诗玛文化万里行</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活动，联合组建石林—弥勒—丘北旅游区域合作联盟，对外交流不断加强。</w:t>
      </w:r>
    </w:p>
    <w:p w14:paraId="4D6CFB8B">
      <w:pPr>
        <w:numPr>
          <w:ilvl w:val="0"/>
          <w:numId w:val="2"/>
        </w:numPr>
        <w:adjustRightInd w:val="0"/>
        <w:snapToGrid w:val="0"/>
        <w:spacing w:line="560" w:lineRule="exact"/>
        <w:ind w:firstLine="640"/>
        <w:rPr>
          <w:rFonts w:ascii="黑体" w:hAnsi="黑体" w:eastAsia="黑体" w:cs="黑体"/>
          <w:color w:val="000000"/>
          <w:sz w:val="32"/>
          <w:szCs w:val="32"/>
        </w:rPr>
      </w:pPr>
      <w:bookmarkStart w:id="37" w:name="_Toc31080_WPSOffice_Level2"/>
      <w:r>
        <w:rPr>
          <w:rFonts w:hint="eastAsia" w:ascii="黑体" w:hAnsi="黑体" w:eastAsia="黑体" w:cs="黑体"/>
          <w:color w:val="000000"/>
          <w:sz w:val="32"/>
          <w:szCs w:val="32"/>
        </w:rPr>
        <w:t>民族文化繁荣发展</w:t>
      </w:r>
      <w:bookmarkEnd w:id="37"/>
    </w:p>
    <w:p w14:paraId="48A32D7B">
      <w:pPr>
        <w:adjustRightInd w:val="0"/>
        <w:snapToGrid w:val="0"/>
        <w:spacing w:line="560" w:lineRule="exact"/>
        <w:ind w:firstLine="640"/>
        <w:rPr>
          <w:rFonts w:ascii="Times New Roman" w:hAnsi="Times New Roman" w:eastAsia="仿宋_GB2312"/>
          <w:color w:val="000000"/>
          <w:sz w:val="32"/>
          <w:szCs w:val="32"/>
          <w:lang w:val="zh-CN"/>
        </w:rPr>
      </w:pPr>
      <w:r>
        <w:rPr>
          <w:rFonts w:hint="eastAsia" w:ascii="Times New Roman" w:hAnsi="Times New Roman" w:eastAsia="仿宋_GB2312" w:cs="仿宋_GB2312"/>
          <w:color w:val="000000"/>
          <w:sz w:val="32"/>
          <w:szCs w:val="32"/>
        </w:rPr>
        <w:t>组织实施《石林彝族自治县彝文读本》《石林风物志》《家园》《石林撒尼民歌集》《石林县民族传统体育项目推广知识读本，实施</w:t>
      </w:r>
      <w:r>
        <w:rPr>
          <w:rFonts w:ascii="Times New Roman" w:hAnsi="Times New Roman" w:eastAsia="仿宋_GB2312"/>
          <w:color w:val="000000"/>
          <w:sz w:val="32"/>
          <w:szCs w:val="32"/>
        </w:rPr>
        <w:t>“</w:t>
      </w:r>
      <w:r>
        <w:rPr>
          <w:rFonts w:hint="eastAsia" w:ascii="Times New Roman" w:hAnsi="Times New Roman" w:eastAsia="仿宋_GB2312" w:cs="仿宋_GB2312"/>
          <w:color w:val="000000"/>
          <w:sz w:val="32"/>
          <w:szCs w:val="32"/>
        </w:rPr>
        <w:t>百名人才</w:t>
      </w:r>
      <w:r>
        <w:rPr>
          <w:rFonts w:ascii="Times New Roman" w:hAnsi="Times New Roman" w:eastAsia="仿宋_GB2312"/>
          <w:color w:val="000000"/>
          <w:sz w:val="32"/>
          <w:szCs w:val="32"/>
        </w:rPr>
        <w:t>”</w:t>
      </w:r>
      <w:r>
        <w:rPr>
          <w:rFonts w:hint="eastAsia" w:ascii="Times New Roman" w:hAnsi="Times New Roman" w:eastAsia="仿宋_GB2312" w:cs="仿宋_GB2312"/>
          <w:color w:val="000000"/>
          <w:sz w:val="32"/>
          <w:szCs w:val="32"/>
        </w:rPr>
        <w:t>培养工程</w:t>
      </w:r>
      <w:r>
        <w:rPr>
          <w:rFonts w:hint="eastAsia" w:ascii="仿宋_GB2312" w:hAnsi="仿宋_GB2312" w:eastAsia="仿宋_GB2312" w:cs="仿宋_GB2312"/>
          <w:color w:val="000000"/>
          <w:kern w:val="0"/>
          <w:sz w:val="32"/>
          <w:szCs w:val="32"/>
        </w:rPr>
        <w:t>。</w:t>
      </w:r>
      <w:r>
        <w:rPr>
          <w:rFonts w:hint="eastAsia" w:ascii="Times New Roman" w:hAnsi="Times New Roman" w:eastAsia="仿宋_GB2312" w:cs="仿宋_GB2312"/>
          <w:color w:val="000000"/>
          <w:sz w:val="32"/>
          <w:szCs w:val="32"/>
          <w:lang w:val="zh-CN"/>
        </w:rPr>
        <w:t>深入推进文旅融合，</w:t>
      </w:r>
      <w:r>
        <w:rPr>
          <w:rFonts w:hint="eastAsia" w:ascii="Times New Roman" w:hAnsi="Times New Roman" w:eastAsia="仿宋_GB2312" w:cs="仿宋_GB2312"/>
          <w:color w:val="000000"/>
          <w:sz w:val="32"/>
          <w:szCs w:val="32"/>
        </w:rPr>
        <w:t>挖掘提炼石林阿诗玛文化元素，强化旅游文创产品开发，开发阿诗玛文创产品</w:t>
      </w:r>
      <w:r>
        <w:rPr>
          <w:rFonts w:ascii="Times New Roman" w:hAnsi="Times New Roman" w:eastAsia="仿宋_GB2312"/>
          <w:color w:val="000000"/>
          <w:sz w:val="32"/>
          <w:szCs w:val="32"/>
        </w:rPr>
        <w:t>55</w:t>
      </w:r>
      <w:r>
        <w:rPr>
          <w:rFonts w:hint="eastAsia" w:ascii="Times New Roman" w:hAnsi="Times New Roman" w:eastAsia="仿宋_GB2312" w:cs="仿宋_GB2312"/>
          <w:color w:val="000000"/>
          <w:sz w:val="32"/>
          <w:szCs w:val="32"/>
        </w:rPr>
        <w:t>个系列</w:t>
      </w:r>
      <w:r>
        <w:rPr>
          <w:rFonts w:ascii="Times New Roman" w:hAnsi="Times New Roman" w:eastAsia="仿宋_GB2312"/>
          <w:color w:val="000000"/>
          <w:sz w:val="32"/>
          <w:szCs w:val="32"/>
        </w:rPr>
        <w:t>205</w:t>
      </w:r>
      <w:r>
        <w:rPr>
          <w:rFonts w:hint="eastAsia" w:ascii="Times New Roman" w:hAnsi="Times New Roman" w:eastAsia="仿宋_GB2312" w:cs="仿宋_GB2312"/>
          <w:color w:val="000000"/>
          <w:sz w:val="32"/>
          <w:szCs w:val="32"/>
        </w:rPr>
        <w:t>个品类，</w:t>
      </w:r>
      <w:r>
        <w:rPr>
          <w:rFonts w:ascii="Times New Roman" w:hAnsi="Times New Roman" w:eastAsia="仿宋_GB2312"/>
          <w:color w:val="000000"/>
          <w:sz w:val="32"/>
          <w:szCs w:val="32"/>
        </w:rPr>
        <w:t>191</w:t>
      </w:r>
      <w:r>
        <w:rPr>
          <w:rFonts w:hint="eastAsia" w:ascii="Times New Roman" w:hAnsi="Times New Roman" w:eastAsia="仿宋_GB2312" w:cs="仿宋_GB2312"/>
          <w:color w:val="000000"/>
          <w:sz w:val="32"/>
          <w:szCs w:val="32"/>
        </w:rPr>
        <w:t>个单品上线销售，</w:t>
      </w:r>
      <w:r>
        <w:rPr>
          <w:rFonts w:hint="eastAsia" w:ascii="Times New Roman" w:hAnsi="Times New Roman" w:eastAsia="仿宋_GB2312" w:cs="仿宋_GB2312"/>
          <w:color w:val="000000"/>
          <w:sz w:val="32"/>
          <w:szCs w:val="32"/>
          <w:lang w:val="zh-CN"/>
        </w:rPr>
        <w:t>石林火把狂欢节、阿诗玛旅游文化节、密枝节等民族文化节庆活动吸引力不断增强。</w:t>
      </w:r>
      <w:r>
        <w:rPr>
          <w:rFonts w:ascii="Times New Roman" w:hAnsi="Times New Roman" w:eastAsia="仿宋_GB2312"/>
          <w:color w:val="000000"/>
          <w:sz w:val="32"/>
          <w:szCs w:val="32"/>
        </w:rPr>
        <w:t>建成体育馆、综合训练馆，农民体育健身工程行政村全覆盖，图书馆、文化馆免费开放。</w:t>
      </w:r>
      <w:r>
        <w:rPr>
          <w:rFonts w:hint="eastAsia" w:ascii="Times New Roman" w:hAnsi="Times New Roman" w:eastAsia="仿宋_GB2312" w:cs="仿宋_GB2312"/>
          <w:color w:val="000000"/>
          <w:sz w:val="32"/>
          <w:szCs w:val="32"/>
          <w:lang w:val="zh-CN"/>
        </w:rPr>
        <w:t>石林县是</w:t>
      </w:r>
      <w:r>
        <w:rPr>
          <w:rFonts w:hint="eastAsia" w:ascii="Times New Roman" w:hAnsi="Times New Roman" w:eastAsia="仿宋_GB2312" w:cs="仿宋_GB2312"/>
          <w:color w:val="000000"/>
          <w:sz w:val="32"/>
          <w:szCs w:val="32"/>
        </w:rPr>
        <w:t>全省拥有国家级非物质文化遗产最多的县，被命名为“中国民间文化艺术之乡</w:t>
      </w:r>
      <w:r>
        <w:rPr>
          <w:rFonts w:hint="eastAsia" w:ascii="Times New Roman" w:hAnsi="Times New Roman" w:eastAsia="仿宋_GB2312"/>
          <w:color w:val="000000"/>
          <w:sz w:val="32"/>
          <w:szCs w:val="32"/>
          <w:lang w:val="zh-CN"/>
        </w:rPr>
        <w:t>。</w:t>
      </w:r>
    </w:p>
    <w:p w14:paraId="1C8D75E6">
      <w:pPr>
        <w:pStyle w:val="42"/>
        <w:numPr>
          <w:ilvl w:val="0"/>
          <w:numId w:val="2"/>
        </w:numPr>
        <w:adjustRightInd w:val="0"/>
        <w:snapToGrid w:val="0"/>
        <w:spacing w:line="560" w:lineRule="exact"/>
        <w:ind w:firstLine="640"/>
        <w:rPr>
          <w:rFonts w:ascii="黑体" w:hAnsi="黑体" w:eastAsia="黑体" w:cs="黑体"/>
          <w:color w:val="000000"/>
          <w:sz w:val="32"/>
          <w:szCs w:val="32"/>
        </w:rPr>
      </w:pPr>
      <w:bookmarkStart w:id="38" w:name="_Toc4460_WPSOffice_Level2"/>
      <w:r>
        <w:rPr>
          <w:rFonts w:hint="eastAsia" w:ascii="黑体" w:hAnsi="黑体" w:eastAsia="黑体" w:cs="黑体"/>
          <w:color w:val="000000"/>
          <w:sz w:val="32"/>
          <w:szCs w:val="32"/>
        </w:rPr>
        <w:t>民生福祉不断增进</w:t>
      </w:r>
      <w:bookmarkEnd w:id="38"/>
    </w:p>
    <w:p w14:paraId="7D264AF7">
      <w:pPr>
        <w:pStyle w:val="42"/>
        <w:adjustRightInd w:val="0"/>
        <w:snapToGrid w:val="0"/>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连续创建为全国科普示范县。深入实施</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三名</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工程，基本实现</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一村一幼</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，义务教育实现基本均衡，高中阶段教育毛入学率达96.9%，人均受教育年限达</w:t>
      </w:r>
      <w:r>
        <w:rPr>
          <w:rFonts w:hint="eastAsia" w:ascii="Times New Roman" w:hAnsi="Times New Roman" w:eastAsia="仿宋_GB2312" w:cs="Times New Roman"/>
          <w:color w:val="000000"/>
          <w:sz w:val="32"/>
          <w:szCs w:val="32"/>
        </w:rPr>
        <w:t>11</w:t>
      </w:r>
      <w:r>
        <w:rPr>
          <w:rFonts w:ascii="Times New Roman" w:hAnsi="Times New Roman" w:eastAsia="仿宋_GB2312" w:cs="Times New Roman"/>
          <w:color w:val="000000"/>
          <w:sz w:val="32"/>
          <w:szCs w:val="32"/>
        </w:rPr>
        <w:t>年，创建为全国青少年校园足球试点县、全国研学实践试点县。县中医医院完成搬迁，村卫生室实现标准化全覆盖，实施分级诊疗，县域就诊率达95%以上，省级慢性病综合防控示范县通过复审，获评</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云南省病媒生物防制先进城区</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。城乡居民基本医疗保险、养老保险制度实现全覆盖，社会保险综合参保率稳定在97%以上。建成公租房3979套，解决10362人住房困难问题，改造农村危房7607户。</w:t>
      </w:r>
    </w:p>
    <w:p w14:paraId="69B1A591">
      <w:pPr>
        <w:pStyle w:val="42"/>
        <w:numPr>
          <w:ilvl w:val="0"/>
          <w:numId w:val="2"/>
        </w:numPr>
        <w:adjustRightInd w:val="0"/>
        <w:snapToGrid w:val="0"/>
        <w:spacing w:line="560" w:lineRule="exact"/>
        <w:ind w:firstLine="640"/>
        <w:rPr>
          <w:rFonts w:ascii="黑体" w:hAnsi="黑体" w:eastAsia="黑体" w:cs="黑体"/>
          <w:color w:val="000000"/>
          <w:sz w:val="32"/>
          <w:szCs w:val="32"/>
        </w:rPr>
      </w:pPr>
      <w:bookmarkStart w:id="39" w:name="_Toc15779_WPSOffice_Level2"/>
      <w:r>
        <w:rPr>
          <w:rFonts w:hint="eastAsia" w:ascii="黑体" w:hAnsi="黑体" w:eastAsia="黑体" w:cs="黑体"/>
          <w:color w:val="000000"/>
          <w:sz w:val="32"/>
          <w:szCs w:val="32"/>
        </w:rPr>
        <w:t>治理水平显著提升</w:t>
      </w:r>
      <w:bookmarkEnd w:id="39"/>
    </w:p>
    <w:p w14:paraId="6C3BA252">
      <w:pPr>
        <w:pStyle w:val="42"/>
        <w:adjustRightInd w:val="0"/>
        <w:snapToGrid w:val="0"/>
        <w:spacing w:line="560" w:lineRule="exact"/>
        <w:ind w:firstLine="64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依法治县各项工作深入推进，公共法律服务更加便捷，创建国家级民主法治示范村2个、省级1个、市级85个，市级法治乡镇（街道）3个。</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党建引领、街道吹哨、部门报道</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工作机制</w:t>
      </w:r>
      <w:r>
        <w:rPr>
          <w:rFonts w:hint="eastAsia" w:ascii="Times New Roman" w:hAnsi="Times New Roman" w:eastAsia="仿宋_GB2312" w:cs="Times New Roman"/>
          <w:color w:val="000000"/>
          <w:sz w:val="32"/>
          <w:szCs w:val="32"/>
        </w:rPr>
        <w:t>深入实施</w:t>
      </w:r>
      <w:r>
        <w:rPr>
          <w:rFonts w:ascii="Times New Roman" w:hAnsi="Times New Roman" w:eastAsia="仿宋_GB2312" w:cs="Times New Roman"/>
          <w:color w:val="000000"/>
          <w:sz w:val="32"/>
          <w:szCs w:val="32"/>
        </w:rPr>
        <w:t>。建成县乡村组四级人民调解网络，矛盾纠纷调解成功率达98.6%。扫黑除恶、反邪防邪、禁毒防艾推进有力，持续巩固深化</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云南省先进平安县</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省级无毒县</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创建成果，公共安全水平进一步提升，群众安全感满意度位居全市前列。</w:t>
      </w:r>
    </w:p>
    <w:p w14:paraId="5649537E">
      <w:pPr>
        <w:pStyle w:val="13"/>
        <w:adjustRightInd w:val="0"/>
        <w:snapToGrid w:val="0"/>
        <w:spacing w:before="0" w:beforeAutospacing="0" w:after="0" w:afterAutospacing="0" w:line="560" w:lineRule="exact"/>
        <w:ind w:firstLine="640"/>
        <w:jc w:val="both"/>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以上成绩的取得，是县委、县政府团结带领全县各族群众铸牢中华民族共同体意识，共同团结奋斗、共同繁荣发展的结果。同时，也要清醒地认识到我县民族团结进步事业仍存在一些问题和困难，主要表现为：民族地区发展不平衡不充分的问题仍然较为突出，发展内生动力还不够强，巩固拓展脱贫攻坚成果和推进乡村振兴任务依然艰巨；建设民族团结进步由创建向示范转变的工作思路不宽，创新举措不多，示范引领效应有待进一步增强；民族事务治理体系和治理能力建设有待加强。</w:t>
      </w:r>
    </w:p>
    <w:p w14:paraId="736DD75C">
      <w:pPr>
        <w:pStyle w:val="13"/>
        <w:adjustRightInd w:val="0"/>
        <w:snapToGrid w:val="0"/>
        <w:spacing w:before="0" w:beforeAutospacing="0" w:after="0" w:afterAutospacing="0" w:line="560" w:lineRule="exact"/>
        <w:ind w:firstLine="640"/>
        <w:jc w:val="both"/>
        <w:rPr>
          <w:rFonts w:ascii="Times New Roman" w:hAnsi="Times New Roman" w:eastAsia="仿宋_GB2312" w:cs="Times New Roman"/>
          <w:bCs/>
          <w:color w:val="000000"/>
          <w:sz w:val="32"/>
          <w:szCs w:val="32"/>
        </w:rPr>
      </w:pPr>
    </w:p>
    <w:p w14:paraId="0CB58F94">
      <w:pPr>
        <w:pStyle w:val="13"/>
        <w:adjustRightInd w:val="0"/>
        <w:snapToGrid w:val="0"/>
        <w:spacing w:before="0" w:beforeAutospacing="0" w:after="0" w:afterAutospacing="0" w:line="560" w:lineRule="exact"/>
        <w:ind w:firstLine="640"/>
        <w:jc w:val="both"/>
        <w:rPr>
          <w:rFonts w:ascii="Times New Roman" w:hAnsi="Times New Roman" w:eastAsia="仿宋_GB2312" w:cs="Times New Roman"/>
          <w:bCs/>
          <w:color w:val="000000"/>
          <w:sz w:val="32"/>
          <w:szCs w:val="32"/>
        </w:rPr>
      </w:pPr>
    </w:p>
    <w:p w14:paraId="0ED4928E">
      <w:pPr>
        <w:pStyle w:val="13"/>
        <w:numPr>
          <w:ilvl w:val="0"/>
          <w:numId w:val="3"/>
        </w:numPr>
        <w:adjustRightInd w:val="0"/>
        <w:snapToGrid w:val="0"/>
        <w:spacing w:before="0" w:beforeAutospacing="0" w:after="0" w:afterAutospacing="0" w:line="560" w:lineRule="exact"/>
        <w:ind w:firstLine="640"/>
        <w:jc w:val="center"/>
        <w:rPr>
          <w:rFonts w:ascii="方正小标宋简体" w:hAnsi="方正小标宋简体" w:eastAsia="方正小标宋简体" w:cs="方正小标宋简体"/>
          <w:bCs/>
          <w:color w:val="000000"/>
          <w:sz w:val="32"/>
          <w:szCs w:val="32"/>
        </w:rPr>
      </w:pPr>
      <w:bookmarkStart w:id="40" w:name="_Toc22313_WPSOffice_Level1"/>
      <w:r>
        <w:rPr>
          <w:rFonts w:hint="eastAsia" w:ascii="方正小标宋简体" w:hAnsi="方正小标宋简体" w:eastAsia="方正小标宋简体" w:cs="方正小标宋简体"/>
          <w:bCs/>
          <w:color w:val="000000"/>
          <w:sz w:val="32"/>
          <w:szCs w:val="32"/>
        </w:rPr>
        <w:t>“十四五”时期发展形势</w:t>
      </w:r>
      <w:bookmarkEnd w:id="40"/>
    </w:p>
    <w:p w14:paraId="6977820C">
      <w:pPr>
        <w:pStyle w:val="13"/>
        <w:adjustRightInd w:val="0"/>
        <w:snapToGrid w:val="0"/>
        <w:spacing w:before="0" w:beforeAutospacing="0" w:after="0" w:afterAutospacing="0" w:line="560" w:lineRule="exact"/>
        <w:ind w:firstLine="880"/>
        <w:jc w:val="both"/>
        <w:rPr>
          <w:rFonts w:ascii="方正小标宋简体" w:hAnsi="方正小标宋简体" w:eastAsia="方正小标宋简体" w:cs="方正小标宋简体"/>
          <w:bCs/>
          <w:color w:val="000000"/>
          <w:sz w:val="44"/>
          <w:szCs w:val="44"/>
        </w:rPr>
      </w:pPr>
    </w:p>
    <w:p w14:paraId="5752957F">
      <w:pPr>
        <w:spacing w:line="560" w:lineRule="exact"/>
        <w:ind w:firstLine="640"/>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“十四五”时期，是民族团结进步示范建设不断取得新进展的关键五年，</w:t>
      </w:r>
      <w:r>
        <w:rPr>
          <w:rFonts w:hint="eastAsia" w:ascii="方正仿宋_GB2312" w:hAnsi="方正仿宋_GB2312" w:eastAsia="方正仿宋_GB2312" w:cs="方正仿宋_GB2312"/>
          <w:color w:val="000000"/>
          <w:sz w:val="32"/>
          <w:szCs w:val="32"/>
        </w:rPr>
        <w:t>是我国全面建成小康社会、实现第一个百年奋斗目标之后，乘势而上开启全面建设社会主义现代化国家新征程、向第二个百年奋斗目标进军的第一个五年，是县委、县政府带领全县各族人民抢抓机遇，主动服务和融入国家发展战略，实现“中华民族一家亲，同心共筑中国梦”总目标的关键时期，</w:t>
      </w:r>
      <w:r>
        <w:rPr>
          <w:rFonts w:hint="eastAsia" w:ascii="Times New Roman" w:hAnsi="Times New Roman" w:eastAsia="仿宋_GB2312"/>
          <w:bCs/>
          <w:color w:val="000000"/>
          <w:sz w:val="32"/>
          <w:szCs w:val="32"/>
        </w:rPr>
        <w:t>必须立足新时代新要求，深刻认识新矛盾新挑战，准确把握新机遇新优势</w:t>
      </w:r>
      <w:r>
        <w:rPr>
          <w:rFonts w:hint="eastAsia" w:ascii="仿宋_GB2312" w:hAnsi="仿宋" w:eastAsia="仿宋_GB2312" w:cs="仿宋_GB2312"/>
          <w:color w:val="000000"/>
          <w:sz w:val="32"/>
          <w:szCs w:val="32"/>
        </w:rPr>
        <w:t>，</w:t>
      </w:r>
      <w:r>
        <w:rPr>
          <w:rFonts w:hint="eastAsia" w:ascii="Times New Roman" w:hAnsi="Times New Roman" w:eastAsia="仿宋_GB2312"/>
          <w:bCs/>
          <w:color w:val="000000"/>
          <w:sz w:val="32"/>
          <w:szCs w:val="32"/>
        </w:rPr>
        <w:t>奋力走出一条具有时代特征、石林特色的民族团结进步示范建设之路。</w:t>
      </w:r>
    </w:p>
    <w:p w14:paraId="1BB460D6">
      <w:pPr>
        <w:pStyle w:val="5"/>
        <w:spacing w:before="0" w:after="0" w:line="560" w:lineRule="exact"/>
        <w:ind w:firstLine="640"/>
        <w:rPr>
          <w:rFonts w:ascii="Times New Roman" w:hAnsi="Times New Roman" w:eastAsia="楷体" w:cs="楷体"/>
          <w:b w:val="0"/>
          <w:bCs w:val="0"/>
          <w:color w:val="000000"/>
        </w:rPr>
      </w:pPr>
      <w:bookmarkStart w:id="41" w:name="_Toc5752"/>
      <w:bookmarkStart w:id="42" w:name="_Toc26213"/>
      <w:bookmarkStart w:id="43" w:name="_Toc9718"/>
      <w:bookmarkStart w:id="44" w:name="_Toc84"/>
      <w:bookmarkStart w:id="45" w:name="_Toc6126"/>
      <w:bookmarkStart w:id="46" w:name="_Toc19789"/>
      <w:bookmarkStart w:id="47" w:name="_Toc13637"/>
      <w:bookmarkStart w:id="48" w:name="_Toc32584_WPSOffice_Level2"/>
      <w:r>
        <w:rPr>
          <w:rFonts w:hint="eastAsia" w:ascii="Times New Roman" w:hAnsi="Times New Roman" w:eastAsia="楷体" w:cs="楷体"/>
          <w:b w:val="0"/>
          <w:bCs w:val="0"/>
          <w:color w:val="000000"/>
        </w:rPr>
        <w:t>（一）铸牢中华民族共同体意识为石林县民族团结进步示范建设明确了新的工作主线</w:t>
      </w:r>
      <w:bookmarkEnd w:id="41"/>
      <w:bookmarkEnd w:id="42"/>
      <w:bookmarkEnd w:id="43"/>
      <w:bookmarkEnd w:id="44"/>
      <w:bookmarkEnd w:id="45"/>
      <w:bookmarkEnd w:id="46"/>
      <w:bookmarkEnd w:id="47"/>
      <w:bookmarkEnd w:id="48"/>
    </w:p>
    <w:p w14:paraId="4A092D84">
      <w:pPr>
        <w:spacing w:line="560" w:lineRule="exact"/>
        <w:ind w:firstLine="640"/>
        <w:rPr>
          <w:rFonts w:ascii="Times New Roman" w:hAnsi="Times New Roman" w:eastAsia="仿宋_GB2312"/>
          <w:bCs/>
          <w:color w:val="000000"/>
          <w:sz w:val="32"/>
          <w:szCs w:val="32"/>
        </w:rPr>
      </w:pPr>
      <w:r>
        <w:rPr>
          <w:rFonts w:hint="eastAsia" w:ascii="仿宋" w:hAnsi="仿宋" w:eastAsia="仿宋" w:cs="仿宋"/>
          <w:color w:val="000000"/>
          <w:sz w:val="32"/>
          <w:szCs w:val="32"/>
        </w:rPr>
        <w:t>铸牢中华民族共同体意识与中华民族伟大复兴一脉相承，是汇聚民族复兴磅礴力量的固本之举和应对百年未有之大变局的长远之策，是国家统一之基、民族团结之本、精神力量之魂，是新时代党的民族工作的“纲”，</w:t>
      </w:r>
      <w:r>
        <w:rPr>
          <w:rFonts w:hint="eastAsia" w:ascii="Times New Roman" w:hAnsi="Times New Roman" w:eastAsia="仿宋_GB2312"/>
          <w:bCs/>
          <w:color w:val="000000"/>
          <w:sz w:val="32"/>
          <w:szCs w:val="32"/>
        </w:rPr>
        <w:t>为新时代我市民族团结进步示范区建设指明了前进方向、提供了根本遵循</w:t>
      </w:r>
      <w:r>
        <w:rPr>
          <w:rFonts w:hint="eastAsia" w:ascii="仿宋" w:hAnsi="仿宋" w:eastAsia="仿宋" w:cs="仿宋"/>
          <w:color w:val="000000"/>
          <w:sz w:val="32"/>
          <w:szCs w:val="32"/>
        </w:rPr>
        <w:t>。“十四五”时期，要坚定不移地将铸牢中华民族共同体意识作为民族团结进步示范建设的主线和核心要义，贯穿建设全过程各领域，在</w:t>
      </w:r>
      <w:r>
        <w:rPr>
          <w:rFonts w:hint="eastAsia" w:ascii="Times New Roman" w:hAnsi="Times New Roman" w:eastAsia="仿宋_GB2312"/>
          <w:bCs/>
          <w:color w:val="000000"/>
          <w:sz w:val="32"/>
          <w:szCs w:val="32"/>
        </w:rPr>
        <w:t>民族团结进步示范建设中将找准坐标方位、扛起使命担当，在践行中国特色解决民族问题的正确道路、铸牢中华民族共同体意识方面体现石林担当、展示石林作为、作出石林贡献，在推动中华民族成为认同度更高、凝聚力更大的命运共同体方面做出新成绩、呈现新典范。</w:t>
      </w:r>
    </w:p>
    <w:p w14:paraId="18B4C2C3">
      <w:pPr>
        <w:pStyle w:val="5"/>
        <w:spacing w:before="0" w:after="0" w:line="560" w:lineRule="exact"/>
        <w:ind w:firstLine="640"/>
        <w:rPr>
          <w:rFonts w:ascii="楷体_GB2312" w:hAnsi="楷体_GB2312" w:eastAsia="楷体_GB2312" w:cs="楷体_GB2312"/>
          <w:b w:val="0"/>
          <w:bCs w:val="0"/>
          <w:color w:val="000000"/>
        </w:rPr>
      </w:pPr>
      <w:bookmarkStart w:id="49" w:name="_Toc2944"/>
      <w:bookmarkStart w:id="50" w:name="_Toc24776"/>
      <w:bookmarkStart w:id="51" w:name="_Toc31558_WPSOffice_Level2"/>
      <w:bookmarkStart w:id="52" w:name="_Toc10593"/>
      <w:bookmarkStart w:id="53" w:name="_Toc15185"/>
      <w:bookmarkStart w:id="54" w:name="_Toc21443"/>
      <w:bookmarkStart w:id="55" w:name="_Toc7032"/>
      <w:bookmarkStart w:id="56" w:name="_Toc5812"/>
      <w:r>
        <w:rPr>
          <w:rFonts w:hint="eastAsia" w:ascii="楷体_GB2312" w:hAnsi="楷体_GB2312" w:eastAsia="楷体_GB2312" w:cs="楷体_GB2312"/>
          <w:b w:val="0"/>
          <w:bCs w:val="0"/>
          <w:color w:val="000000"/>
        </w:rPr>
        <w:t>（二）云南全力推进“三个定位”建设为石林县民族团结进步示范建设注入了新动能</w:t>
      </w:r>
      <w:bookmarkEnd w:id="49"/>
      <w:bookmarkEnd w:id="50"/>
      <w:bookmarkEnd w:id="51"/>
      <w:bookmarkEnd w:id="52"/>
      <w:bookmarkEnd w:id="53"/>
      <w:bookmarkEnd w:id="54"/>
      <w:bookmarkEnd w:id="55"/>
      <w:bookmarkEnd w:id="56"/>
    </w:p>
    <w:p w14:paraId="75C8BD2B">
      <w:pPr>
        <w:spacing w:line="560" w:lineRule="exact"/>
        <w:ind w:firstLine="640"/>
        <w:rPr>
          <w:rFonts w:ascii="Times New Roman" w:hAnsi="Times New Roman" w:eastAsia="仿宋_GB2312"/>
          <w:bCs/>
          <w:color w:val="000000"/>
          <w:sz w:val="32"/>
          <w:szCs w:val="32"/>
        </w:rPr>
      </w:pPr>
      <w:r>
        <w:rPr>
          <w:rFonts w:hint="eastAsia" w:ascii="Times New Roman" w:hAnsi="Times New Roman" w:eastAsia="仿宋_GB2312"/>
          <w:bCs/>
          <w:color w:val="000000"/>
          <w:sz w:val="32"/>
          <w:szCs w:val="32"/>
        </w:rPr>
        <w:t>全省正努力建设民族团结进步示范区、生态文明建设排头兵和面向南亚东南亚辐射中心“三个定位”目标，“边疆、民族、山区、美丽”的省情新内涵不断丰富，随着世界一流“三张牌”打造、“中国最美丽省份”建设、“数字云南”建设等深入推进，发展动力和后劲将不断增强。“十四五”时期，要进一步发挥石林“阿诗玛”文化、地理优势、生态优势、特色产业优势，主动服务和融入以国内大循环为主体、国内国际双循环相互促进的新发展格局，促进民族地区基础设施、特色产业、公共服务、社会保障等全面发展，推进民族团结进步示范建设全面提速，推动民族工作创新发展，在实现各民族共同富裕道路上更好地发挥示范引领作用。</w:t>
      </w:r>
    </w:p>
    <w:p w14:paraId="301FE0EA">
      <w:pPr>
        <w:pStyle w:val="5"/>
        <w:spacing w:before="0" w:after="0" w:line="560" w:lineRule="exact"/>
        <w:ind w:firstLine="640"/>
        <w:rPr>
          <w:rFonts w:ascii="楷体_GB2312" w:hAnsi="楷体_GB2312" w:eastAsia="楷体_GB2312" w:cs="楷体_GB2312"/>
          <w:b w:val="0"/>
          <w:bCs w:val="0"/>
          <w:color w:val="000000"/>
        </w:rPr>
      </w:pPr>
      <w:bookmarkStart w:id="57" w:name="_Toc17094"/>
      <w:bookmarkStart w:id="58" w:name="_Toc27524"/>
      <w:bookmarkStart w:id="59" w:name="_Toc7782"/>
      <w:bookmarkStart w:id="60" w:name="_Toc28029"/>
      <w:bookmarkStart w:id="61" w:name="_Toc29419_WPSOffice_Level2"/>
      <w:bookmarkStart w:id="62" w:name="_Toc20163"/>
      <w:bookmarkStart w:id="63" w:name="_Toc16312"/>
      <w:bookmarkStart w:id="64" w:name="_Toc783"/>
      <w:r>
        <w:rPr>
          <w:rFonts w:hint="eastAsia" w:ascii="楷体_GB2312" w:hAnsi="楷体_GB2312" w:eastAsia="楷体_GB2312" w:cs="楷体_GB2312"/>
          <w:b w:val="0"/>
          <w:bCs w:val="0"/>
          <w:color w:val="000000"/>
        </w:rPr>
        <w:t>（三）民族团结进步示范创建成果为石林民族团结进步示范建设奠定了坚实的基础</w:t>
      </w:r>
      <w:bookmarkEnd w:id="57"/>
      <w:bookmarkEnd w:id="58"/>
      <w:bookmarkEnd w:id="59"/>
      <w:bookmarkEnd w:id="60"/>
      <w:bookmarkEnd w:id="61"/>
      <w:bookmarkEnd w:id="62"/>
      <w:bookmarkEnd w:id="63"/>
      <w:bookmarkEnd w:id="64"/>
    </w:p>
    <w:p w14:paraId="5A7F5B16">
      <w:pPr>
        <w:pStyle w:val="13"/>
        <w:adjustRightInd w:val="0"/>
        <w:snapToGrid w:val="0"/>
        <w:spacing w:before="0" w:beforeAutospacing="0" w:after="0" w:afterAutospacing="0" w:line="560" w:lineRule="exact"/>
        <w:ind w:firstLine="640"/>
        <w:rPr>
          <w:rFonts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rPr>
        <w:t>党的十八大以来，县委、县政府坚持以习近平新时代中国特色社会主义思想为指导，全面深入贯彻党的民族理论和民族政策，强化各级党委和政府的主体责任，健全完善政策、法律法规，民族团结进步事业发展的政治基础更加牢固；民族地区经济社会发展</w:t>
      </w:r>
      <w:r>
        <w:rPr>
          <w:rFonts w:hint="eastAsia" w:ascii="Times New Roman" w:hAnsi="Times New Roman" w:eastAsia="仿宋_GB2312"/>
          <w:bCs/>
          <w:color w:val="000000"/>
          <w:sz w:val="32"/>
          <w:szCs w:val="32"/>
        </w:rPr>
        <w:t>实现了新跨越，站上了新起点</w:t>
      </w:r>
      <w:r>
        <w:rPr>
          <w:rFonts w:hint="eastAsia" w:ascii="Times New Roman" w:hAnsi="Times New Roman" w:eastAsia="仿宋_GB2312" w:cs="Times New Roman"/>
          <w:bCs/>
          <w:color w:val="000000"/>
          <w:sz w:val="32"/>
          <w:szCs w:val="32"/>
        </w:rPr>
        <w:t>，群众生产生活条件全面改善；民族团结进步事业群众知晓率、参与度和支持度逐年提升，民族团结进步事业发展的社会基础更加牢固，为民族团结进步示范区建设奠定了坚实基础。“十四五”时期，要始终坚持党对民族工作的全面领导，高举中华民族大团结旗帜，团结带领各族群众手足相亲、同心筑梦，着力固根基、扬优势、补短板、强弱项，巩固提升全国民族团结进步示范创建成果，奋力推进民族团结进步示范建设迈上新台阶。</w:t>
      </w:r>
    </w:p>
    <w:p w14:paraId="4C1F63D9">
      <w:pPr>
        <w:pStyle w:val="13"/>
        <w:adjustRightInd w:val="0"/>
        <w:snapToGrid w:val="0"/>
        <w:spacing w:before="0" w:beforeAutospacing="0" w:after="0" w:afterAutospacing="0" w:line="560" w:lineRule="exact"/>
        <w:ind w:firstLine="640"/>
        <w:rPr>
          <w:rFonts w:ascii="Times New Roman" w:hAnsi="Times New Roman" w:eastAsia="仿宋_GB2312" w:cs="Times New Roman"/>
          <w:bCs/>
          <w:color w:val="000000"/>
          <w:sz w:val="32"/>
          <w:szCs w:val="32"/>
        </w:rPr>
      </w:pPr>
    </w:p>
    <w:p w14:paraId="0AA1534F">
      <w:pPr>
        <w:pStyle w:val="13"/>
        <w:adjustRightInd w:val="0"/>
        <w:snapToGrid w:val="0"/>
        <w:spacing w:before="0" w:beforeAutospacing="0" w:after="0" w:afterAutospacing="0" w:line="560" w:lineRule="exact"/>
        <w:ind w:firstLine="640"/>
        <w:jc w:val="center"/>
        <w:rPr>
          <w:rFonts w:ascii="Times New Roman" w:hAnsi="Times New Roman" w:eastAsia="黑体" w:cs="Times New Roman"/>
          <w:color w:val="000000"/>
          <w:sz w:val="32"/>
          <w:szCs w:val="32"/>
        </w:rPr>
      </w:pPr>
      <w:bookmarkStart w:id="65" w:name="_Toc12042_WPSOffice_Level1"/>
      <w:r>
        <w:rPr>
          <w:rFonts w:hint="eastAsia" w:ascii="Times New Roman" w:hAnsi="Times New Roman" w:eastAsia="黑体" w:cs="Times New Roman"/>
          <w:color w:val="000000"/>
          <w:sz w:val="32"/>
          <w:szCs w:val="32"/>
        </w:rPr>
        <w:t>第三章  “十四五”时期</w:t>
      </w:r>
      <w:bookmarkEnd w:id="65"/>
      <w:r>
        <w:rPr>
          <w:rFonts w:hint="eastAsia" w:ascii="Times New Roman" w:hAnsi="Times New Roman" w:eastAsia="黑体" w:cs="Times New Roman"/>
          <w:color w:val="000000"/>
          <w:sz w:val="32"/>
          <w:szCs w:val="32"/>
        </w:rPr>
        <w:t>总体思路</w:t>
      </w:r>
    </w:p>
    <w:p w14:paraId="3AF49581">
      <w:pPr>
        <w:adjustRightInd w:val="0"/>
        <w:snapToGrid w:val="0"/>
        <w:spacing w:line="560" w:lineRule="exact"/>
        <w:ind w:firstLine="640"/>
        <w:outlineLvl w:val="0"/>
        <w:rPr>
          <w:rStyle w:val="30"/>
          <w:rFonts w:ascii="Times New Roman" w:hAnsi="Times New Roman" w:eastAsia="楷体_GB2312" w:cs="Times New Roman"/>
          <w:color w:val="000000"/>
          <w:sz w:val="32"/>
          <w:szCs w:val="32"/>
        </w:rPr>
      </w:pPr>
    </w:p>
    <w:p w14:paraId="036B88D2">
      <w:pPr>
        <w:adjustRightInd w:val="0"/>
        <w:snapToGrid w:val="0"/>
        <w:spacing w:line="560" w:lineRule="exact"/>
        <w:ind w:firstLine="640"/>
        <w:outlineLvl w:val="0"/>
        <w:rPr>
          <w:rFonts w:ascii="黑体" w:hAnsi="黑体" w:eastAsia="黑体" w:cs="黑体"/>
          <w:color w:val="000000"/>
          <w:kern w:val="0"/>
          <w:sz w:val="32"/>
          <w:szCs w:val="32"/>
        </w:rPr>
      </w:pPr>
      <w:bookmarkStart w:id="66" w:name="_Toc8116_WPSOffice_Level2"/>
      <w:r>
        <w:rPr>
          <w:rStyle w:val="30"/>
          <w:rFonts w:hint="eastAsia" w:ascii="黑体" w:hAnsi="黑体" w:eastAsia="黑体" w:cs="黑体"/>
          <w:color w:val="000000"/>
          <w:sz w:val="32"/>
          <w:szCs w:val="32"/>
        </w:rPr>
        <w:t>一、</w:t>
      </w:r>
      <w:r>
        <w:rPr>
          <w:rFonts w:hint="eastAsia" w:ascii="黑体" w:hAnsi="黑体" w:eastAsia="黑体" w:cs="黑体"/>
          <w:color w:val="000000"/>
          <w:kern w:val="0"/>
          <w:sz w:val="32"/>
          <w:szCs w:val="32"/>
        </w:rPr>
        <w:t>指导思想</w:t>
      </w:r>
      <w:bookmarkEnd w:id="66"/>
    </w:p>
    <w:p w14:paraId="5A25BF7E">
      <w:pPr>
        <w:adjustRightInd w:val="0"/>
        <w:snapToGrid w:val="0"/>
        <w:spacing w:line="560" w:lineRule="exact"/>
        <w:ind w:firstLine="640"/>
        <w:outlineLvl w:val="0"/>
        <w:rPr>
          <w:rFonts w:ascii="Times New Roman" w:hAnsi="Times New Roman" w:eastAsia="仿宋_GB2312"/>
          <w:color w:val="000000"/>
          <w:sz w:val="32"/>
          <w:szCs w:val="32"/>
        </w:rPr>
      </w:pPr>
      <w:r>
        <w:rPr>
          <w:rFonts w:hint="eastAsia" w:ascii="Times New Roman" w:hAnsi="Times New Roman" w:eastAsia="仿宋_GB2312"/>
          <w:bCs/>
          <w:color w:val="000000"/>
          <w:sz w:val="32"/>
          <w:szCs w:val="32"/>
        </w:rPr>
        <w:t>高举中国特色社会主义伟大旗帜，坚持以马克思列宁主义、毛泽东思想、邓小平理论、“三个代表”重要思想、科学发展观、习近平新时代中国特色社会主义思想为指导，深入贯彻党的十九大和十九届二中、三中、四中、五中、六中全会精神，深入贯彻习近平总书记关于加强和改进民族工作的重要思想以及考察云南重要讲话精神，增强“四个意识”，坚定“四个自信”，做到“两个维护”，科学把握新发展阶段、深入贯彻新发展理念、主动融入新发展格局，将民族工作融入到“五位一体”总体布局和“四个全面”战略布局各项工作中，以铸牢中华民族共同体意识为主线和核心要义，以新时代民族工作高质量发展为主题，坚持稳中求进、守正创新，主动服务和融入全国全省全市民族团结进步事业大局，加强党对民族宗教工作的全面领导，推进中华民族共有精神家园建设，推动各民族共同走向社会主义现代化，促进各民族交往交流交融，提升民族宗教事务治理能力和治理水平现代化，努力在夯实中华民族共同体政治基础、文化基础、物质基础、社会基础和法治基础上作出表率、当好榜样，</w:t>
      </w:r>
      <w:r>
        <w:rPr>
          <w:rFonts w:ascii="Times New Roman" w:hAnsi="Times New Roman" w:eastAsia="仿宋_GB2312"/>
          <w:color w:val="000000"/>
          <w:sz w:val="32"/>
          <w:szCs w:val="32"/>
        </w:rPr>
        <w:t>为进一步巩固提升全国民族团结进步示范县创建成果，全力打造国际知名旅游</w:t>
      </w:r>
      <w:r>
        <w:rPr>
          <w:rFonts w:hint="eastAsia" w:ascii="Times New Roman" w:hAnsi="Times New Roman" w:eastAsia="仿宋_GB2312"/>
          <w:color w:val="000000"/>
          <w:sz w:val="32"/>
          <w:szCs w:val="32"/>
        </w:rPr>
        <w:t>目的地、现代特色农业基地</w:t>
      </w:r>
      <w:r>
        <w:rPr>
          <w:rFonts w:ascii="Times New Roman" w:hAnsi="Times New Roman" w:eastAsia="仿宋_GB2312"/>
          <w:color w:val="000000"/>
          <w:sz w:val="32"/>
          <w:szCs w:val="32"/>
        </w:rPr>
        <w:t>，奋力谱写新时代石林跨越发展新篇章。</w:t>
      </w:r>
    </w:p>
    <w:p w14:paraId="73B9ED6E">
      <w:pPr>
        <w:adjustRightInd w:val="0"/>
        <w:snapToGrid w:val="0"/>
        <w:spacing w:line="560" w:lineRule="exact"/>
        <w:ind w:firstLine="640"/>
        <w:outlineLvl w:val="0"/>
        <w:rPr>
          <w:rFonts w:ascii="黑体" w:hAnsi="黑体" w:eastAsia="黑体" w:cs="黑体"/>
          <w:color w:val="000000"/>
          <w:kern w:val="0"/>
          <w:sz w:val="32"/>
          <w:szCs w:val="32"/>
        </w:rPr>
      </w:pPr>
      <w:bookmarkStart w:id="67" w:name="_Toc29715_WPSOffice_Level2"/>
      <w:r>
        <w:rPr>
          <w:rFonts w:hint="eastAsia" w:ascii="黑体" w:hAnsi="黑体" w:eastAsia="黑体" w:cs="黑体"/>
          <w:color w:val="000000"/>
          <w:kern w:val="0"/>
          <w:sz w:val="32"/>
          <w:szCs w:val="32"/>
        </w:rPr>
        <w:t>二、基本原则</w:t>
      </w:r>
      <w:bookmarkEnd w:id="67"/>
    </w:p>
    <w:p w14:paraId="205074C9">
      <w:pPr>
        <w:spacing w:line="560" w:lineRule="exact"/>
        <w:ind w:firstLine="643"/>
        <w:rPr>
          <w:rFonts w:ascii="Times New Roman" w:hAnsi="Times New Roman" w:eastAsia="仿宋_GB2312" w:cs="仿宋_GB2312"/>
          <w:color w:val="000000"/>
          <w:sz w:val="32"/>
          <w:szCs w:val="32"/>
        </w:rPr>
      </w:pPr>
      <w:r>
        <w:rPr>
          <w:rFonts w:hint="eastAsia" w:ascii="Times New Roman" w:hAnsi="Times New Roman" w:eastAsia="仿宋_GB2312" w:cs="仿宋_GB2312"/>
          <w:b/>
          <w:bCs/>
          <w:color w:val="000000"/>
          <w:sz w:val="32"/>
          <w:szCs w:val="32"/>
        </w:rPr>
        <w:t>坚持党的领导、高位推动。</w:t>
      </w:r>
      <w:r>
        <w:rPr>
          <w:rFonts w:hint="eastAsia" w:ascii="Times New Roman" w:hAnsi="Times New Roman" w:eastAsia="仿宋_GB2312"/>
          <w:bCs/>
          <w:color w:val="000000"/>
          <w:kern w:val="32"/>
          <w:sz w:val="32"/>
          <w:szCs w:val="32"/>
        </w:rPr>
        <w:t>加强和完善党对民族工作的集中统一领导</w:t>
      </w:r>
      <w:r>
        <w:rPr>
          <w:rFonts w:hint="eastAsia" w:ascii="Times New Roman" w:hAnsi="Times New Roman" w:eastAsia="仿宋_GB2312" w:cs="仿宋_GB2312"/>
          <w:color w:val="000000"/>
          <w:sz w:val="32"/>
          <w:szCs w:val="32"/>
        </w:rPr>
        <w:t>，坚定不移走中国特色解决民族问题的正确道路，提高政治站位，加强组织保障，履行主体责任，把党的全面领导贯穿于民族团结进步示范区建设全过程、各方面。</w:t>
      </w:r>
    </w:p>
    <w:p w14:paraId="72F3FE51">
      <w:pPr>
        <w:spacing w:line="560" w:lineRule="exact"/>
        <w:ind w:firstLine="643"/>
        <w:rPr>
          <w:rFonts w:ascii="Times New Roman" w:hAnsi="Times New Roman" w:eastAsia="仿宋_GB2312" w:cs="仿宋_GB2312"/>
          <w:color w:val="000000"/>
          <w:sz w:val="32"/>
          <w:szCs w:val="32"/>
        </w:rPr>
      </w:pPr>
      <w:r>
        <w:rPr>
          <w:rFonts w:hint="eastAsia" w:ascii="Times New Roman" w:hAnsi="Times New Roman" w:eastAsia="仿宋_GB2312" w:cs="仿宋_GB2312"/>
          <w:b/>
          <w:bCs/>
          <w:color w:val="000000"/>
          <w:sz w:val="32"/>
          <w:szCs w:val="32"/>
        </w:rPr>
        <w:t>坚持围绕主线、示范带动。</w:t>
      </w:r>
      <w:r>
        <w:rPr>
          <w:rFonts w:hint="eastAsia" w:ascii="Times New Roman" w:hAnsi="Times New Roman" w:eastAsia="仿宋_GB2312" w:cs="仿宋_GB2312"/>
          <w:color w:val="000000"/>
          <w:sz w:val="32"/>
          <w:szCs w:val="32"/>
        </w:rPr>
        <w:t>坚持以铸牢中华民族共同体意识为主线，在继承中发展、在发展中创新，推进民族团结进步由“创建”向“示范”转变。</w:t>
      </w:r>
    </w:p>
    <w:p w14:paraId="5E28FA7D">
      <w:pPr>
        <w:spacing w:line="560" w:lineRule="exact"/>
        <w:ind w:firstLine="643"/>
        <w:rPr>
          <w:rFonts w:ascii="Times New Roman" w:hAnsi="Times New Roman" w:eastAsia="仿宋_GB2312" w:cs="仿宋_GB2312"/>
          <w:color w:val="000000"/>
          <w:sz w:val="32"/>
          <w:szCs w:val="32"/>
        </w:rPr>
      </w:pPr>
      <w:r>
        <w:rPr>
          <w:rFonts w:hint="eastAsia" w:ascii="Times New Roman" w:hAnsi="Times New Roman" w:eastAsia="仿宋_GB2312" w:cs="仿宋_GB2312"/>
          <w:b/>
          <w:bCs/>
          <w:color w:val="000000"/>
          <w:sz w:val="32"/>
          <w:szCs w:val="32"/>
        </w:rPr>
        <w:t>坚持人民主体、共建共享。</w:t>
      </w:r>
      <w:r>
        <w:rPr>
          <w:rFonts w:hint="eastAsia" w:ascii="Times New Roman" w:hAnsi="Times New Roman" w:eastAsia="仿宋_GB2312" w:cs="仿宋_GB2312"/>
          <w:color w:val="000000"/>
          <w:sz w:val="32"/>
          <w:szCs w:val="32"/>
        </w:rPr>
        <w:t>坚持以人民为中心，把握人民群众对美好生活的新期待，着力解决各族群众最迫切、最直接的困难和问题，尊重人民主体地位和首创精神，激发内生发展动力，促进各族群众共建美好家园、共享美好生活。</w:t>
      </w:r>
    </w:p>
    <w:p w14:paraId="13C03192">
      <w:pPr>
        <w:spacing w:line="560" w:lineRule="exact"/>
        <w:ind w:firstLine="643"/>
        <w:rPr>
          <w:rFonts w:ascii="Times New Roman" w:hAnsi="Times New Roman" w:eastAsia="仿宋_GB2312" w:cs="仿宋_GB2312"/>
          <w:color w:val="000000"/>
          <w:sz w:val="32"/>
          <w:szCs w:val="32"/>
        </w:rPr>
      </w:pPr>
      <w:r>
        <w:rPr>
          <w:rFonts w:hint="eastAsia" w:ascii="Times New Roman" w:hAnsi="Times New Roman" w:eastAsia="仿宋_GB2312" w:cs="仿宋_GB2312"/>
          <w:b/>
          <w:bCs/>
          <w:color w:val="000000"/>
          <w:sz w:val="32"/>
          <w:szCs w:val="32"/>
        </w:rPr>
        <w:t>坚持突出重点、协调发展。</w:t>
      </w:r>
      <w:r>
        <w:rPr>
          <w:rFonts w:hint="eastAsia" w:ascii="Times New Roman" w:hAnsi="Times New Roman" w:eastAsia="仿宋_GB2312" w:cs="仿宋_GB2312"/>
          <w:color w:val="000000"/>
          <w:sz w:val="32"/>
          <w:szCs w:val="32"/>
        </w:rPr>
        <w:t>坚持民族因素和区域因素相结合，加强民族自治地方、城市民族地区发展薄弱环节的政策扶持，统筹推进补齐短板和锻造长板，提升基本公共服务供给水平，形成重点突破、系统推进、协调发展的建设局面。</w:t>
      </w:r>
    </w:p>
    <w:p w14:paraId="0FA693BA">
      <w:pPr>
        <w:adjustRightInd w:val="0"/>
        <w:snapToGrid w:val="0"/>
        <w:spacing w:line="560" w:lineRule="exact"/>
        <w:ind w:firstLine="643"/>
        <w:outlineLvl w:val="0"/>
        <w:rPr>
          <w:rFonts w:ascii="Times New Roman" w:hAnsi="Times New Roman" w:eastAsia="楷体_GB2312"/>
          <w:color w:val="000000"/>
          <w:kern w:val="0"/>
          <w:sz w:val="32"/>
          <w:szCs w:val="32"/>
        </w:rPr>
      </w:pPr>
      <w:r>
        <w:rPr>
          <w:rFonts w:hint="eastAsia" w:ascii="Times New Roman" w:hAnsi="Times New Roman" w:eastAsia="仿宋_GB2312" w:cs="仿宋_GB2312"/>
          <w:b/>
          <w:bCs/>
          <w:color w:val="000000"/>
          <w:sz w:val="32"/>
          <w:szCs w:val="32"/>
        </w:rPr>
        <w:t>坚持系统观念、整体推进。</w:t>
      </w:r>
      <w:r>
        <w:rPr>
          <w:rFonts w:hint="eastAsia" w:ascii="Times New Roman" w:hAnsi="Times New Roman" w:eastAsia="仿宋_GB2312" w:cs="仿宋_GB2312"/>
          <w:color w:val="000000"/>
          <w:sz w:val="32"/>
          <w:szCs w:val="32"/>
        </w:rPr>
        <w:t>坚持全县民族工作“一盘棋”思想，加强全局性谋划、整体性推进，推动民族团结进步示范建设与乡村振兴相融合相促进，统筹推进民族团结进步示范区经济、政治、文化、社会、生态文明各项建设工作。</w:t>
      </w:r>
    </w:p>
    <w:p w14:paraId="718F7991">
      <w:pPr>
        <w:adjustRightInd w:val="0"/>
        <w:snapToGrid w:val="0"/>
        <w:spacing w:line="560" w:lineRule="exact"/>
        <w:ind w:firstLine="640"/>
        <w:outlineLvl w:val="0"/>
        <w:rPr>
          <w:rFonts w:ascii="黑体" w:hAnsi="黑体" w:eastAsia="黑体" w:cs="黑体"/>
          <w:color w:val="000000"/>
          <w:kern w:val="0"/>
          <w:sz w:val="32"/>
          <w:szCs w:val="32"/>
        </w:rPr>
      </w:pPr>
      <w:bookmarkStart w:id="68" w:name="_Toc913_WPSOffice_Level2"/>
      <w:r>
        <w:rPr>
          <w:rFonts w:hint="eastAsia" w:ascii="黑体" w:hAnsi="黑体" w:eastAsia="黑体" w:cs="黑体"/>
          <w:color w:val="000000"/>
          <w:kern w:val="0"/>
          <w:sz w:val="32"/>
          <w:szCs w:val="32"/>
        </w:rPr>
        <w:t>三、主要目标</w:t>
      </w:r>
      <w:bookmarkEnd w:id="68"/>
    </w:p>
    <w:p w14:paraId="7F83D365">
      <w:pPr>
        <w:adjustRightInd w:val="0"/>
        <w:snapToGrid w:val="0"/>
        <w:spacing w:line="560" w:lineRule="exact"/>
        <w:ind w:firstLine="640"/>
        <w:outlineLvl w:val="0"/>
        <w:rPr>
          <w:rFonts w:ascii="Times New Roman" w:hAnsi="Times New Roman" w:eastAsia="仿宋_GB2312"/>
          <w:color w:val="000000"/>
          <w:sz w:val="32"/>
          <w:szCs w:val="32"/>
        </w:rPr>
      </w:pPr>
      <w:r>
        <w:rPr>
          <w:rFonts w:hint="eastAsia" w:ascii="Times New Roman" w:hAnsi="Times New Roman" w:eastAsia="仿宋_GB2312"/>
          <w:color w:val="000000"/>
          <w:kern w:val="0"/>
          <w:sz w:val="32"/>
          <w:szCs w:val="32"/>
        </w:rPr>
        <w:t>“十四五”期间</w:t>
      </w:r>
      <w:r>
        <w:rPr>
          <w:rFonts w:ascii="Times New Roman" w:hAnsi="Times New Roman" w:eastAsia="仿宋_GB2312"/>
          <w:color w:val="000000"/>
          <w:kern w:val="0"/>
          <w:sz w:val="32"/>
          <w:szCs w:val="32"/>
        </w:rPr>
        <w:t>，围绕铸牢中华民族共同体意识这条主线，</w:t>
      </w:r>
      <w:r>
        <w:rPr>
          <w:rFonts w:hint="eastAsia" w:ascii="Times New Roman" w:hAnsi="Times New Roman" w:eastAsia="仿宋_GB2312"/>
          <w:color w:val="000000"/>
          <w:kern w:val="0"/>
          <w:sz w:val="32"/>
          <w:szCs w:val="32"/>
        </w:rPr>
        <w:t>加强党对民族团结工作的领导，全面抓好民族团结进步工作，</w:t>
      </w:r>
      <w:r>
        <w:rPr>
          <w:rFonts w:hint="eastAsia" w:ascii="Times New Roman" w:hAnsi="Times New Roman" w:eastAsia="仿宋_GB2312"/>
          <w:bCs/>
          <w:color w:val="000000"/>
          <w:sz w:val="32"/>
          <w:szCs w:val="32"/>
        </w:rPr>
        <w:t>在夯实中华民族共同体政治基础、文化基础、物质基础、社会基础和法治基础上作出表率，全面形成</w:t>
      </w:r>
      <w:r>
        <w:rPr>
          <w:rFonts w:hint="eastAsia" w:ascii="Times New Roman" w:hAnsi="Times New Roman" w:eastAsia="仿宋_GB2312" w:cs="仿宋_GB2312"/>
          <w:color w:val="000000"/>
          <w:sz w:val="32"/>
          <w:szCs w:val="32"/>
        </w:rPr>
        <w:t>各民族政治上团结统一、经济上共同富裕、社会上互嵌互融、文化上美美与共、治理上共治共享，中华民族共同体意识</w:t>
      </w:r>
      <w:r>
        <w:rPr>
          <w:rFonts w:hint="eastAsia" w:ascii="Times New Roman" w:hAnsi="Times New Roman" w:eastAsia="仿宋_GB2312" w:cs="仿宋_GB2312"/>
          <w:color w:val="000000"/>
          <w:sz w:val="32"/>
          <w:szCs w:val="32"/>
          <w:lang w:val="zh-CN"/>
        </w:rPr>
        <w:t>深入人心</w:t>
      </w:r>
      <w:r>
        <w:rPr>
          <w:rFonts w:hint="eastAsia" w:ascii="Times New Roman" w:hAnsi="Times New Roman" w:eastAsia="仿宋_GB2312" w:cs="仿宋_GB2312"/>
          <w:color w:val="000000"/>
          <w:sz w:val="32"/>
          <w:szCs w:val="32"/>
        </w:rPr>
        <w:t>，城市民族工作</w:t>
      </w:r>
      <w:r>
        <w:rPr>
          <w:rFonts w:ascii="Times New Roman" w:hAnsi="Times New Roman" w:eastAsia="仿宋_GB2312" w:cs="仿宋_GB2312"/>
          <w:color w:val="000000"/>
          <w:sz w:val="32"/>
          <w:szCs w:val="32"/>
          <w:lang w:val="zh-CN"/>
        </w:rPr>
        <w:t>科学化、精细化</w:t>
      </w:r>
      <w:r>
        <w:rPr>
          <w:rFonts w:hint="eastAsia" w:ascii="Times New Roman" w:hAnsi="Times New Roman" w:eastAsia="仿宋_GB2312" w:cs="仿宋_GB2312"/>
          <w:color w:val="000000"/>
          <w:sz w:val="32"/>
          <w:szCs w:val="32"/>
        </w:rPr>
        <w:t>水平</w:t>
      </w:r>
      <w:r>
        <w:rPr>
          <w:rFonts w:ascii="Times New Roman" w:hAnsi="Times New Roman" w:eastAsia="仿宋_GB2312" w:cs="仿宋_GB2312"/>
          <w:color w:val="000000"/>
          <w:sz w:val="32"/>
          <w:szCs w:val="32"/>
          <w:lang w:val="zh-CN"/>
        </w:rPr>
        <w:t>持续提高</w:t>
      </w:r>
      <w:r>
        <w:rPr>
          <w:rFonts w:hint="eastAsia" w:ascii="Times New Roman" w:hAnsi="Times New Roman" w:eastAsia="仿宋_GB2312" w:cs="仿宋_GB2312"/>
          <w:color w:val="000000"/>
          <w:sz w:val="32"/>
          <w:szCs w:val="32"/>
          <w:lang w:val="zh-CN"/>
        </w:rPr>
        <w:t>，</w:t>
      </w:r>
      <w:r>
        <w:rPr>
          <w:rFonts w:hint="eastAsia" w:ascii="Times New Roman" w:hAnsi="Times New Roman" w:eastAsia="仿宋_GB2312" w:cs="仿宋_GB2312"/>
          <w:color w:val="000000"/>
          <w:sz w:val="32"/>
          <w:szCs w:val="32"/>
        </w:rPr>
        <w:t>平等团结互助和谐的社会主义民族关系不断巩固和发展的</w:t>
      </w:r>
      <w:r>
        <w:rPr>
          <w:rFonts w:ascii="Times New Roman" w:hAnsi="Times New Roman" w:eastAsia="仿宋_GB2312" w:cs="仿宋_GB2312"/>
          <w:color w:val="000000"/>
          <w:sz w:val="32"/>
          <w:szCs w:val="32"/>
          <w:lang w:val="zh-CN"/>
        </w:rPr>
        <w:t>民族团结</w:t>
      </w:r>
      <w:r>
        <w:rPr>
          <w:rFonts w:hint="eastAsia" w:ascii="Times New Roman" w:hAnsi="Times New Roman" w:eastAsia="仿宋_GB2312" w:cs="仿宋_GB2312"/>
          <w:color w:val="000000"/>
          <w:sz w:val="32"/>
          <w:szCs w:val="32"/>
          <w:lang w:val="zh-CN"/>
        </w:rPr>
        <w:t>进步</w:t>
      </w:r>
      <w:r>
        <w:rPr>
          <w:rFonts w:ascii="Times New Roman" w:hAnsi="Times New Roman" w:eastAsia="仿宋_GB2312" w:cs="仿宋_GB2312"/>
          <w:color w:val="000000"/>
          <w:sz w:val="32"/>
          <w:szCs w:val="32"/>
          <w:lang w:val="zh-CN"/>
        </w:rPr>
        <w:t>局面</w:t>
      </w:r>
      <w:r>
        <w:rPr>
          <w:rFonts w:hint="eastAsia" w:ascii="Times New Roman" w:hAnsi="Times New Roman" w:eastAsia="仿宋_GB2312" w:cs="仿宋_GB2312"/>
          <w:color w:val="000000"/>
          <w:sz w:val="32"/>
          <w:szCs w:val="32"/>
        </w:rPr>
        <w:t>。</w:t>
      </w:r>
    </w:p>
    <w:p w14:paraId="422E5CE6">
      <w:pPr>
        <w:widowControl/>
        <w:spacing w:line="560" w:lineRule="exact"/>
        <w:ind w:firstLine="643"/>
        <w:rPr>
          <w:rFonts w:ascii="仿宋" w:hAnsi="仿宋" w:eastAsia="仿宋" w:cs="仿宋"/>
          <w:color w:val="000000"/>
          <w:sz w:val="32"/>
          <w:szCs w:val="32"/>
        </w:rPr>
      </w:pPr>
      <w:r>
        <w:rPr>
          <w:rFonts w:hint="eastAsia" w:ascii="楷体_GB2312" w:hAnsi="楷体_GB2312" w:eastAsia="楷体_GB2312" w:cs="楷体_GB2312"/>
          <w:b/>
          <w:bCs/>
          <w:color w:val="000000"/>
          <w:sz w:val="32"/>
          <w:szCs w:val="32"/>
        </w:rPr>
        <w:t>一是党对民族工作领导更加坚强有力。</w:t>
      </w:r>
      <w:r>
        <w:rPr>
          <w:rFonts w:ascii="仿宋" w:hAnsi="仿宋" w:eastAsia="仿宋" w:cs="仿宋"/>
          <w:color w:val="000000"/>
          <w:sz w:val="32"/>
          <w:szCs w:val="32"/>
          <w:lang w:val="zh-CN"/>
        </w:rPr>
        <w:t>用习近平新时代中国特色社会主义思想武装头脑、</w:t>
      </w:r>
      <w:r>
        <w:rPr>
          <w:rFonts w:hint="eastAsia" w:ascii="仿宋" w:hAnsi="仿宋" w:eastAsia="仿宋" w:cs="仿宋"/>
          <w:color w:val="000000"/>
          <w:sz w:val="32"/>
          <w:szCs w:val="32"/>
          <w:lang w:val="zh-CN"/>
        </w:rPr>
        <w:t>指导实践、</w:t>
      </w:r>
      <w:r>
        <w:rPr>
          <w:rFonts w:ascii="仿宋" w:hAnsi="仿宋" w:eastAsia="仿宋" w:cs="仿宋"/>
          <w:color w:val="000000"/>
          <w:sz w:val="32"/>
          <w:szCs w:val="32"/>
          <w:lang w:val="zh-CN"/>
        </w:rPr>
        <w:t>教育群众、</w:t>
      </w:r>
      <w:r>
        <w:rPr>
          <w:rFonts w:hint="eastAsia" w:ascii="仿宋" w:hAnsi="仿宋" w:eastAsia="仿宋" w:cs="仿宋"/>
          <w:color w:val="000000"/>
          <w:sz w:val="32"/>
          <w:szCs w:val="32"/>
          <w:lang w:val="zh-CN"/>
        </w:rPr>
        <w:t>推动</w:t>
      </w:r>
      <w:r>
        <w:rPr>
          <w:rFonts w:ascii="仿宋" w:hAnsi="仿宋" w:eastAsia="仿宋" w:cs="仿宋"/>
          <w:color w:val="000000"/>
          <w:sz w:val="32"/>
          <w:szCs w:val="32"/>
          <w:lang w:val="zh-CN"/>
        </w:rPr>
        <w:t>工作</w:t>
      </w:r>
      <w:r>
        <w:rPr>
          <w:rFonts w:hint="eastAsia" w:ascii="仿宋" w:hAnsi="仿宋" w:eastAsia="仿宋" w:cs="仿宋"/>
          <w:color w:val="000000"/>
          <w:sz w:val="32"/>
          <w:szCs w:val="32"/>
          <w:lang w:val="zh-CN"/>
        </w:rPr>
        <w:t>更加</w:t>
      </w:r>
      <w:r>
        <w:rPr>
          <w:rFonts w:ascii="仿宋" w:hAnsi="仿宋" w:eastAsia="仿宋" w:cs="仿宋"/>
          <w:color w:val="000000"/>
          <w:sz w:val="32"/>
          <w:szCs w:val="32"/>
          <w:lang w:val="zh-CN"/>
        </w:rPr>
        <w:t>坚定</w:t>
      </w:r>
      <w:r>
        <w:rPr>
          <w:rFonts w:hint="eastAsia" w:ascii="仿宋" w:hAnsi="仿宋" w:eastAsia="仿宋" w:cs="仿宋"/>
          <w:color w:val="000000"/>
          <w:sz w:val="32"/>
          <w:szCs w:val="32"/>
          <w:lang w:val="zh-CN"/>
        </w:rPr>
        <w:t>，履行守护民族团结生命线的政治责任更加坚定</w:t>
      </w:r>
      <w:r>
        <w:rPr>
          <w:rFonts w:ascii="仿宋" w:hAnsi="仿宋" w:eastAsia="仿宋" w:cs="仿宋"/>
          <w:color w:val="000000"/>
          <w:sz w:val="32"/>
          <w:szCs w:val="32"/>
          <w:lang w:val="zh-CN"/>
        </w:rPr>
        <w:t>，</w:t>
      </w:r>
      <w:r>
        <w:rPr>
          <w:rFonts w:hint="eastAsia" w:ascii="仿宋" w:hAnsi="仿宋" w:eastAsia="仿宋" w:cs="仿宋"/>
          <w:color w:val="000000"/>
          <w:sz w:val="32"/>
          <w:szCs w:val="32"/>
          <w:lang w:val="zh-CN"/>
        </w:rPr>
        <w:t>各族群众感党恩、听党话、跟党走的思想行动更加坚定，</w:t>
      </w:r>
      <w:r>
        <w:rPr>
          <w:rFonts w:hint="eastAsia" w:ascii="仿宋" w:hAnsi="仿宋" w:eastAsia="仿宋" w:cs="仿宋"/>
          <w:color w:val="000000"/>
          <w:sz w:val="32"/>
          <w:szCs w:val="32"/>
        </w:rPr>
        <w:t>铸牢中华民族共同体意识不断增强、更加牢固。</w:t>
      </w:r>
    </w:p>
    <w:p w14:paraId="1E2D14EE">
      <w:pPr>
        <w:spacing w:line="560" w:lineRule="exact"/>
        <w:ind w:firstLine="643"/>
        <w:rPr>
          <w:rFonts w:ascii="Times New Roman" w:hAnsi="Times New Roman" w:eastAsia="仿宋_GB2312" w:cs="仿宋_GB2312"/>
          <w:color w:val="000000"/>
          <w:sz w:val="32"/>
          <w:szCs w:val="32"/>
        </w:rPr>
      </w:pPr>
      <w:r>
        <w:rPr>
          <w:rFonts w:hint="eastAsia" w:ascii="Times New Roman" w:hAnsi="Times New Roman" w:eastAsia="仿宋_GB2312" w:cs="仿宋_GB2312"/>
          <w:b/>
          <w:bCs/>
          <w:color w:val="000000"/>
          <w:sz w:val="32"/>
          <w:szCs w:val="32"/>
        </w:rPr>
        <w:t>二是民族团结进步创建成果全面深化。</w:t>
      </w:r>
      <w:r>
        <w:rPr>
          <w:rFonts w:hint="eastAsia" w:ascii="Times New Roman" w:hAnsi="Times New Roman" w:eastAsia="仿宋_GB2312" w:cs="仿宋_GB2312"/>
          <w:color w:val="000000"/>
          <w:sz w:val="32"/>
          <w:szCs w:val="32"/>
        </w:rPr>
        <w:t>民族团结进步创建全面深入持久开展，创建体制机制不断健全，载体形式、创新方式更加丰富，民族团结进步创建示范单位建设质量显著提高，全域创建格局基本形成。</w:t>
      </w:r>
    </w:p>
    <w:p w14:paraId="4F719FDB">
      <w:pPr>
        <w:spacing w:line="560" w:lineRule="exact"/>
        <w:ind w:firstLine="643"/>
        <w:rPr>
          <w:rFonts w:ascii="Times New Roman" w:hAnsi="Times New Roman" w:eastAsia="仿宋_GB2312" w:cs="仿宋_GB2312"/>
          <w:color w:val="000000"/>
          <w:sz w:val="32"/>
          <w:szCs w:val="32"/>
        </w:rPr>
      </w:pPr>
      <w:r>
        <w:rPr>
          <w:rFonts w:hint="eastAsia" w:ascii="Times New Roman" w:hAnsi="Times New Roman" w:eastAsia="仿宋_GB2312" w:cs="仿宋_GB2312"/>
          <w:b/>
          <w:bCs/>
          <w:color w:val="000000"/>
          <w:sz w:val="32"/>
          <w:szCs w:val="32"/>
        </w:rPr>
        <w:t>三是各民族交往交流交融更加紧密。</w:t>
      </w:r>
      <w:r>
        <w:rPr>
          <w:rFonts w:hint="eastAsia" w:ascii="Times New Roman" w:hAnsi="Times New Roman" w:eastAsia="仿宋_GB2312" w:cs="仿宋_GB2312"/>
          <w:color w:val="000000"/>
          <w:sz w:val="32"/>
          <w:szCs w:val="32"/>
        </w:rPr>
        <w:t>社会主义核心价值观和中华民族伟大精神得到大力弘扬，</w:t>
      </w:r>
      <w:r>
        <w:rPr>
          <w:rFonts w:hint="eastAsia" w:ascii="仿宋" w:hAnsi="仿宋" w:eastAsia="仿宋" w:cs="仿宋"/>
          <w:color w:val="000000"/>
          <w:sz w:val="32"/>
          <w:szCs w:val="32"/>
        </w:rPr>
        <w:t>民族优秀传统文化进一步传承保护和创新交融，国家通用语言文字全面普及，各民族经济文化交往交流更加频繁，“美美与共”的文化共同体建设成效显著，民族关系更加平等团结、互助和</w:t>
      </w:r>
      <w:r>
        <w:rPr>
          <w:rFonts w:hint="eastAsia" w:ascii="Times New Roman" w:hAnsi="Times New Roman" w:eastAsia="仿宋_GB2312" w:cs="仿宋_GB2312"/>
          <w:color w:val="000000"/>
          <w:sz w:val="32"/>
          <w:szCs w:val="32"/>
        </w:rPr>
        <w:t>谐。</w:t>
      </w:r>
    </w:p>
    <w:p w14:paraId="26B7EC3F">
      <w:pPr>
        <w:spacing w:line="560" w:lineRule="exact"/>
        <w:ind w:firstLine="643"/>
        <w:rPr>
          <w:rFonts w:ascii="Times New Roman" w:hAnsi="Times New Roman" w:eastAsia="仿宋_GB2312" w:cs="仿宋_GB2312"/>
          <w:color w:val="000000"/>
          <w:sz w:val="32"/>
          <w:szCs w:val="32"/>
        </w:rPr>
      </w:pPr>
      <w:r>
        <w:rPr>
          <w:rFonts w:hint="eastAsia" w:ascii="Times New Roman" w:hAnsi="Times New Roman" w:eastAsia="仿宋_GB2312" w:cs="仿宋_GB2312"/>
          <w:b/>
          <w:bCs/>
          <w:color w:val="000000"/>
          <w:sz w:val="32"/>
          <w:szCs w:val="32"/>
        </w:rPr>
        <w:t>四是各族人民共同富裕取得明显进展。</w:t>
      </w:r>
      <w:r>
        <w:rPr>
          <w:rFonts w:hint="eastAsia" w:ascii="Times New Roman" w:hAnsi="Times New Roman" w:eastAsia="仿宋_GB2312" w:cs="仿宋_GB2312"/>
          <w:color w:val="000000"/>
          <w:sz w:val="32"/>
          <w:szCs w:val="32"/>
        </w:rPr>
        <w:t>地区综合经济实力显著增强，居民收入增长和经济增长基本同步，创新驱动能力明显提升，乡村振兴战略全面推进，生态文明建设卓有成效，基本公共服务均等化水平明显提高，各民族共同走向社会主义现代化。</w:t>
      </w:r>
    </w:p>
    <w:p w14:paraId="6473322E">
      <w:pPr>
        <w:spacing w:line="560" w:lineRule="exact"/>
        <w:ind w:firstLine="643"/>
        <w:rPr>
          <w:rFonts w:ascii="仿宋" w:hAnsi="仿宋" w:eastAsia="仿宋" w:cs="仿宋"/>
          <w:color w:val="000000"/>
          <w:sz w:val="32"/>
          <w:szCs w:val="32"/>
        </w:rPr>
      </w:pPr>
      <w:r>
        <w:rPr>
          <w:rFonts w:hint="eastAsia" w:ascii="Times New Roman" w:hAnsi="Times New Roman" w:eastAsia="仿宋_GB2312" w:cs="仿宋_GB2312"/>
          <w:b/>
          <w:bCs/>
          <w:color w:val="000000"/>
          <w:sz w:val="32"/>
          <w:szCs w:val="32"/>
        </w:rPr>
        <w:t>五是城市民族事务治理能力持续提升。</w:t>
      </w:r>
      <w:r>
        <w:rPr>
          <w:rFonts w:hint="eastAsia" w:ascii="仿宋" w:hAnsi="仿宋" w:eastAsia="仿宋" w:cs="仿宋"/>
          <w:color w:val="000000"/>
          <w:sz w:val="32"/>
          <w:szCs w:val="32"/>
        </w:rPr>
        <w:t>互嵌式的社会结构和社区环境不断深化，民族事务法治化水平进一步提升，民族系统信息化体系基本建成，城市少数民族服务管理能力和基层治理水平全面提高，创新推进城市化进程中共建共治共享，各族群众获得感、幸福感、安全感不断增强。</w:t>
      </w:r>
    </w:p>
    <w:p w14:paraId="57CEE95F">
      <w:pPr>
        <w:jc w:val="center"/>
        <w:rPr>
          <w:rFonts w:ascii="仿宋" w:hAnsi="仿宋" w:eastAsia="仿宋" w:cs="仿宋"/>
          <w:b/>
          <w:bCs/>
          <w:color w:val="000000"/>
          <w:sz w:val="32"/>
          <w:szCs w:val="32"/>
        </w:rPr>
      </w:pPr>
      <w:bookmarkStart w:id="69" w:name="_Toc29857"/>
      <w:bookmarkStart w:id="70" w:name="_Toc28724_WPSOffice_Level2"/>
      <w:r>
        <w:rPr>
          <w:rFonts w:hint="eastAsia" w:ascii="仿宋" w:hAnsi="仿宋" w:eastAsia="仿宋" w:cs="仿宋"/>
          <w:b/>
          <w:bCs/>
          <w:color w:val="000000"/>
          <w:sz w:val="32"/>
          <w:szCs w:val="32"/>
        </w:rPr>
        <w:t>石林县“十四五”时期民族团结进步主要指标</w:t>
      </w:r>
      <w:bookmarkEnd w:id="69"/>
      <w:bookmarkEnd w:id="70"/>
    </w:p>
    <w:tbl>
      <w:tblPr>
        <w:tblStyle w:val="15"/>
        <w:tblW w:w="9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428"/>
        <w:gridCol w:w="1015"/>
        <w:gridCol w:w="4216"/>
        <w:gridCol w:w="867"/>
        <w:gridCol w:w="917"/>
        <w:gridCol w:w="1033"/>
        <w:gridCol w:w="989"/>
      </w:tblGrid>
      <w:tr w14:paraId="3226B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0" w:hRule="atLeast"/>
          <w:jc w:val="center"/>
        </w:trPr>
        <w:tc>
          <w:tcPr>
            <w:tcW w:w="428" w:type="dxa"/>
            <w:tcBorders>
              <w:top w:val="single" w:color="auto" w:sz="4" w:space="0"/>
              <w:right w:val="single" w:color="auto" w:sz="4" w:space="0"/>
            </w:tcBorders>
            <w:vAlign w:val="center"/>
          </w:tcPr>
          <w:p w14:paraId="34D8FBA1">
            <w:pPr>
              <w:jc w:val="center"/>
              <w:textAlignment w:val="center"/>
              <w:rPr>
                <w:rFonts w:ascii="Times New Roman" w:hAnsi="Times New Roman"/>
                <w:b/>
                <w:bCs/>
                <w:color w:val="000000"/>
                <w:sz w:val="24"/>
              </w:rPr>
            </w:pPr>
            <w:r>
              <w:rPr>
                <w:rFonts w:hint="eastAsia" w:ascii="Times New Roman" w:hAnsi="Times New Roman"/>
                <w:b/>
                <w:bCs/>
                <w:color w:val="000000"/>
                <w:sz w:val="24"/>
              </w:rPr>
              <w:t>序号</w:t>
            </w:r>
          </w:p>
        </w:tc>
        <w:tc>
          <w:tcPr>
            <w:tcW w:w="1015" w:type="dxa"/>
            <w:tcBorders>
              <w:top w:val="single" w:color="auto" w:sz="4" w:space="0"/>
              <w:right w:val="single" w:color="auto" w:sz="4" w:space="0"/>
            </w:tcBorders>
            <w:vAlign w:val="center"/>
          </w:tcPr>
          <w:p w14:paraId="1AF0F701">
            <w:pPr>
              <w:jc w:val="center"/>
              <w:textAlignment w:val="center"/>
              <w:rPr>
                <w:rFonts w:ascii="Times New Roman" w:hAnsi="Times New Roman"/>
                <w:b/>
                <w:bCs/>
                <w:color w:val="000000"/>
                <w:sz w:val="24"/>
              </w:rPr>
            </w:pPr>
            <w:r>
              <w:rPr>
                <w:rFonts w:hint="eastAsia" w:ascii="Times New Roman" w:hAnsi="Times New Roman"/>
                <w:b/>
                <w:bCs/>
                <w:color w:val="000000"/>
                <w:sz w:val="24"/>
              </w:rPr>
              <w:t>分类</w:t>
            </w:r>
          </w:p>
        </w:tc>
        <w:tc>
          <w:tcPr>
            <w:tcW w:w="4216" w:type="dxa"/>
            <w:tcBorders>
              <w:top w:val="single" w:color="auto" w:sz="4" w:space="0"/>
              <w:right w:val="single" w:color="auto" w:sz="4" w:space="0"/>
            </w:tcBorders>
            <w:vAlign w:val="center"/>
          </w:tcPr>
          <w:p w14:paraId="74D883B0">
            <w:pPr>
              <w:jc w:val="center"/>
              <w:textAlignment w:val="center"/>
              <w:rPr>
                <w:rFonts w:ascii="Times New Roman" w:hAnsi="Times New Roman"/>
                <w:b/>
                <w:bCs/>
                <w:color w:val="000000"/>
                <w:sz w:val="24"/>
              </w:rPr>
            </w:pPr>
            <w:r>
              <w:rPr>
                <w:rFonts w:ascii="Times New Roman" w:hAnsi="Times New Roman"/>
                <w:b/>
                <w:bCs/>
                <w:color w:val="000000"/>
                <w:sz w:val="24"/>
              </w:rPr>
              <w:t>指标</w:t>
            </w:r>
          </w:p>
        </w:tc>
        <w:tc>
          <w:tcPr>
            <w:tcW w:w="867" w:type="dxa"/>
            <w:tcBorders>
              <w:top w:val="single" w:color="auto" w:sz="4" w:space="0"/>
              <w:left w:val="single" w:color="auto" w:sz="4" w:space="0"/>
              <w:right w:val="single" w:color="auto" w:sz="4" w:space="0"/>
            </w:tcBorders>
            <w:vAlign w:val="center"/>
          </w:tcPr>
          <w:p w14:paraId="549F6841">
            <w:pPr>
              <w:jc w:val="center"/>
              <w:textAlignment w:val="center"/>
              <w:rPr>
                <w:rFonts w:ascii="Times New Roman" w:hAnsi="Times New Roman"/>
                <w:b/>
                <w:bCs/>
                <w:color w:val="000000"/>
                <w:sz w:val="24"/>
              </w:rPr>
            </w:pPr>
            <w:r>
              <w:rPr>
                <w:rFonts w:ascii="Times New Roman" w:hAnsi="Times New Roman"/>
                <w:b/>
                <w:bCs/>
                <w:color w:val="000000"/>
                <w:sz w:val="24"/>
              </w:rPr>
              <w:t>2020年</w:t>
            </w:r>
          </w:p>
        </w:tc>
        <w:tc>
          <w:tcPr>
            <w:tcW w:w="917" w:type="dxa"/>
            <w:tcBorders>
              <w:top w:val="single" w:color="auto" w:sz="4" w:space="0"/>
              <w:left w:val="single" w:color="auto" w:sz="4" w:space="0"/>
              <w:right w:val="single" w:color="auto" w:sz="4" w:space="0"/>
            </w:tcBorders>
            <w:vAlign w:val="center"/>
          </w:tcPr>
          <w:p w14:paraId="4554B4F9">
            <w:pPr>
              <w:jc w:val="center"/>
              <w:textAlignment w:val="center"/>
              <w:rPr>
                <w:rFonts w:ascii="Times New Roman" w:hAnsi="Times New Roman"/>
                <w:b/>
                <w:bCs/>
                <w:color w:val="000000"/>
                <w:sz w:val="24"/>
              </w:rPr>
            </w:pPr>
            <w:r>
              <w:rPr>
                <w:rFonts w:ascii="Times New Roman" w:hAnsi="Times New Roman"/>
                <w:b/>
                <w:bCs/>
                <w:color w:val="000000"/>
                <w:sz w:val="24"/>
              </w:rPr>
              <w:t>2025年</w:t>
            </w:r>
          </w:p>
        </w:tc>
        <w:tc>
          <w:tcPr>
            <w:tcW w:w="1033" w:type="dxa"/>
            <w:tcBorders>
              <w:top w:val="single" w:color="auto" w:sz="4" w:space="0"/>
              <w:left w:val="single" w:color="auto" w:sz="4" w:space="0"/>
              <w:right w:val="single" w:color="auto" w:sz="4" w:space="0"/>
            </w:tcBorders>
            <w:vAlign w:val="center"/>
          </w:tcPr>
          <w:p w14:paraId="61165601">
            <w:pPr>
              <w:jc w:val="center"/>
              <w:textAlignment w:val="center"/>
              <w:rPr>
                <w:rFonts w:ascii="Times New Roman" w:hAnsi="Times New Roman"/>
                <w:b/>
                <w:bCs/>
                <w:color w:val="000000"/>
                <w:sz w:val="24"/>
              </w:rPr>
            </w:pPr>
            <w:r>
              <w:rPr>
                <w:rFonts w:ascii="Times New Roman" w:hAnsi="Times New Roman"/>
                <w:b/>
                <w:bCs/>
                <w:color w:val="000000"/>
                <w:sz w:val="24"/>
              </w:rPr>
              <w:t>年均增</w:t>
            </w:r>
            <w:r>
              <w:rPr>
                <w:rFonts w:hint="eastAsia" w:ascii="Times New Roman" w:hAnsi="Times New Roman"/>
                <w:b/>
                <w:bCs/>
                <w:color w:val="000000"/>
                <w:sz w:val="24"/>
              </w:rPr>
              <w:t>长</w:t>
            </w:r>
            <w:r>
              <w:rPr>
                <w:rFonts w:ascii="Times New Roman" w:hAnsi="Times New Roman"/>
                <w:b/>
                <w:bCs/>
                <w:color w:val="000000"/>
                <w:sz w:val="24"/>
              </w:rPr>
              <w:t>[累计]</w:t>
            </w:r>
          </w:p>
        </w:tc>
        <w:tc>
          <w:tcPr>
            <w:tcW w:w="989" w:type="dxa"/>
            <w:tcBorders>
              <w:top w:val="single" w:color="auto" w:sz="4" w:space="0"/>
              <w:left w:val="single" w:color="auto" w:sz="4" w:space="0"/>
              <w:right w:val="single" w:color="auto" w:sz="4" w:space="0"/>
            </w:tcBorders>
            <w:vAlign w:val="center"/>
          </w:tcPr>
          <w:p w14:paraId="5375E15D">
            <w:pPr>
              <w:jc w:val="center"/>
              <w:textAlignment w:val="center"/>
              <w:rPr>
                <w:rFonts w:ascii="Times New Roman" w:hAnsi="Times New Roman"/>
                <w:b/>
                <w:bCs/>
                <w:color w:val="000000"/>
                <w:sz w:val="24"/>
              </w:rPr>
            </w:pPr>
            <w:r>
              <w:rPr>
                <w:rFonts w:hint="eastAsia" w:ascii="Times New Roman" w:hAnsi="Times New Roman"/>
                <w:b/>
                <w:bCs/>
                <w:color w:val="000000"/>
                <w:sz w:val="24"/>
              </w:rPr>
              <w:t>属性</w:t>
            </w:r>
          </w:p>
        </w:tc>
      </w:tr>
      <w:tr w14:paraId="7151D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0" w:hRule="atLeast"/>
          <w:jc w:val="center"/>
        </w:trPr>
        <w:tc>
          <w:tcPr>
            <w:tcW w:w="428" w:type="dxa"/>
            <w:vAlign w:val="center"/>
          </w:tcPr>
          <w:p w14:paraId="09E821B5">
            <w:pPr>
              <w:jc w:val="center"/>
              <w:textAlignment w:val="center"/>
              <w:rPr>
                <w:rFonts w:ascii="Times New Roman" w:hAnsi="Times New Roman"/>
                <w:color w:val="000000"/>
                <w:szCs w:val="21"/>
              </w:rPr>
            </w:pPr>
            <w:r>
              <w:rPr>
                <w:rFonts w:hint="eastAsia" w:ascii="Times New Roman" w:hAnsi="Times New Roman"/>
                <w:color w:val="000000"/>
                <w:szCs w:val="21"/>
              </w:rPr>
              <w:t>1</w:t>
            </w:r>
          </w:p>
        </w:tc>
        <w:tc>
          <w:tcPr>
            <w:tcW w:w="1015" w:type="dxa"/>
            <w:vMerge w:val="restart"/>
            <w:vAlign w:val="center"/>
          </w:tcPr>
          <w:p w14:paraId="547C382C">
            <w:pPr>
              <w:jc w:val="center"/>
              <w:textAlignment w:val="center"/>
              <w:rPr>
                <w:rFonts w:ascii="Times New Roman" w:hAnsi="Times New Roman"/>
                <w:color w:val="000000"/>
                <w:szCs w:val="21"/>
              </w:rPr>
            </w:pPr>
            <w:r>
              <w:rPr>
                <w:rFonts w:ascii="Times New Roman" w:hAnsi="Times New Roman"/>
                <w:color w:val="000000"/>
                <w:szCs w:val="21"/>
              </w:rPr>
              <w:t>在夯实中华民族共同体政治基础上作出表率</w:t>
            </w:r>
          </w:p>
        </w:tc>
        <w:tc>
          <w:tcPr>
            <w:tcW w:w="4216" w:type="dxa"/>
            <w:vAlign w:val="center"/>
          </w:tcPr>
          <w:p w14:paraId="6B6BA05C">
            <w:pPr>
              <w:textAlignment w:val="center"/>
              <w:rPr>
                <w:rFonts w:ascii="Times New Roman" w:hAnsi="Times New Roman"/>
                <w:color w:val="000000"/>
                <w:szCs w:val="21"/>
              </w:rPr>
            </w:pPr>
            <w:r>
              <w:rPr>
                <w:rFonts w:hint="eastAsia" w:ascii="Times New Roman" w:hAnsi="Times New Roman"/>
                <w:color w:val="000000"/>
                <w:szCs w:val="21"/>
              </w:rPr>
              <w:t>每年各级各部门专题研究铸牢中华民族共同体意识工作次数（次）</w:t>
            </w:r>
          </w:p>
        </w:tc>
        <w:tc>
          <w:tcPr>
            <w:tcW w:w="1784" w:type="dxa"/>
            <w:gridSpan w:val="2"/>
            <w:vAlign w:val="center"/>
          </w:tcPr>
          <w:p w14:paraId="450651AC">
            <w:pPr>
              <w:jc w:val="center"/>
              <w:textAlignment w:val="center"/>
              <w:rPr>
                <w:rFonts w:ascii="Times New Roman" w:hAnsi="Times New Roman"/>
                <w:color w:val="000000"/>
                <w:szCs w:val="21"/>
              </w:rPr>
            </w:pPr>
            <w:r>
              <w:rPr>
                <w:rFonts w:hint="eastAsia" w:ascii="Times New Roman" w:hAnsi="Times New Roman"/>
                <w:color w:val="000000"/>
                <w:szCs w:val="21"/>
              </w:rPr>
              <w:t>≧2</w:t>
            </w:r>
          </w:p>
        </w:tc>
        <w:tc>
          <w:tcPr>
            <w:tcW w:w="1033" w:type="dxa"/>
            <w:vAlign w:val="center"/>
          </w:tcPr>
          <w:p w14:paraId="44253BC3">
            <w:pPr>
              <w:jc w:val="center"/>
              <w:textAlignment w:val="center"/>
              <w:rPr>
                <w:rFonts w:ascii="Times New Roman" w:hAnsi="Times New Roman"/>
                <w:color w:val="000000"/>
                <w:szCs w:val="21"/>
              </w:rPr>
            </w:pPr>
            <w:r>
              <w:rPr>
                <w:rFonts w:hint="eastAsia" w:ascii="Times New Roman" w:hAnsi="Times New Roman"/>
                <w:color w:val="000000"/>
                <w:szCs w:val="21"/>
              </w:rPr>
              <w:t>[10]</w:t>
            </w:r>
          </w:p>
        </w:tc>
        <w:tc>
          <w:tcPr>
            <w:tcW w:w="989" w:type="dxa"/>
            <w:vAlign w:val="center"/>
          </w:tcPr>
          <w:p w14:paraId="20291664">
            <w:pPr>
              <w:jc w:val="center"/>
              <w:textAlignment w:val="center"/>
              <w:rPr>
                <w:rFonts w:ascii="Times New Roman" w:hAnsi="Times New Roman"/>
                <w:color w:val="000000"/>
                <w:szCs w:val="21"/>
              </w:rPr>
            </w:pPr>
            <w:r>
              <w:rPr>
                <w:rFonts w:hint="eastAsia" w:ascii="Times New Roman" w:hAnsi="Times New Roman"/>
                <w:color w:val="000000"/>
                <w:szCs w:val="21"/>
              </w:rPr>
              <w:t>约束性</w:t>
            </w:r>
          </w:p>
        </w:tc>
      </w:tr>
      <w:tr w14:paraId="6F078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28" w:type="dxa"/>
            <w:vAlign w:val="center"/>
          </w:tcPr>
          <w:p w14:paraId="5F8EFA70">
            <w:pPr>
              <w:jc w:val="center"/>
              <w:textAlignment w:val="center"/>
              <w:rPr>
                <w:rFonts w:ascii="Times New Roman" w:hAnsi="Times New Roman"/>
                <w:color w:val="000000"/>
                <w:szCs w:val="21"/>
              </w:rPr>
            </w:pPr>
            <w:r>
              <w:rPr>
                <w:rFonts w:hint="eastAsia" w:ascii="Times New Roman" w:hAnsi="Times New Roman"/>
                <w:color w:val="000000"/>
                <w:szCs w:val="21"/>
              </w:rPr>
              <w:t>2</w:t>
            </w:r>
          </w:p>
        </w:tc>
        <w:tc>
          <w:tcPr>
            <w:vMerge w:val="continue"/>
          </w:tcPr>
          <w:p w14:paraId="737D9139"/>
        </w:tc>
        <w:tc>
          <w:tcPr>
            <w:tcW w:w="4216" w:type="dxa"/>
            <w:vAlign w:val="center"/>
          </w:tcPr>
          <w:p w14:paraId="5AB91B01">
            <w:pPr>
              <w:textAlignment w:val="center"/>
              <w:rPr>
                <w:rFonts w:ascii="Times New Roman" w:hAnsi="Times New Roman"/>
                <w:color w:val="000000"/>
                <w:szCs w:val="21"/>
              </w:rPr>
            </w:pPr>
            <w:r>
              <w:rPr>
                <w:rFonts w:hint="eastAsia" w:ascii="Times New Roman" w:hAnsi="Times New Roman"/>
                <w:color w:val="000000"/>
                <w:szCs w:val="21"/>
              </w:rPr>
              <w:t>基层党组织标准化规范化率（%）</w:t>
            </w:r>
          </w:p>
        </w:tc>
        <w:tc>
          <w:tcPr>
            <w:tcW w:w="867" w:type="dxa"/>
            <w:vAlign w:val="center"/>
          </w:tcPr>
          <w:p w14:paraId="36BB610F">
            <w:pPr>
              <w:jc w:val="center"/>
              <w:textAlignment w:val="center"/>
              <w:rPr>
                <w:rFonts w:ascii="Times New Roman" w:hAnsi="Times New Roman"/>
                <w:color w:val="000000"/>
                <w:szCs w:val="21"/>
              </w:rPr>
            </w:pPr>
            <w:r>
              <w:rPr>
                <w:rFonts w:hint="eastAsia" w:ascii="Times New Roman" w:hAnsi="Times New Roman"/>
                <w:color w:val="000000"/>
                <w:szCs w:val="21"/>
              </w:rPr>
              <w:t>100</w:t>
            </w:r>
          </w:p>
        </w:tc>
        <w:tc>
          <w:tcPr>
            <w:tcW w:w="917" w:type="dxa"/>
            <w:vAlign w:val="center"/>
          </w:tcPr>
          <w:p w14:paraId="1D5564C5">
            <w:pPr>
              <w:jc w:val="center"/>
              <w:textAlignment w:val="center"/>
              <w:rPr>
                <w:rFonts w:ascii="Times New Roman" w:hAnsi="Times New Roman"/>
                <w:color w:val="000000"/>
                <w:szCs w:val="21"/>
              </w:rPr>
            </w:pPr>
            <w:r>
              <w:rPr>
                <w:rFonts w:hint="eastAsia" w:ascii="Times New Roman" w:hAnsi="Times New Roman"/>
                <w:color w:val="000000"/>
                <w:szCs w:val="21"/>
              </w:rPr>
              <w:t>100</w:t>
            </w:r>
          </w:p>
        </w:tc>
        <w:tc>
          <w:tcPr>
            <w:tcW w:w="1033" w:type="dxa"/>
            <w:vAlign w:val="center"/>
          </w:tcPr>
          <w:p w14:paraId="03692C50">
            <w:pPr>
              <w:jc w:val="center"/>
              <w:textAlignment w:val="center"/>
              <w:rPr>
                <w:rFonts w:ascii="Times New Roman" w:hAnsi="Times New Roman"/>
                <w:color w:val="000000"/>
                <w:szCs w:val="21"/>
              </w:rPr>
            </w:pPr>
          </w:p>
        </w:tc>
        <w:tc>
          <w:tcPr>
            <w:tcW w:w="989" w:type="dxa"/>
            <w:vAlign w:val="center"/>
          </w:tcPr>
          <w:p w14:paraId="6FCD68B0">
            <w:pPr>
              <w:jc w:val="center"/>
              <w:textAlignment w:val="center"/>
              <w:rPr>
                <w:rFonts w:ascii="Times New Roman" w:hAnsi="Times New Roman"/>
                <w:color w:val="000000"/>
                <w:szCs w:val="21"/>
              </w:rPr>
            </w:pPr>
            <w:r>
              <w:rPr>
                <w:rFonts w:hint="eastAsia" w:ascii="Times New Roman" w:hAnsi="Times New Roman"/>
                <w:color w:val="000000"/>
                <w:szCs w:val="21"/>
              </w:rPr>
              <w:t>预期性</w:t>
            </w:r>
          </w:p>
        </w:tc>
      </w:tr>
      <w:tr w14:paraId="41596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2" w:hRule="atLeast"/>
          <w:jc w:val="center"/>
        </w:trPr>
        <w:tc>
          <w:tcPr>
            <w:tcW w:w="428" w:type="dxa"/>
            <w:vAlign w:val="center"/>
          </w:tcPr>
          <w:p w14:paraId="5B9607DC">
            <w:pPr>
              <w:jc w:val="center"/>
              <w:textAlignment w:val="center"/>
              <w:rPr>
                <w:rFonts w:ascii="Times New Roman" w:hAnsi="Times New Roman"/>
                <w:color w:val="000000"/>
                <w:szCs w:val="21"/>
              </w:rPr>
            </w:pPr>
            <w:r>
              <w:rPr>
                <w:rFonts w:hint="eastAsia" w:ascii="Times New Roman" w:hAnsi="Times New Roman"/>
                <w:color w:val="000000"/>
                <w:szCs w:val="21"/>
              </w:rPr>
              <w:t>3</w:t>
            </w:r>
          </w:p>
        </w:tc>
        <w:tc>
          <w:tcPr>
            <w:tcW w:w="1015" w:type="dxa"/>
            <w:vMerge w:val="restart"/>
            <w:vAlign w:val="center"/>
          </w:tcPr>
          <w:p w14:paraId="5C67C643">
            <w:pPr>
              <w:jc w:val="center"/>
              <w:textAlignment w:val="center"/>
              <w:rPr>
                <w:rFonts w:ascii="Times New Roman" w:hAnsi="Times New Roman"/>
                <w:color w:val="000000"/>
                <w:szCs w:val="21"/>
              </w:rPr>
            </w:pPr>
            <w:r>
              <w:rPr>
                <w:rFonts w:ascii="Times New Roman" w:hAnsi="Times New Roman"/>
                <w:color w:val="000000"/>
                <w:szCs w:val="21"/>
              </w:rPr>
              <w:t>在夯实中华民族共同体文化基础上作出表率</w:t>
            </w:r>
          </w:p>
        </w:tc>
        <w:tc>
          <w:tcPr>
            <w:tcW w:w="4216" w:type="dxa"/>
            <w:vAlign w:val="center"/>
          </w:tcPr>
          <w:p w14:paraId="0873A04B">
            <w:pPr>
              <w:textAlignment w:val="center"/>
              <w:rPr>
                <w:rFonts w:ascii="Times New Roman" w:hAnsi="Times New Roman"/>
                <w:color w:val="000000"/>
                <w:szCs w:val="21"/>
              </w:rPr>
            </w:pPr>
            <w:r>
              <w:rPr>
                <w:rFonts w:ascii="Times New Roman" w:hAnsi="Times New Roman"/>
                <w:color w:val="000000"/>
                <w:szCs w:val="21"/>
              </w:rPr>
              <w:t>中华民族视觉形象工程（项）</w:t>
            </w:r>
          </w:p>
        </w:tc>
        <w:tc>
          <w:tcPr>
            <w:tcW w:w="867" w:type="dxa"/>
            <w:vAlign w:val="center"/>
          </w:tcPr>
          <w:p w14:paraId="2D161CAB">
            <w:pPr>
              <w:jc w:val="center"/>
              <w:rPr>
                <w:rFonts w:ascii="Times New Roman" w:hAnsi="Times New Roman"/>
                <w:color w:val="000000"/>
                <w:szCs w:val="21"/>
              </w:rPr>
            </w:pPr>
            <w:r>
              <w:rPr>
                <w:rFonts w:hint="eastAsia" w:ascii="Times New Roman" w:hAnsi="Times New Roman"/>
                <w:color w:val="000000"/>
                <w:szCs w:val="21"/>
              </w:rPr>
              <w:t>—</w:t>
            </w:r>
          </w:p>
        </w:tc>
        <w:tc>
          <w:tcPr>
            <w:tcW w:w="917" w:type="dxa"/>
            <w:vAlign w:val="center"/>
          </w:tcPr>
          <w:p w14:paraId="7E8E0655">
            <w:pPr>
              <w:jc w:val="center"/>
              <w:rPr>
                <w:rFonts w:ascii="Times New Roman" w:hAnsi="Times New Roman"/>
                <w:color w:val="000000"/>
                <w:szCs w:val="21"/>
              </w:rPr>
            </w:pPr>
            <w:r>
              <w:rPr>
                <w:rFonts w:hint="eastAsia" w:ascii="Times New Roman" w:hAnsi="Times New Roman"/>
                <w:color w:val="000000"/>
                <w:szCs w:val="21"/>
              </w:rPr>
              <w:t>2</w:t>
            </w:r>
          </w:p>
        </w:tc>
        <w:tc>
          <w:tcPr>
            <w:tcW w:w="1033" w:type="dxa"/>
            <w:vAlign w:val="center"/>
          </w:tcPr>
          <w:p w14:paraId="3887DE7C">
            <w:pPr>
              <w:jc w:val="center"/>
              <w:textAlignment w:val="center"/>
              <w:rPr>
                <w:rFonts w:ascii="Times New Roman" w:hAnsi="Times New Roman"/>
                <w:color w:val="000000"/>
                <w:szCs w:val="21"/>
              </w:rPr>
            </w:pPr>
            <w:r>
              <w:rPr>
                <w:rFonts w:hint="eastAsia" w:ascii="Times New Roman" w:hAnsi="Times New Roman"/>
                <w:color w:val="000000"/>
                <w:szCs w:val="21"/>
              </w:rPr>
              <w:t>≧[ 2 ]</w:t>
            </w:r>
          </w:p>
        </w:tc>
        <w:tc>
          <w:tcPr>
            <w:tcW w:w="989" w:type="dxa"/>
            <w:vAlign w:val="center"/>
          </w:tcPr>
          <w:p w14:paraId="006396D2">
            <w:pPr>
              <w:jc w:val="center"/>
              <w:rPr>
                <w:rFonts w:ascii="Times New Roman" w:hAnsi="Times New Roman"/>
                <w:color w:val="000000"/>
                <w:szCs w:val="21"/>
              </w:rPr>
            </w:pPr>
            <w:r>
              <w:rPr>
                <w:rFonts w:hint="eastAsia" w:ascii="Times New Roman" w:hAnsi="Times New Roman"/>
                <w:color w:val="000000"/>
                <w:szCs w:val="21"/>
              </w:rPr>
              <w:t>约束性</w:t>
            </w:r>
          </w:p>
        </w:tc>
      </w:tr>
      <w:tr w14:paraId="289C4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9" w:hRule="atLeast"/>
          <w:jc w:val="center"/>
        </w:trPr>
        <w:tc>
          <w:tcPr>
            <w:tcW w:w="428" w:type="dxa"/>
            <w:vAlign w:val="center"/>
          </w:tcPr>
          <w:p w14:paraId="376A7848">
            <w:pPr>
              <w:jc w:val="center"/>
              <w:textAlignment w:val="center"/>
              <w:rPr>
                <w:rFonts w:ascii="Times New Roman" w:hAnsi="Times New Roman"/>
                <w:color w:val="000000"/>
                <w:szCs w:val="21"/>
              </w:rPr>
            </w:pPr>
            <w:r>
              <w:rPr>
                <w:rFonts w:hint="eastAsia" w:ascii="Times New Roman" w:hAnsi="Times New Roman"/>
                <w:color w:val="000000"/>
                <w:szCs w:val="21"/>
              </w:rPr>
              <w:t>4</w:t>
            </w:r>
          </w:p>
        </w:tc>
        <w:tc>
          <w:tcPr>
            <w:vMerge w:val="continue"/>
          </w:tcPr>
          <w:p w14:paraId="575402B1"/>
        </w:tc>
        <w:tc>
          <w:tcPr>
            <w:tcW w:w="4216" w:type="dxa"/>
            <w:vAlign w:val="center"/>
          </w:tcPr>
          <w:p w14:paraId="68CA9282">
            <w:pPr>
              <w:textAlignment w:val="center"/>
              <w:rPr>
                <w:rFonts w:ascii="Times New Roman" w:hAnsi="Times New Roman"/>
                <w:color w:val="000000"/>
                <w:szCs w:val="21"/>
              </w:rPr>
            </w:pPr>
            <w:r>
              <w:rPr>
                <w:rFonts w:ascii="Times New Roman" w:hAnsi="Times New Roman"/>
                <w:color w:val="000000"/>
                <w:szCs w:val="21"/>
              </w:rPr>
              <w:t>少数民族优秀文化保护传承工程（项）</w:t>
            </w:r>
          </w:p>
        </w:tc>
        <w:tc>
          <w:tcPr>
            <w:tcW w:w="867" w:type="dxa"/>
            <w:vAlign w:val="center"/>
          </w:tcPr>
          <w:p w14:paraId="0DA92206">
            <w:pPr>
              <w:jc w:val="center"/>
              <w:rPr>
                <w:rFonts w:ascii="Times New Roman" w:hAnsi="Times New Roman"/>
                <w:color w:val="000000"/>
                <w:szCs w:val="21"/>
              </w:rPr>
            </w:pPr>
            <w:r>
              <w:rPr>
                <w:rFonts w:hint="eastAsia" w:ascii="Times New Roman" w:hAnsi="Times New Roman"/>
                <w:color w:val="000000"/>
                <w:szCs w:val="21"/>
              </w:rPr>
              <w:t>4</w:t>
            </w:r>
          </w:p>
        </w:tc>
        <w:tc>
          <w:tcPr>
            <w:tcW w:w="917" w:type="dxa"/>
            <w:vAlign w:val="center"/>
          </w:tcPr>
          <w:p w14:paraId="63E250C3">
            <w:pPr>
              <w:jc w:val="center"/>
              <w:rPr>
                <w:rFonts w:ascii="Times New Roman" w:hAnsi="Times New Roman"/>
                <w:color w:val="000000"/>
                <w:szCs w:val="21"/>
              </w:rPr>
            </w:pPr>
            <w:r>
              <w:rPr>
                <w:rFonts w:hint="eastAsia" w:ascii="Times New Roman" w:hAnsi="Times New Roman"/>
                <w:color w:val="000000"/>
                <w:szCs w:val="21"/>
              </w:rPr>
              <w:t>10</w:t>
            </w:r>
          </w:p>
        </w:tc>
        <w:tc>
          <w:tcPr>
            <w:tcW w:w="1033" w:type="dxa"/>
            <w:vAlign w:val="center"/>
          </w:tcPr>
          <w:p w14:paraId="236FD959">
            <w:pPr>
              <w:jc w:val="center"/>
              <w:textAlignment w:val="center"/>
              <w:rPr>
                <w:rFonts w:ascii="Times New Roman" w:hAnsi="Times New Roman"/>
                <w:color w:val="000000"/>
                <w:szCs w:val="21"/>
              </w:rPr>
            </w:pPr>
            <w:r>
              <w:rPr>
                <w:rFonts w:hint="eastAsia" w:ascii="Times New Roman" w:hAnsi="Times New Roman"/>
                <w:color w:val="000000"/>
                <w:szCs w:val="21"/>
              </w:rPr>
              <w:t>[14]</w:t>
            </w:r>
          </w:p>
        </w:tc>
        <w:tc>
          <w:tcPr>
            <w:tcW w:w="989" w:type="dxa"/>
            <w:vAlign w:val="center"/>
          </w:tcPr>
          <w:p w14:paraId="3946E54B">
            <w:pPr>
              <w:jc w:val="center"/>
              <w:rPr>
                <w:rFonts w:ascii="Times New Roman" w:hAnsi="Times New Roman"/>
                <w:color w:val="000000"/>
                <w:szCs w:val="21"/>
              </w:rPr>
            </w:pPr>
            <w:r>
              <w:rPr>
                <w:rFonts w:hint="eastAsia" w:ascii="Times New Roman" w:hAnsi="Times New Roman"/>
                <w:color w:val="000000"/>
                <w:szCs w:val="21"/>
              </w:rPr>
              <w:t>约束性</w:t>
            </w:r>
          </w:p>
        </w:tc>
      </w:tr>
      <w:tr w14:paraId="527E3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2" w:hRule="atLeast"/>
          <w:jc w:val="center"/>
        </w:trPr>
        <w:tc>
          <w:tcPr>
            <w:tcW w:w="428" w:type="dxa"/>
            <w:vAlign w:val="center"/>
          </w:tcPr>
          <w:p w14:paraId="5310A3F4">
            <w:pPr>
              <w:jc w:val="center"/>
              <w:textAlignment w:val="center"/>
              <w:rPr>
                <w:rFonts w:ascii="Times New Roman" w:hAnsi="Times New Roman"/>
                <w:color w:val="000000"/>
                <w:szCs w:val="21"/>
              </w:rPr>
            </w:pPr>
            <w:r>
              <w:rPr>
                <w:rFonts w:hint="eastAsia" w:ascii="Times New Roman" w:hAnsi="Times New Roman"/>
                <w:color w:val="000000"/>
                <w:szCs w:val="21"/>
              </w:rPr>
              <w:t>5</w:t>
            </w:r>
          </w:p>
        </w:tc>
        <w:tc>
          <w:tcPr>
            <w:vMerge w:val="continue"/>
          </w:tcPr>
          <w:p w14:paraId="4FD658A8"/>
        </w:tc>
        <w:tc>
          <w:tcPr>
            <w:tcW w:w="4216" w:type="dxa"/>
            <w:vAlign w:val="center"/>
          </w:tcPr>
          <w:p w14:paraId="2862AAB0">
            <w:pPr>
              <w:textAlignment w:val="center"/>
              <w:rPr>
                <w:rFonts w:ascii="Times New Roman" w:hAnsi="Times New Roman"/>
                <w:color w:val="000000"/>
                <w:szCs w:val="21"/>
              </w:rPr>
            </w:pPr>
            <w:r>
              <w:rPr>
                <w:rFonts w:ascii="Times New Roman" w:hAnsi="Times New Roman"/>
                <w:color w:val="000000"/>
                <w:szCs w:val="21"/>
              </w:rPr>
              <w:t>少数民族文化精品工程（项）</w:t>
            </w:r>
          </w:p>
        </w:tc>
        <w:tc>
          <w:tcPr>
            <w:tcW w:w="867" w:type="dxa"/>
            <w:vAlign w:val="center"/>
          </w:tcPr>
          <w:p w14:paraId="44DE95D5">
            <w:pPr>
              <w:jc w:val="center"/>
              <w:rPr>
                <w:rFonts w:ascii="Times New Roman" w:hAnsi="Times New Roman"/>
                <w:color w:val="000000"/>
                <w:szCs w:val="21"/>
              </w:rPr>
            </w:pPr>
            <w:r>
              <w:rPr>
                <w:rFonts w:hint="eastAsia" w:ascii="Times New Roman" w:hAnsi="Times New Roman"/>
                <w:color w:val="000000"/>
                <w:szCs w:val="21"/>
              </w:rPr>
              <w:t>—</w:t>
            </w:r>
          </w:p>
        </w:tc>
        <w:tc>
          <w:tcPr>
            <w:tcW w:w="917" w:type="dxa"/>
            <w:vAlign w:val="center"/>
          </w:tcPr>
          <w:p w14:paraId="7171E5D2">
            <w:pPr>
              <w:jc w:val="center"/>
              <w:rPr>
                <w:rFonts w:ascii="Times New Roman" w:hAnsi="Times New Roman"/>
                <w:color w:val="000000"/>
                <w:szCs w:val="21"/>
              </w:rPr>
            </w:pPr>
            <w:r>
              <w:rPr>
                <w:rFonts w:hint="eastAsia" w:ascii="Times New Roman" w:hAnsi="Times New Roman"/>
                <w:color w:val="000000"/>
                <w:szCs w:val="21"/>
              </w:rPr>
              <w:t>2</w:t>
            </w:r>
          </w:p>
        </w:tc>
        <w:tc>
          <w:tcPr>
            <w:tcW w:w="1033" w:type="dxa"/>
            <w:vAlign w:val="center"/>
          </w:tcPr>
          <w:p w14:paraId="473435D6">
            <w:pPr>
              <w:jc w:val="center"/>
              <w:textAlignment w:val="center"/>
              <w:rPr>
                <w:rFonts w:ascii="Times New Roman" w:hAnsi="Times New Roman"/>
                <w:color w:val="000000"/>
                <w:szCs w:val="21"/>
              </w:rPr>
            </w:pPr>
            <w:r>
              <w:rPr>
                <w:rFonts w:hint="eastAsia" w:ascii="Times New Roman" w:hAnsi="Times New Roman"/>
                <w:color w:val="000000"/>
                <w:szCs w:val="21"/>
              </w:rPr>
              <w:t>[ 2 ]</w:t>
            </w:r>
          </w:p>
        </w:tc>
        <w:tc>
          <w:tcPr>
            <w:tcW w:w="989" w:type="dxa"/>
            <w:vAlign w:val="center"/>
          </w:tcPr>
          <w:p w14:paraId="339DDF5C">
            <w:pPr>
              <w:jc w:val="center"/>
              <w:rPr>
                <w:rFonts w:ascii="Times New Roman" w:hAnsi="Times New Roman"/>
                <w:color w:val="000000"/>
                <w:szCs w:val="21"/>
              </w:rPr>
            </w:pPr>
            <w:r>
              <w:rPr>
                <w:rFonts w:hint="eastAsia" w:ascii="Times New Roman" w:hAnsi="Times New Roman"/>
                <w:color w:val="000000"/>
                <w:szCs w:val="21"/>
              </w:rPr>
              <w:t>约束性</w:t>
            </w:r>
          </w:p>
        </w:tc>
      </w:tr>
      <w:tr w14:paraId="6FCB8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8" w:hRule="atLeast"/>
          <w:jc w:val="center"/>
        </w:trPr>
        <w:tc>
          <w:tcPr>
            <w:tcW w:w="428" w:type="dxa"/>
            <w:vAlign w:val="center"/>
          </w:tcPr>
          <w:p w14:paraId="60B34726">
            <w:pPr>
              <w:jc w:val="center"/>
              <w:textAlignment w:val="center"/>
              <w:rPr>
                <w:rFonts w:ascii="Times New Roman" w:hAnsi="Times New Roman"/>
                <w:color w:val="000000"/>
                <w:szCs w:val="21"/>
              </w:rPr>
            </w:pPr>
            <w:r>
              <w:rPr>
                <w:rFonts w:hint="eastAsia" w:ascii="Times New Roman" w:hAnsi="Times New Roman"/>
                <w:color w:val="000000"/>
                <w:szCs w:val="21"/>
              </w:rPr>
              <w:t>6</w:t>
            </w:r>
          </w:p>
        </w:tc>
        <w:tc>
          <w:tcPr>
            <w:vMerge w:val="continue"/>
          </w:tcPr>
          <w:p w14:paraId="1A182E18"/>
        </w:tc>
        <w:tc>
          <w:tcPr>
            <w:tcW w:w="4216" w:type="dxa"/>
            <w:vAlign w:val="center"/>
          </w:tcPr>
          <w:p w14:paraId="103120FA">
            <w:pPr>
              <w:textAlignment w:val="center"/>
              <w:rPr>
                <w:rFonts w:ascii="Times New Roman" w:hAnsi="Times New Roman"/>
                <w:color w:val="000000"/>
                <w:szCs w:val="21"/>
              </w:rPr>
            </w:pPr>
            <w:r>
              <w:rPr>
                <w:rFonts w:ascii="Times New Roman" w:hAnsi="Times New Roman"/>
                <w:color w:val="000000"/>
                <w:szCs w:val="21"/>
              </w:rPr>
              <w:t>国家通用语言文字普及率（%）</w:t>
            </w:r>
          </w:p>
        </w:tc>
        <w:tc>
          <w:tcPr>
            <w:tcW w:w="867" w:type="dxa"/>
            <w:vAlign w:val="center"/>
          </w:tcPr>
          <w:p w14:paraId="3670FCEA">
            <w:pPr>
              <w:jc w:val="center"/>
              <w:textAlignment w:val="center"/>
              <w:rPr>
                <w:rFonts w:ascii="Times New Roman" w:hAnsi="Times New Roman"/>
                <w:color w:val="000000"/>
                <w:szCs w:val="21"/>
              </w:rPr>
            </w:pPr>
            <w:r>
              <w:rPr>
                <w:rFonts w:hint="eastAsia" w:ascii="Times New Roman" w:hAnsi="Times New Roman"/>
                <w:color w:val="000000"/>
                <w:szCs w:val="21"/>
              </w:rPr>
              <w:t>94.9</w:t>
            </w:r>
          </w:p>
        </w:tc>
        <w:tc>
          <w:tcPr>
            <w:tcW w:w="917" w:type="dxa"/>
            <w:vAlign w:val="center"/>
          </w:tcPr>
          <w:p w14:paraId="48CAAF8F">
            <w:pPr>
              <w:jc w:val="center"/>
              <w:textAlignment w:val="center"/>
              <w:rPr>
                <w:rFonts w:ascii="Times New Roman" w:hAnsi="Times New Roman"/>
                <w:color w:val="000000"/>
                <w:szCs w:val="21"/>
              </w:rPr>
            </w:pPr>
            <w:r>
              <w:rPr>
                <w:rFonts w:hint="eastAsia" w:ascii="Times New Roman" w:hAnsi="Times New Roman"/>
                <w:color w:val="000000"/>
                <w:szCs w:val="21"/>
              </w:rPr>
              <w:t>99.9</w:t>
            </w:r>
          </w:p>
        </w:tc>
        <w:tc>
          <w:tcPr>
            <w:tcW w:w="1033" w:type="dxa"/>
            <w:vAlign w:val="center"/>
          </w:tcPr>
          <w:p w14:paraId="1C64BE2A">
            <w:pPr>
              <w:jc w:val="center"/>
              <w:textAlignment w:val="center"/>
              <w:rPr>
                <w:rFonts w:ascii="Times New Roman" w:hAnsi="Times New Roman"/>
                <w:color w:val="000000"/>
                <w:szCs w:val="21"/>
              </w:rPr>
            </w:pPr>
            <w:r>
              <w:rPr>
                <w:rFonts w:hint="eastAsia" w:ascii="Times New Roman" w:hAnsi="Times New Roman"/>
                <w:color w:val="000000"/>
                <w:szCs w:val="21"/>
              </w:rPr>
              <w:t xml:space="preserve">1 </w:t>
            </w:r>
          </w:p>
        </w:tc>
        <w:tc>
          <w:tcPr>
            <w:tcW w:w="989" w:type="dxa"/>
            <w:vAlign w:val="center"/>
          </w:tcPr>
          <w:p w14:paraId="49B6B6F1">
            <w:pPr>
              <w:jc w:val="center"/>
              <w:textAlignment w:val="center"/>
              <w:rPr>
                <w:rFonts w:ascii="Times New Roman" w:hAnsi="Times New Roman"/>
                <w:color w:val="000000"/>
                <w:szCs w:val="21"/>
              </w:rPr>
            </w:pPr>
            <w:r>
              <w:rPr>
                <w:rFonts w:hint="eastAsia" w:ascii="Times New Roman" w:hAnsi="Times New Roman"/>
                <w:color w:val="000000"/>
                <w:szCs w:val="21"/>
              </w:rPr>
              <w:t>预期性</w:t>
            </w:r>
          </w:p>
        </w:tc>
      </w:tr>
      <w:tr w14:paraId="2730F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428" w:type="dxa"/>
            <w:vAlign w:val="center"/>
          </w:tcPr>
          <w:p w14:paraId="6E73AC7F">
            <w:pPr>
              <w:jc w:val="center"/>
              <w:textAlignment w:val="center"/>
              <w:rPr>
                <w:rFonts w:ascii="Times New Roman" w:hAnsi="Times New Roman"/>
                <w:color w:val="000000"/>
                <w:szCs w:val="21"/>
              </w:rPr>
            </w:pPr>
            <w:r>
              <w:rPr>
                <w:rFonts w:hint="eastAsia" w:ascii="Times New Roman" w:hAnsi="Times New Roman"/>
                <w:color w:val="000000"/>
                <w:szCs w:val="21"/>
              </w:rPr>
              <w:t>7</w:t>
            </w:r>
          </w:p>
        </w:tc>
        <w:tc>
          <w:tcPr>
            <w:tcW w:w="1015" w:type="dxa"/>
            <w:vMerge w:val="restart"/>
            <w:vAlign w:val="center"/>
          </w:tcPr>
          <w:p w14:paraId="7E9D4DD3">
            <w:pPr>
              <w:jc w:val="center"/>
              <w:textAlignment w:val="center"/>
              <w:rPr>
                <w:rFonts w:ascii="Times New Roman" w:hAnsi="Times New Roman"/>
                <w:color w:val="000000"/>
                <w:szCs w:val="21"/>
              </w:rPr>
            </w:pPr>
            <w:r>
              <w:rPr>
                <w:rFonts w:hint="eastAsia" w:ascii="Times New Roman" w:hAnsi="Times New Roman"/>
                <w:color w:val="000000"/>
                <w:szCs w:val="21"/>
              </w:rPr>
              <w:t>在夯实中华民族共同体物质基础上作出表率</w:t>
            </w:r>
          </w:p>
        </w:tc>
        <w:tc>
          <w:tcPr>
            <w:tcW w:w="4216" w:type="dxa"/>
            <w:vAlign w:val="center"/>
          </w:tcPr>
          <w:p w14:paraId="1D42BA27">
            <w:pPr>
              <w:textAlignment w:val="center"/>
              <w:rPr>
                <w:rFonts w:ascii="Times New Roman" w:hAnsi="Times New Roman"/>
                <w:color w:val="000000"/>
                <w:szCs w:val="21"/>
              </w:rPr>
            </w:pPr>
            <w:r>
              <w:rPr>
                <w:rFonts w:hint="eastAsia" w:ascii="Times New Roman" w:hAnsi="Times New Roman"/>
                <w:color w:val="000000"/>
                <w:szCs w:val="21"/>
              </w:rPr>
              <w:t>地区生产总值（亿元）</w:t>
            </w:r>
          </w:p>
        </w:tc>
        <w:tc>
          <w:tcPr>
            <w:tcW w:w="867" w:type="dxa"/>
            <w:vAlign w:val="center"/>
          </w:tcPr>
          <w:p w14:paraId="6313A6DA">
            <w:pPr>
              <w:jc w:val="center"/>
              <w:textAlignment w:val="center"/>
              <w:rPr>
                <w:rFonts w:ascii="Times New Roman" w:hAnsi="Times New Roman"/>
                <w:color w:val="000000"/>
                <w:szCs w:val="21"/>
              </w:rPr>
            </w:pPr>
            <w:r>
              <w:rPr>
                <w:rFonts w:hint="eastAsia" w:ascii="Times New Roman" w:hAnsi="Times New Roman"/>
                <w:color w:val="000000"/>
                <w:szCs w:val="21"/>
              </w:rPr>
              <w:t>117.07</w:t>
            </w:r>
          </w:p>
        </w:tc>
        <w:tc>
          <w:tcPr>
            <w:tcW w:w="917" w:type="dxa"/>
            <w:vAlign w:val="center"/>
          </w:tcPr>
          <w:p w14:paraId="508885C6">
            <w:pPr>
              <w:jc w:val="center"/>
              <w:textAlignment w:val="center"/>
              <w:rPr>
                <w:rFonts w:ascii="Times New Roman" w:hAnsi="Times New Roman"/>
                <w:color w:val="000000"/>
                <w:szCs w:val="21"/>
              </w:rPr>
            </w:pPr>
            <w:r>
              <w:rPr>
                <w:rFonts w:hint="eastAsia" w:ascii="Times New Roman" w:hAnsi="Times New Roman"/>
                <w:color w:val="000000"/>
                <w:szCs w:val="21"/>
              </w:rPr>
              <w:t>200</w:t>
            </w:r>
          </w:p>
        </w:tc>
        <w:tc>
          <w:tcPr>
            <w:tcW w:w="1033" w:type="dxa"/>
            <w:vAlign w:val="center"/>
          </w:tcPr>
          <w:p w14:paraId="6BE8C5D6">
            <w:pPr>
              <w:jc w:val="center"/>
              <w:textAlignment w:val="center"/>
              <w:rPr>
                <w:rFonts w:ascii="Times New Roman" w:hAnsi="Times New Roman"/>
                <w:color w:val="000000"/>
                <w:szCs w:val="21"/>
              </w:rPr>
            </w:pPr>
            <w:r>
              <w:rPr>
                <w:rFonts w:hint="eastAsia" w:ascii="Times New Roman" w:hAnsi="Times New Roman"/>
                <w:color w:val="000000"/>
                <w:szCs w:val="21"/>
              </w:rPr>
              <w:t>7</w:t>
            </w:r>
          </w:p>
        </w:tc>
        <w:tc>
          <w:tcPr>
            <w:tcW w:w="989" w:type="dxa"/>
            <w:vAlign w:val="center"/>
          </w:tcPr>
          <w:p w14:paraId="5388359D">
            <w:pPr>
              <w:jc w:val="center"/>
              <w:textAlignment w:val="center"/>
              <w:rPr>
                <w:rFonts w:ascii="Times New Roman" w:hAnsi="Times New Roman"/>
                <w:color w:val="000000"/>
                <w:szCs w:val="21"/>
              </w:rPr>
            </w:pPr>
            <w:r>
              <w:rPr>
                <w:rFonts w:hint="eastAsia" w:ascii="Times New Roman" w:hAnsi="Times New Roman"/>
                <w:color w:val="000000"/>
                <w:szCs w:val="21"/>
              </w:rPr>
              <w:t>预期性</w:t>
            </w:r>
          </w:p>
        </w:tc>
      </w:tr>
      <w:tr w14:paraId="4EEB8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5" w:hRule="atLeast"/>
          <w:jc w:val="center"/>
        </w:trPr>
        <w:tc>
          <w:tcPr>
            <w:tcW w:w="428" w:type="dxa"/>
            <w:vAlign w:val="center"/>
          </w:tcPr>
          <w:p w14:paraId="5E6A1DF2">
            <w:pPr>
              <w:jc w:val="center"/>
              <w:textAlignment w:val="center"/>
              <w:rPr>
                <w:rFonts w:ascii="Times New Roman" w:hAnsi="Times New Roman"/>
                <w:color w:val="000000"/>
                <w:szCs w:val="21"/>
              </w:rPr>
            </w:pPr>
            <w:r>
              <w:rPr>
                <w:rFonts w:hint="eastAsia" w:ascii="Times New Roman" w:hAnsi="Times New Roman"/>
                <w:color w:val="000000"/>
                <w:szCs w:val="21"/>
              </w:rPr>
              <w:t>8</w:t>
            </w:r>
          </w:p>
        </w:tc>
        <w:tc>
          <w:tcPr>
            <w:vMerge w:val="continue"/>
          </w:tcPr>
          <w:p w14:paraId="1422B7BC"/>
        </w:tc>
        <w:tc>
          <w:tcPr>
            <w:tcW w:w="4216" w:type="dxa"/>
            <w:vAlign w:val="center"/>
          </w:tcPr>
          <w:p w14:paraId="0639A6CC">
            <w:pPr>
              <w:textAlignment w:val="center"/>
              <w:rPr>
                <w:rFonts w:ascii="Times New Roman" w:hAnsi="Times New Roman"/>
                <w:color w:val="000000"/>
                <w:szCs w:val="21"/>
              </w:rPr>
            </w:pPr>
            <w:r>
              <w:rPr>
                <w:rFonts w:hint="eastAsia" w:ascii="Times New Roman" w:hAnsi="Times New Roman"/>
                <w:color w:val="000000"/>
                <w:szCs w:val="21"/>
              </w:rPr>
              <w:t>人均地区生产总值（万美元）</w:t>
            </w:r>
          </w:p>
        </w:tc>
        <w:tc>
          <w:tcPr>
            <w:tcW w:w="867" w:type="dxa"/>
            <w:vAlign w:val="center"/>
          </w:tcPr>
          <w:p w14:paraId="44AA0BFC">
            <w:pPr>
              <w:jc w:val="center"/>
              <w:textAlignment w:val="center"/>
              <w:rPr>
                <w:rFonts w:ascii="Times New Roman" w:hAnsi="Times New Roman"/>
                <w:color w:val="000000"/>
                <w:szCs w:val="21"/>
              </w:rPr>
            </w:pPr>
            <w:r>
              <w:rPr>
                <w:rFonts w:hint="eastAsia" w:ascii="Times New Roman" w:hAnsi="Times New Roman"/>
                <w:color w:val="000000"/>
                <w:szCs w:val="21"/>
              </w:rPr>
              <w:t>0.75</w:t>
            </w:r>
          </w:p>
        </w:tc>
        <w:tc>
          <w:tcPr>
            <w:tcW w:w="917" w:type="dxa"/>
            <w:vAlign w:val="center"/>
          </w:tcPr>
          <w:p w14:paraId="74F8BFE1">
            <w:pPr>
              <w:jc w:val="center"/>
              <w:textAlignment w:val="center"/>
              <w:rPr>
                <w:rFonts w:ascii="Times New Roman" w:hAnsi="Times New Roman"/>
                <w:color w:val="000000"/>
                <w:szCs w:val="21"/>
              </w:rPr>
            </w:pPr>
            <w:r>
              <w:rPr>
                <w:rFonts w:hint="eastAsia" w:ascii="Times New Roman" w:hAnsi="Times New Roman"/>
                <w:color w:val="000000"/>
                <w:szCs w:val="21"/>
              </w:rPr>
              <w:t>1.2</w:t>
            </w:r>
          </w:p>
        </w:tc>
        <w:tc>
          <w:tcPr>
            <w:tcW w:w="1033" w:type="dxa"/>
            <w:vAlign w:val="center"/>
          </w:tcPr>
          <w:p w14:paraId="2807F0AC">
            <w:pPr>
              <w:jc w:val="center"/>
              <w:textAlignment w:val="center"/>
              <w:rPr>
                <w:rFonts w:ascii="Times New Roman" w:hAnsi="Times New Roman"/>
                <w:color w:val="000000"/>
                <w:szCs w:val="21"/>
              </w:rPr>
            </w:pPr>
            <w:r>
              <w:rPr>
                <w:rFonts w:hint="eastAsia" w:ascii="Times New Roman" w:hAnsi="Times New Roman"/>
                <w:color w:val="000000"/>
                <w:szCs w:val="21"/>
              </w:rPr>
              <w:t>9.9</w:t>
            </w:r>
          </w:p>
        </w:tc>
        <w:tc>
          <w:tcPr>
            <w:tcW w:w="989" w:type="dxa"/>
            <w:vAlign w:val="center"/>
          </w:tcPr>
          <w:p w14:paraId="27E10481">
            <w:pPr>
              <w:jc w:val="center"/>
              <w:textAlignment w:val="center"/>
              <w:rPr>
                <w:rFonts w:ascii="Times New Roman" w:hAnsi="Times New Roman"/>
                <w:color w:val="000000"/>
                <w:szCs w:val="21"/>
              </w:rPr>
            </w:pPr>
            <w:r>
              <w:rPr>
                <w:rFonts w:hint="eastAsia" w:ascii="Times New Roman" w:hAnsi="Times New Roman"/>
                <w:color w:val="000000"/>
                <w:szCs w:val="21"/>
              </w:rPr>
              <w:t>预期性</w:t>
            </w:r>
          </w:p>
        </w:tc>
      </w:tr>
      <w:tr w14:paraId="228EB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5" w:hRule="atLeast"/>
          <w:jc w:val="center"/>
        </w:trPr>
        <w:tc>
          <w:tcPr>
            <w:tcW w:w="428" w:type="dxa"/>
            <w:vAlign w:val="center"/>
          </w:tcPr>
          <w:p w14:paraId="30DA3653">
            <w:pPr>
              <w:jc w:val="center"/>
              <w:textAlignment w:val="center"/>
              <w:rPr>
                <w:rFonts w:ascii="Times New Roman" w:hAnsi="Times New Roman"/>
                <w:color w:val="000000"/>
                <w:szCs w:val="21"/>
              </w:rPr>
            </w:pPr>
            <w:r>
              <w:rPr>
                <w:rFonts w:hint="eastAsia" w:ascii="Times New Roman" w:hAnsi="Times New Roman"/>
                <w:color w:val="000000"/>
                <w:szCs w:val="21"/>
              </w:rPr>
              <w:t>9</w:t>
            </w:r>
          </w:p>
        </w:tc>
        <w:tc>
          <w:tcPr>
            <w:vMerge w:val="continue"/>
          </w:tcPr>
          <w:p w14:paraId="13134D4A"/>
        </w:tc>
        <w:tc>
          <w:tcPr>
            <w:tcW w:w="4216" w:type="dxa"/>
            <w:vAlign w:val="center"/>
          </w:tcPr>
          <w:p w14:paraId="6E3DCFE9">
            <w:pPr>
              <w:textAlignment w:val="center"/>
              <w:rPr>
                <w:rFonts w:ascii="Times New Roman" w:hAnsi="Times New Roman"/>
                <w:color w:val="000000"/>
                <w:szCs w:val="21"/>
              </w:rPr>
            </w:pPr>
            <w:r>
              <w:rPr>
                <w:rFonts w:hint="eastAsia" w:ascii="Times New Roman" w:hAnsi="Times New Roman"/>
                <w:color w:val="000000"/>
                <w:szCs w:val="21"/>
              </w:rPr>
              <w:t>常住人口城镇化率（%）</w:t>
            </w:r>
          </w:p>
        </w:tc>
        <w:tc>
          <w:tcPr>
            <w:tcW w:w="867" w:type="dxa"/>
            <w:vAlign w:val="center"/>
          </w:tcPr>
          <w:p w14:paraId="04C9ECA8">
            <w:pPr>
              <w:jc w:val="center"/>
              <w:textAlignment w:val="center"/>
              <w:rPr>
                <w:rFonts w:ascii="Times New Roman" w:hAnsi="Times New Roman"/>
                <w:color w:val="000000"/>
                <w:szCs w:val="21"/>
              </w:rPr>
            </w:pPr>
            <w:r>
              <w:rPr>
                <w:rFonts w:hint="eastAsia" w:ascii="Times New Roman" w:hAnsi="Times New Roman"/>
                <w:color w:val="000000"/>
                <w:szCs w:val="21"/>
              </w:rPr>
              <w:t>45.1</w:t>
            </w:r>
          </w:p>
        </w:tc>
        <w:tc>
          <w:tcPr>
            <w:tcW w:w="917" w:type="dxa"/>
            <w:vAlign w:val="center"/>
          </w:tcPr>
          <w:p w14:paraId="5420B407">
            <w:pPr>
              <w:jc w:val="center"/>
              <w:textAlignment w:val="center"/>
              <w:rPr>
                <w:rFonts w:ascii="Times New Roman" w:hAnsi="Times New Roman"/>
                <w:color w:val="000000"/>
                <w:szCs w:val="21"/>
              </w:rPr>
            </w:pPr>
            <w:r>
              <w:rPr>
                <w:rFonts w:hint="eastAsia" w:ascii="Times New Roman" w:hAnsi="Times New Roman"/>
                <w:color w:val="000000"/>
                <w:szCs w:val="21"/>
              </w:rPr>
              <w:t>55</w:t>
            </w:r>
          </w:p>
        </w:tc>
        <w:tc>
          <w:tcPr>
            <w:tcW w:w="1033" w:type="dxa"/>
            <w:vAlign w:val="center"/>
          </w:tcPr>
          <w:p w14:paraId="01F44E39">
            <w:pPr>
              <w:jc w:val="center"/>
              <w:textAlignment w:val="center"/>
              <w:rPr>
                <w:rFonts w:ascii="Times New Roman" w:hAnsi="Times New Roman"/>
                <w:color w:val="000000"/>
                <w:szCs w:val="21"/>
              </w:rPr>
            </w:pPr>
            <w:r>
              <w:rPr>
                <w:rFonts w:hint="eastAsia" w:ascii="Times New Roman" w:hAnsi="Times New Roman"/>
                <w:color w:val="000000"/>
                <w:szCs w:val="21"/>
              </w:rPr>
              <w:t>2</w:t>
            </w:r>
          </w:p>
        </w:tc>
        <w:tc>
          <w:tcPr>
            <w:tcW w:w="989" w:type="dxa"/>
            <w:vAlign w:val="center"/>
          </w:tcPr>
          <w:p w14:paraId="593DCF39">
            <w:pPr>
              <w:jc w:val="center"/>
              <w:textAlignment w:val="center"/>
              <w:rPr>
                <w:rFonts w:ascii="Times New Roman" w:hAnsi="Times New Roman"/>
                <w:color w:val="000000"/>
                <w:szCs w:val="21"/>
              </w:rPr>
            </w:pPr>
            <w:r>
              <w:rPr>
                <w:rFonts w:hint="eastAsia" w:ascii="Times New Roman" w:hAnsi="Times New Roman"/>
                <w:color w:val="000000"/>
                <w:szCs w:val="21"/>
              </w:rPr>
              <w:t>预期性</w:t>
            </w:r>
          </w:p>
        </w:tc>
      </w:tr>
      <w:tr w14:paraId="7462D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0" w:hRule="atLeast"/>
          <w:jc w:val="center"/>
        </w:trPr>
        <w:tc>
          <w:tcPr>
            <w:tcW w:w="428" w:type="dxa"/>
            <w:vAlign w:val="center"/>
          </w:tcPr>
          <w:p w14:paraId="392E4007">
            <w:pPr>
              <w:jc w:val="center"/>
              <w:textAlignment w:val="center"/>
              <w:rPr>
                <w:rFonts w:ascii="Times New Roman" w:hAnsi="Times New Roman"/>
                <w:color w:val="000000"/>
                <w:szCs w:val="21"/>
              </w:rPr>
            </w:pPr>
            <w:r>
              <w:rPr>
                <w:rFonts w:hint="eastAsia" w:ascii="Times New Roman" w:hAnsi="Times New Roman"/>
                <w:color w:val="000000"/>
                <w:szCs w:val="21"/>
              </w:rPr>
              <w:t>10</w:t>
            </w:r>
          </w:p>
        </w:tc>
        <w:tc>
          <w:tcPr>
            <w:vMerge w:val="continue"/>
          </w:tcPr>
          <w:p w14:paraId="1CFFB083"/>
        </w:tc>
        <w:tc>
          <w:tcPr>
            <w:tcW w:w="4216" w:type="dxa"/>
            <w:vAlign w:val="center"/>
          </w:tcPr>
          <w:p w14:paraId="573CDE5C">
            <w:pPr>
              <w:jc w:val="left"/>
              <w:textAlignment w:val="center"/>
              <w:rPr>
                <w:rFonts w:ascii="Times New Roman" w:hAnsi="Times New Roman"/>
                <w:color w:val="000000"/>
                <w:szCs w:val="21"/>
              </w:rPr>
            </w:pPr>
            <w:r>
              <w:rPr>
                <w:rFonts w:hint="eastAsia" w:ascii="Times New Roman" w:hAnsi="Times New Roman"/>
                <w:color w:val="000000"/>
                <w:szCs w:val="21"/>
              </w:rPr>
              <w:t>城镇居民人均可支配收入增速（%）</w:t>
            </w:r>
          </w:p>
        </w:tc>
        <w:tc>
          <w:tcPr>
            <w:tcW w:w="867" w:type="dxa"/>
            <w:vAlign w:val="center"/>
          </w:tcPr>
          <w:p w14:paraId="7BE0B921">
            <w:pPr>
              <w:jc w:val="center"/>
              <w:textAlignment w:val="center"/>
              <w:rPr>
                <w:rFonts w:ascii="Times New Roman" w:hAnsi="Times New Roman"/>
                <w:color w:val="000000"/>
                <w:szCs w:val="21"/>
              </w:rPr>
            </w:pPr>
            <w:r>
              <w:rPr>
                <w:rFonts w:hint="eastAsia" w:ascii="Times New Roman" w:hAnsi="Times New Roman"/>
                <w:color w:val="000000"/>
                <w:szCs w:val="21"/>
              </w:rPr>
              <w:t>45213</w:t>
            </w:r>
          </w:p>
        </w:tc>
        <w:tc>
          <w:tcPr>
            <w:tcW w:w="917" w:type="dxa"/>
            <w:vAlign w:val="center"/>
          </w:tcPr>
          <w:p w14:paraId="379CB4C3">
            <w:pPr>
              <w:jc w:val="center"/>
              <w:textAlignment w:val="center"/>
              <w:rPr>
                <w:rFonts w:ascii="Times New Roman" w:hAnsi="Times New Roman"/>
                <w:color w:val="000000"/>
                <w:szCs w:val="21"/>
              </w:rPr>
            </w:pPr>
            <w:r>
              <w:rPr>
                <w:rFonts w:hint="eastAsia" w:ascii="Times New Roman" w:hAnsi="Times New Roman"/>
                <w:color w:val="000000"/>
                <w:szCs w:val="21"/>
              </w:rPr>
              <w:t>63420</w:t>
            </w:r>
          </w:p>
        </w:tc>
        <w:tc>
          <w:tcPr>
            <w:tcW w:w="1033" w:type="dxa"/>
            <w:vAlign w:val="center"/>
          </w:tcPr>
          <w:p w14:paraId="73554864">
            <w:pPr>
              <w:jc w:val="center"/>
              <w:textAlignment w:val="center"/>
              <w:rPr>
                <w:rFonts w:ascii="Times New Roman" w:hAnsi="Times New Roman"/>
                <w:color w:val="000000"/>
                <w:szCs w:val="21"/>
              </w:rPr>
            </w:pPr>
            <w:r>
              <w:rPr>
                <w:rFonts w:hint="eastAsia" w:ascii="Times New Roman" w:hAnsi="Times New Roman"/>
                <w:color w:val="000000"/>
                <w:szCs w:val="21"/>
              </w:rPr>
              <w:t>7</w:t>
            </w:r>
          </w:p>
        </w:tc>
        <w:tc>
          <w:tcPr>
            <w:tcW w:w="989" w:type="dxa"/>
            <w:vAlign w:val="center"/>
          </w:tcPr>
          <w:p w14:paraId="6440C805">
            <w:pPr>
              <w:jc w:val="center"/>
              <w:textAlignment w:val="center"/>
              <w:rPr>
                <w:rFonts w:ascii="Times New Roman" w:hAnsi="Times New Roman"/>
                <w:color w:val="000000"/>
                <w:szCs w:val="21"/>
              </w:rPr>
            </w:pPr>
            <w:r>
              <w:rPr>
                <w:rFonts w:hint="eastAsia" w:ascii="Times New Roman" w:hAnsi="Times New Roman"/>
                <w:color w:val="000000"/>
                <w:szCs w:val="21"/>
              </w:rPr>
              <w:t>预期性</w:t>
            </w:r>
          </w:p>
        </w:tc>
      </w:tr>
      <w:tr w14:paraId="00F14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0" w:hRule="atLeast"/>
          <w:jc w:val="center"/>
        </w:trPr>
        <w:tc>
          <w:tcPr>
            <w:tcW w:w="428" w:type="dxa"/>
            <w:vAlign w:val="center"/>
          </w:tcPr>
          <w:p w14:paraId="4312088C">
            <w:pPr>
              <w:jc w:val="center"/>
              <w:textAlignment w:val="center"/>
              <w:rPr>
                <w:rFonts w:ascii="Times New Roman" w:hAnsi="Times New Roman"/>
                <w:color w:val="000000"/>
                <w:szCs w:val="21"/>
              </w:rPr>
            </w:pPr>
            <w:r>
              <w:rPr>
                <w:rFonts w:hint="eastAsia" w:ascii="Times New Roman" w:hAnsi="Times New Roman"/>
                <w:color w:val="000000"/>
                <w:szCs w:val="21"/>
              </w:rPr>
              <w:t>11</w:t>
            </w:r>
          </w:p>
        </w:tc>
        <w:tc>
          <w:tcPr>
            <w:vMerge w:val="continue"/>
          </w:tcPr>
          <w:p w14:paraId="2B5B2161"/>
        </w:tc>
        <w:tc>
          <w:tcPr>
            <w:tcW w:w="4216" w:type="dxa"/>
            <w:vAlign w:val="center"/>
          </w:tcPr>
          <w:p w14:paraId="79DCDBC0">
            <w:pPr>
              <w:jc w:val="left"/>
              <w:textAlignment w:val="center"/>
              <w:rPr>
                <w:rFonts w:ascii="Times New Roman" w:hAnsi="Times New Roman"/>
                <w:color w:val="000000"/>
                <w:szCs w:val="21"/>
              </w:rPr>
            </w:pPr>
            <w:r>
              <w:rPr>
                <w:rFonts w:hint="eastAsia" w:ascii="Times New Roman" w:hAnsi="Times New Roman"/>
                <w:color w:val="000000"/>
                <w:szCs w:val="21"/>
              </w:rPr>
              <w:t>农村常住居民人均可支配收入增速（%）</w:t>
            </w:r>
          </w:p>
        </w:tc>
        <w:tc>
          <w:tcPr>
            <w:tcW w:w="867" w:type="dxa"/>
            <w:vAlign w:val="center"/>
          </w:tcPr>
          <w:p w14:paraId="22940A14">
            <w:pPr>
              <w:jc w:val="center"/>
              <w:textAlignment w:val="center"/>
              <w:rPr>
                <w:rFonts w:ascii="Times New Roman" w:hAnsi="Times New Roman"/>
                <w:color w:val="000000"/>
                <w:szCs w:val="21"/>
              </w:rPr>
            </w:pPr>
            <w:r>
              <w:rPr>
                <w:rFonts w:hint="eastAsia" w:ascii="Times New Roman" w:hAnsi="Times New Roman"/>
                <w:color w:val="000000"/>
                <w:szCs w:val="21"/>
              </w:rPr>
              <w:t>17440</w:t>
            </w:r>
          </w:p>
        </w:tc>
        <w:tc>
          <w:tcPr>
            <w:tcW w:w="917" w:type="dxa"/>
            <w:vAlign w:val="center"/>
          </w:tcPr>
          <w:p w14:paraId="1A559419">
            <w:pPr>
              <w:jc w:val="center"/>
              <w:textAlignment w:val="center"/>
              <w:rPr>
                <w:rFonts w:ascii="Times New Roman" w:hAnsi="Times New Roman"/>
                <w:color w:val="000000"/>
                <w:szCs w:val="21"/>
              </w:rPr>
            </w:pPr>
            <w:r>
              <w:rPr>
                <w:rFonts w:hint="eastAsia" w:ascii="Times New Roman" w:hAnsi="Times New Roman"/>
                <w:color w:val="000000"/>
                <w:szCs w:val="21"/>
              </w:rPr>
              <w:t>25630</w:t>
            </w:r>
          </w:p>
        </w:tc>
        <w:tc>
          <w:tcPr>
            <w:tcW w:w="1033" w:type="dxa"/>
            <w:vAlign w:val="center"/>
          </w:tcPr>
          <w:p w14:paraId="462D0B94">
            <w:pPr>
              <w:jc w:val="center"/>
              <w:textAlignment w:val="center"/>
              <w:rPr>
                <w:rFonts w:ascii="Times New Roman" w:hAnsi="Times New Roman"/>
                <w:color w:val="000000"/>
                <w:szCs w:val="21"/>
              </w:rPr>
            </w:pPr>
            <w:r>
              <w:rPr>
                <w:rFonts w:hint="eastAsia" w:ascii="Times New Roman" w:hAnsi="Times New Roman"/>
                <w:color w:val="000000"/>
                <w:szCs w:val="21"/>
              </w:rPr>
              <w:t>8</w:t>
            </w:r>
          </w:p>
        </w:tc>
        <w:tc>
          <w:tcPr>
            <w:tcW w:w="989" w:type="dxa"/>
            <w:vAlign w:val="center"/>
          </w:tcPr>
          <w:p w14:paraId="5E659C5E">
            <w:pPr>
              <w:jc w:val="center"/>
              <w:textAlignment w:val="center"/>
              <w:rPr>
                <w:rFonts w:ascii="Times New Roman" w:hAnsi="Times New Roman"/>
                <w:color w:val="000000"/>
                <w:szCs w:val="21"/>
              </w:rPr>
            </w:pPr>
            <w:r>
              <w:rPr>
                <w:rFonts w:hint="eastAsia" w:ascii="Times New Roman" w:hAnsi="Times New Roman"/>
                <w:color w:val="000000"/>
                <w:szCs w:val="21"/>
              </w:rPr>
              <w:t>预期性</w:t>
            </w:r>
          </w:p>
        </w:tc>
      </w:tr>
      <w:tr w14:paraId="66022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0" w:hRule="atLeast"/>
          <w:jc w:val="center"/>
        </w:trPr>
        <w:tc>
          <w:tcPr>
            <w:tcW w:w="428" w:type="dxa"/>
            <w:vAlign w:val="center"/>
          </w:tcPr>
          <w:p w14:paraId="3EAC56C3">
            <w:pPr>
              <w:jc w:val="center"/>
              <w:textAlignment w:val="center"/>
              <w:rPr>
                <w:rFonts w:ascii="Times New Roman" w:hAnsi="Times New Roman"/>
                <w:color w:val="000000"/>
                <w:szCs w:val="21"/>
              </w:rPr>
            </w:pPr>
            <w:r>
              <w:rPr>
                <w:rFonts w:hint="eastAsia" w:ascii="Times New Roman" w:hAnsi="Times New Roman"/>
                <w:color w:val="000000"/>
                <w:szCs w:val="21"/>
              </w:rPr>
              <w:t>12</w:t>
            </w:r>
          </w:p>
        </w:tc>
        <w:tc>
          <w:tcPr>
            <w:vMerge w:val="continue"/>
          </w:tcPr>
          <w:p w14:paraId="55BB0EFC"/>
        </w:tc>
        <w:tc>
          <w:tcPr>
            <w:tcW w:w="4216" w:type="dxa"/>
            <w:vAlign w:val="center"/>
          </w:tcPr>
          <w:p w14:paraId="729A88AD">
            <w:pPr>
              <w:jc w:val="left"/>
              <w:textAlignment w:val="center"/>
              <w:rPr>
                <w:color w:val="000000"/>
              </w:rPr>
            </w:pPr>
            <w:r>
              <w:rPr>
                <w:rFonts w:hint="eastAsia"/>
                <w:color w:val="000000"/>
              </w:rPr>
              <w:t>新增城镇就业人数（万人）</w:t>
            </w:r>
          </w:p>
        </w:tc>
        <w:tc>
          <w:tcPr>
            <w:tcW w:w="867" w:type="dxa"/>
            <w:vAlign w:val="center"/>
          </w:tcPr>
          <w:p w14:paraId="6064FDBF">
            <w:pPr>
              <w:jc w:val="center"/>
              <w:textAlignment w:val="center"/>
              <w:rPr>
                <w:rFonts w:ascii="Times New Roman" w:hAnsi="Times New Roman"/>
                <w:color w:val="000000"/>
                <w:szCs w:val="21"/>
              </w:rPr>
            </w:pPr>
            <w:r>
              <w:rPr>
                <w:rFonts w:hint="eastAsia" w:ascii="Times New Roman" w:hAnsi="Times New Roman"/>
                <w:color w:val="000000"/>
                <w:szCs w:val="21"/>
              </w:rPr>
              <w:t>0.2038</w:t>
            </w:r>
          </w:p>
        </w:tc>
        <w:tc>
          <w:tcPr>
            <w:tcW w:w="917" w:type="dxa"/>
            <w:vAlign w:val="center"/>
          </w:tcPr>
          <w:p w14:paraId="510EDE6B">
            <w:pPr>
              <w:jc w:val="center"/>
              <w:textAlignment w:val="center"/>
              <w:rPr>
                <w:rFonts w:ascii="Times New Roman" w:hAnsi="Times New Roman"/>
                <w:color w:val="000000"/>
                <w:szCs w:val="21"/>
              </w:rPr>
            </w:pPr>
            <w:r>
              <w:rPr>
                <w:rFonts w:hint="eastAsia" w:ascii="Times New Roman" w:hAnsi="Times New Roman"/>
                <w:color w:val="000000"/>
                <w:szCs w:val="21"/>
              </w:rPr>
              <w:t>0.23</w:t>
            </w:r>
          </w:p>
        </w:tc>
        <w:tc>
          <w:tcPr>
            <w:tcW w:w="1033" w:type="dxa"/>
            <w:vAlign w:val="center"/>
          </w:tcPr>
          <w:p w14:paraId="74E4F2D0">
            <w:pPr>
              <w:jc w:val="center"/>
              <w:textAlignment w:val="center"/>
              <w:rPr>
                <w:rFonts w:ascii="Times New Roman" w:hAnsi="Times New Roman"/>
                <w:color w:val="000000"/>
                <w:szCs w:val="21"/>
              </w:rPr>
            </w:pPr>
            <w:r>
              <w:rPr>
                <w:rFonts w:hint="eastAsia" w:ascii="Times New Roman" w:hAnsi="Times New Roman"/>
                <w:color w:val="000000"/>
                <w:szCs w:val="21"/>
              </w:rPr>
              <w:t>[1.1 ]</w:t>
            </w:r>
          </w:p>
        </w:tc>
        <w:tc>
          <w:tcPr>
            <w:tcW w:w="989" w:type="dxa"/>
            <w:vAlign w:val="center"/>
          </w:tcPr>
          <w:p w14:paraId="781496C6">
            <w:pPr>
              <w:jc w:val="center"/>
              <w:textAlignment w:val="center"/>
              <w:rPr>
                <w:rFonts w:ascii="Times New Roman" w:hAnsi="Times New Roman"/>
                <w:color w:val="000000"/>
                <w:szCs w:val="21"/>
              </w:rPr>
            </w:pPr>
            <w:r>
              <w:rPr>
                <w:rFonts w:hint="eastAsia" w:ascii="Times New Roman" w:hAnsi="Times New Roman"/>
                <w:color w:val="000000"/>
                <w:szCs w:val="21"/>
              </w:rPr>
              <w:t>预期性</w:t>
            </w:r>
          </w:p>
        </w:tc>
      </w:tr>
      <w:tr w14:paraId="68E05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0" w:hRule="atLeast"/>
          <w:jc w:val="center"/>
        </w:trPr>
        <w:tc>
          <w:tcPr>
            <w:tcW w:w="428" w:type="dxa"/>
            <w:vAlign w:val="center"/>
          </w:tcPr>
          <w:p w14:paraId="4B761BDD">
            <w:pPr>
              <w:jc w:val="center"/>
              <w:textAlignment w:val="center"/>
              <w:rPr>
                <w:rFonts w:ascii="Times New Roman" w:hAnsi="Times New Roman"/>
                <w:color w:val="000000"/>
                <w:szCs w:val="21"/>
              </w:rPr>
            </w:pPr>
            <w:r>
              <w:rPr>
                <w:rFonts w:hint="eastAsia" w:ascii="Times New Roman" w:hAnsi="Times New Roman"/>
                <w:color w:val="000000"/>
                <w:szCs w:val="21"/>
              </w:rPr>
              <w:t>13</w:t>
            </w:r>
          </w:p>
        </w:tc>
        <w:tc>
          <w:tcPr>
            <w:vMerge w:val="continue"/>
          </w:tcPr>
          <w:p w14:paraId="0B8661AE"/>
        </w:tc>
        <w:tc>
          <w:tcPr>
            <w:tcW w:w="4216" w:type="dxa"/>
            <w:vAlign w:val="center"/>
          </w:tcPr>
          <w:p w14:paraId="038DF9C8">
            <w:pPr>
              <w:jc w:val="left"/>
              <w:textAlignment w:val="center"/>
              <w:rPr>
                <w:rFonts w:ascii="Times New Roman" w:hAnsi="Times New Roman"/>
                <w:color w:val="000000"/>
                <w:szCs w:val="21"/>
              </w:rPr>
            </w:pPr>
            <w:r>
              <w:rPr>
                <w:rFonts w:hint="eastAsia"/>
                <w:color w:val="000000"/>
              </w:rPr>
              <w:t>劳动年龄人口平均受教育年限（年）</w:t>
            </w:r>
          </w:p>
        </w:tc>
        <w:tc>
          <w:tcPr>
            <w:tcW w:w="867" w:type="dxa"/>
            <w:vAlign w:val="center"/>
          </w:tcPr>
          <w:p w14:paraId="0D398418">
            <w:pPr>
              <w:jc w:val="center"/>
              <w:textAlignment w:val="center"/>
              <w:rPr>
                <w:rFonts w:ascii="Times New Roman" w:hAnsi="Times New Roman"/>
                <w:color w:val="000000"/>
                <w:szCs w:val="21"/>
              </w:rPr>
            </w:pPr>
            <w:r>
              <w:rPr>
                <w:rFonts w:hint="eastAsia" w:ascii="Times New Roman" w:hAnsi="Times New Roman"/>
                <w:color w:val="000000"/>
                <w:szCs w:val="21"/>
              </w:rPr>
              <w:t>11</w:t>
            </w:r>
          </w:p>
        </w:tc>
        <w:tc>
          <w:tcPr>
            <w:tcW w:w="917" w:type="dxa"/>
            <w:vAlign w:val="center"/>
          </w:tcPr>
          <w:p w14:paraId="62EC39C6">
            <w:pPr>
              <w:jc w:val="center"/>
              <w:textAlignment w:val="center"/>
              <w:rPr>
                <w:rFonts w:ascii="Times New Roman" w:hAnsi="Times New Roman"/>
                <w:color w:val="000000"/>
                <w:szCs w:val="21"/>
              </w:rPr>
            </w:pPr>
            <w:r>
              <w:rPr>
                <w:rFonts w:hint="eastAsia" w:ascii="Times New Roman" w:hAnsi="Times New Roman"/>
                <w:color w:val="000000"/>
                <w:szCs w:val="21"/>
              </w:rPr>
              <w:t>12</w:t>
            </w:r>
          </w:p>
        </w:tc>
        <w:tc>
          <w:tcPr>
            <w:tcW w:w="1033" w:type="dxa"/>
            <w:vAlign w:val="center"/>
          </w:tcPr>
          <w:p w14:paraId="5236F9D0">
            <w:pPr>
              <w:jc w:val="center"/>
              <w:textAlignment w:val="center"/>
              <w:rPr>
                <w:rFonts w:ascii="Times New Roman" w:hAnsi="Times New Roman"/>
                <w:color w:val="000000"/>
                <w:szCs w:val="21"/>
              </w:rPr>
            </w:pPr>
            <w:r>
              <w:rPr>
                <w:rFonts w:hint="eastAsia" w:ascii="Times New Roman" w:hAnsi="Times New Roman"/>
                <w:color w:val="000000"/>
                <w:szCs w:val="21"/>
              </w:rPr>
              <w:t>0.2</w:t>
            </w:r>
          </w:p>
        </w:tc>
        <w:tc>
          <w:tcPr>
            <w:tcW w:w="989" w:type="dxa"/>
            <w:vAlign w:val="center"/>
          </w:tcPr>
          <w:p w14:paraId="335FC09B">
            <w:pPr>
              <w:jc w:val="center"/>
              <w:textAlignment w:val="center"/>
              <w:rPr>
                <w:rFonts w:ascii="Times New Roman" w:hAnsi="Times New Roman"/>
                <w:color w:val="000000"/>
                <w:szCs w:val="21"/>
              </w:rPr>
            </w:pPr>
            <w:r>
              <w:rPr>
                <w:rFonts w:hint="eastAsia" w:ascii="Times New Roman" w:hAnsi="Times New Roman"/>
                <w:color w:val="000000"/>
                <w:szCs w:val="21"/>
              </w:rPr>
              <w:t>预期性</w:t>
            </w:r>
          </w:p>
        </w:tc>
      </w:tr>
      <w:tr w14:paraId="60440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0" w:hRule="atLeast"/>
          <w:jc w:val="center"/>
        </w:trPr>
        <w:tc>
          <w:tcPr>
            <w:tcW w:w="428" w:type="dxa"/>
            <w:vAlign w:val="center"/>
          </w:tcPr>
          <w:p w14:paraId="3AB13841">
            <w:pPr>
              <w:jc w:val="center"/>
              <w:textAlignment w:val="center"/>
              <w:rPr>
                <w:rFonts w:ascii="Times New Roman" w:hAnsi="Times New Roman"/>
                <w:color w:val="000000"/>
                <w:szCs w:val="21"/>
              </w:rPr>
            </w:pPr>
            <w:r>
              <w:rPr>
                <w:rFonts w:hint="eastAsia" w:ascii="Times New Roman" w:hAnsi="Times New Roman"/>
                <w:color w:val="000000"/>
                <w:szCs w:val="21"/>
              </w:rPr>
              <w:t>14</w:t>
            </w:r>
          </w:p>
        </w:tc>
        <w:tc>
          <w:tcPr>
            <w:vMerge w:val="continue"/>
          </w:tcPr>
          <w:p w14:paraId="3CC4425E"/>
        </w:tc>
        <w:tc>
          <w:tcPr>
            <w:tcW w:w="4216" w:type="dxa"/>
            <w:vAlign w:val="center"/>
          </w:tcPr>
          <w:p w14:paraId="30A1F745">
            <w:pPr>
              <w:jc w:val="left"/>
              <w:textAlignment w:val="center"/>
              <w:rPr>
                <w:rFonts w:ascii="Times New Roman" w:hAnsi="Times New Roman"/>
                <w:color w:val="000000"/>
                <w:szCs w:val="21"/>
              </w:rPr>
            </w:pPr>
            <w:r>
              <w:rPr>
                <w:rFonts w:hint="eastAsia"/>
                <w:color w:val="000000"/>
              </w:rPr>
              <w:t>每千人执业（助理）医师数（人）</w:t>
            </w:r>
          </w:p>
        </w:tc>
        <w:tc>
          <w:tcPr>
            <w:tcW w:w="867" w:type="dxa"/>
            <w:vAlign w:val="center"/>
          </w:tcPr>
          <w:p w14:paraId="3EA4B3E1">
            <w:pPr>
              <w:jc w:val="center"/>
              <w:textAlignment w:val="center"/>
              <w:rPr>
                <w:rFonts w:ascii="Times New Roman" w:hAnsi="Times New Roman"/>
                <w:color w:val="000000"/>
                <w:szCs w:val="21"/>
              </w:rPr>
            </w:pPr>
            <w:r>
              <w:rPr>
                <w:rFonts w:hint="eastAsia" w:ascii="Times New Roman" w:hAnsi="Times New Roman"/>
                <w:color w:val="000000"/>
                <w:szCs w:val="21"/>
              </w:rPr>
              <w:t>2.39</w:t>
            </w:r>
          </w:p>
        </w:tc>
        <w:tc>
          <w:tcPr>
            <w:tcW w:w="917" w:type="dxa"/>
            <w:vAlign w:val="center"/>
          </w:tcPr>
          <w:p w14:paraId="6FD71247">
            <w:pPr>
              <w:jc w:val="center"/>
              <w:textAlignment w:val="center"/>
              <w:rPr>
                <w:rFonts w:ascii="Times New Roman" w:hAnsi="Times New Roman"/>
                <w:color w:val="000000"/>
                <w:szCs w:val="21"/>
              </w:rPr>
            </w:pPr>
            <w:r>
              <w:rPr>
                <w:rFonts w:hint="eastAsia" w:ascii="Times New Roman" w:hAnsi="Times New Roman"/>
                <w:color w:val="000000"/>
                <w:szCs w:val="21"/>
              </w:rPr>
              <w:t>2.65</w:t>
            </w:r>
          </w:p>
        </w:tc>
        <w:tc>
          <w:tcPr>
            <w:tcW w:w="1033" w:type="dxa"/>
            <w:vAlign w:val="center"/>
          </w:tcPr>
          <w:p w14:paraId="4C18A347">
            <w:pPr>
              <w:jc w:val="center"/>
              <w:textAlignment w:val="center"/>
              <w:rPr>
                <w:rFonts w:ascii="Times New Roman" w:hAnsi="Times New Roman"/>
                <w:color w:val="000000"/>
                <w:szCs w:val="21"/>
              </w:rPr>
            </w:pPr>
          </w:p>
        </w:tc>
        <w:tc>
          <w:tcPr>
            <w:tcW w:w="989" w:type="dxa"/>
            <w:vAlign w:val="center"/>
          </w:tcPr>
          <w:p w14:paraId="14F4D721">
            <w:pPr>
              <w:jc w:val="center"/>
              <w:textAlignment w:val="center"/>
              <w:rPr>
                <w:rFonts w:ascii="Times New Roman" w:hAnsi="Times New Roman"/>
                <w:color w:val="000000"/>
                <w:szCs w:val="21"/>
              </w:rPr>
            </w:pPr>
            <w:r>
              <w:rPr>
                <w:rFonts w:hint="eastAsia" w:ascii="Times New Roman" w:hAnsi="Times New Roman"/>
                <w:color w:val="000000"/>
                <w:szCs w:val="21"/>
              </w:rPr>
              <w:t>预期性</w:t>
            </w:r>
          </w:p>
        </w:tc>
      </w:tr>
      <w:tr w14:paraId="6B1B5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0" w:hRule="atLeast"/>
          <w:jc w:val="center"/>
        </w:trPr>
        <w:tc>
          <w:tcPr>
            <w:tcW w:w="428" w:type="dxa"/>
            <w:vAlign w:val="center"/>
          </w:tcPr>
          <w:p w14:paraId="7DE546F2">
            <w:pPr>
              <w:jc w:val="center"/>
              <w:textAlignment w:val="center"/>
              <w:rPr>
                <w:rFonts w:ascii="Times New Roman" w:hAnsi="Times New Roman"/>
                <w:color w:val="000000"/>
                <w:szCs w:val="21"/>
              </w:rPr>
            </w:pPr>
            <w:r>
              <w:rPr>
                <w:rFonts w:hint="eastAsia" w:ascii="Times New Roman" w:hAnsi="Times New Roman"/>
                <w:color w:val="000000"/>
                <w:szCs w:val="21"/>
              </w:rPr>
              <w:t>15</w:t>
            </w:r>
          </w:p>
        </w:tc>
        <w:tc>
          <w:tcPr>
            <w:tcW w:w="1015" w:type="dxa"/>
            <w:vMerge w:val="restart"/>
            <w:vAlign w:val="center"/>
          </w:tcPr>
          <w:p w14:paraId="39B0D4F6">
            <w:pPr>
              <w:jc w:val="center"/>
              <w:textAlignment w:val="center"/>
              <w:rPr>
                <w:rFonts w:ascii="Times New Roman" w:hAnsi="Times New Roman"/>
                <w:color w:val="000000"/>
                <w:szCs w:val="21"/>
              </w:rPr>
            </w:pPr>
            <w:r>
              <w:rPr>
                <w:rFonts w:hint="eastAsia" w:ascii="Times New Roman" w:hAnsi="Times New Roman"/>
                <w:color w:val="000000"/>
                <w:szCs w:val="21"/>
              </w:rPr>
              <w:t>在夯实中华民族共同体社会基础上作出表率</w:t>
            </w:r>
          </w:p>
        </w:tc>
        <w:tc>
          <w:tcPr>
            <w:tcW w:w="4216" w:type="dxa"/>
            <w:vAlign w:val="center"/>
          </w:tcPr>
          <w:p w14:paraId="4AC98F3B">
            <w:pPr>
              <w:textAlignment w:val="center"/>
              <w:rPr>
                <w:rFonts w:ascii="Times New Roman" w:hAnsi="Times New Roman"/>
                <w:color w:val="000000"/>
                <w:szCs w:val="21"/>
              </w:rPr>
            </w:pPr>
            <w:r>
              <w:rPr>
                <w:rFonts w:hint="eastAsia" w:ascii="Times New Roman" w:hAnsi="Times New Roman"/>
                <w:color w:val="000000"/>
                <w:szCs w:val="21"/>
              </w:rPr>
              <w:t>全国民族团结进步创建示范县创建数</w:t>
            </w:r>
            <w:r>
              <w:rPr>
                <w:rFonts w:hint="eastAsia"/>
                <w:color w:val="000000"/>
              </w:rPr>
              <w:t>（个）</w:t>
            </w:r>
          </w:p>
        </w:tc>
        <w:tc>
          <w:tcPr>
            <w:tcW w:w="867" w:type="dxa"/>
            <w:vAlign w:val="center"/>
          </w:tcPr>
          <w:p w14:paraId="57303B38">
            <w:pPr>
              <w:jc w:val="center"/>
              <w:textAlignment w:val="center"/>
              <w:rPr>
                <w:rFonts w:ascii="Times New Roman" w:hAnsi="Times New Roman"/>
                <w:color w:val="000000"/>
                <w:szCs w:val="21"/>
              </w:rPr>
            </w:pPr>
            <w:r>
              <w:rPr>
                <w:rFonts w:hint="eastAsia" w:ascii="Times New Roman" w:hAnsi="Times New Roman"/>
                <w:color w:val="000000"/>
                <w:szCs w:val="21"/>
              </w:rPr>
              <w:t>—</w:t>
            </w:r>
          </w:p>
        </w:tc>
        <w:tc>
          <w:tcPr>
            <w:tcW w:w="917" w:type="dxa"/>
            <w:vAlign w:val="center"/>
          </w:tcPr>
          <w:p w14:paraId="20E39A5D">
            <w:pPr>
              <w:jc w:val="center"/>
              <w:textAlignment w:val="center"/>
              <w:rPr>
                <w:rFonts w:ascii="Times New Roman" w:hAnsi="Times New Roman"/>
                <w:color w:val="000000"/>
                <w:szCs w:val="21"/>
              </w:rPr>
            </w:pPr>
            <w:r>
              <w:rPr>
                <w:rFonts w:hint="eastAsia" w:ascii="Times New Roman" w:hAnsi="Times New Roman"/>
                <w:color w:val="000000"/>
                <w:szCs w:val="21"/>
              </w:rPr>
              <w:t>1</w:t>
            </w:r>
          </w:p>
        </w:tc>
        <w:tc>
          <w:tcPr>
            <w:tcW w:w="1033" w:type="dxa"/>
            <w:vAlign w:val="center"/>
          </w:tcPr>
          <w:p w14:paraId="57E72A87">
            <w:pPr>
              <w:jc w:val="center"/>
              <w:textAlignment w:val="center"/>
              <w:rPr>
                <w:rFonts w:ascii="Times New Roman" w:hAnsi="Times New Roman"/>
                <w:color w:val="000000"/>
                <w:szCs w:val="21"/>
              </w:rPr>
            </w:pPr>
            <w:r>
              <w:rPr>
                <w:rFonts w:hint="eastAsia" w:ascii="Times New Roman" w:hAnsi="Times New Roman"/>
                <w:color w:val="000000"/>
                <w:szCs w:val="21"/>
              </w:rPr>
              <w:t>[ 1 ]</w:t>
            </w:r>
          </w:p>
        </w:tc>
        <w:tc>
          <w:tcPr>
            <w:tcW w:w="989" w:type="dxa"/>
            <w:vAlign w:val="center"/>
          </w:tcPr>
          <w:p w14:paraId="37BFC3B4">
            <w:pPr>
              <w:jc w:val="center"/>
              <w:textAlignment w:val="center"/>
              <w:rPr>
                <w:rFonts w:ascii="Times New Roman" w:hAnsi="Times New Roman"/>
                <w:color w:val="000000"/>
                <w:szCs w:val="21"/>
              </w:rPr>
            </w:pPr>
            <w:r>
              <w:rPr>
                <w:rFonts w:hint="eastAsia" w:ascii="Times New Roman" w:hAnsi="Times New Roman"/>
                <w:color w:val="000000"/>
                <w:szCs w:val="21"/>
              </w:rPr>
              <w:t>预期性</w:t>
            </w:r>
          </w:p>
        </w:tc>
      </w:tr>
      <w:tr w14:paraId="1F309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0" w:hRule="atLeast"/>
          <w:jc w:val="center"/>
        </w:trPr>
        <w:tc>
          <w:tcPr>
            <w:tcW w:w="428" w:type="dxa"/>
            <w:vAlign w:val="center"/>
          </w:tcPr>
          <w:p w14:paraId="4AF72DE7">
            <w:pPr>
              <w:jc w:val="center"/>
              <w:textAlignment w:val="center"/>
              <w:rPr>
                <w:rFonts w:ascii="Times New Roman" w:hAnsi="Times New Roman"/>
                <w:color w:val="000000"/>
                <w:szCs w:val="21"/>
              </w:rPr>
            </w:pPr>
            <w:r>
              <w:rPr>
                <w:rFonts w:hint="eastAsia" w:ascii="Times New Roman" w:hAnsi="Times New Roman"/>
                <w:color w:val="000000"/>
                <w:szCs w:val="21"/>
              </w:rPr>
              <w:t>16</w:t>
            </w:r>
          </w:p>
        </w:tc>
        <w:tc>
          <w:tcPr>
            <w:vMerge w:val="continue"/>
          </w:tcPr>
          <w:p w14:paraId="74DE6A74"/>
        </w:tc>
        <w:tc>
          <w:tcPr>
            <w:tcW w:w="4216" w:type="dxa"/>
            <w:vAlign w:val="center"/>
          </w:tcPr>
          <w:p w14:paraId="7D5B95A0">
            <w:pPr>
              <w:textAlignment w:val="center"/>
              <w:rPr>
                <w:rFonts w:ascii="Times New Roman" w:hAnsi="Times New Roman"/>
                <w:color w:val="000000"/>
                <w:szCs w:val="21"/>
              </w:rPr>
            </w:pPr>
            <w:r>
              <w:rPr>
                <w:rFonts w:hint="eastAsia" w:ascii="Times New Roman" w:hAnsi="Times New Roman"/>
                <w:color w:val="000000"/>
                <w:szCs w:val="21"/>
              </w:rPr>
              <w:t>省级民族团结进步创建示范县创建数</w:t>
            </w:r>
            <w:r>
              <w:rPr>
                <w:rFonts w:hint="eastAsia"/>
                <w:color w:val="000000"/>
              </w:rPr>
              <w:t>（个）</w:t>
            </w:r>
          </w:p>
        </w:tc>
        <w:tc>
          <w:tcPr>
            <w:tcW w:w="867" w:type="dxa"/>
            <w:vAlign w:val="center"/>
          </w:tcPr>
          <w:p w14:paraId="5AC4BE58">
            <w:pPr>
              <w:jc w:val="center"/>
              <w:textAlignment w:val="center"/>
              <w:rPr>
                <w:rFonts w:ascii="Times New Roman" w:hAnsi="Times New Roman"/>
                <w:color w:val="000000"/>
                <w:szCs w:val="21"/>
              </w:rPr>
            </w:pPr>
            <w:r>
              <w:rPr>
                <w:rFonts w:hint="eastAsia" w:ascii="Times New Roman" w:hAnsi="Times New Roman"/>
                <w:color w:val="000000"/>
                <w:szCs w:val="21"/>
              </w:rPr>
              <w:t>—</w:t>
            </w:r>
          </w:p>
        </w:tc>
        <w:tc>
          <w:tcPr>
            <w:tcW w:w="917" w:type="dxa"/>
            <w:vAlign w:val="center"/>
          </w:tcPr>
          <w:p w14:paraId="2ECC5925">
            <w:pPr>
              <w:jc w:val="center"/>
              <w:textAlignment w:val="center"/>
              <w:rPr>
                <w:rFonts w:ascii="Times New Roman" w:hAnsi="Times New Roman"/>
                <w:color w:val="000000"/>
                <w:szCs w:val="21"/>
              </w:rPr>
            </w:pPr>
            <w:r>
              <w:rPr>
                <w:rFonts w:hint="eastAsia" w:ascii="Times New Roman" w:hAnsi="Times New Roman"/>
                <w:color w:val="000000"/>
                <w:szCs w:val="21"/>
              </w:rPr>
              <w:t>1</w:t>
            </w:r>
          </w:p>
        </w:tc>
        <w:tc>
          <w:tcPr>
            <w:tcW w:w="1033" w:type="dxa"/>
            <w:vAlign w:val="center"/>
          </w:tcPr>
          <w:p w14:paraId="5112F550">
            <w:pPr>
              <w:jc w:val="center"/>
              <w:textAlignment w:val="center"/>
              <w:rPr>
                <w:rFonts w:ascii="Times New Roman" w:hAnsi="Times New Roman"/>
                <w:color w:val="000000"/>
                <w:szCs w:val="21"/>
              </w:rPr>
            </w:pPr>
            <w:r>
              <w:rPr>
                <w:rFonts w:hint="eastAsia" w:ascii="Times New Roman" w:hAnsi="Times New Roman"/>
                <w:color w:val="000000"/>
                <w:szCs w:val="21"/>
              </w:rPr>
              <w:t>[ 1 ]</w:t>
            </w:r>
          </w:p>
        </w:tc>
        <w:tc>
          <w:tcPr>
            <w:tcW w:w="989" w:type="dxa"/>
            <w:vAlign w:val="center"/>
          </w:tcPr>
          <w:p w14:paraId="14AE3913">
            <w:pPr>
              <w:jc w:val="center"/>
              <w:textAlignment w:val="center"/>
              <w:rPr>
                <w:rFonts w:ascii="Times New Roman" w:hAnsi="Times New Roman"/>
                <w:color w:val="000000"/>
                <w:szCs w:val="21"/>
              </w:rPr>
            </w:pPr>
            <w:r>
              <w:rPr>
                <w:rFonts w:hint="eastAsia" w:ascii="Times New Roman" w:hAnsi="Times New Roman"/>
                <w:color w:val="000000"/>
                <w:szCs w:val="21"/>
              </w:rPr>
              <w:t>预期性</w:t>
            </w:r>
          </w:p>
        </w:tc>
      </w:tr>
      <w:tr w14:paraId="6EAE8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0" w:hRule="atLeast"/>
          <w:jc w:val="center"/>
        </w:trPr>
        <w:tc>
          <w:tcPr>
            <w:tcW w:w="428" w:type="dxa"/>
            <w:vAlign w:val="center"/>
          </w:tcPr>
          <w:p w14:paraId="61352EAF">
            <w:pPr>
              <w:jc w:val="center"/>
              <w:textAlignment w:val="center"/>
              <w:rPr>
                <w:rFonts w:ascii="Times New Roman" w:hAnsi="Times New Roman"/>
                <w:color w:val="000000"/>
                <w:szCs w:val="21"/>
              </w:rPr>
            </w:pPr>
            <w:r>
              <w:rPr>
                <w:rFonts w:hint="eastAsia" w:ascii="Times New Roman" w:hAnsi="Times New Roman"/>
                <w:color w:val="000000"/>
                <w:szCs w:val="21"/>
              </w:rPr>
              <w:t>17</w:t>
            </w:r>
          </w:p>
        </w:tc>
        <w:tc>
          <w:tcPr>
            <w:vMerge w:val="continue"/>
          </w:tcPr>
          <w:p w14:paraId="795F41EE"/>
        </w:tc>
        <w:tc>
          <w:tcPr>
            <w:tcW w:w="4216" w:type="dxa"/>
            <w:vAlign w:val="center"/>
          </w:tcPr>
          <w:p w14:paraId="5446D246">
            <w:pPr>
              <w:textAlignment w:val="center"/>
              <w:rPr>
                <w:rFonts w:ascii="Times New Roman" w:hAnsi="Times New Roman"/>
                <w:color w:val="000000"/>
                <w:szCs w:val="21"/>
              </w:rPr>
            </w:pPr>
            <w:r>
              <w:rPr>
                <w:rFonts w:hint="eastAsia" w:ascii="Times New Roman" w:hAnsi="Times New Roman"/>
                <w:color w:val="000000"/>
                <w:szCs w:val="21"/>
              </w:rPr>
              <w:t>市级民族团结进步创建示范县创建数</w:t>
            </w:r>
            <w:r>
              <w:rPr>
                <w:rFonts w:hint="eastAsia"/>
                <w:color w:val="000000"/>
              </w:rPr>
              <w:t>（个）</w:t>
            </w:r>
          </w:p>
        </w:tc>
        <w:tc>
          <w:tcPr>
            <w:tcW w:w="867" w:type="dxa"/>
            <w:vAlign w:val="center"/>
          </w:tcPr>
          <w:p w14:paraId="425D342E">
            <w:pPr>
              <w:jc w:val="center"/>
              <w:textAlignment w:val="center"/>
              <w:rPr>
                <w:rFonts w:ascii="Times New Roman" w:hAnsi="Times New Roman"/>
                <w:color w:val="000000"/>
                <w:szCs w:val="21"/>
              </w:rPr>
            </w:pPr>
            <w:r>
              <w:rPr>
                <w:rFonts w:hint="eastAsia" w:ascii="Times New Roman" w:hAnsi="Times New Roman"/>
                <w:color w:val="000000"/>
                <w:szCs w:val="21"/>
              </w:rPr>
              <w:t>—</w:t>
            </w:r>
          </w:p>
        </w:tc>
        <w:tc>
          <w:tcPr>
            <w:tcW w:w="917" w:type="dxa"/>
            <w:vAlign w:val="center"/>
          </w:tcPr>
          <w:p w14:paraId="16BFDE91">
            <w:pPr>
              <w:jc w:val="center"/>
              <w:textAlignment w:val="center"/>
              <w:rPr>
                <w:rFonts w:ascii="Times New Roman" w:hAnsi="Times New Roman"/>
                <w:color w:val="000000"/>
                <w:szCs w:val="21"/>
              </w:rPr>
            </w:pPr>
            <w:r>
              <w:rPr>
                <w:rFonts w:hint="eastAsia" w:ascii="Times New Roman" w:hAnsi="Times New Roman"/>
                <w:color w:val="000000"/>
                <w:szCs w:val="21"/>
              </w:rPr>
              <w:t>1</w:t>
            </w:r>
          </w:p>
        </w:tc>
        <w:tc>
          <w:tcPr>
            <w:tcW w:w="1033" w:type="dxa"/>
            <w:vAlign w:val="center"/>
          </w:tcPr>
          <w:p w14:paraId="0146B82C">
            <w:pPr>
              <w:jc w:val="center"/>
              <w:textAlignment w:val="center"/>
              <w:rPr>
                <w:rFonts w:ascii="Times New Roman" w:hAnsi="Times New Roman"/>
                <w:color w:val="000000"/>
                <w:szCs w:val="21"/>
              </w:rPr>
            </w:pPr>
            <w:r>
              <w:rPr>
                <w:rFonts w:hint="eastAsia" w:ascii="Times New Roman" w:hAnsi="Times New Roman"/>
                <w:color w:val="000000"/>
                <w:szCs w:val="21"/>
              </w:rPr>
              <w:t>[ 1 ]</w:t>
            </w:r>
          </w:p>
        </w:tc>
        <w:tc>
          <w:tcPr>
            <w:tcW w:w="989" w:type="dxa"/>
            <w:vAlign w:val="center"/>
          </w:tcPr>
          <w:p w14:paraId="1A964167">
            <w:pPr>
              <w:jc w:val="center"/>
              <w:textAlignment w:val="center"/>
              <w:rPr>
                <w:rFonts w:ascii="Times New Roman" w:hAnsi="Times New Roman"/>
                <w:color w:val="000000"/>
                <w:szCs w:val="21"/>
              </w:rPr>
            </w:pPr>
            <w:r>
              <w:rPr>
                <w:rFonts w:hint="eastAsia" w:ascii="Times New Roman" w:hAnsi="Times New Roman"/>
                <w:color w:val="000000"/>
                <w:szCs w:val="21"/>
              </w:rPr>
              <w:t>预期性</w:t>
            </w:r>
          </w:p>
        </w:tc>
      </w:tr>
      <w:tr w14:paraId="584D6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0" w:hRule="atLeast"/>
          <w:jc w:val="center"/>
        </w:trPr>
        <w:tc>
          <w:tcPr>
            <w:tcW w:w="428" w:type="dxa"/>
            <w:vAlign w:val="center"/>
          </w:tcPr>
          <w:p w14:paraId="30B0A13D">
            <w:pPr>
              <w:jc w:val="center"/>
              <w:textAlignment w:val="center"/>
              <w:rPr>
                <w:rFonts w:ascii="Times New Roman" w:hAnsi="Times New Roman"/>
                <w:color w:val="000000"/>
                <w:szCs w:val="21"/>
              </w:rPr>
            </w:pPr>
            <w:r>
              <w:rPr>
                <w:rFonts w:hint="eastAsia" w:ascii="Times New Roman" w:hAnsi="Times New Roman"/>
                <w:color w:val="000000"/>
                <w:szCs w:val="21"/>
              </w:rPr>
              <w:t>18</w:t>
            </w:r>
          </w:p>
        </w:tc>
        <w:tc>
          <w:tcPr>
            <w:vMerge w:val="continue"/>
          </w:tcPr>
          <w:p w14:paraId="7294B0E0"/>
        </w:tc>
        <w:tc>
          <w:tcPr>
            <w:tcW w:w="4216" w:type="dxa"/>
            <w:vAlign w:val="center"/>
          </w:tcPr>
          <w:p w14:paraId="705AFA25">
            <w:pPr>
              <w:jc w:val="left"/>
              <w:textAlignment w:val="center"/>
              <w:rPr>
                <w:rFonts w:ascii="Times New Roman" w:hAnsi="Times New Roman"/>
                <w:color w:val="000000"/>
                <w:szCs w:val="21"/>
              </w:rPr>
            </w:pPr>
            <w:r>
              <w:rPr>
                <w:rFonts w:hint="eastAsia" w:ascii="Times New Roman" w:hAnsi="Times New Roman"/>
                <w:color w:val="000000"/>
                <w:szCs w:val="21"/>
              </w:rPr>
              <w:t>全国</w:t>
            </w:r>
            <w:r>
              <w:rPr>
                <w:rFonts w:ascii="Times New Roman" w:hAnsi="Times New Roman"/>
                <w:color w:val="000000"/>
                <w:szCs w:val="21"/>
              </w:rPr>
              <w:t>民族团结进步创建示范单位</w:t>
            </w:r>
            <w:r>
              <w:rPr>
                <w:rFonts w:hint="eastAsia" w:ascii="Times New Roman" w:hAnsi="Times New Roman"/>
                <w:color w:val="000000"/>
                <w:szCs w:val="21"/>
              </w:rPr>
              <w:t>创建数</w:t>
            </w:r>
            <w:r>
              <w:rPr>
                <w:rFonts w:hint="eastAsia"/>
                <w:color w:val="000000"/>
              </w:rPr>
              <w:t>（个）</w:t>
            </w:r>
          </w:p>
        </w:tc>
        <w:tc>
          <w:tcPr>
            <w:tcW w:w="867" w:type="dxa"/>
            <w:vAlign w:val="center"/>
          </w:tcPr>
          <w:p w14:paraId="4BE056CF">
            <w:pPr>
              <w:jc w:val="center"/>
              <w:textAlignment w:val="center"/>
              <w:rPr>
                <w:rFonts w:ascii="Times New Roman" w:hAnsi="Times New Roman"/>
                <w:color w:val="000000"/>
                <w:szCs w:val="21"/>
              </w:rPr>
            </w:pPr>
            <w:r>
              <w:rPr>
                <w:rFonts w:hint="eastAsia" w:ascii="Times New Roman" w:hAnsi="Times New Roman"/>
                <w:color w:val="000000"/>
                <w:szCs w:val="21"/>
              </w:rPr>
              <w:t>0</w:t>
            </w:r>
          </w:p>
        </w:tc>
        <w:tc>
          <w:tcPr>
            <w:tcW w:w="917" w:type="dxa"/>
            <w:vAlign w:val="center"/>
          </w:tcPr>
          <w:p w14:paraId="754021D5">
            <w:pPr>
              <w:jc w:val="center"/>
              <w:textAlignment w:val="center"/>
              <w:rPr>
                <w:rFonts w:ascii="Times New Roman" w:hAnsi="Times New Roman"/>
                <w:color w:val="000000"/>
                <w:szCs w:val="21"/>
              </w:rPr>
            </w:pPr>
            <w:r>
              <w:rPr>
                <w:rFonts w:hint="eastAsia" w:ascii="Times New Roman" w:hAnsi="Times New Roman"/>
                <w:color w:val="000000"/>
                <w:szCs w:val="21"/>
              </w:rPr>
              <w:t>2</w:t>
            </w:r>
          </w:p>
        </w:tc>
        <w:tc>
          <w:tcPr>
            <w:tcW w:w="1033" w:type="dxa"/>
            <w:vAlign w:val="center"/>
          </w:tcPr>
          <w:p w14:paraId="09141696">
            <w:pPr>
              <w:jc w:val="center"/>
              <w:textAlignment w:val="center"/>
              <w:rPr>
                <w:rFonts w:ascii="Times New Roman" w:hAnsi="Times New Roman"/>
                <w:color w:val="000000"/>
                <w:szCs w:val="21"/>
              </w:rPr>
            </w:pPr>
            <w:r>
              <w:rPr>
                <w:rFonts w:hint="eastAsia" w:ascii="Times New Roman" w:hAnsi="Times New Roman"/>
                <w:color w:val="000000"/>
                <w:szCs w:val="21"/>
              </w:rPr>
              <w:t>[ 2 ]</w:t>
            </w:r>
          </w:p>
        </w:tc>
        <w:tc>
          <w:tcPr>
            <w:tcW w:w="989" w:type="dxa"/>
            <w:vAlign w:val="center"/>
          </w:tcPr>
          <w:p w14:paraId="4FFB7BD7">
            <w:pPr>
              <w:jc w:val="center"/>
              <w:textAlignment w:val="center"/>
              <w:rPr>
                <w:rFonts w:ascii="Times New Roman" w:hAnsi="Times New Roman"/>
                <w:color w:val="000000"/>
                <w:szCs w:val="21"/>
              </w:rPr>
            </w:pPr>
            <w:r>
              <w:rPr>
                <w:rFonts w:hint="eastAsia" w:ascii="Times New Roman" w:hAnsi="Times New Roman"/>
                <w:color w:val="000000"/>
                <w:szCs w:val="21"/>
              </w:rPr>
              <w:t>预期性</w:t>
            </w:r>
          </w:p>
        </w:tc>
      </w:tr>
      <w:tr w14:paraId="1D325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0" w:hRule="atLeast"/>
          <w:jc w:val="center"/>
        </w:trPr>
        <w:tc>
          <w:tcPr>
            <w:tcW w:w="428" w:type="dxa"/>
            <w:vAlign w:val="center"/>
          </w:tcPr>
          <w:p w14:paraId="352672C0">
            <w:pPr>
              <w:jc w:val="center"/>
              <w:textAlignment w:val="center"/>
              <w:rPr>
                <w:rFonts w:ascii="Times New Roman" w:hAnsi="Times New Roman"/>
                <w:color w:val="000000"/>
                <w:szCs w:val="21"/>
              </w:rPr>
            </w:pPr>
            <w:r>
              <w:rPr>
                <w:rFonts w:hint="eastAsia" w:ascii="Times New Roman" w:hAnsi="Times New Roman"/>
                <w:color w:val="000000"/>
                <w:szCs w:val="21"/>
              </w:rPr>
              <w:t>19</w:t>
            </w:r>
          </w:p>
        </w:tc>
        <w:tc>
          <w:tcPr>
            <w:vMerge w:val="continue"/>
          </w:tcPr>
          <w:p w14:paraId="4AC0A05A"/>
        </w:tc>
        <w:tc>
          <w:tcPr>
            <w:tcW w:w="4216" w:type="dxa"/>
            <w:vAlign w:val="center"/>
          </w:tcPr>
          <w:p w14:paraId="6D5BC072">
            <w:pPr>
              <w:jc w:val="left"/>
              <w:textAlignment w:val="center"/>
              <w:rPr>
                <w:rFonts w:ascii="Times New Roman" w:hAnsi="Times New Roman"/>
                <w:color w:val="000000"/>
                <w:szCs w:val="21"/>
              </w:rPr>
            </w:pPr>
            <w:r>
              <w:rPr>
                <w:rFonts w:hint="eastAsia" w:ascii="Times New Roman" w:hAnsi="Times New Roman"/>
                <w:color w:val="000000"/>
                <w:szCs w:val="21"/>
              </w:rPr>
              <w:t>省级</w:t>
            </w:r>
            <w:r>
              <w:rPr>
                <w:rFonts w:ascii="Times New Roman" w:hAnsi="Times New Roman"/>
                <w:color w:val="000000"/>
                <w:szCs w:val="21"/>
              </w:rPr>
              <w:t>民族团结进步创建示范单位</w:t>
            </w:r>
            <w:r>
              <w:rPr>
                <w:rFonts w:hint="eastAsia" w:ascii="Times New Roman" w:hAnsi="Times New Roman"/>
                <w:color w:val="000000"/>
                <w:szCs w:val="21"/>
              </w:rPr>
              <w:t>创建数</w:t>
            </w:r>
            <w:r>
              <w:rPr>
                <w:rFonts w:hint="eastAsia"/>
                <w:color w:val="000000"/>
              </w:rPr>
              <w:t>（个）</w:t>
            </w:r>
          </w:p>
        </w:tc>
        <w:tc>
          <w:tcPr>
            <w:tcW w:w="867" w:type="dxa"/>
            <w:vAlign w:val="center"/>
          </w:tcPr>
          <w:p w14:paraId="286234E0">
            <w:pPr>
              <w:jc w:val="center"/>
              <w:textAlignment w:val="center"/>
              <w:rPr>
                <w:rFonts w:ascii="Times New Roman" w:hAnsi="Times New Roman"/>
                <w:color w:val="000000"/>
                <w:szCs w:val="21"/>
              </w:rPr>
            </w:pPr>
            <w:r>
              <w:rPr>
                <w:rFonts w:hint="eastAsia" w:ascii="Times New Roman" w:hAnsi="Times New Roman"/>
                <w:color w:val="000000"/>
                <w:szCs w:val="21"/>
              </w:rPr>
              <w:t>14</w:t>
            </w:r>
          </w:p>
        </w:tc>
        <w:tc>
          <w:tcPr>
            <w:tcW w:w="917" w:type="dxa"/>
            <w:vAlign w:val="center"/>
          </w:tcPr>
          <w:p w14:paraId="12325E0B">
            <w:pPr>
              <w:jc w:val="center"/>
              <w:textAlignment w:val="center"/>
              <w:rPr>
                <w:rFonts w:ascii="Times New Roman" w:hAnsi="Times New Roman"/>
                <w:color w:val="000000"/>
                <w:szCs w:val="21"/>
              </w:rPr>
            </w:pPr>
            <w:r>
              <w:rPr>
                <w:rFonts w:hint="eastAsia" w:ascii="Times New Roman" w:hAnsi="Times New Roman"/>
                <w:color w:val="000000"/>
                <w:szCs w:val="21"/>
              </w:rPr>
              <w:t>6</w:t>
            </w:r>
          </w:p>
        </w:tc>
        <w:tc>
          <w:tcPr>
            <w:tcW w:w="1033" w:type="dxa"/>
            <w:vAlign w:val="center"/>
          </w:tcPr>
          <w:p w14:paraId="17D288D1">
            <w:pPr>
              <w:jc w:val="center"/>
              <w:textAlignment w:val="center"/>
              <w:rPr>
                <w:rFonts w:ascii="Times New Roman" w:hAnsi="Times New Roman"/>
                <w:color w:val="000000"/>
                <w:szCs w:val="21"/>
              </w:rPr>
            </w:pPr>
            <w:r>
              <w:rPr>
                <w:rFonts w:hint="eastAsia" w:ascii="Times New Roman" w:hAnsi="Times New Roman"/>
                <w:color w:val="000000"/>
                <w:szCs w:val="21"/>
              </w:rPr>
              <w:t>[ 20 ]</w:t>
            </w:r>
          </w:p>
        </w:tc>
        <w:tc>
          <w:tcPr>
            <w:tcW w:w="989" w:type="dxa"/>
            <w:vAlign w:val="center"/>
          </w:tcPr>
          <w:p w14:paraId="56F160A3">
            <w:pPr>
              <w:jc w:val="center"/>
              <w:textAlignment w:val="center"/>
              <w:rPr>
                <w:rFonts w:ascii="Times New Roman" w:hAnsi="Times New Roman"/>
                <w:color w:val="000000"/>
                <w:szCs w:val="21"/>
              </w:rPr>
            </w:pPr>
            <w:r>
              <w:rPr>
                <w:rFonts w:hint="eastAsia" w:ascii="Times New Roman" w:hAnsi="Times New Roman"/>
                <w:color w:val="000000"/>
                <w:szCs w:val="21"/>
              </w:rPr>
              <w:t>预期性</w:t>
            </w:r>
          </w:p>
        </w:tc>
      </w:tr>
      <w:tr w14:paraId="51F08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0" w:hRule="atLeast"/>
          <w:jc w:val="center"/>
        </w:trPr>
        <w:tc>
          <w:tcPr>
            <w:tcW w:w="428" w:type="dxa"/>
            <w:vAlign w:val="center"/>
          </w:tcPr>
          <w:p w14:paraId="328C6EDC">
            <w:pPr>
              <w:jc w:val="center"/>
              <w:textAlignment w:val="center"/>
              <w:rPr>
                <w:rFonts w:ascii="Times New Roman" w:hAnsi="Times New Roman"/>
                <w:color w:val="000000"/>
                <w:szCs w:val="21"/>
              </w:rPr>
            </w:pPr>
            <w:r>
              <w:rPr>
                <w:rFonts w:hint="eastAsia" w:ascii="Times New Roman" w:hAnsi="Times New Roman"/>
                <w:color w:val="000000"/>
                <w:szCs w:val="21"/>
              </w:rPr>
              <w:t>20</w:t>
            </w:r>
          </w:p>
        </w:tc>
        <w:tc>
          <w:tcPr>
            <w:vMerge w:val="continue"/>
          </w:tcPr>
          <w:p w14:paraId="103033E5"/>
        </w:tc>
        <w:tc>
          <w:tcPr>
            <w:tcW w:w="4216" w:type="dxa"/>
            <w:vAlign w:val="center"/>
          </w:tcPr>
          <w:p w14:paraId="41BFC5E1">
            <w:pPr>
              <w:jc w:val="left"/>
              <w:textAlignment w:val="center"/>
              <w:rPr>
                <w:rFonts w:ascii="Times New Roman" w:hAnsi="Times New Roman"/>
                <w:color w:val="000000"/>
                <w:szCs w:val="21"/>
              </w:rPr>
            </w:pPr>
            <w:r>
              <w:rPr>
                <w:rFonts w:hint="eastAsia" w:ascii="Times New Roman" w:hAnsi="Times New Roman"/>
                <w:color w:val="000000"/>
                <w:szCs w:val="21"/>
              </w:rPr>
              <w:t>市级民族团结进步创建示范单位创建数</w:t>
            </w:r>
            <w:r>
              <w:rPr>
                <w:rFonts w:hint="eastAsia"/>
                <w:color w:val="000000"/>
              </w:rPr>
              <w:t>（个）</w:t>
            </w:r>
          </w:p>
        </w:tc>
        <w:tc>
          <w:tcPr>
            <w:tcW w:w="867" w:type="dxa"/>
            <w:vAlign w:val="center"/>
          </w:tcPr>
          <w:p w14:paraId="504BB484">
            <w:pPr>
              <w:jc w:val="center"/>
              <w:textAlignment w:val="center"/>
              <w:rPr>
                <w:rFonts w:ascii="Times New Roman" w:hAnsi="Times New Roman"/>
                <w:color w:val="000000"/>
                <w:szCs w:val="21"/>
              </w:rPr>
            </w:pPr>
            <w:r>
              <w:rPr>
                <w:rFonts w:hint="eastAsia" w:ascii="Times New Roman" w:hAnsi="Times New Roman"/>
                <w:color w:val="000000"/>
                <w:szCs w:val="21"/>
              </w:rPr>
              <w:t>90</w:t>
            </w:r>
          </w:p>
        </w:tc>
        <w:tc>
          <w:tcPr>
            <w:tcW w:w="917" w:type="dxa"/>
            <w:vAlign w:val="center"/>
          </w:tcPr>
          <w:p w14:paraId="3628598D">
            <w:pPr>
              <w:jc w:val="center"/>
              <w:textAlignment w:val="center"/>
              <w:rPr>
                <w:rFonts w:ascii="Times New Roman" w:hAnsi="Times New Roman"/>
                <w:color w:val="000000"/>
                <w:szCs w:val="21"/>
              </w:rPr>
            </w:pPr>
            <w:r>
              <w:rPr>
                <w:rFonts w:hint="eastAsia" w:ascii="Times New Roman" w:hAnsi="Times New Roman"/>
                <w:color w:val="000000"/>
                <w:szCs w:val="21"/>
              </w:rPr>
              <w:t>10</w:t>
            </w:r>
          </w:p>
        </w:tc>
        <w:tc>
          <w:tcPr>
            <w:tcW w:w="1033" w:type="dxa"/>
            <w:vAlign w:val="center"/>
          </w:tcPr>
          <w:p w14:paraId="154672AB">
            <w:pPr>
              <w:jc w:val="center"/>
              <w:textAlignment w:val="center"/>
              <w:rPr>
                <w:rFonts w:ascii="Times New Roman" w:hAnsi="Times New Roman"/>
                <w:color w:val="000000"/>
                <w:szCs w:val="21"/>
              </w:rPr>
            </w:pPr>
            <w:r>
              <w:rPr>
                <w:rFonts w:hint="eastAsia" w:ascii="Times New Roman" w:hAnsi="Times New Roman"/>
                <w:color w:val="000000"/>
                <w:szCs w:val="21"/>
              </w:rPr>
              <w:t>[ 100 ]</w:t>
            </w:r>
          </w:p>
        </w:tc>
        <w:tc>
          <w:tcPr>
            <w:tcW w:w="989" w:type="dxa"/>
            <w:vAlign w:val="center"/>
          </w:tcPr>
          <w:p w14:paraId="1F7EF87C">
            <w:pPr>
              <w:jc w:val="center"/>
              <w:textAlignment w:val="center"/>
              <w:rPr>
                <w:rFonts w:ascii="Times New Roman" w:hAnsi="Times New Roman"/>
                <w:color w:val="000000"/>
                <w:szCs w:val="21"/>
              </w:rPr>
            </w:pPr>
            <w:r>
              <w:rPr>
                <w:rFonts w:hint="eastAsia" w:ascii="Times New Roman" w:hAnsi="Times New Roman"/>
                <w:color w:val="000000"/>
                <w:szCs w:val="21"/>
              </w:rPr>
              <w:t>预期性</w:t>
            </w:r>
          </w:p>
        </w:tc>
      </w:tr>
      <w:tr w14:paraId="0B7CF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0" w:hRule="atLeast"/>
          <w:jc w:val="center"/>
        </w:trPr>
        <w:tc>
          <w:tcPr>
            <w:tcW w:w="428" w:type="dxa"/>
            <w:vAlign w:val="center"/>
          </w:tcPr>
          <w:p w14:paraId="1CA1D9CE">
            <w:pPr>
              <w:jc w:val="center"/>
              <w:textAlignment w:val="center"/>
              <w:rPr>
                <w:rFonts w:ascii="Times New Roman" w:hAnsi="Times New Roman"/>
                <w:color w:val="000000"/>
                <w:szCs w:val="21"/>
              </w:rPr>
            </w:pPr>
            <w:r>
              <w:rPr>
                <w:rFonts w:hint="eastAsia" w:ascii="Times New Roman" w:hAnsi="Times New Roman"/>
                <w:color w:val="000000"/>
                <w:szCs w:val="21"/>
              </w:rPr>
              <w:t>21</w:t>
            </w:r>
          </w:p>
        </w:tc>
        <w:tc>
          <w:tcPr>
            <w:vMerge w:val="continue"/>
          </w:tcPr>
          <w:p w14:paraId="149DB9D9"/>
        </w:tc>
        <w:tc>
          <w:tcPr>
            <w:tcW w:w="4216" w:type="dxa"/>
            <w:vAlign w:val="center"/>
          </w:tcPr>
          <w:p w14:paraId="440BDB7C">
            <w:pPr>
              <w:jc w:val="left"/>
              <w:textAlignment w:val="center"/>
              <w:rPr>
                <w:rFonts w:ascii="Times New Roman" w:hAnsi="Times New Roman"/>
                <w:color w:val="000000"/>
                <w:szCs w:val="21"/>
              </w:rPr>
            </w:pPr>
            <w:r>
              <w:rPr>
                <w:rFonts w:hint="eastAsia" w:ascii="Times New Roman" w:hAnsi="Times New Roman"/>
                <w:color w:val="000000"/>
                <w:szCs w:val="21"/>
              </w:rPr>
              <w:t>省级以上民族团结进步示范社区创建数（个）</w:t>
            </w:r>
          </w:p>
        </w:tc>
        <w:tc>
          <w:tcPr>
            <w:tcW w:w="867" w:type="dxa"/>
            <w:vAlign w:val="center"/>
          </w:tcPr>
          <w:p w14:paraId="6368E4C6">
            <w:pPr>
              <w:jc w:val="center"/>
              <w:textAlignment w:val="center"/>
              <w:rPr>
                <w:rFonts w:ascii="Times New Roman" w:hAnsi="Times New Roman"/>
                <w:color w:val="000000"/>
                <w:szCs w:val="21"/>
              </w:rPr>
            </w:pPr>
            <w:r>
              <w:rPr>
                <w:rFonts w:hint="eastAsia" w:ascii="Times New Roman" w:hAnsi="Times New Roman"/>
                <w:color w:val="000000"/>
                <w:szCs w:val="21"/>
              </w:rPr>
              <w:t>0</w:t>
            </w:r>
          </w:p>
        </w:tc>
        <w:tc>
          <w:tcPr>
            <w:tcW w:w="917" w:type="dxa"/>
            <w:vAlign w:val="center"/>
          </w:tcPr>
          <w:p w14:paraId="69B5A9ED">
            <w:pPr>
              <w:jc w:val="center"/>
              <w:textAlignment w:val="center"/>
              <w:rPr>
                <w:rFonts w:ascii="Times New Roman" w:hAnsi="Times New Roman"/>
                <w:color w:val="000000"/>
                <w:szCs w:val="21"/>
              </w:rPr>
            </w:pPr>
            <w:r>
              <w:rPr>
                <w:rFonts w:hint="eastAsia" w:ascii="Times New Roman" w:hAnsi="Times New Roman"/>
                <w:color w:val="000000"/>
                <w:szCs w:val="21"/>
              </w:rPr>
              <w:t>2</w:t>
            </w:r>
          </w:p>
        </w:tc>
        <w:tc>
          <w:tcPr>
            <w:tcW w:w="1033" w:type="dxa"/>
            <w:vAlign w:val="center"/>
          </w:tcPr>
          <w:p w14:paraId="6721FDED">
            <w:pPr>
              <w:jc w:val="center"/>
              <w:textAlignment w:val="center"/>
              <w:rPr>
                <w:rFonts w:ascii="Times New Roman" w:hAnsi="Times New Roman"/>
                <w:color w:val="000000"/>
                <w:szCs w:val="21"/>
              </w:rPr>
            </w:pPr>
            <w:r>
              <w:rPr>
                <w:rFonts w:hint="eastAsia" w:ascii="Times New Roman" w:hAnsi="Times New Roman"/>
                <w:color w:val="000000"/>
                <w:szCs w:val="21"/>
              </w:rPr>
              <w:t>[ 2 ]</w:t>
            </w:r>
          </w:p>
        </w:tc>
        <w:tc>
          <w:tcPr>
            <w:tcW w:w="989" w:type="dxa"/>
            <w:vAlign w:val="center"/>
          </w:tcPr>
          <w:p w14:paraId="3A54157A">
            <w:pPr>
              <w:jc w:val="center"/>
              <w:textAlignment w:val="center"/>
              <w:rPr>
                <w:rFonts w:ascii="Times New Roman" w:hAnsi="Times New Roman"/>
                <w:color w:val="000000"/>
                <w:szCs w:val="21"/>
              </w:rPr>
            </w:pPr>
            <w:r>
              <w:rPr>
                <w:rFonts w:hint="eastAsia" w:ascii="Times New Roman" w:hAnsi="Times New Roman"/>
                <w:color w:val="000000"/>
                <w:szCs w:val="21"/>
              </w:rPr>
              <w:t>预期性</w:t>
            </w:r>
          </w:p>
        </w:tc>
      </w:tr>
      <w:tr w14:paraId="1AFEA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0" w:hRule="atLeast"/>
          <w:jc w:val="center"/>
        </w:trPr>
        <w:tc>
          <w:tcPr>
            <w:tcW w:w="428" w:type="dxa"/>
            <w:vAlign w:val="center"/>
          </w:tcPr>
          <w:p w14:paraId="6DF89BB7">
            <w:pPr>
              <w:jc w:val="center"/>
              <w:textAlignment w:val="center"/>
              <w:rPr>
                <w:rFonts w:ascii="Times New Roman" w:hAnsi="Times New Roman"/>
                <w:color w:val="000000"/>
                <w:szCs w:val="21"/>
              </w:rPr>
            </w:pPr>
            <w:r>
              <w:rPr>
                <w:rFonts w:hint="eastAsia" w:ascii="Times New Roman" w:hAnsi="Times New Roman"/>
                <w:color w:val="000000"/>
                <w:szCs w:val="21"/>
              </w:rPr>
              <w:t>22</w:t>
            </w:r>
          </w:p>
        </w:tc>
        <w:tc>
          <w:tcPr>
            <w:vMerge w:val="continue"/>
          </w:tcPr>
          <w:p w14:paraId="02165D18"/>
        </w:tc>
        <w:tc>
          <w:tcPr>
            <w:tcW w:w="4216" w:type="dxa"/>
            <w:vAlign w:val="center"/>
          </w:tcPr>
          <w:p w14:paraId="59BA13CA">
            <w:pPr>
              <w:jc w:val="left"/>
              <w:textAlignment w:val="center"/>
              <w:rPr>
                <w:rFonts w:ascii="Times New Roman" w:hAnsi="Times New Roman"/>
                <w:color w:val="000000"/>
                <w:szCs w:val="21"/>
              </w:rPr>
            </w:pPr>
            <w:r>
              <w:rPr>
                <w:rFonts w:hint="eastAsia" w:ascii="Times New Roman" w:hAnsi="Times New Roman"/>
                <w:color w:val="000000"/>
                <w:szCs w:val="21"/>
              </w:rPr>
              <w:t>市级以上民族团结进步示范社区创建数（个）</w:t>
            </w:r>
          </w:p>
        </w:tc>
        <w:tc>
          <w:tcPr>
            <w:tcW w:w="867" w:type="dxa"/>
            <w:vAlign w:val="center"/>
          </w:tcPr>
          <w:p w14:paraId="206BA812">
            <w:pPr>
              <w:jc w:val="center"/>
              <w:textAlignment w:val="center"/>
              <w:rPr>
                <w:rFonts w:ascii="Times New Roman" w:hAnsi="Times New Roman"/>
                <w:color w:val="000000"/>
                <w:szCs w:val="21"/>
              </w:rPr>
            </w:pPr>
            <w:r>
              <w:rPr>
                <w:rFonts w:hint="eastAsia" w:ascii="Times New Roman" w:hAnsi="Times New Roman"/>
                <w:color w:val="000000"/>
                <w:szCs w:val="21"/>
              </w:rPr>
              <w:t>1</w:t>
            </w:r>
          </w:p>
        </w:tc>
        <w:tc>
          <w:tcPr>
            <w:tcW w:w="917" w:type="dxa"/>
            <w:vAlign w:val="center"/>
          </w:tcPr>
          <w:p w14:paraId="18835D9E">
            <w:pPr>
              <w:jc w:val="center"/>
              <w:textAlignment w:val="center"/>
              <w:rPr>
                <w:rFonts w:ascii="Times New Roman" w:hAnsi="Times New Roman"/>
                <w:color w:val="000000"/>
                <w:szCs w:val="21"/>
              </w:rPr>
            </w:pPr>
            <w:r>
              <w:rPr>
                <w:rFonts w:hint="eastAsia" w:ascii="Times New Roman" w:hAnsi="Times New Roman"/>
                <w:color w:val="000000"/>
                <w:szCs w:val="21"/>
              </w:rPr>
              <w:t>3</w:t>
            </w:r>
          </w:p>
        </w:tc>
        <w:tc>
          <w:tcPr>
            <w:tcW w:w="1033" w:type="dxa"/>
            <w:vAlign w:val="center"/>
          </w:tcPr>
          <w:p w14:paraId="1A867F75">
            <w:pPr>
              <w:jc w:val="center"/>
              <w:textAlignment w:val="center"/>
              <w:rPr>
                <w:rFonts w:ascii="Times New Roman" w:hAnsi="Times New Roman"/>
                <w:color w:val="000000"/>
                <w:szCs w:val="21"/>
              </w:rPr>
            </w:pPr>
            <w:r>
              <w:rPr>
                <w:rFonts w:hint="eastAsia" w:ascii="Times New Roman" w:hAnsi="Times New Roman"/>
                <w:color w:val="000000"/>
                <w:szCs w:val="21"/>
              </w:rPr>
              <w:t>[ 4 ]</w:t>
            </w:r>
          </w:p>
        </w:tc>
        <w:tc>
          <w:tcPr>
            <w:tcW w:w="989" w:type="dxa"/>
            <w:vAlign w:val="center"/>
          </w:tcPr>
          <w:p w14:paraId="70266BAB">
            <w:pPr>
              <w:jc w:val="center"/>
              <w:textAlignment w:val="center"/>
              <w:rPr>
                <w:rFonts w:ascii="Times New Roman" w:hAnsi="Times New Roman"/>
                <w:color w:val="000000"/>
                <w:szCs w:val="21"/>
              </w:rPr>
            </w:pPr>
            <w:r>
              <w:rPr>
                <w:rFonts w:hint="eastAsia" w:ascii="Times New Roman" w:hAnsi="Times New Roman"/>
                <w:color w:val="000000"/>
                <w:szCs w:val="21"/>
              </w:rPr>
              <w:t>预期性</w:t>
            </w:r>
          </w:p>
        </w:tc>
      </w:tr>
      <w:tr w14:paraId="74F5A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0" w:hRule="atLeast"/>
          <w:jc w:val="center"/>
        </w:trPr>
        <w:tc>
          <w:tcPr>
            <w:tcW w:w="428" w:type="dxa"/>
            <w:vAlign w:val="center"/>
          </w:tcPr>
          <w:p w14:paraId="2DEEE7D9">
            <w:pPr>
              <w:jc w:val="center"/>
              <w:textAlignment w:val="center"/>
              <w:rPr>
                <w:rFonts w:ascii="Times New Roman" w:hAnsi="Times New Roman"/>
                <w:color w:val="000000"/>
                <w:szCs w:val="21"/>
              </w:rPr>
            </w:pPr>
            <w:r>
              <w:rPr>
                <w:rFonts w:hint="eastAsia" w:ascii="Times New Roman" w:hAnsi="Times New Roman"/>
                <w:color w:val="000000"/>
                <w:szCs w:val="21"/>
              </w:rPr>
              <w:t>23</w:t>
            </w:r>
          </w:p>
        </w:tc>
        <w:tc>
          <w:tcPr>
            <w:vMerge w:val="continue"/>
          </w:tcPr>
          <w:p w14:paraId="7939D6A9"/>
        </w:tc>
        <w:tc>
          <w:tcPr>
            <w:tcW w:w="4216" w:type="dxa"/>
            <w:vAlign w:val="center"/>
          </w:tcPr>
          <w:p w14:paraId="0C5B1F24">
            <w:pPr>
              <w:textAlignment w:val="center"/>
              <w:rPr>
                <w:rFonts w:ascii="Times New Roman" w:hAnsi="Times New Roman"/>
                <w:color w:val="000000"/>
                <w:szCs w:val="21"/>
              </w:rPr>
            </w:pPr>
            <w:r>
              <w:rPr>
                <w:rFonts w:hint="eastAsia" w:ascii="Times New Roman" w:hAnsi="Times New Roman"/>
                <w:color w:val="000000"/>
                <w:szCs w:val="21"/>
              </w:rPr>
              <w:t>铸牢中华民族共同体意识研究教育实践场所（个）</w:t>
            </w:r>
          </w:p>
        </w:tc>
        <w:tc>
          <w:tcPr>
            <w:tcW w:w="867" w:type="dxa"/>
            <w:vAlign w:val="center"/>
          </w:tcPr>
          <w:p w14:paraId="4086560C">
            <w:pPr>
              <w:jc w:val="center"/>
              <w:rPr>
                <w:rFonts w:ascii="Times New Roman" w:hAnsi="Times New Roman"/>
                <w:color w:val="000000"/>
                <w:szCs w:val="21"/>
              </w:rPr>
            </w:pPr>
            <w:r>
              <w:rPr>
                <w:rFonts w:hint="eastAsia" w:ascii="Times New Roman" w:hAnsi="Times New Roman"/>
                <w:color w:val="000000"/>
                <w:szCs w:val="21"/>
              </w:rPr>
              <w:t>—</w:t>
            </w:r>
          </w:p>
        </w:tc>
        <w:tc>
          <w:tcPr>
            <w:tcW w:w="917" w:type="dxa"/>
            <w:vAlign w:val="center"/>
          </w:tcPr>
          <w:p w14:paraId="0757B0EC">
            <w:pPr>
              <w:jc w:val="center"/>
              <w:rPr>
                <w:rFonts w:ascii="Times New Roman" w:hAnsi="Times New Roman"/>
                <w:color w:val="000000"/>
                <w:szCs w:val="21"/>
              </w:rPr>
            </w:pPr>
            <w:r>
              <w:rPr>
                <w:rFonts w:hint="eastAsia" w:ascii="Times New Roman" w:hAnsi="Times New Roman"/>
                <w:color w:val="000000"/>
                <w:szCs w:val="21"/>
              </w:rPr>
              <w:t>—</w:t>
            </w:r>
          </w:p>
        </w:tc>
        <w:tc>
          <w:tcPr>
            <w:tcW w:w="1033" w:type="dxa"/>
            <w:vAlign w:val="center"/>
          </w:tcPr>
          <w:p w14:paraId="30CA7183">
            <w:pPr>
              <w:jc w:val="center"/>
              <w:textAlignment w:val="center"/>
              <w:rPr>
                <w:rFonts w:ascii="Times New Roman" w:hAnsi="Times New Roman"/>
                <w:color w:val="000000"/>
                <w:szCs w:val="21"/>
              </w:rPr>
            </w:pPr>
            <w:r>
              <w:rPr>
                <w:rFonts w:hint="eastAsia" w:ascii="Times New Roman" w:hAnsi="Times New Roman"/>
                <w:color w:val="000000"/>
                <w:szCs w:val="21"/>
              </w:rPr>
              <w:t>[ 3 ]</w:t>
            </w:r>
          </w:p>
        </w:tc>
        <w:tc>
          <w:tcPr>
            <w:tcW w:w="989" w:type="dxa"/>
            <w:vAlign w:val="center"/>
          </w:tcPr>
          <w:p w14:paraId="57D7971B">
            <w:pPr>
              <w:jc w:val="center"/>
              <w:rPr>
                <w:rFonts w:ascii="Times New Roman" w:hAnsi="Times New Roman"/>
                <w:color w:val="000000"/>
                <w:szCs w:val="21"/>
              </w:rPr>
            </w:pPr>
            <w:r>
              <w:rPr>
                <w:rFonts w:hint="eastAsia" w:ascii="Times New Roman" w:hAnsi="Times New Roman"/>
                <w:color w:val="000000"/>
                <w:szCs w:val="21"/>
              </w:rPr>
              <w:t>预期性</w:t>
            </w:r>
          </w:p>
        </w:tc>
      </w:tr>
      <w:tr w14:paraId="55105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0" w:hRule="atLeast"/>
          <w:jc w:val="center"/>
        </w:trPr>
        <w:tc>
          <w:tcPr>
            <w:tcW w:w="428" w:type="dxa"/>
            <w:vAlign w:val="center"/>
          </w:tcPr>
          <w:p w14:paraId="2C93200E">
            <w:pPr>
              <w:jc w:val="center"/>
              <w:textAlignment w:val="center"/>
              <w:rPr>
                <w:rFonts w:ascii="Times New Roman" w:hAnsi="Times New Roman"/>
                <w:color w:val="000000"/>
                <w:szCs w:val="21"/>
              </w:rPr>
            </w:pPr>
            <w:r>
              <w:rPr>
                <w:rFonts w:hint="eastAsia" w:ascii="Times New Roman" w:hAnsi="Times New Roman"/>
                <w:color w:val="000000"/>
                <w:szCs w:val="21"/>
              </w:rPr>
              <w:t>24</w:t>
            </w:r>
          </w:p>
        </w:tc>
        <w:tc>
          <w:tcPr>
            <w:vMerge w:val="continue"/>
          </w:tcPr>
          <w:p w14:paraId="7F9E82CB"/>
        </w:tc>
        <w:tc>
          <w:tcPr>
            <w:tcW w:w="4216" w:type="dxa"/>
            <w:vAlign w:val="center"/>
          </w:tcPr>
          <w:p w14:paraId="7F0CDA70">
            <w:pPr>
              <w:jc w:val="left"/>
              <w:textAlignment w:val="center"/>
              <w:rPr>
                <w:rFonts w:ascii="Times New Roman" w:hAnsi="Times New Roman"/>
                <w:color w:val="000000"/>
                <w:szCs w:val="21"/>
              </w:rPr>
            </w:pPr>
            <w:r>
              <w:rPr>
                <w:rFonts w:hint="eastAsia" w:ascii="Times New Roman" w:hAnsi="Times New Roman"/>
                <w:color w:val="000000"/>
                <w:szCs w:val="21"/>
              </w:rPr>
              <w:t>省级以上</w:t>
            </w:r>
            <w:r>
              <w:rPr>
                <w:rFonts w:ascii="Times New Roman" w:hAnsi="Times New Roman"/>
                <w:color w:val="000000"/>
                <w:szCs w:val="21"/>
              </w:rPr>
              <w:t>民族团结教育基地</w:t>
            </w:r>
            <w:r>
              <w:rPr>
                <w:rFonts w:hint="eastAsia" w:ascii="Times New Roman" w:hAnsi="Times New Roman"/>
                <w:color w:val="000000"/>
                <w:szCs w:val="21"/>
              </w:rPr>
              <w:t>（个）</w:t>
            </w:r>
          </w:p>
        </w:tc>
        <w:tc>
          <w:tcPr>
            <w:tcW w:w="867" w:type="dxa"/>
            <w:vAlign w:val="center"/>
          </w:tcPr>
          <w:p w14:paraId="6A583FF7">
            <w:pPr>
              <w:jc w:val="center"/>
              <w:rPr>
                <w:rFonts w:ascii="Times New Roman" w:hAnsi="Times New Roman"/>
                <w:color w:val="000000"/>
                <w:szCs w:val="21"/>
              </w:rPr>
            </w:pPr>
            <w:r>
              <w:rPr>
                <w:rFonts w:hint="eastAsia" w:ascii="Times New Roman" w:hAnsi="Times New Roman"/>
                <w:color w:val="000000"/>
                <w:szCs w:val="21"/>
              </w:rPr>
              <w:t>—</w:t>
            </w:r>
          </w:p>
        </w:tc>
        <w:tc>
          <w:tcPr>
            <w:tcW w:w="917" w:type="dxa"/>
            <w:vAlign w:val="center"/>
          </w:tcPr>
          <w:p w14:paraId="34117363">
            <w:pPr>
              <w:jc w:val="center"/>
              <w:rPr>
                <w:rFonts w:ascii="Times New Roman" w:hAnsi="Times New Roman"/>
                <w:color w:val="000000"/>
                <w:szCs w:val="21"/>
              </w:rPr>
            </w:pPr>
            <w:r>
              <w:rPr>
                <w:rFonts w:hint="eastAsia" w:ascii="Times New Roman" w:hAnsi="Times New Roman"/>
                <w:color w:val="000000"/>
                <w:szCs w:val="21"/>
              </w:rPr>
              <w:t>—</w:t>
            </w:r>
          </w:p>
        </w:tc>
        <w:tc>
          <w:tcPr>
            <w:tcW w:w="1033" w:type="dxa"/>
            <w:vAlign w:val="center"/>
          </w:tcPr>
          <w:p w14:paraId="58B5DF6A">
            <w:pPr>
              <w:jc w:val="center"/>
              <w:textAlignment w:val="center"/>
              <w:rPr>
                <w:rFonts w:ascii="Times New Roman" w:hAnsi="Times New Roman"/>
                <w:color w:val="000000"/>
                <w:szCs w:val="21"/>
              </w:rPr>
            </w:pPr>
            <w:r>
              <w:rPr>
                <w:rFonts w:hint="eastAsia" w:ascii="Times New Roman" w:hAnsi="Times New Roman"/>
                <w:color w:val="000000"/>
                <w:szCs w:val="21"/>
              </w:rPr>
              <w:t>[ 3 ]</w:t>
            </w:r>
          </w:p>
        </w:tc>
        <w:tc>
          <w:tcPr>
            <w:tcW w:w="989" w:type="dxa"/>
            <w:vAlign w:val="center"/>
          </w:tcPr>
          <w:p w14:paraId="694DCBF4">
            <w:pPr>
              <w:jc w:val="center"/>
              <w:rPr>
                <w:rFonts w:ascii="Times New Roman" w:hAnsi="Times New Roman"/>
                <w:color w:val="000000"/>
                <w:szCs w:val="21"/>
              </w:rPr>
            </w:pPr>
            <w:r>
              <w:rPr>
                <w:rFonts w:hint="eastAsia" w:ascii="Times New Roman" w:hAnsi="Times New Roman"/>
                <w:color w:val="000000"/>
                <w:szCs w:val="21"/>
              </w:rPr>
              <w:t>预期性</w:t>
            </w:r>
          </w:p>
        </w:tc>
      </w:tr>
      <w:tr w14:paraId="75951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0" w:hRule="atLeast"/>
          <w:jc w:val="center"/>
        </w:trPr>
        <w:tc>
          <w:tcPr>
            <w:tcW w:w="428" w:type="dxa"/>
            <w:vAlign w:val="center"/>
          </w:tcPr>
          <w:p w14:paraId="20BCF5EB">
            <w:pPr>
              <w:jc w:val="center"/>
              <w:textAlignment w:val="center"/>
              <w:rPr>
                <w:rFonts w:ascii="Times New Roman" w:hAnsi="Times New Roman"/>
                <w:color w:val="000000"/>
                <w:szCs w:val="21"/>
              </w:rPr>
            </w:pPr>
            <w:r>
              <w:rPr>
                <w:rFonts w:hint="eastAsia" w:ascii="Times New Roman" w:hAnsi="Times New Roman"/>
                <w:color w:val="000000"/>
                <w:szCs w:val="21"/>
              </w:rPr>
              <w:t>25</w:t>
            </w:r>
          </w:p>
        </w:tc>
        <w:tc>
          <w:tcPr>
            <w:vMerge w:val="continue"/>
          </w:tcPr>
          <w:p w14:paraId="1761A6D1"/>
        </w:tc>
        <w:tc>
          <w:tcPr>
            <w:tcW w:w="4216" w:type="dxa"/>
            <w:vAlign w:val="center"/>
          </w:tcPr>
          <w:p w14:paraId="6E01B3C0">
            <w:pPr>
              <w:textAlignment w:val="center"/>
              <w:rPr>
                <w:rFonts w:ascii="Times New Roman" w:hAnsi="Times New Roman"/>
                <w:color w:val="000000"/>
                <w:szCs w:val="21"/>
              </w:rPr>
            </w:pPr>
            <w:r>
              <w:rPr>
                <w:rFonts w:hint="eastAsia" w:ascii="Times New Roman" w:hAnsi="Times New Roman"/>
                <w:color w:val="000000"/>
                <w:szCs w:val="21"/>
              </w:rPr>
              <w:t>省级以上</w:t>
            </w:r>
            <w:r>
              <w:rPr>
                <w:rFonts w:ascii="Times New Roman" w:hAnsi="Times New Roman"/>
                <w:color w:val="000000"/>
                <w:szCs w:val="21"/>
              </w:rPr>
              <w:t>少数民族特色村寨</w:t>
            </w:r>
            <w:r>
              <w:rPr>
                <w:rFonts w:hint="eastAsia" w:ascii="Times New Roman" w:hAnsi="Times New Roman"/>
                <w:color w:val="000000"/>
                <w:szCs w:val="21"/>
              </w:rPr>
              <w:t>（个）</w:t>
            </w:r>
          </w:p>
        </w:tc>
        <w:tc>
          <w:tcPr>
            <w:tcW w:w="867" w:type="dxa"/>
            <w:vAlign w:val="center"/>
          </w:tcPr>
          <w:p w14:paraId="5ABA8A83">
            <w:pPr>
              <w:jc w:val="center"/>
              <w:rPr>
                <w:rFonts w:ascii="Times New Roman" w:hAnsi="Times New Roman"/>
                <w:color w:val="000000"/>
                <w:szCs w:val="21"/>
              </w:rPr>
            </w:pPr>
            <w:r>
              <w:rPr>
                <w:rFonts w:hint="eastAsia" w:ascii="Times New Roman" w:hAnsi="Times New Roman"/>
                <w:color w:val="000000"/>
                <w:szCs w:val="21"/>
              </w:rPr>
              <w:t>2</w:t>
            </w:r>
          </w:p>
        </w:tc>
        <w:tc>
          <w:tcPr>
            <w:tcW w:w="917" w:type="dxa"/>
            <w:vAlign w:val="center"/>
          </w:tcPr>
          <w:p w14:paraId="737AC5C0">
            <w:pPr>
              <w:jc w:val="center"/>
              <w:rPr>
                <w:rFonts w:ascii="Times New Roman" w:hAnsi="Times New Roman"/>
                <w:color w:val="000000"/>
                <w:szCs w:val="21"/>
              </w:rPr>
            </w:pPr>
            <w:r>
              <w:rPr>
                <w:rFonts w:hint="eastAsia" w:ascii="Times New Roman" w:hAnsi="Times New Roman"/>
                <w:color w:val="000000"/>
                <w:szCs w:val="21"/>
              </w:rPr>
              <w:t>2</w:t>
            </w:r>
          </w:p>
        </w:tc>
        <w:tc>
          <w:tcPr>
            <w:tcW w:w="1033" w:type="dxa"/>
            <w:vAlign w:val="center"/>
          </w:tcPr>
          <w:p w14:paraId="01C36911">
            <w:pPr>
              <w:jc w:val="center"/>
              <w:textAlignment w:val="center"/>
              <w:rPr>
                <w:rFonts w:ascii="Times New Roman" w:hAnsi="Times New Roman"/>
                <w:color w:val="000000"/>
                <w:szCs w:val="21"/>
              </w:rPr>
            </w:pPr>
            <w:r>
              <w:rPr>
                <w:rFonts w:hint="eastAsia" w:ascii="Times New Roman" w:hAnsi="Times New Roman"/>
                <w:color w:val="000000"/>
                <w:szCs w:val="21"/>
              </w:rPr>
              <w:t>[ 4 ]</w:t>
            </w:r>
          </w:p>
        </w:tc>
        <w:tc>
          <w:tcPr>
            <w:tcW w:w="989" w:type="dxa"/>
            <w:vAlign w:val="center"/>
          </w:tcPr>
          <w:p w14:paraId="6D4FE68F">
            <w:pPr>
              <w:jc w:val="center"/>
              <w:rPr>
                <w:rFonts w:ascii="Times New Roman" w:hAnsi="Times New Roman"/>
                <w:color w:val="000000"/>
                <w:szCs w:val="21"/>
              </w:rPr>
            </w:pPr>
            <w:r>
              <w:rPr>
                <w:rFonts w:hint="eastAsia" w:ascii="Times New Roman" w:hAnsi="Times New Roman"/>
                <w:color w:val="000000"/>
                <w:szCs w:val="21"/>
              </w:rPr>
              <w:t>预期性</w:t>
            </w:r>
          </w:p>
        </w:tc>
      </w:tr>
      <w:tr w14:paraId="75F6C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0" w:hRule="atLeast"/>
          <w:jc w:val="center"/>
        </w:trPr>
        <w:tc>
          <w:tcPr>
            <w:tcW w:w="428" w:type="dxa"/>
            <w:vAlign w:val="center"/>
          </w:tcPr>
          <w:p w14:paraId="0E48132E">
            <w:pPr>
              <w:jc w:val="center"/>
              <w:textAlignment w:val="center"/>
              <w:rPr>
                <w:rFonts w:ascii="Times New Roman" w:hAnsi="Times New Roman"/>
                <w:color w:val="000000"/>
                <w:szCs w:val="21"/>
              </w:rPr>
            </w:pPr>
            <w:r>
              <w:rPr>
                <w:rFonts w:hint="eastAsia" w:ascii="Times New Roman" w:hAnsi="Times New Roman"/>
                <w:color w:val="000000"/>
                <w:szCs w:val="21"/>
              </w:rPr>
              <w:t>26</w:t>
            </w:r>
          </w:p>
        </w:tc>
        <w:tc>
          <w:tcPr>
            <w:vMerge w:val="continue"/>
          </w:tcPr>
          <w:p w14:paraId="5906F102"/>
        </w:tc>
        <w:tc>
          <w:tcPr>
            <w:tcW w:w="4216" w:type="dxa"/>
            <w:vAlign w:val="center"/>
          </w:tcPr>
          <w:p w14:paraId="4F1A66D3">
            <w:pPr>
              <w:jc w:val="left"/>
              <w:textAlignment w:val="center"/>
              <w:rPr>
                <w:rFonts w:ascii="Times New Roman" w:hAnsi="Times New Roman"/>
                <w:color w:val="000000"/>
                <w:szCs w:val="21"/>
              </w:rPr>
            </w:pPr>
            <w:r>
              <w:rPr>
                <w:rFonts w:hint="eastAsia" w:ascii="Times New Roman" w:hAnsi="Times New Roman"/>
                <w:color w:val="000000"/>
                <w:szCs w:val="21"/>
              </w:rPr>
              <w:t>“</w:t>
            </w:r>
            <w:r>
              <w:rPr>
                <w:rFonts w:ascii="Times New Roman" w:hAnsi="Times New Roman"/>
                <w:color w:val="000000"/>
                <w:szCs w:val="21"/>
              </w:rPr>
              <w:t>融荣与共实践中心</w:t>
            </w:r>
            <w:r>
              <w:rPr>
                <w:rFonts w:hint="eastAsia" w:ascii="Times New Roman" w:hAnsi="Times New Roman"/>
                <w:color w:val="000000"/>
                <w:szCs w:val="21"/>
              </w:rPr>
              <w:t>”建设数（个）</w:t>
            </w:r>
          </w:p>
        </w:tc>
        <w:tc>
          <w:tcPr>
            <w:tcW w:w="867" w:type="dxa"/>
            <w:vAlign w:val="center"/>
          </w:tcPr>
          <w:p w14:paraId="2F3BCB6D">
            <w:pPr>
              <w:jc w:val="center"/>
              <w:textAlignment w:val="center"/>
              <w:rPr>
                <w:rFonts w:ascii="Times New Roman" w:hAnsi="Times New Roman"/>
                <w:color w:val="000000"/>
                <w:szCs w:val="21"/>
              </w:rPr>
            </w:pPr>
            <w:r>
              <w:rPr>
                <w:rFonts w:hint="eastAsia" w:ascii="Times New Roman" w:hAnsi="Times New Roman"/>
                <w:color w:val="000000"/>
                <w:szCs w:val="21"/>
              </w:rPr>
              <w:t>—</w:t>
            </w:r>
          </w:p>
        </w:tc>
        <w:tc>
          <w:tcPr>
            <w:tcW w:w="917" w:type="dxa"/>
            <w:vAlign w:val="center"/>
          </w:tcPr>
          <w:p w14:paraId="65F79B49">
            <w:pPr>
              <w:jc w:val="center"/>
              <w:rPr>
                <w:rFonts w:ascii="Times New Roman" w:hAnsi="Times New Roman"/>
                <w:color w:val="000000"/>
                <w:szCs w:val="21"/>
              </w:rPr>
            </w:pPr>
            <w:r>
              <w:rPr>
                <w:rFonts w:hint="eastAsia" w:ascii="Times New Roman" w:hAnsi="Times New Roman"/>
                <w:color w:val="000000"/>
                <w:szCs w:val="21"/>
              </w:rPr>
              <w:t>—</w:t>
            </w:r>
          </w:p>
        </w:tc>
        <w:tc>
          <w:tcPr>
            <w:tcW w:w="1033" w:type="dxa"/>
            <w:vAlign w:val="center"/>
          </w:tcPr>
          <w:p w14:paraId="3587CE8F">
            <w:pPr>
              <w:jc w:val="center"/>
              <w:textAlignment w:val="center"/>
              <w:rPr>
                <w:rFonts w:ascii="Times New Roman" w:hAnsi="Times New Roman"/>
                <w:color w:val="000000"/>
                <w:szCs w:val="21"/>
              </w:rPr>
            </w:pPr>
            <w:r>
              <w:rPr>
                <w:rFonts w:hint="eastAsia" w:ascii="Times New Roman" w:hAnsi="Times New Roman"/>
                <w:color w:val="000000"/>
                <w:szCs w:val="21"/>
              </w:rPr>
              <w:t>[ 1 ]</w:t>
            </w:r>
          </w:p>
        </w:tc>
        <w:tc>
          <w:tcPr>
            <w:tcW w:w="989" w:type="dxa"/>
            <w:vAlign w:val="center"/>
          </w:tcPr>
          <w:p w14:paraId="32D82A45">
            <w:pPr>
              <w:jc w:val="center"/>
              <w:rPr>
                <w:rFonts w:ascii="Times New Roman" w:hAnsi="Times New Roman"/>
                <w:color w:val="000000"/>
                <w:szCs w:val="21"/>
              </w:rPr>
            </w:pPr>
            <w:r>
              <w:rPr>
                <w:rFonts w:hint="eastAsia" w:ascii="Times New Roman" w:hAnsi="Times New Roman"/>
                <w:color w:val="000000"/>
                <w:szCs w:val="21"/>
              </w:rPr>
              <w:t>预期性</w:t>
            </w:r>
          </w:p>
        </w:tc>
      </w:tr>
      <w:tr w14:paraId="5CDC2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0" w:hRule="atLeast"/>
          <w:jc w:val="center"/>
        </w:trPr>
        <w:tc>
          <w:tcPr>
            <w:tcW w:w="428" w:type="dxa"/>
            <w:vAlign w:val="center"/>
          </w:tcPr>
          <w:p w14:paraId="71C85DE4">
            <w:pPr>
              <w:jc w:val="center"/>
              <w:textAlignment w:val="center"/>
              <w:rPr>
                <w:rFonts w:ascii="Times New Roman" w:hAnsi="Times New Roman"/>
                <w:color w:val="000000"/>
                <w:szCs w:val="21"/>
              </w:rPr>
            </w:pPr>
            <w:r>
              <w:rPr>
                <w:rFonts w:hint="eastAsia" w:ascii="Times New Roman" w:hAnsi="Times New Roman"/>
                <w:color w:val="000000"/>
                <w:szCs w:val="21"/>
              </w:rPr>
              <w:t>27</w:t>
            </w:r>
          </w:p>
        </w:tc>
        <w:tc>
          <w:tcPr>
            <w:vMerge w:val="continue"/>
          </w:tcPr>
          <w:p w14:paraId="24A86795"/>
        </w:tc>
        <w:tc>
          <w:tcPr>
            <w:tcW w:w="4216" w:type="dxa"/>
            <w:vAlign w:val="center"/>
          </w:tcPr>
          <w:p w14:paraId="4DC09272">
            <w:pPr>
              <w:jc w:val="left"/>
              <w:textAlignment w:val="center"/>
              <w:rPr>
                <w:rFonts w:ascii="Times New Roman" w:hAnsi="Times New Roman"/>
                <w:color w:val="000000"/>
                <w:szCs w:val="21"/>
              </w:rPr>
            </w:pPr>
            <w:r>
              <w:rPr>
                <w:rFonts w:hint="eastAsia" w:ascii="Times New Roman" w:hAnsi="Times New Roman"/>
                <w:color w:val="000000"/>
                <w:szCs w:val="21"/>
              </w:rPr>
              <w:t>“一家亲”工作站建设数（个）</w:t>
            </w:r>
          </w:p>
        </w:tc>
        <w:tc>
          <w:tcPr>
            <w:tcW w:w="867" w:type="dxa"/>
            <w:vAlign w:val="center"/>
          </w:tcPr>
          <w:p w14:paraId="616006E2">
            <w:pPr>
              <w:jc w:val="center"/>
              <w:textAlignment w:val="center"/>
              <w:rPr>
                <w:rFonts w:ascii="Times New Roman" w:hAnsi="Times New Roman"/>
                <w:color w:val="000000"/>
                <w:szCs w:val="21"/>
              </w:rPr>
            </w:pPr>
            <w:r>
              <w:rPr>
                <w:rFonts w:hint="eastAsia" w:ascii="Times New Roman" w:hAnsi="Times New Roman"/>
                <w:color w:val="000000"/>
                <w:szCs w:val="21"/>
              </w:rPr>
              <w:t>—</w:t>
            </w:r>
          </w:p>
        </w:tc>
        <w:tc>
          <w:tcPr>
            <w:tcW w:w="917" w:type="dxa"/>
            <w:vAlign w:val="center"/>
          </w:tcPr>
          <w:p w14:paraId="17B37321">
            <w:pPr>
              <w:jc w:val="center"/>
              <w:rPr>
                <w:rFonts w:ascii="Times New Roman" w:hAnsi="Times New Roman"/>
                <w:color w:val="000000"/>
                <w:szCs w:val="21"/>
              </w:rPr>
            </w:pPr>
            <w:r>
              <w:rPr>
                <w:rFonts w:hint="eastAsia" w:ascii="Times New Roman" w:hAnsi="Times New Roman"/>
                <w:color w:val="000000"/>
                <w:szCs w:val="21"/>
              </w:rPr>
              <w:t>6</w:t>
            </w:r>
          </w:p>
        </w:tc>
        <w:tc>
          <w:tcPr>
            <w:tcW w:w="1033" w:type="dxa"/>
            <w:vAlign w:val="center"/>
          </w:tcPr>
          <w:p w14:paraId="55ED5FD7">
            <w:pPr>
              <w:jc w:val="center"/>
              <w:textAlignment w:val="center"/>
              <w:rPr>
                <w:rFonts w:ascii="Times New Roman" w:hAnsi="Times New Roman"/>
                <w:color w:val="000000"/>
                <w:szCs w:val="21"/>
              </w:rPr>
            </w:pPr>
            <w:r>
              <w:rPr>
                <w:rFonts w:hint="eastAsia" w:ascii="Times New Roman" w:hAnsi="Times New Roman"/>
                <w:color w:val="000000"/>
                <w:szCs w:val="21"/>
              </w:rPr>
              <w:t>[ 6 ]</w:t>
            </w:r>
          </w:p>
        </w:tc>
        <w:tc>
          <w:tcPr>
            <w:tcW w:w="989" w:type="dxa"/>
            <w:vAlign w:val="center"/>
          </w:tcPr>
          <w:p w14:paraId="76DC00D3">
            <w:pPr>
              <w:jc w:val="center"/>
              <w:rPr>
                <w:rFonts w:ascii="Times New Roman" w:hAnsi="Times New Roman"/>
                <w:color w:val="000000"/>
                <w:szCs w:val="21"/>
              </w:rPr>
            </w:pPr>
            <w:r>
              <w:rPr>
                <w:rFonts w:hint="eastAsia" w:ascii="Times New Roman" w:hAnsi="Times New Roman"/>
                <w:color w:val="000000"/>
                <w:szCs w:val="21"/>
              </w:rPr>
              <w:t>预期性</w:t>
            </w:r>
          </w:p>
        </w:tc>
      </w:tr>
      <w:tr w14:paraId="4EB16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0" w:hRule="atLeast"/>
          <w:jc w:val="center"/>
        </w:trPr>
        <w:tc>
          <w:tcPr>
            <w:tcW w:w="428" w:type="dxa"/>
            <w:vAlign w:val="center"/>
          </w:tcPr>
          <w:p w14:paraId="49BC5FAD">
            <w:pPr>
              <w:jc w:val="center"/>
              <w:textAlignment w:val="center"/>
              <w:rPr>
                <w:rFonts w:ascii="Times New Roman" w:hAnsi="Times New Roman"/>
                <w:color w:val="000000"/>
                <w:szCs w:val="21"/>
              </w:rPr>
            </w:pPr>
            <w:r>
              <w:rPr>
                <w:rFonts w:hint="eastAsia" w:ascii="Times New Roman" w:hAnsi="Times New Roman"/>
                <w:color w:val="000000"/>
                <w:szCs w:val="21"/>
              </w:rPr>
              <w:t>28</w:t>
            </w:r>
          </w:p>
        </w:tc>
        <w:tc>
          <w:tcPr>
            <w:tcW w:w="1015" w:type="dxa"/>
            <w:vMerge w:val="restart"/>
            <w:vAlign w:val="center"/>
          </w:tcPr>
          <w:p w14:paraId="68FA7F20">
            <w:pPr>
              <w:jc w:val="center"/>
              <w:textAlignment w:val="center"/>
              <w:rPr>
                <w:rFonts w:ascii="Times New Roman" w:hAnsi="Times New Roman"/>
                <w:color w:val="000000"/>
                <w:szCs w:val="21"/>
              </w:rPr>
            </w:pPr>
            <w:r>
              <w:rPr>
                <w:rFonts w:hint="eastAsia" w:ascii="Times New Roman" w:hAnsi="Times New Roman"/>
                <w:color w:val="000000"/>
                <w:szCs w:val="21"/>
              </w:rPr>
              <w:t>在夯实中华民族共同体法治基础上作出表率</w:t>
            </w:r>
          </w:p>
        </w:tc>
        <w:tc>
          <w:tcPr>
            <w:tcW w:w="4216" w:type="dxa"/>
            <w:vAlign w:val="center"/>
          </w:tcPr>
          <w:p w14:paraId="5E0F18F3">
            <w:pPr>
              <w:textAlignment w:val="center"/>
              <w:rPr>
                <w:rFonts w:ascii="Times New Roman" w:hAnsi="Times New Roman"/>
                <w:color w:val="000000"/>
                <w:szCs w:val="21"/>
              </w:rPr>
            </w:pPr>
            <w:r>
              <w:rPr>
                <w:rFonts w:hint="eastAsia" w:ascii="Times New Roman" w:hAnsi="Times New Roman"/>
                <w:color w:val="000000"/>
                <w:szCs w:val="21"/>
              </w:rPr>
              <w:t>“</w:t>
            </w:r>
            <w:r>
              <w:rPr>
                <w:rFonts w:ascii="Times New Roman" w:hAnsi="Times New Roman"/>
                <w:color w:val="000000"/>
                <w:szCs w:val="21"/>
              </w:rPr>
              <w:t>一网两单</w:t>
            </w:r>
            <w:r>
              <w:rPr>
                <w:rFonts w:hint="eastAsia" w:ascii="Times New Roman" w:hAnsi="Times New Roman"/>
                <w:color w:val="000000"/>
                <w:szCs w:val="21"/>
              </w:rPr>
              <w:t>”</w:t>
            </w:r>
            <w:r>
              <w:rPr>
                <w:rFonts w:ascii="Times New Roman" w:hAnsi="Times New Roman"/>
                <w:color w:val="000000"/>
                <w:szCs w:val="21"/>
              </w:rPr>
              <w:t>交办问题完成率（%）</w:t>
            </w:r>
          </w:p>
        </w:tc>
        <w:tc>
          <w:tcPr>
            <w:tcW w:w="867" w:type="dxa"/>
            <w:vAlign w:val="center"/>
          </w:tcPr>
          <w:p w14:paraId="36F84AA1">
            <w:pPr>
              <w:jc w:val="center"/>
              <w:rPr>
                <w:rFonts w:ascii="Times New Roman" w:hAnsi="Times New Roman"/>
                <w:color w:val="000000"/>
                <w:szCs w:val="21"/>
              </w:rPr>
            </w:pPr>
            <w:r>
              <w:rPr>
                <w:rFonts w:hint="eastAsia" w:ascii="Times New Roman" w:hAnsi="Times New Roman"/>
                <w:color w:val="000000"/>
                <w:szCs w:val="21"/>
              </w:rPr>
              <w:t>—</w:t>
            </w:r>
          </w:p>
        </w:tc>
        <w:tc>
          <w:tcPr>
            <w:tcW w:w="917" w:type="dxa"/>
            <w:vAlign w:val="center"/>
          </w:tcPr>
          <w:p w14:paraId="1DFC6526">
            <w:pPr>
              <w:jc w:val="center"/>
              <w:rPr>
                <w:rFonts w:ascii="Times New Roman" w:hAnsi="Times New Roman"/>
                <w:color w:val="000000"/>
                <w:szCs w:val="21"/>
              </w:rPr>
            </w:pPr>
            <w:r>
              <w:rPr>
                <w:rFonts w:hint="eastAsia" w:ascii="Times New Roman" w:hAnsi="Times New Roman"/>
                <w:color w:val="000000"/>
                <w:szCs w:val="21"/>
              </w:rPr>
              <w:t>—</w:t>
            </w:r>
          </w:p>
        </w:tc>
        <w:tc>
          <w:tcPr>
            <w:tcW w:w="1033" w:type="dxa"/>
            <w:vAlign w:val="center"/>
          </w:tcPr>
          <w:p w14:paraId="569C71D8">
            <w:pPr>
              <w:jc w:val="center"/>
              <w:textAlignment w:val="center"/>
              <w:rPr>
                <w:rFonts w:ascii="Times New Roman" w:hAnsi="Times New Roman"/>
                <w:color w:val="000000"/>
                <w:szCs w:val="21"/>
              </w:rPr>
            </w:pPr>
            <w:r>
              <w:rPr>
                <w:rFonts w:hint="eastAsia" w:ascii="Times New Roman" w:hAnsi="Times New Roman"/>
                <w:color w:val="000000"/>
                <w:szCs w:val="21"/>
              </w:rPr>
              <w:t>≧[90]</w:t>
            </w:r>
          </w:p>
        </w:tc>
        <w:tc>
          <w:tcPr>
            <w:tcW w:w="989" w:type="dxa"/>
            <w:vAlign w:val="center"/>
          </w:tcPr>
          <w:p w14:paraId="1771A7E0">
            <w:pPr>
              <w:jc w:val="center"/>
              <w:rPr>
                <w:rFonts w:ascii="Times New Roman" w:hAnsi="Times New Roman"/>
                <w:color w:val="000000"/>
                <w:szCs w:val="21"/>
              </w:rPr>
            </w:pPr>
            <w:r>
              <w:rPr>
                <w:rFonts w:hint="eastAsia" w:ascii="Times New Roman" w:hAnsi="Times New Roman"/>
                <w:color w:val="000000"/>
                <w:szCs w:val="21"/>
              </w:rPr>
              <w:t>约束性</w:t>
            </w:r>
          </w:p>
        </w:tc>
      </w:tr>
      <w:tr w14:paraId="160E3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0" w:hRule="atLeast"/>
          <w:jc w:val="center"/>
        </w:trPr>
        <w:tc>
          <w:tcPr>
            <w:tcW w:w="428" w:type="dxa"/>
            <w:vAlign w:val="center"/>
          </w:tcPr>
          <w:p w14:paraId="4AC7AE98">
            <w:pPr>
              <w:jc w:val="center"/>
              <w:textAlignment w:val="center"/>
              <w:rPr>
                <w:rFonts w:ascii="Times New Roman" w:hAnsi="Times New Roman"/>
                <w:color w:val="000000"/>
                <w:szCs w:val="21"/>
              </w:rPr>
            </w:pPr>
            <w:r>
              <w:rPr>
                <w:rFonts w:hint="eastAsia" w:ascii="Times New Roman" w:hAnsi="Times New Roman"/>
                <w:color w:val="000000"/>
                <w:szCs w:val="21"/>
              </w:rPr>
              <w:t>29</w:t>
            </w:r>
          </w:p>
        </w:tc>
        <w:tc>
          <w:tcPr>
            <w:vMerge w:val="continue"/>
          </w:tcPr>
          <w:p w14:paraId="4061693B"/>
        </w:tc>
        <w:tc>
          <w:tcPr>
            <w:tcW w:w="4216" w:type="dxa"/>
            <w:vAlign w:val="center"/>
          </w:tcPr>
          <w:p w14:paraId="1CCE9745">
            <w:pPr>
              <w:textAlignment w:val="center"/>
              <w:rPr>
                <w:rFonts w:ascii="Times New Roman" w:hAnsi="Times New Roman"/>
                <w:color w:val="000000"/>
                <w:szCs w:val="21"/>
              </w:rPr>
            </w:pPr>
            <w:r>
              <w:rPr>
                <w:rFonts w:ascii="Times New Roman" w:hAnsi="Times New Roman"/>
                <w:color w:val="000000"/>
                <w:szCs w:val="21"/>
              </w:rPr>
              <w:t>涉及民族宗教因素矛盾纠纷排查处置率（%）</w:t>
            </w:r>
          </w:p>
        </w:tc>
        <w:tc>
          <w:tcPr>
            <w:tcW w:w="867" w:type="dxa"/>
            <w:vAlign w:val="center"/>
          </w:tcPr>
          <w:p w14:paraId="4EF64C5F">
            <w:pPr>
              <w:jc w:val="center"/>
              <w:rPr>
                <w:rFonts w:ascii="Times New Roman" w:hAnsi="Times New Roman"/>
                <w:color w:val="000000"/>
                <w:szCs w:val="21"/>
              </w:rPr>
            </w:pPr>
            <w:r>
              <w:rPr>
                <w:rFonts w:hint="eastAsia" w:ascii="Times New Roman" w:hAnsi="Times New Roman"/>
                <w:color w:val="000000"/>
                <w:szCs w:val="21"/>
              </w:rPr>
              <w:t>—</w:t>
            </w:r>
          </w:p>
        </w:tc>
        <w:tc>
          <w:tcPr>
            <w:tcW w:w="917" w:type="dxa"/>
            <w:vAlign w:val="center"/>
          </w:tcPr>
          <w:p w14:paraId="34507C90">
            <w:pPr>
              <w:jc w:val="center"/>
              <w:rPr>
                <w:rFonts w:ascii="Times New Roman" w:hAnsi="Times New Roman"/>
                <w:color w:val="000000"/>
                <w:szCs w:val="21"/>
              </w:rPr>
            </w:pPr>
            <w:r>
              <w:rPr>
                <w:rFonts w:hint="eastAsia" w:ascii="Times New Roman" w:hAnsi="Times New Roman"/>
                <w:color w:val="000000"/>
                <w:szCs w:val="21"/>
              </w:rPr>
              <w:t>—</w:t>
            </w:r>
          </w:p>
        </w:tc>
        <w:tc>
          <w:tcPr>
            <w:tcW w:w="1033" w:type="dxa"/>
            <w:vAlign w:val="center"/>
          </w:tcPr>
          <w:p w14:paraId="4E88D81C">
            <w:pPr>
              <w:jc w:val="center"/>
              <w:textAlignment w:val="center"/>
              <w:rPr>
                <w:rFonts w:ascii="Times New Roman" w:hAnsi="Times New Roman"/>
                <w:color w:val="000000"/>
                <w:szCs w:val="21"/>
              </w:rPr>
            </w:pPr>
            <w:r>
              <w:rPr>
                <w:rFonts w:hint="eastAsia" w:ascii="Times New Roman" w:hAnsi="Times New Roman"/>
                <w:color w:val="000000"/>
                <w:szCs w:val="21"/>
              </w:rPr>
              <w:t>≧[90]</w:t>
            </w:r>
          </w:p>
        </w:tc>
        <w:tc>
          <w:tcPr>
            <w:tcW w:w="989" w:type="dxa"/>
            <w:vAlign w:val="center"/>
          </w:tcPr>
          <w:p w14:paraId="61E0B50D">
            <w:pPr>
              <w:jc w:val="center"/>
              <w:rPr>
                <w:rFonts w:ascii="Times New Roman" w:hAnsi="Times New Roman"/>
                <w:color w:val="000000"/>
                <w:szCs w:val="21"/>
              </w:rPr>
            </w:pPr>
            <w:r>
              <w:rPr>
                <w:rFonts w:hint="eastAsia" w:ascii="Times New Roman" w:hAnsi="Times New Roman"/>
                <w:color w:val="000000"/>
                <w:szCs w:val="21"/>
              </w:rPr>
              <w:t>约束性</w:t>
            </w:r>
          </w:p>
        </w:tc>
      </w:tr>
      <w:tr w14:paraId="3C3D7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0" w:hRule="atLeast"/>
          <w:jc w:val="center"/>
        </w:trPr>
        <w:tc>
          <w:tcPr>
            <w:tcW w:w="428" w:type="dxa"/>
            <w:vAlign w:val="center"/>
          </w:tcPr>
          <w:p w14:paraId="5FCA6678">
            <w:pPr>
              <w:jc w:val="center"/>
              <w:textAlignment w:val="center"/>
              <w:rPr>
                <w:rFonts w:ascii="Times New Roman" w:hAnsi="Times New Roman"/>
                <w:color w:val="000000"/>
                <w:szCs w:val="21"/>
              </w:rPr>
            </w:pPr>
            <w:r>
              <w:rPr>
                <w:rFonts w:hint="eastAsia" w:ascii="Times New Roman" w:hAnsi="Times New Roman"/>
                <w:color w:val="000000"/>
                <w:szCs w:val="21"/>
              </w:rPr>
              <w:t>30</w:t>
            </w:r>
          </w:p>
        </w:tc>
        <w:tc>
          <w:tcPr>
            <w:vMerge w:val="continue"/>
          </w:tcPr>
          <w:p w14:paraId="16347020"/>
        </w:tc>
        <w:tc>
          <w:tcPr>
            <w:tcW w:w="4216" w:type="dxa"/>
            <w:vAlign w:val="center"/>
          </w:tcPr>
          <w:p w14:paraId="46D358EE">
            <w:pPr>
              <w:textAlignment w:val="center"/>
              <w:rPr>
                <w:rFonts w:ascii="Times New Roman" w:hAnsi="Times New Roman"/>
                <w:color w:val="000000"/>
                <w:szCs w:val="21"/>
              </w:rPr>
            </w:pPr>
            <w:r>
              <w:rPr>
                <w:rFonts w:ascii="Times New Roman" w:hAnsi="Times New Roman"/>
                <w:color w:val="000000"/>
                <w:szCs w:val="21"/>
              </w:rPr>
              <w:t>涉及民族宗教因素网络舆情排查处置率（%）</w:t>
            </w:r>
          </w:p>
        </w:tc>
        <w:tc>
          <w:tcPr>
            <w:tcW w:w="867" w:type="dxa"/>
            <w:vAlign w:val="center"/>
          </w:tcPr>
          <w:p w14:paraId="189EA2E7">
            <w:pPr>
              <w:jc w:val="center"/>
              <w:rPr>
                <w:rFonts w:ascii="Times New Roman" w:hAnsi="Times New Roman"/>
                <w:color w:val="000000"/>
                <w:szCs w:val="21"/>
              </w:rPr>
            </w:pPr>
            <w:r>
              <w:rPr>
                <w:rFonts w:hint="eastAsia" w:ascii="Times New Roman" w:hAnsi="Times New Roman"/>
                <w:color w:val="000000"/>
                <w:szCs w:val="21"/>
              </w:rPr>
              <w:t>—</w:t>
            </w:r>
          </w:p>
        </w:tc>
        <w:tc>
          <w:tcPr>
            <w:tcW w:w="917" w:type="dxa"/>
            <w:vAlign w:val="center"/>
          </w:tcPr>
          <w:p w14:paraId="78F53722">
            <w:pPr>
              <w:jc w:val="center"/>
              <w:rPr>
                <w:rFonts w:ascii="Times New Roman" w:hAnsi="Times New Roman"/>
                <w:color w:val="000000"/>
                <w:szCs w:val="21"/>
              </w:rPr>
            </w:pPr>
            <w:r>
              <w:rPr>
                <w:rFonts w:hint="eastAsia" w:ascii="Times New Roman" w:hAnsi="Times New Roman"/>
                <w:color w:val="000000"/>
                <w:szCs w:val="21"/>
              </w:rPr>
              <w:t>—</w:t>
            </w:r>
          </w:p>
        </w:tc>
        <w:tc>
          <w:tcPr>
            <w:tcW w:w="1033" w:type="dxa"/>
            <w:vAlign w:val="center"/>
          </w:tcPr>
          <w:p w14:paraId="550B52CF">
            <w:pPr>
              <w:jc w:val="center"/>
              <w:textAlignment w:val="center"/>
              <w:rPr>
                <w:rFonts w:ascii="Times New Roman" w:hAnsi="Times New Roman"/>
                <w:color w:val="000000"/>
                <w:szCs w:val="21"/>
              </w:rPr>
            </w:pPr>
            <w:r>
              <w:rPr>
                <w:rFonts w:hint="eastAsia" w:ascii="Times New Roman" w:hAnsi="Times New Roman"/>
                <w:color w:val="000000"/>
                <w:szCs w:val="21"/>
              </w:rPr>
              <w:t>≧[90]</w:t>
            </w:r>
          </w:p>
        </w:tc>
        <w:tc>
          <w:tcPr>
            <w:tcW w:w="989" w:type="dxa"/>
            <w:vAlign w:val="center"/>
          </w:tcPr>
          <w:p w14:paraId="6DCBF0E2">
            <w:pPr>
              <w:jc w:val="center"/>
              <w:rPr>
                <w:rFonts w:ascii="Times New Roman" w:hAnsi="Times New Roman"/>
                <w:color w:val="000000"/>
                <w:szCs w:val="21"/>
              </w:rPr>
            </w:pPr>
            <w:r>
              <w:rPr>
                <w:rFonts w:hint="eastAsia" w:ascii="Times New Roman" w:hAnsi="Times New Roman"/>
                <w:color w:val="000000"/>
                <w:szCs w:val="21"/>
              </w:rPr>
              <w:t>约束性</w:t>
            </w:r>
          </w:p>
        </w:tc>
      </w:tr>
      <w:tr w14:paraId="5D206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0" w:hRule="atLeast"/>
          <w:jc w:val="center"/>
        </w:trPr>
        <w:tc>
          <w:tcPr>
            <w:tcW w:w="9465" w:type="dxa"/>
            <w:gridSpan w:val="7"/>
            <w:vAlign w:val="center"/>
          </w:tcPr>
          <w:p w14:paraId="538D72E8">
            <w:pPr>
              <w:jc w:val="left"/>
              <w:rPr>
                <w:rFonts w:ascii="Times New Roman" w:hAnsi="Times New Roman"/>
                <w:color w:val="000000"/>
                <w:szCs w:val="21"/>
              </w:rPr>
            </w:pPr>
            <w:r>
              <w:rPr>
                <w:rFonts w:hint="eastAsia" w:ascii="Times New Roman" w:hAnsi="Times New Roman"/>
                <w:color w:val="000000"/>
                <w:szCs w:val="21"/>
              </w:rPr>
              <w:t>注：1.所有指标使用全县数据计算。2.地区生产总值绝对数按现价计算，增速按2025年不变价计算。3.[]为5年累计数。</w:t>
            </w:r>
          </w:p>
        </w:tc>
      </w:tr>
    </w:tbl>
    <w:p w14:paraId="63D2C691">
      <w:pPr>
        <w:pStyle w:val="13"/>
        <w:adjustRightInd w:val="0"/>
        <w:snapToGrid w:val="0"/>
        <w:spacing w:before="0" w:beforeAutospacing="0" w:after="0" w:afterAutospacing="0" w:line="560" w:lineRule="exact"/>
        <w:ind w:firstLine="627"/>
        <w:jc w:val="center"/>
        <w:rPr>
          <w:rFonts w:ascii="黑体" w:hAnsi="黑体" w:eastAsia="黑体" w:cs="黑体"/>
          <w:color w:val="000000"/>
          <w:sz w:val="32"/>
          <w:szCs w:val="32"/>
        </w:rPr>
      </w:pPr>
      <w:bookmarkStart w:id="71" w:name="_Toc22051_WPSOffice_Level1"/>
    </w:p>
    <w:p w14:paraId="684ACD5F">
      <w:pPr>
        <w:pStyle w:val="13"/>
        <w:adjustRightInd w:val="0"/>
        <w:snapToGrid w:val="0"/>
        <w:spacing w:before="0" w:beforeAutospacing="0" w:after="0" w:afterAutospacing="0" w:line="560" w:lineRule="exact"/>
        <w:ind w:firstLine="627"/>
        <w:jc w:val="center"/>
        <w:rPr>
          <w:rFonts w:ascii="黑体" w:hAnsi="黑体" w:eastAsia="黑体" w:cs="黑体"/>
          <w:color w:val="000000"/>
          <w:sz w:val="32"/>
          <w:szCs w:val="32"/>
        </w:rPr>
      </w:pPr>
      <w:r>
        <w:rPr>
          <w:rFonts w:hint="eastAsia" w:ascii="黑体" w:hAnsi="黑体" w:eastAsia="黑体" w:cs="黑体"/>
          <w:color w:val="000000"/>
          <w:sz w:val="32"/>
          <w:szCs w:val="32"/>
        </w:rPr>
        <w:t>第四章  “十四五”时期主要任务</w:t>
      </w:r>
      <w:bookmarkEnd w:id="71"/>
    </w:p>
    <w:p w14:paraId="1702D6C0">
      <w:pPr>
        <w:pStyle w:val="13"/>
        <w:adjustRightInd w:val="0"/>
        <w:snapToGrid w:val="0"/>
        <w:spacing w:before="0" w:beforeAutospacing="0" w:after="0" w:afterAutospacing="0" w:line="560" w:lineRule="exact"/>
        <w:ind w:firstLine="627"/>
        <w:jc w:val="center"/>
        <w:rPr>
          <w:rFonts w:ascii="黑体" w:hAnsi="黑体" w:eastAsia="黑体" w:cs="黑体"/>
          <w:color w:val="000000"/>
          <w:sz w:val="32"/>
          <w:szCs w:val="32"/>
        </w:rPr>
      </w:pPr>
    </w:p>
    <w:p w14:paraId="1B84883D">
      <w:pPr>
        <w:pStyle w:val="4"/>
        <w:spacing w:before="0" w:beforeAutospacing="0" w:after="0" w:afterAutospacing="0" w:line="560" w:lineRule="exact"/>
        <w:jc w:val="center"/>
        <w:rPr>
          <w:rFonts w:hint="default" w:ascii="Times New Roman" w:hAnsi="Times New Roman" w:eastAsia="黑体" w:cs="黑体"/>
          <w:b w:val="0"/>
          <w:bCs w:val="0"/>
          <w:color w:val="000000"/>
          <w:sz w:val="32"/>
          <w:szCs w:val="32"/>
        </w:rPr>
      </w:pPr>
      <w:bookmarkStart w:id="72" w:name="_Toc14614"/>
      <w:bookmarkStart w:id="73" w:name="_Toc29968"/>
      <w:bookmarkStart w:id="74" w:name="_Toc21743"/>
      <w:bookmarkStart w:id="75" w:name="_Toc15075"/>
      <w:bookmarkStart w:id="76" w:name="_Toc7742"/>
      <w:bookmarkStart w:id="77" w:name="_Toc15841"/>
      <w:bookmarkStart w:id="78" w:name="_Toc11337"/>
      <w:bookmarkStart w:id="79" w:name="_Toc13832"/>
      <w:bookmarkStart w:id="80" w:name="_Toc9575"/>
      <w:bookmarkStart w:id="81" w:name="_Toc24572"/>
      <w:bookmarkStart w:id="82" w:name="_Toc21202"/>
      <w:bookmarkStart w:id="83" w:name="_Toc9140"/>
      <w:bookmarkStart w:id="84" w:name="_Toc24882"/>
      <w:bookmarkStart w:id="85" w:name="_Toc26108"/>
      <w:bookmarkStart w:id="86" w:name="_Toc7902"/>
      <w:bookmarkStart w:id="87" w:name="_Toc10248"/>
      <w:bookmarkStart w:id="88" w:name="_Toc7073"/>
      <w:bookmarkStart w:id="89" w:name="_Toc31186"/>
      <w:bookmarkStart w:id="90" w:name="_Toc4727"/>
      <w:r>
        <w:rPr>
          <w:rFonts w:ascii="Times New Roman" w:hAnsi="Times New Roman" w:eastAsia="黑体" w:cs="黑体"/>
          <w:b w:val="0"/>
          <w:bCs w:val="0"/>
          <w:color w:val="000000"/>
          <w:sz w:val="32"/>
          <w:szCs w:val="32"/>
        </w:rPr>
        <w:t>第一节 加强党对民族宗教工作的全面领导，在夯实中华民族共同体政治基础上作出表率</w:t>
      </w:r>
      <w:bookmarkEnd w:id="72"/>
    </w:p>
    <w:p w14:paraId="5BB022C8">
      <w:pPr>
        <w:pStyle w:val="2"/>
        <w:spacing w:line="560" w:lineRule="exact"/>
        <w:ind w:firstLine="640"/>
        <w:rPr>
          <w:rFonts w:ascii="仿宋" w:hAnsi="仿宋" w:eastAsia="仿宋" w:cs="仿宋"/>
          <w:color w:val="000000"/>
          <w:sz w:val="32"/>
          <w:szCs w:val="32"/>
        </w:rPr>
      </w:pPr>
      <w:r>
        <w:rPr>
          <w:rFonts w:hint="eastAsia" w:ascii="仿宋" w:hAnsi="仿宋" w:eastAsia="仿宋" w:cs="仿宋"/>
          <w:color w:val="000000"/>
          <w:kern w:val="32"/>
          <w:sz w:val="32"/>
          <w:szCs w:val="32"/>
        </w:rPr>
        <w:t>坚持党的全面领导，</w:t>
      </w:r>
      <w:r>
        <w:rPr>
          <w:rFonts w:hint="eastAsia" w:ascii="仿宋" w:hAnsi="仿宋" w:eastAsia="仿宋" w:cs="仿宋"/>
          <w:color w:val="000000"/>
          <w:sz w:val="32"/>
          <w:szCs w:val="32"/>
        </w:rPr>
        <w:t>坚持从政治上把握民族宗教关系、看待民族宗教问题、推动民族宗教工作，促使各族干部群众在思想上政治上行动上同以习近平同志为核心的党中央保持高度一致，夯实中华民族共同体的政治基础。</w:t>
      </w:r>
    </w:p>
    <w:p w14:paraId="13A74216">
      <w:pPr>
        <w:pStyle w:val="5"/>
        <w:spacing w:before="0" w:after="0" w:line="560" w:lineRule="exact"/>
        <w:ind w:firstLine="643"/>
        <w:rPr>
          <w:rFonts w:ascii="Times New Roman" w:hAnsi="Times New Roman" w:eastAsia="楷体" w:cs="楷体"/>
          <w:color w:val="000000"/>
        </w:rPr>
      </w:pPr>
      <w:bookmarkStart w:id="91" w:name="_Toc23199"/>
      <w:bookmarkStart w:id="92" w:name="_Toc26945_WPSOffice_Level2"/>
      <w:r>
        <w:rPr>
          <w:rFonts w:hint="eastAsia" w:ascii="Times New Roman" w:hAnsi="Times New Roman" w:eastAsia="楷体" w:cs="楷体"/>
          <w:color w:val="000000"/>
        </w:rPr>
        <w:t>一、持续加强思想政治引领</w:t>
      </w:r>
      <w:bookmarkEnd w:id="91"/>
      <w:bookmarkEnd w:id="92"/>
    </w:p>
    <w:p w14:paraId="6F3203D2">
      <w:pPr>
        <w:spacing w:line="560" w:lineRule="exact"/>
        <w:ind w:firstLine="640"/>
        <w:rPr>
          <w:rFonts w:ascii="仿宋" w:hAnsi="仿宋" w:eastAsia="仿宋" w:cs="仿宋"/>
          <w:color w:val="000000"/>
          <w:sz w:val="32"/>
          <w:szCs w:val="32"/>
        </w:rPr>
      </w:pPr>
      <w:r>
        <w:rPr>
          <w:rFonts w:hint="eastAsia" w:ascii="仿宋" w:hAnsi="仿宋" w:eastAsia="仿宋" w:cs="仿宋"/>
          <w:color w:val="000000"/>
          <w:sz w:val="32"/>
          <w:szCs w:val="32"/>
        </w:rPr>
        <w:t>深入学习贯彻习近平新时代中国特色社会主义思想，</w:t>
      </w:r>
      <w:r>
        <w:rPr>
          <w:rFonts w:hint="eastAsia" w:ascii="仿宋" w:hAnsi="仿宋" w:eastAsia="仿宋" w:cs="仿宋"/>
          <w:color w:val="000000"/>
          <w:kern w:val="32"/>
          <w:sz w:val="32"/>
          <w:szCs w:val="32"/>
        </w:rPr>
        <w:t>进一步提高政治站位，从政治和全局的高度把握形势、分析问题、谋划工作，提升政治判断力、政治领悟力、政治执行力，着力推进马克思主义中国化时代化，使党的创新理论“飞入寻常百姓家”，</w:t>
      </w:r>
      <w:r>
        <w:rPr>
          <w:rFonts w:hint="eastAsia" w:ascii="仿宋" w:hAnsi="仿宋" w:eastAsia="仿宋" w:cs="仿宋"/>
          <w:color w:val="000000"/>
          <w:sz w:val="32"/>
          <w:szCs w:val="32"/>
        </w:rPr>
        <w:t>推动各民族坚定对伟大祖国、中华民族、中华文化、中国共产党、中国特色社会主义的高度认同</w:t>
      </w:r>
      <w:r>
        <w:rPr>
          <w:rFonts w:hint="eastAsia" w:ascii="仿宋" w:hAnsi="仿宋" w:eastAsia="仿宋" w:cs="仿宋"/>
          <w:color w:val="000000"/>
          <w:kern w:val="32"/>
          <w:sz w:val="32"/>
          <w:szCs w:val="32"/>
        </w:rPr>
        <w:t>。</w:t>
      </w:r>
      <w:r>
        <w:rPr>
          <w:rFonts w:hint="eastAsia" w:ascii="仿宋" w:hAnsi="仿宋" w:eastAsia="仿宋" w:cs="仿宋"/>
          <w:color w:val="000000"/>
          <w:sz w:val="32"/>
          <w:szCs w:val="32"/>
        </w:rPr>
        <w:t>坚持完整准确全面把握和贯彻习近平总书记关于加强和改进民族工作的重要思想，下大力气学深悟透这一重要思想的核心要义、精神实质、丰富内涵和实践要求，更好地用以武装头脑、指导实践、推动工作，</w:t>
      </w:r>
      <w:r>
        <w:rPr>
          <w:rFonts w:hint="eastAsia" w:ascii="仿宋" w:hAnsi="仿宋" w:eastAsia="仿宋" w:cs="仿宋"/>
          <w:color w:val="000000"/>
          <w:kern w:val="32"/>
          <w:sz w:val="32"/>
          <w:szCs w:val="32"/>
        </w:rPr>
        <w:t>进一步增强全面贯彻落实习近平新时代中国特色社会主义思想的政治自觉、理论自觉、行动自觉。</w:t>
      </w:r>
      <w:r>
        <w:rPr>
          <w:rFonts w:hint="eastAsia" w:ascii="仿宋" w:hAnsi="仿宋" w:eastAsia="仿宋" w:cs="仿宋"/>
          <w:color w:val="000000"/>
          <w:sz w:val="32"/>
          <w:szCs w:val="32"/>
        </w:rPr>
        <w:t>坚持社会主义核心价值观引领，准确把握“铸牢中华民族共同体意识”的核心要义，不断提高各族群众的国家意识、思想觉悟、道德水准和文明素养，树立共同的理想信念、价值理念和道德观念，深化各族群众拥护党的领导、合力推进民族团结进步示范区建设的价值共识。</w:t>
      </w:r>
      <w:r>
        <w:rPr>
          <w:rFonts w:hint="eastAsia" w:ascii="仿宋" w:hAnsi="仿宋" w:eastAsia="仿宋" w:cs="仿宋"/>
          <w:color w:val="000000"/>
          <w:kern w:val="32"/>
          <w:sz w:val="32"/>
          <w:szCs w:val="32"/>
        </w:rPr>
        <w:t>始终坚持“在云南，不谋民族工作就不足以谋全局”的指导思想，推动党中央关于民族工作的决策部署落实落地，进一步把党对民族工作领导的制度优势转化为民族团结进步示范区的建设实效。</w:t>
      </w:r>
    </w:p>
    <w:p w14:paraId="7D7CBFDF">
      <w:pPr>
        <w:pStyle w:val="5"/>
        <w:spacing w:before="0" w:after="0" w:line="560" w:lineRule="exact"/>
        <w:ind w:firstLine="643"/>
        <w:rPr>
          <w:rFonts w:ascii="Times New Roman" w:hAnsi="Times New Roman" w:eastAsia="楷体" w:cs="楷体"/>
          <w:color w:val="000000"/>
          <w:szCs w:val="24"/>
        </w:rPr>
      </w:pPr>
      <w:bookmarkStart w:id="93" w:name="_Toc18037"/>
      <w:bookmarkStart w:id="94" w:name="_Toc18392_WPSOffice_Level2"/>
      <w:r>
        <w:rPr>
          <w:rFonts w:hint="eastAsia" w:ascii="Times New Roman" w:hAnsi="Times New Roman" w:eastAsia="楷体" w:cs="楷体"/>
          <w:color w:val="000000"/>
          <w:szCs w:val="24"/>
        </w:rPr>
        <w:t>二、健全完善党的领导机制</w:t>
      </w:r>
      <w:bookmarkEnd w:id="93"/>
      <w:bookmarkEnd w:id="94"/>
    </w:p>
    <w:p w14:paraId="3043E49E">
      <w:pPr>
        <w:pStyle w:val="2"/>
        <w:spacing w:line="560" w:lineRule="exact"/>
        <w:ind w:firstLine="640"/>
        <w:rPr>
          <w:rFonts w:ascii="仿宋" w:hAnsi="仿宋" w:eastAsia="仿宋" w:cs="仿宋"/>
          <w:color w:val="000000"/>
          <w:sz w:val="32"/>
          <w:szCs w:val="32"/>
        </w:rPr>
      </w:pPr>
      <w:r>
        <w:rPr>
          <w:rFonts w:hint="eastAsia" w:ascii="仿宋" w:hAnsi="仿宋" w:eastAsia="仿宋" w:cs="仿宋"/>
          <w:color w:val="000000"/>
          <w:kern w:val="32"/>
          <w:sz w:val="32"/>
          <w:szCs w:val="32"/>
        </w:rPr>
        <w:t>加强党对民族工作的集中统一领导，认真贯彻落实党中央、国务院以及省委、省政府、市委、市政府关于民族工作的决策部署，</w:t>
      </w:r>
      <w:r>
        <w:rPr>
          <w:rFonts w:hint="eastAsia" w:ascii="仿宋" w:hAnsi="仿宋" w:eastAsia="仿宋" w:cs="仿宋"/>
          <w:color w:val="000000"/>
          <w:sz w:val="32"/>
          <w:szCs w:val="32"/>
        </w:rPr>
        <w:t>注重顶层设计和系统谋划，自觉履行守护民族团结生命线的政治责任，</w:t>
      </w:r>
      <w:r>
        <w:rPr>
          <w:rFonts w:hint="eastAsia" w:ascii="仿宋" w:hAnsi="仿宋" w:eastAsia="仿宋" w:cs="仿宋"/>
          <w:color w:val="000000"/>
          <w:kern w:val="32"/>
          <w:sz w:val="32"/>
          <w:szCs w:val="32"/>
        </w:rPr>
        <w:t>从全局和战略高度谋划和推进民族团结进步建设工作</w:t>
      </w:r>
      <w:r>
        <w:rPr>
          <w:rFonts w:hint="eastAsia" w:ascii="仿宋" w:hAnsi="仿宋" w:eastAsia="仿宋" w:cs="仿宋"/>
          <w:color w:val="000000"/>
          <w:sz w:val="32"/>
          <w:szCs w:val="32"/>
        </w:rPr>
        <w:t>。</w:t>
      </w:r>
      <w:r>
        <w:rPr>
          <w:rFonts w:hint="eastAsia" w:ascii="仿宋" w:hAnsi="仿宋" w:eastAsia="仿宋" w:cs="仿宋"/>
          <w:color w:val="000000"/>
          <w:kern w:val="32"/>
          <w:sz w:val="32"/>
          <w:szCs w:val="32"/>
        </w:rPr>
        <w:t>全面落实主体责任，压实民族团结进步建设“一把手”责任，将民族团结示范建设工作纳入各级党委、政府重要议事日程，将铸牢中华民族共同体意识工作纳入党的建设和意识形态工作责任制，建立健全促进民族团结进步的激励机制、协作机制和考核机制，</w:t>
      </w:r>
      <w:r>
        <w:rPr>
          <w:rFonts w:hint="eastAsia" w:ascii="仿宋" w:hAnsi="仿宋" w:eastAsia="仿宋" w:cs="仿宋"/>
          <w:color w:val="000000"/>
          <w:sz w:val="32"/>
          <w:szCs w:val="32"/>
        </w:rPr>
        <w:t>在加强党对民族宗教工作领导上作出示范。</w:t>
      </w:r>
      <w:r>
        <w:rPr>
          <w:rFonts w:hint="eastAsia" w:ascii="仿宋" w:hAnsi="仿宋" w:eastAsia="仿宋" w:cs="仿宋"/>
          <w:color w:val="000000"/>
          <w:kern w:val="32"/>
          <w:sz w:val="32"/>
          <w:szCs w:val="32"/>
        </w:rPr>
        <w:t>贯彻落实《中国共产党统一战线工作条例》，将民族宗教工作放在大统战格局下统一部署。建立健全各级党委、政府民族团结进步示范区建设的领导机制，完善由党委主要负责同志任组长、政府主要负责同志任常务副组长的示范区建设领导小组工作机制，研究决定重大民族工作创新事项，定期召开专题会议研究部署铸牢中华民族共同体意识、推进民族团结进步示范建设的目标任务和工作举措，及时协调解决推进过程中的困难和问题。建立健全“</w:t>
      </w:r>
      <w:r>
        <w:rPr>
          <w:rFonts w:hint="eastAsia" w:ascii="Times New Roman" w:hAnsi="Times New Roman" w:eastAsia="仿宋_GB2312"/>
          <w:bCs/>
          <w:color w:val="000000"/>
          <w:kern w:val="32"/>
          <w:sz w:val="32"/>
          <w:szCs w:val="32"/>
        </w:rPr>
        <w:t>党委统一领导、政府依法管理、统战部门牵头协调、民族工作部门履职尽责、各部门通力合作、全社会共同参与</w:t>
      </w:r>
      <w:r>
        <w:rPr>
          <w:rFonts w:hint="eastAsia" w:ascii="仿宋" w:hAnsi="仿宋" w:eastAsia="仿宋" w:cs="仿宋"/>
          <w:color w:val="000000"/>
          <w:kern w:val="32"/>
          <w:sz w:val="32"/>
          <w:szCs w:val="32"/>
        </w:rPr>
        <w:t>”的新时代党的民族工作格局，形成全党全社会共同推动民族团结进步工作的体制机制，强化建设民族团结进步示范区工作合力。</w:t>
      </w:r>
    </w:p>
    <w:p w14:paraId="55E25AB2">
      <w:pPr>
        <w:pStyle w:val="5"/>
        <w:spacing w:before="0" w:after="0" w:line="560" w:lineRule="exact"/>
        <w:ind w:firstLine="643"/>
        <w:rPr>
          <w:rFonts w:ascii="Times New Roman" w:hAnsi="Times New Roman" w:eastAsia="楷体" w:cs="楷体"/>
          <w:color w:val="000000"/>
          <w:szCs w:val="24"/>
        </w:rPr>
      </w:pPr>
      <w:bookmarkStart w:id="95" w:name="_Toc6166"/>
      <w:bookmarkStart w:id="96" w:name="_Toc28717_WPSOffice_Level2"/>
      <w:r>
        <w:rPr>
          <w:rFonts w:hint="eastAsia" w:ascii="Times New Roman" w:hAnsi="Times New Roman" w:eastAsia="楷体" w:cs="楷体"/>
          <w:color w:val="000000"/>
          <w:szCs w:val="24"/>
        </w:rPr>
        <w:t>三、提升基层党组织组织力</w:t>
      </w:r>
      <w:bookmarkEnd w:id="95"/>
      <w:bookmarkEnd w:id="96"/>
    </w:p>
    <w:p w14:paraId="6276AD4E">
      <w:pPr>
        <w:pStyle w:val="2"/>
        <w:spacing w:line="560" w:lineRule="exact"/>
        <w:ind w:firstLine="640"/>
        <w:rPr>
          <w:rFonts w:ascii="仿宋" w:hAnsi="仿宋" w:eastAsia="仿宋" w:cs="仿宋"/>
          <w:color w:val="000000"/>
          <w:sz w:val="32"/>
          <w:szCs w:val="32"/>
        </w:rPr>
      </w:pPr>
      <w:r>
        <w:rPr>
          <w:rFonts w:hint="eastAsia" w:ascii="仿宋" w:hAnsi="仿宋" w:eastAsia="仿宋" w:cs="仿宋"/>
          <w:color w:val="000000"/>
          <w:sz w:val="32"/>
          <w:szCs w:val="32"/>
        </w:rPr>
        <w:t>坚持基层党组织建设与民族团结示范建设协同发展，全面增强基层党组织的政治功能和组织力，把党的政治优势、组织优势、密切联系群众优势转化为促进民族团结优势。充分发挥基层党组织在民族宗教工作方面的组织引领作用，以“党建引领、社会协同、共享共融、铸牢意识”为原则，以组织体系建设为重点，优化组织设置、创新活动方式，积极构建大党建工作格局，积极将民族团结进步</w:t>
      </w:r>
      <w:r>
        <w:rPr>
          <w:rFonts w:hint="eastAsia" w:ascii="仿宋" w:hAnsi="仿宋" w:eastAsia="仿宋" w:cs="仿宋"/>
          <w:color w:val="000000"/>
          <w:kern w:val="32"/>
          <w:sz w:val="32"/>
          <w:szCs w:val="32"/>
        </w:rPr>
        <w:t>示范区建设、铸牢中华民族共同体意识与“三会一课”“主题党日”等党内组织生活有机融合。深化农村“领头雁”培养工程，选优配强乡镇领导班子和村（社区）“两委”班子特别是党组织书记，推进村党组织书记通过法定程序担任村民委员会主任和集体经济组织、农民合作组织负责人。加强民族地区发展党员和党员教育管理监督工作，加大从少数民族、青年群体、农民、妇女、致富带头人等人员中发展党员力度。以建设服务型基层党组织为目标，充分发挥县、乡、村三级政务（为民）服务平台的作用，创新干部直接联系服务群众制度，打通服务群众“最后一公里”，提高基层组织服务群众能力。巩固提升基层党组织标准化、规范化建设成果，把基层党组织建设成宣传贯彻党的民族政策、促进民族团结、实现共同发展繁荣的坚强战斗堡垒。</w:t>
      </w:r>
    </w:p>
    <w:p w14:paraId="0530A05D">
      <w:pPr>
        <w:pStyle w:val="5"/>
        <w:spacing w:before="0" w:after="0" w:line="560" w:lineRule="exact"/>
        <w:ind w:firstLine="643"/>
        <w:rPr>
          <w:rFonts w:ascii="Times New Roman" w:hAnsi="Times New Roman" w:eastAsia="楷体" w:cs="楷体"/>
          <w:color w:val="000000"/>
          <w:szCs w:val="24"/>
        </w:rPr>
      </w:pPr>
      <w:bookmarkStart w:id="97" w:name="_Toc4217"/>
      <w:bookmarkStart w:id="98" w:name="_Toc18194_WPSOffice_Level2"/>
      <w:r>
        <w:rPr>
          <w:rFonts w:hint="eastAsia" w:ascii="Times New Roman" w:hAnsi="Times New Roman" w:eastAsia="楷体" w:cs="楷体"/>
          <w:color w:val="000000"/>
          <w:szCs w:val="24"/>
        </w:rPr>
        <w:t>四、深化爱党爱国宣传教育</w:t>
      </w:r>
      <w:bookmarkEnd w:id="97"/>
      <w:bookmarkEnd w:id="98"/>
    </w:p>
    <w:p w14:paraId="6D94854F">
      <w:pPr>
        <w:pStyle w:val="2"/>
        <w:spacing w:line="560" w:lineRule="exact"/>
        <w:ind w:firstLine="640"/>
        <w:rPr>
          <w:rFonts w:ascii="仿宋" w:hAnsi="仿宋" w:eastAsia="仿宋" w:cs="仿宋"/>
          <w:color w:val="000000"/>
          <w:sz w:val="32"/>
          <w:szCs w:val="32"/>
        </w:rPr>
      </w:pPr>
      <w:r>
        <w:rPr>
          <w:rFonts w:hint="eastAsia" w:ascii="Times New Roman" w:hAnsi="Times New Roman" w:eastAsia="仿宋_GB2312" w:cs="仿宋_GB2312"/>
          <w:color w:val="000000"/>
          <w:sz w:val="32"/>
          <w:szCs w:val="32"/>
        </w:rPr>
        <w:t>坚持正确的中华民族历史观，广泛开展党史、新中国史、改革开放史、社会主义发展史学习教育，通过加强系统性自学、多层次开展专题学习、多形式开展专题培训、组织各类专题宣讲，让人民群众知史爱党、知史爱国，厚植爱党爱国爱社会主义情感，坚定不移听党话、跟党走。积极深挖巧用红色资源，盘活丰富学习资源，精心用好活动载体，采取群众喜闻乐见的形式，创新学习教育的体制机制和方式方法，切实打通爱党爱国宣传教育“最后一公里”，推动学习教育走深走实。深入开展“拥护核心、心向北京”教育实践活动，讲好党团结带领各族人民实现全面小康、开启</w:t>
      </w:r>
      <w:r>
        <w:rPr>
          <w:rFonts w:hint="eastAsia" w:ascii="仿宋" w:hAnsi="仿宋" w:eastAsia="仿宋" w:cs="仿宋"/>
          <w:color w:val="000000"/>
          <w:sz w:val="32"/>
          <w:szCs w:val="32"/>
        </w:rPr>
        <w:t>全面建设社会主义现代化国家新征程</w:t>
      </w:r>
      <w:r>
        <w:rPr>
          <w:rFonts w:hint="eastAsia" w:ascii="Times New Roman" w:hAnsi="Times New Roman" w:eastAsia="仿宋_GB2312" w:cs="仿宋_GB2312"/>
          <w:color w:val="000000"/>
          <w:sz w:val="32"/>
          <w:szCs w:val="32"/>
        </w:rPr>
        <w:t>的故事，持续加强习近平总书记关于加强和改进民族工作重要思想以及考察云南重要讲话精神的宣传教育，引导广大党员干部积极主动担当作为，示范带动学习教育深入群众、深入基层、深入人心，切实把学习教育成效转化为感恩奋进、团结奋斗的强大动力，把党的主张和决定化为各族群众的自觉行动，凝心聚力共绘民族团结进步“同心圆”。</w:t>
      </w:r>
    </w:p>
    <w:p w14:paraId="2ABFA3D6">
      <w:pPr>
        <w:pStyle w:val="5"/>
        <w:spacing w:before="0" w:after="0" w:line="560" w:lineRule="exact"/>
        <w:ind w:firstLine="643"/>
        <w:rPr>
          <w:rFonts w:ascii="Times New Roman" w:hAnsi="Times New Roman" w:eastAsia="楷体" w:cs="楷体"/>
          <w:color w:val="000000"/>
          <w:szCs w:val="24"/>
        </w:rPr>
      </w:pPr>
      <w:bookmarkStart w:id="99" w:name="_Toc15911_WPSOffice_Level2"/>
      <w:bookmarkStart w:id="100" w:name="_Toc6509"/>
      <w:r>
        <w:rPr>
          <w:rFonts w:hint="eastAsia" w:ascii="Times New Roman" w:hAnsi="Times New Roman" w:eastAsia="楷体" w:cs="楷体"/>
          <w:color w:val="000000"/>
          <w:szCs w:val="24"/>
        </w:rPr>
        <w:t>五、加强干部人才队伍建设</w:t>
      </w:r>
      <w:bookmarkEnd w:id="99"/>
      <w:bookmarkEnd w:id="100"/>
    </w:p>
    <w:p w14:paraId="7E783436">
      <w:pPr>
        <w:pStyle w:val="2"/>
        <w:spacing w:line="560" w:lineRule="exact"/>
        <w:ind w:firstLine="640"/>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实施少数民族干部工程，以新时代好干部“五条标准”和民族地区“四个特别”好干部要求，突出干部选拔任用的政治标准，努力建设一支维护党的集中统一领导态度特别坚决、明辨大是大非立场特别清醒、铸牢中华民族共同体意识行动特别坚定、热爱各族群众感情特别真挚的民族地区干部队伍。围绕民族团结进步示范建设要求，加大民族工作重点领域专业技术人才、民族传统文化优秀传承人等培养力度，引导和支持各类人才到民族地区发展、创业，激发人才创新创造活力。要重视培养和用好少数民族干部，对政治过硬、敢于担当的优秀少数民族干部要充分信任、委以重任。注重在民族团结进步示范区建设一线和艰苦地区锻炼、发现和培养干部，壮大感党恩、听党话、跟党走的少数民族人才队伍，夯实民族团结进步示范区基层建设人才支撑。</w:t>
      </w:r>
      <w:r>
        <w:rPr>
          <w:rFonts w:hint="eastAsia" w:ascii="仿宋" w:hAnsi="仿宋" w:eastAsia="仿宋" w:cs="仿宋"/>
          <w:color w:val="000000"/>
          <w:kern w:val="32"/>
          <w:sz w:val="32"/>
          <w:szCs w:val="32"/>
        </w:rPr>
        <w:t>加强对石林县干部队伍的民族宗教政策宣传培训力度，定期组织全县妇女干部、年轻干部、</w:t>
      </w:r>
      <w:r>
        <w:rPr>
          <w:rFonts w:ascii="仿宋" w:hAnsi="仿宋" w:eastAsia="仿宋" w:cs="仿宋"/>
          <w:color w:val="000000"/>
          <w:kern w:val="32"/>
          <w:sz w:val="32"/>
          <w:szCs w:val="32"/>
        </w:rPr>
        <w:t>少数民族干部</w:t>
      </w:r>
      <w:r>
        <w:rPr>
          <w:rFonts w:hint="eastAsia" w:ascii="仿宋" w:hAnsi="仿宋" w:eastAsia="仿宋" w:cs="仿宋"/>
          <w:color w:val="000000"/>
          <w:kern w:val="32"/>
          <w:sz w:val="32"/>
          <w:szCs w:val="32"/>
        </w:rPr>
        <w:t>和</w:t>
      </w:r>
      <w:r>
        <w:rPr>
          <w:rFonts w:ascii="仿宋" w:hAnsi="仿宋" w:eastAsia="仿宋" w:cs="仿宋"/>
          <w:color w:val="000000"/>
          <w:kern w:val="32"/>
          <w:sz w:val="32"/>
          <w:szCs w:val="32"/>
        </w:rPr>
        <w:t>党外干部</w:t>
      </w:r>
      <w:r>
        <w:rPr>
          <w:rFonts w:hint="eastAsia" w:ascii="仿宋" w:hAnsi="仿宋" w:eastAsia="仿宋" w:cs="仿宋"/>
          <w:color w:val="000000"/>
          <w:kern w:val="32"/>
          <w:sz w:val="32"/>
          <w:szCs w:val="32"/>
        </w:rPr>
        <w:t>开展</w:t>
      </w:r>
      <w:r>
        <w:rPr>
          <w:rFonts w:ascii="仿宋" w:hAnsi="仿宋" w:eastAsia="仿宋" w:cs="仿宋"/>
          <w:color w:val="000000"/>
          <w:kern w:val="32"/>
          <w:sz w:val="32"/>
          <w:szCs w:val="32"/>
        </w:rPr>
        <w:t>教育培训</w:t>
      </w:r>
      <w:r>
        <w:rPr>
          <w:rFonts w:hint="eastAsia" w:ascii="仿宋" w:hAnsi="仿宋" w:eastAsia="仿宋" w:cs="仿宋"/>
          <w:color w:val="000000"/>
          <w:kern w:val="32"/>
          <w:sz w:val="32"/>
          <w:szCs w:val="32"/>
        </w:rPr>
        <w:t>。</w:t>
      </w:r>
      <w:r>
        <w:rPr>
          <w:rFonts w:hint="eastAsia" w:ascii="Times New Roman" w:hAnsi="Times New Roman" w:eastAsia="仿宋_GB2312" w:cs="仿宋_GB2312"/>
          <w:color w:val="000000"/>
          <w:sz w:val="32"/>
          <w:szCs w:val="32"/>
        </w:rPr>
        <w:t>强化各级民族宗教工作部门阵地建设，加强政治能力、学习研究能力、改革创新能力、风险防范能力、贯彻落实能力等建设，配齐配强基层工作力量，提升基层民族工作部门能力水平。</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E828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857A6F9">
            <w:pPr>
              <w:widowControl w:val="0"/>
              <w:spacing w:line="500" w:lineRule="exact"/>
              <w:jc w:val="center"/>
              <w:rPr>
                <w:rFonts w:ascii="Times New Roman" w:hAnsi="Times New Roman" w:cs="宋体"/>
                <w:color w:val="000000"/>
                <w:sz w:val="28"/>
                <w:szCs w:val="28"/>
              </w:rPr>
            </w:pPr>
            <w:r>
              <w:rPr>
                <w:rFonts w:hint="eastAsia" w:ascii="Times New Roman" w:hAnsi="Times New Roman" w:cs="宋体"/>
                <w:b/>
                <w:bCs/>
                <w:color w:val="000000"/>
                <w:sz w:val="28"/>
                <w:szCs w:val="28"/>
              </w:rPr>
              <w:t>专栏1  加强党对民族宗教工作的全面领导重点工程</w:t>
            </w:r>
          </w:p>
        </w:tc>
      </w:tr>
      <w:tr w14:paraId="32D16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08506B59">
            <w:pPr>
              <w:widowControl w:val="0"/>
              <w:spacing w:line="400" w:lineRule="exact"/>
              <w:ind w:firstLine="562"/>
              <w:jc w:val="left"/>
              <w:rPr>
                <w:color w:val="000000"/>
              </w:rPr>
            </w:pPr>
            <w:r>
              <w:rPr>
                <w:rFonts w:hint="eastAsia" w:ascii="楷体" w:hAnsi="楷体" w:eastAsia="楷体" w:cs="楷体"/>
                <w:b/>
                <w:color w:val="000000"/>
                <w:sz w:val="28"/>
                <w:szCs w:val="28"/>
              </w:rPr>
              <w:t>全面开展</w:t>
            </w:r>
            <w:r>
              <w:rPr>
                <w:rFonts w:ascii="楷体" w:hAnsi="楷体" w:eastAsia="楷体" w:cs="楷体"/>
                <w:b/>
                <w:color w:val="000000"/>
                <w:sz w:val="28"/>
                <w:szCs w:val="28"/>
              </w:rPr>
              <w:t>“自强、诚信、感恩”主题教育。</w:t>
            </w:r>
            <w:r>
              <w:rPr>
                <w:rFonts w:ascii="Times New Roman" w:hAnsi="Times New Roman" w:eastAsia="仿宋_GB2312"/>
                <w:color w:val="000000"/>
                <w:sz w:val="28"/>
                <w:szCs w:val="28"/>
              </w:rPr>
              <w:t>广泛开展爱国主义、社会主义核心价值观、民族团结进步教育，不断巩固各族干部群众感党恩、听党话、跟党走的思想行动自觉</w:t>
            </w:r>
            <w:r>
              <w:rPr>
                <w:rFonts w:hint="eastAsia" w:ascii="Times New Roman" w:hAnsi="Times New Roman" w:eastAsia="仿宋_GB2312"/>
                <w:color w:val="000000"/>
                <w:sz w:val="28"/>
                <w:szCs w:val="28"/>
              </w:rPr>
              <w:t>。</w:t>
            </w:r>
          </w:p>
          <w:p w14:paraId="7CB0E2E7">
            <w:pPr>
              <w:widowControl w:val="0"/>
              <w:spacing w:line="400" w:lineRule="exact"/>
              <w:ind w:firstLine="562"/>
              <w:jc w:val="left"/>
              <w:rPr>
                <w:rFonts w:ascii="Times New Roman" w:hAnsi="Times New Roman" w:cs="宋体"/>
                <w:color w:val="000000"/>
                <w:sz w:val="28"/>
                <w:szCs w:val="28"/>
              </w:rPr>
            </w:pPr>
            <w:r>
              <w:rPr>
                <w:rFonts w:hint="eastAsia" w:ascii="楷体" w:hAnsi="楷体" w:eastAsia="楷体" w:cs="楷体"/>
                <w:b/>
                <w:color w:val="000000"/>
                <w:sz w:val="28"/>
                <w:szCs w:val="28"/>
              </w:rPr>
              <w:t>加强干部教育培训。</w:t>
            </w:r>
            <w:r>
              <w:rPr>
                <w:rFonts w:hint="eastAsia" w:ascii="Times New Roman" w:hAnsi="Times New Roman" w:eastAsia="仿宋_GB2312"/>
                <w:color w:val="000000"/>
                <w:sz w:val="28"/>
                <w:szCs w:val="28"/>
              </w:rPr>
              <w:t>采取集中轮训、专题培训、任职培训、网络培训、自主选学等方式，分级分期分批对全县少数民族干部、民族地区干部、民族工作干部队伍进行综合培训，开展大学习、大讨论、大调研、大培训活动，提升全面贯彻党的民族政策、铸牢中华民族共同体意识、推进民族团结进步示范区建设的能力和水平。</w:t>
            </w:r>
          </w:p>
        </w:tc>
      </w:tr>
    </w:tbl>
    <w:p w14:paraId="206FB62E">
      <w:pPr>
        <w:pStyle w:val="2"/>
        <w:ind w:firstLine="640"/>
        <w:rPr>
          <w:rFonts w:ascii="Times New Roman" w:hAnsi="Times New Roman" w:eastAsia="仿宋_GB2312" w:cs="仿宋_GB2312"/>
          <w:color w:val="000000"/>
          <w:sz w:val="32"/>
          <w:szCs w:val="32"/>
        </w:rPr>
      </w:pPr>
    </w:p>
    <w:p w14:paraId="0487B75C">
      <w:pPr>
        <w:pStyle w:val="4"/>
        <w:spacing w:before="0" w:beforeAutospacing="0" w:after="0" w:afterAutospacing="0" w:line="560" w:lineRule="exact"/>
        <w:jc w:val="center"/>
        <w:rPr>
          <w:rFonts w:hint="default" w:ascii="Times New Roman" w:hAnsi="Times New Roman" w:eastAsia="黑体" w:cs="黑体"/>
          <w:b w:val="0"/>
          <w:bCs w:val="0"/>
          <w:color w:val="000000"/>
          <w:sz w:val="32"/>
          <w:szCs w:val="32"/>
        </w:rPr>
      </w:pPr>
      <w:bookmarkStart w:id="101" w:name="_Toc14948"/>
      <w:r>
        <w:rPr>
          <w:rFonts w:ascii="Times New Roman" w:hAnsi="Times New Roman" w:eastAsia="黑体" w:cs="黑体"/>
          <w:b w:val="0"/>
          <w:bCs w:val="0"/>
          <w:color w:val="000000"/>
          <w:sz w:val="32"/>
          <w:szCs w:val="32"/>
        </w:rPr>
        <w:t>第二节 推进中华民族共有精神家园建设，在夯实中华民族共同体文化基础上作出表率</w:t>
      </w:r>
      <w:bookmarkEnd w:id="101"/>
    </w:p>
    <w:p w14:paraId="5CB2568C">
      <w:pPr>
        <w:pStyle w:val="2"/>
        <w:spacing w:line="560" w:lineRule="exact"/>
        <w:ind w:firstLine="0"/>
        <w:rPr>
          <w:rFonts w:ascii="仿宋" w:hAnsi="仿宋" w:eastAsia="仿宋" w:cs="仿宋"/>
          <w:color w:val="000000"/>
          <w:sz w:val="32"/>
          <w:szCs w:val="32"/>
        </w:rPr>
      </w:pPr>
      <w:r>
        <w:rPr>
          <w:rFonts w:hint="eastAsia" w:ascii="仿宋" w:hAnsi="仿宋" w:eastAsia="仿宋" w:cs="仿宋"/>
          <w:color w:val="000000"/>
          <w:sz w:val="32"/>
          <w:szCs w:val="32"/>
        </w:rPr>
        <w:t xml:space="preserve">    发展社会主义先进文化，坚守中华文化立场，发扬中华民族伟大精神，倡导“美美与共”的文化发展观，促进各民族在文化上相互尊重、相互欣赏、相互学习、相互借鉴，夯实中华民族共同体的文化基础。</w:t>
      </w:r>
    </w:p>
    <w:p w14:paraId="085B3E25">
      <w:pPr>
        <w:pStyle w:val="5"/>
        <w:spacing w:before="0" w:after="0" w:line="560" w:lineRule="exact"/>
        <w:ind w:firstLine="643"/>
        <w:rPr>
          <w:rFonts w:ascii="Times New Roman" w:hAnsi="Times New Roman" w:eastAsia="楷体" w:cs="楷体"/>
          <w:color w:val="000000"/>
          <w:szCs w:val="24"/>
        </w:rPr>
      </w:pPr>
      <w:bookmarkStart w:id="102" w:name="_Toc11637"/>
      <w:bookmarkStart w:id="103" w:name="_Toc25421_WPSOffice_Level2"/>
      <w:r>
        <w:rPr>
          <w:rFonts w:hint="eastAsia" w:ascii="Times New Roman" w:hAnsi="Times New Roman" w:eastAsia="楷体" w:cs="楷体"/>
          <w:color w:val="000000"/>
          <w:szCs w:val="24"/>
        </w:rPr>
        <w:t>一、弘扬和践行社会主义核心价值观</w:t>
      </w:r>
      <w:bookmarkEnd w:id="102"/>
      <w:bookmarkEnd w:id="103"/>
    </w:p>
    <w:p w14:paraId="4BE46DCC">
      <w:pPr>
        <w:pStyle w:val="2"/>
        <w:spacing w:line="560" w:lineRule="exact"/>
        <w:ind w:firstLine="640"/>
        <w:rPr>
          <w:rFonts w:ascii="仿宋" w:hAnsi="仿宋" w:eastAsia="仿宋" w:cs="仿宋"/>
          <w:color w:val="000000"/>
          <w:sz w:val="32"/>
          <w:szCs w:val="32"/>
        </w:rPr>
      </w:pPr>
      <w:r>
        <w:rPr>
          <w:rFonts w:hint="eastAsia" w:ascii="仿宋_GB2312" w:hAnsi="仿宋_GB2312" w:eastAsia="仿宋_GB2312" w:cs="仿宋_GB2312"/>
          <w:color w:val="000000"/>
          <w:sz w:val="32"/>
          <w:szCs w:val="32"/>
        </w:rPr>
        <w:t>坚持以社会主义核心价值观为引领，大力弘扬以爱国主义为核心的民族精神和以改革创新为核心的时代精神，学习传承党领导人民在各个历史时期奋斗中形成的伟大建党精神等精神谱系。</w:t>
      </w:r>
      <w:r>
        <w:rPr>
          <w:rFonts w:hint="eastAsia" w:ascii="Times New Roman" w:hAnsi="Times New Roman" w:eastAsia="仿宋_GB2312" w:cs="仿宋_GB2312"/>
          <w:color w:val="000000"/>
          <w:sz w:val="32"/>
          <w:szCs w:val="32"/>
        </w:rPr>
        <w:t>坚持政治引领和价值引领，构建课堂教学、社会实践、主题教育多位一体的</w:t>
      </w:r>
      <w:bookmarkStart w:id="104" w:name="OLE_LINK1"/>
      <w:bookmarkStart w:id="305" w:name="_GoBack"/>
      <w:r>
        <w:rPr>
          <w:rFonts w:hint="eastAsia" w:ascii="Times New Roman" w:hAnsi="Times New Roman" w:eastAsia="仿宋_GB2312" w:cs="仿宋_GB2312"/>
          <w:color w:val="000000"/>
          <w:sz w:val="32"/>
          <w:szCs w:val="32"/>
        </w:rPr>
        <w:t>社会主义核心价值</w:t>
      </w:r>
      <w:r>
        <w:rPr>
          <w:rFonts w:hint="eastAsia" w:eastAsia="仿宋_GB2312" w:cs="仿宋_GB2312"/>
          <w:color w:val="000000"/>
          <w:sz w:val="32"/>
          <w:szCs w:val="32"/>
          <w:lang w:eastAsia="zh-CN"/>
        </w:rPr>
        <w:t>观</w:t>
      </w:r>
      <w:r>
        <w:rPr>
          <w:rFonts w:hint="eastAsia" w:ascii="Times New Roman" w:hAnsi="Times New Roman" w:eastAsia="仿宋_GB2312" w:cs="仿宋_GB2312"/>
          <w:color w:val="000000"/>
          <w:sz w:val="32"/>
          <w:szCs w:val="32"/>
        </w:rPr>
        <w:t>教育</w:t>
      </w:r>
      <w:bookmarkEnd w:id="305"/>
      <w:bookmarkEnd w:id="104"/>
      <w:r>
        <w:rPr>
          <w:rFonts w:hint="eastAsia" w:ascii="Times New Roman" w:hAnsi="Times New Roman" w:eastAsia="仿宋_GB2312" w:cs="仿宋_GB2312"/>
          <w:color w:val="000000"/>
          <w:sz w:val="32"/>
          <w:szCs w:val="32"/>
        </w:rPr>
        <w:t>平台，培育和践行社会主义核心价值观长效机制建设，筑牢社会主义核心价值观“根基”。充分利用石林红色文化资源，加大革命文物保护力度，创新传承和弘扬传播红色文化路径，建设红色文化传承基地和爱国主义教育基地，构建红色文化传承创新体系。推进社会主义核心价值观主题公园、主题广场、主题街道建设，通过多渠道、多层次、多形式宣传报道，提高社会主义核心价值观宣传覆盖面。构建全媒体传播体系，用好县级融媒体中心，开设弘扬社会主义核心价值观专栏专题，鼓励开展文明城市、文明村镇、文明单位、文明校园、文明家庭创建活动，将社会公德、职业道德、家庭美德、个人品德建设贯穿创建全过程，把社会主义核心价值观融入各民族生产生活各方面。</w:t>
      </w:r>
    </w:p>
    <w:p w14:paraId="6B20553F">
      <w:pPr>
        <w:pStyle w:val="5"/>
        <w:spacing w:before="0" w:after="0" w:line="560" w:lineRule="exact"/>
        <w:ind w:firstLine="643"/>
        <w:rPr>
          <w:rFonts w:ascii="Times New Roman" w:hAnsi="Times New Roman" w:eastAsia="楷体" w:cs="楷体"/>
          <w:color w:val="000000"/>
          <w:szCs w:val="24"/>
        </w:rPr>
      </w:pPr>
      <w:bookmarkStart w:id="105" w:name="_Toc7068_WPSOffice_Level2"/>
      <w:bookmarkStart w:id="106" w:name="_Toc30227"/>
      <w:r>
        <w:rPr>
          <w:rFonts w:hint="eastAsia" w:ascii="Times New Roman" w:hAnsi="Times New Roman" w:eastAsia="楷体" w:cs="楷体"/>
          <w:color w:val="000000"/>
          <w:szCs w:val="24"/>
        </w:rPr>
        <w:t>二、树立中华文化符号和中华民族形象</w:t>
      </w:r>
      <w:bookmarkEnd w:id="105"/>
      <w:bookmarkEnd w:id="106"/>
      <w:r>
        <w:rPr>
          <w:rFonts w:hint="eastAsia" w:ascii="Times New Roman" w:hAnsi="Times New Roman" w:eastAsia="楷体" w:cs="楷体"/>
          <w:color w:val="000000"/>
          <w:szCs w:val="24"/>
        </w:rPr>
        <w:tab/>
      </w:r>
    </w:p>
    <w:p w14:paraId="2038DD01">
      <w:pPr>
        <w:pStyle w:val="2"/>
        <w:spacing w:line="560" w:lineRule="exact"/>
        <w:ind w:firstLine="640"/>
        <w:rPr>
          <w:rFonts w:ascii="仿宋" w:hAnsi="仿宋" w:eastAsia="仿宋" w:cs="仿宋"/>
          <w:color w:val="000000"/>
          <w:sz w:val="32"/>
          <w:szCs w:val="32"/>
        </w:rPr>
      </w:pPr>
      <w:r>
        <w:rPr>
          <w:rFonts w:hint="eastAsia" w:ascii="Times New Roman" w:hAnsi="Times New Roman" w:eastAsia="仿宋_GB2312" w:cs="仿宋_GB2312"/>
          <w:color w:val="000000"/>
          <w:sz w:val="32"/>
          <w:szCs w:val="32"/>
        </w:rPr>
        <w:t>实施中华民族视觉形象工程，深入挖掘和培育中华文化符号和形象标识，</w:t>
      </w:r>
      <w:r>
        <w:rPr>
          <w:rFonts w:hint="eastAsia" w:ascii="仿宋" w:hAnsi="仿宋" w:eastAsia="仿宋" w:cs="仿宋"/>
          <w:color w:val="000000"/>
          <w:sz w:val="32"/>
          <w:szCs w:val="32"/>
        </w:rPr>
        <w:t>推动中华文化元素融入城乡建设规划和各族群众精神文化生活</w:t>
      </w:r>
      <w:r>
        <w:rPr>
          <w:rFonts w:hint="eastAsia" w:ascii="Times New Roman" w:hAnsi="Times New Roman" w:eastAsia="仿宋_GB2312" w:cs="仿宋_GB2312"/>
          <w:color w:val="000000"/>
          <w:sz w:val="32"/>
          <w:szCs w:val="32"/>
        </w:rPr>
        <w:t>。在石林县风貌提升改造等工程中，在体现地方民族文化的同时，积极融入中华文化符号和中华民族形象。制作和传播一批具有鲜明中华文化特征的宣传物、出版物和标志物，树立和突出各民族共享的中华文化符号和中华民族形象，增强各族群众对中华文化的认同。常态化开展中华优秀文化展览、展演活动，</w:t>
      </w:r>
      <w:r>
        <w:rPr>
          <w:rFonts w:hint="eastAsia" w:ascii="仿宋" w:hAnsi="仿宋" w:eastAsia="仿宋" w:cs="仿宋"/>
          <w:color w:val="000000"/>
          <w:sz w:val="32"/>
          <w:szCs w:val="32"/>
        </w:rPr>
        <w:t>依托各级主流媒体制作和播放展示中华民族形象的公益标语、公益广告和公益宣传片，加强户外公益广告的投放，</w:t>
      </w:r>
      <w:r>
        <w:rPr>
          <w:rFonts w:hint="eastAsia" w:ascii="Times New Roman" w:hAnsi="Times New Roman" w:eastAsia="仿宋_GB2312" w:cs="仿宋_GB2312"/>
          <w:color w:val="000000"/>
          <w:sz w:val="32"/>
          <w:szCs w:val="32"/>
        </w:rPr>
        <w:t>运用新技术、新媒体打造实体化的宣传载体，</w:t>
      </w:r>
      <w:r>
        <w:rPr>
          <w:rFonts w:hint="eastAsia" w:ascii="仿宋" w:hAnsi="仿宋" w:eastAsia="仿宋" w:cs="仿宋"/>
          <w:color w:val="000000"/>
          <w:sz w:val="32"/>
          <w:szCs w:val="32"/>
        </w:rPr>
        <w:t>全方位展示中华优秀传统文化、革命文化和社会主义先进文化。</w:t>
      </w:r>
      <w:r>
        <w:rPr>
          <w:rFonts w:hint="eastAsia" w:ascii="Times New Roman" w:hAnsi="Times New Roman" w:eastAsia="仿宋_GB2312" w:cs="仿宋_GB2312"/>
          <w:color w:val="000000"/>
          <w:sz w:val="32"/>
          <w:szCs w:val="32"/>
        </w:rPr>
        <w:t>开展好少数民族文艺会演等节庆活动，打造好火把节、密枝节、阿诗玛旅游文化节等民族节庆品牌，搭建起各民族沟通交流的桥梁和纽带。</w:t>
      </w:r>
      <w:r>
        <w:rPr>
          <w:rFonts w:hint="eastAsia" w:ascii="仿宋" w:hAnsi="仿宋" w:eastAsia="仿宋" w:cs="仿宋"/>
          <w:color w:val="000000"/>
          <w:sz w:val="32"/>
          <w:szCs w:val="32"/>
        </w:rPr>
        <w:t>把中华文化标志融入全县旅游线路设计、景区规划、营销推介等环节，让游客在参观游览中深入体验兼容并蓄的中华优秀传统文化。</w:t>
      </w:r>
    </w:p>
    <w:p w14:paraId="1527E415">
      <w:pPr>
        <w:pStyle w:val="5"/>
        <w:spacing w:before="0" w:after="0" w:line="560" w:lineRule="exact"/>
        <w:ind w:firstLine="643"/>
        <w:rPr>
          <w:rFonts w:ascii="Times New Roman" w:hAnsi="Times New Roman" w:eastAsia="楷体" w:cs="楷体"/>
          <w:color w:val="000000"/>
          <w:szCs w:val="24"/>
        </w:rPr>
      </w:pPr>
      <w:bookmarkStart w:id="107" w:name="_Toc3000"/>
      <w:bookmarkStart w:id="108" w:name="_Toc26268_WPSOffice_Level2"/>
      <w:r>
        <w:rPr>
          <w:rFonts w:hint="eastAsia" w:ascii="Times New Roman" w:hAnsi="Times New Roman" w:eastAsia="楷体" w:cs="楷体"/>
          <w:color w:val="000000"/>
          <w:szCs w:val="24"/>
        </w:rPr>
        <w:t>三、推动各民族文化传承保护</w:t>
      </w:r>
      <w:bookmarkEnd w:id="107"/>
      <w:bookmarkEnd w:id="108"/>
    </w:p>
    <w:p w14:paraId="086D7A31">
      <w:pPr>
        <w:pStyle w:val="13"/>
        <w:shd w:val="clear" w:color="auto" w:fill="FFFFFF"/>
        <w:spacing w:before="0" w:beforeAutospacing="0" w:after="0" w:afterAutospacing="0" w:line="560" w:lineRule="exact"/>
        <w:ind w:firstLine="640"/>
        <w:jc w:val="both"/>
        <w:rPr>
          <w:rFonts w:ascii="仿宋" w:hAnsi="仿宋" w:eastAsia="仿宋" w:cs="仿宋"/>
          <w:color w:val="000000"/>
          <w:sz w:val="32"/>
          <w:szCs w:val="32"/>
        </w:rPr>
      </w:pPr>
      <w:bookmarkStart w:id="109" w:name="_Toc15741"/>
      <w:r>
        <w:rPr>
          <w:rFonts w:hint="eastAsia" w:ascii="Times New Roman" w:hAnsi="Times New Roman" w:eastAsia="仿宋_GB2312" w:cs="仿宋_GB2312"/>
          <w:color w:val="000000"/>
          <w:sz w:val="32"/>
          <w:szCs w:val="32"/>
        </w:rPr>
        <w:t>坚持各民族优秀传统文化都是中华文化的组成部分，按照“保护为主、抢救第一、合理利用、传承发展”原则，深入实施民族文化保护传承工程、非遗保护重点工程、历史文化名城（镇村街区）和传统村落保护工程、文物保护工程。建设民族传统文化生态保护区、民间文化艺术之乡等民族优秀文化传承基地，强化历史文化名城（镇村街区）保护规划和传统村落保护发展规划编制、修编和实施，开展整体风貌保护。加强糯黑村、寺背后2个中国少数民族特色村寨规范管理，有序推进少数民族村寨保护与发展，促进民俗、传统技艺、特色建筑等少数民族文化资源与旅游、影视、现代农业等深度融合，打造一批具有少数民族特色的文化产业群。支持举办各民族共享的群众性民族传统节庆、文化活动，广泛开展优秀传统文化进校园、进乡村、进社区等活动，大力培养乡土文化能人和民族文化优秀传承人，鼓励少数民族文化工作者和社会各界人士积极参与，建设中华优秀传统文化传承志愿者队伍。开展石林非物质文化展演、体验、传习、讲座培训等活动，支持中小学校组织开展体现民族特色的非物质文化体验活动和比赛。传承和发展少数民族传统体育，高质量办好昆明市第十二届少数民族传统体育运动会，将少数民族传统体育项目纳入全民健身计划，建设少数民族传统体育基地，打造具有民族特色的全面健身品牌赛事活动。运用现代科技手段对民族古籍进行有效保护，搭建民族古籍数据库平台，实现古籍资源有效利用，让少数民族古籍成为铸牢中华民族共同体意识的重要资源。</w:t>
      </w:r>
    </w:p>
    <w:p w14:paraId="59A195A4">
      <w:pPr>
        <w:pStyle w:val="5"/>
        <w:spacing w:before="0" w:after="0" w:line="560" w:lineRule="exact"/>
        <w:ind w:firstLine="643"/>
        <w:rPr>
          <w:rFonts w:ascii="Times New Roman" w:hAnsi="Times New Roman" w:eastAsia="楷体" w:cs="楷体"/>
          <w:color w:val="000000"/>
          <w:szCs w:val="24"/>
        </w:rPr>
      </w:pPr>
      <w:bookmarkStart w:id="110" w:name="_Toc10310_WPSOffice_Level2"/>
      <w:r>
        <w:rPr>
          <w:rFonts w:hint="eastAsia" w:ascii="Times New Roman" w:hAnsi="Times New Roman" w:eastAsia="楷体" w:cs="楷体"/>
          <w:color w:val="000000"/>
          <w:szCs w:val="24"/>
        </w:rPr>
        <w:t>四、促进各民族文化创新交融</w:t>
      </w:r>
      <w:bookmarkEnd w:id="109"/>
      <w:bookmarkEnd w:id="110"/>
      <w:r>
        <w:rPr>
          <w:rFonts w:hint="eastAsia" w:ascii="Times New Roman" w:hAnsi="Times New Roman" w:eastAsia="楷体" w:cs="楷体"/>
          <w:color w:val="000000"/>
          <w:szCs w:val="24"/>
        </w:rPr>
        <w:tab/>
      </w:r>
    </w:p>
    <w:p w14:paraId="70B9C307">
      <w:pPr>
        <w:pStyle w:val="2"/>
        <w:spacing w:line="560" w:lineRule="exact"/>
        <w:ind w:firstLine="640"/>
        <w:rPr>
          <w:rFonts w:ascii="Times New Roman" w:hAnsi="Times New Roman" w:eastAsia="仿宋_GB2312" w:cs="仿宋_GB2312"/>
          <w:color w:val="000000"/>
          <w:sz w:val="32"/>
          <w:szCs w:val="32"/>
        </w:rPr>
      </w:pPr>
      <w:r>
        <w:rPr>
          <w:rFonts w:hint="eastAsia" w:ascii="仿宋" w:hAnsi="仿宋" w:eastAsia="仿宋" w:cs="仿宋"/>
          <w:color w:val="000000"/>
          <w:sz w:val="32"/>
          <w:szCs w:val="32"/>
        </w:rPr>
        <w:t>实施少数民族文化精品工程，</w:t>
      </w:r>
      <w:r>
        <w:rPr>
          <w:rFonts w:hint="eastAsia" w:ascii="Times New Roman" w:hAnsi="Times New Roman" w:eastAsia="仿宋_GB2312" w:cs="仿宋_GB2312"/>
          <w:color w:val="000000"/>
          <w:sz w:val="32"/>
          <w:szCs w:val="32"/>
        </w:rPr>
        <w:t>加大少数民族艺术精品创作力度，鼓励创作具有民族特色和地方特点的民族文艺作品、影视作品等，培育民族文化精品，推动少数民族文化在网络文学、网络音乐、网络演出、网络电影等新型文艺中的发展。挖掘和利用少数民族多彩文化资源，促进与民族文化深度融合，建好用好一批民族文化传承创新平台，重点打造一批民族文化旅游园区、民族文化节庆精品、民族民间工艺品加工区、民族餐饮文化品牌，推进民族文化有形化、文化载体项目化、文化成果精品化，形成民族文化与</w:t>
      </w:r>
      <w:r>
        <w:rPr>
          <w:rFonts w:ascii="仿宋" w:hAnsi="仿宋" w:eastAsia="仿宋" w:cs="仿宋"/>
          <w:color w:val="000000"/>
          <w:sz w:val="32"/>
          <w:szCs w:val="32"/>
        </w:rPr>
        <w:t>文化创意、</w:t>
      </w:r>
      <w:r>
        <w:rPr>
          <w:rFonts w:hint="eastAsia" w:ascii="仿宋" w:hAnsi="仿宋" w:eastAsia="仿宋" w:cs="仿宋"/>
          <w:color w:val="000000"/>
          <w:sz w:val="32"/>
          <w:szCs w:val="32"/>
        </w:rPr>
        <w:t>文化</w:t>
      </w:r>
      <w:r>
        <w:rPr>
          <w:rFonts w:hint="eastAsia" w:ascii="Times New Roman" w:hAnsi="Times New Roman" w:eastAsia="仿宋_GB2312" w:cs="仿宋_GB2312"/>
          <w:color w:val="000000"/>
          <w:sz w:val="32"/>
          <w:szCs w:val="32"/>
        </w:rPr>
        <w:t>旅游深度融合的新高地，助力新型城镇化、乡村振兴和美丽宜居乡村建设。鼓励各民族文化相互学习、相互借鉴、融合发展，跨区域开展民族文化演出、展览等活动，支持参与各类文化节、文化周、艺术周、文物展、博览会，形成全方位、多层次、宽领域的民族文化交融格局。</w:t>
      </w:r>
    </w:p>
    <w:p w14:paraId="3BBB3094">
      <w:pPr>
        <w:pStyle w:val="5"/>
        <w:spacing w:before="0" w:after="0" w:line="560" w:lineRule="exact"/>
        <w:ind w:firstLine="643"/>
        <w:rPr>
          <w:rFonts w:ascii="Times New Roman" w:hAnsi="Times New Roman" w:eastAsia="楷体" w:cs="楷体"/>
          <w:color w:val="000000"/>
          <w:szCs w:val="24"/>
        </w:rPr>
      </w:pPr>
      <w:bookmarkStart w:id="111" w:name="_Toc16380_WPSOffice_Level2"/>
      <w:bookmarkStart w:id="112" w:name="_Toc19584"/>
      <w:r>
        <w:rPr>
          <w:rFonts w:hint="eastAsia" w:ascii="Times New Roman" w:hAnsi="Times New Roman" w:eastAsia="楷体" w:cs="楷体"/>
          <w:color w:val="000000"/>
          <w:szCs w:val="24"/>
        </w:rPr>
        <w:t>五、全面推广普及国家通用语言文字</w:t>
      </w:r>
      <w:bookmarkEnd w:id="111"/>
      <w:bookmarkEnd w:id="112"/>
    </w:p>
    <w:p w14:paraId="7FA5C454">
      <w:pPr>
        <w:spacing w:line="560" w:lineRule="exact"/>
        <w:ind w:firstLine="640"/>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坚持把推广普及国家通用语言文字作为铸牢中华民族共同体意识的重要途径、关键工作、基础性工作来抓，继续实施国家通用语言文字普及提升工程，推动少数民族群众形成说国家通用语言、用规范汉字的良好习惯和风尚，逐步实现由提高“普及率”向提升“普及质量”转变。全面加强学前儿童普通话教育，推进“学前学会普通话”行动，落实“童语同音”项目。围绕说好普通话，写好规范字，全力推动全县</w:t>
      </w:r>
      <w:r>
        <w:rPr>
          <w:rFonts w:hint="eastAsia" w:ascii="仿宋_GB2312" w:hAnsi="仿宋_GB2312" w:eastAsia="仿宋_GB2312" w:cs="仿宋_GB2312"/>
          <w:color w:val="000000"/>
          <w:sz w:val="32"/>
          <w:szCs w:val="32"/>
        </w:rPr>
        <w:t>国家级、省级、市级语言文字规范化示范校创建全覆盖。</w:t>
      </w:r>
      <w:r>
        <w:rPr>
          <w:rFonts w:hint="eastAsia" w:ascii="仿宋" w:hAnsi="仿宋" w:eastAsia="仿宋" w:cs="仿宋"/>
          <w:color w:val="000000"/>
          <w:sz w:val="32"/>
          <w:szCs w:val="32"/>
          <w:lang w:val="zh-CN"/>
        </w:rPr>
        <w:t>加大教师国家通用语言文字教育教学能力培训，</w:t>
      </w:r>
      <w:r>
        <w:rPr>
          <w:rFonts w:hint="eastAsia" w:ascii="Times New Roman" w:hAnsi="Times New Roman" w:eastAsia="仿宋_GB2312" w:cs="仿宋_GB2312"/>
          <w:color w:val="000000"/>
          <w:sz w:val="32"/>
          <w:szCs w:val="32"/>
        </w:rPr>
        <w:t>大力开展学校民族团结进步教育说课比赛，以赛促教、以赛促学，为推广普及国家通用语言文字、铸牢中华民族共同体意识积极搭建交流平台。进一步强化机关、企事业单位、社会团体、新闻媒体等使用国家通用语言文字力度，旅游景区、交通站场、商业场所、文化场所等公共场所的标识标牌全面推广使用国家通用语言文字，加强新闻出版、广播影视、网络信息、广告中国家通用语言文字的使用。书同文、语同音、人同心。以推广普及国家通用语言文字助力少数民族地区乡村振兴，让少数民族同胞共享国家发展成果，积极引导各族人民牢固树立休戚与共、荣辱与共、生死与共、命运与共的共同体理念。携手同心，共筑中国梦。</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16EAD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14:paraId="39FED817">
            <w:pPr>
              <w:widowControl w:val="0"/>
              <w:spacing w:line="500" w:lineRule="exact"/>
              <w:jc w:val="center"/>
              <w:rPr>
                <w:rFonts w:ascii="Times New Roman" w:hAnsi="Times New Roman" w:cs="宋体"/>
                <w:color w:val="000000"/>
                <w:sz w:val="28"/>
                <w:szCs w:val="28"/>
              </w:rPr>
            </w:pPr>
            <w:r>
              <w:rPr>
                <w:rFonts w:hint="eastAsia" w:ascii="Times New Roman" w:hAnsi="Times New Roman" w:cs="宋体"/>
                <w:b/>
                <w:bCs/>
                <w:color w:val="000000"/>
                <w:sz w:val="28"/>
                <w:szCs w:val="28"/>
              </w:rPr>
              <w:t>专栏2  推进中华民族共有精神家园建设重点工程</w:t>
            </w:r>
          </w:p>
        </w:tc>
      </w:tr>
      <w:tr w14:paraId="39E1B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3CFB873">
            <w:pPr>
              <w:widowControl w:val="0"/>
              <w:spacing w:line="400" w:lineRule="exact"/>
              <w:ind w:firstLine="562"/>
              <w:jc w:val="left"/>
              <w:rPr>
                <w:color w:val="000000"/>
              </w:rPr>
            </w:pPr>
            <w:r>
              <w:rPr>
                <w:rFonts w:hint="eastAsia" w:ascii="楷体" w:hAnsi="楷体" w:eastAsia="楷体" w:cs="楷体"/>
                <w:b/>
                <w:bCs/>
                <w:color w:val="000000"/>
                <w:kern w:val="0"/>
                <w:sz w:val="28"/>
                <w:szCs w:val="28"/>
              </w:rPr>
              <w:t>中华民族视觉形象建设工程。</w:t>
            </w:r>
            <w:r>
              <w:rPr>
                <w:rFonts w:hint="eastAsia" w:ascii="仿宋" w:hAnsi="仿宋" w:eastAsia="仿宋" w:cs="仿宋"/>
                <w:color w:val="000000"/>
                <w:sz w:val="28"/>
                <w:szCs w:val="28"/>
              </w:rPr>
              <w:t>建设铸牢中华民族共同体意识主题场馆、文化广场和教育基地，创作突出中华文化符号和中华民族形象的图书、影视剧、纪录片、动漫作品、微视频等，塑造各民族共建共享的中华文化活动品牌。</w:t>
            </w:r>
          </w:p>
          <w:p w14:paraId="74483FAA">
            <w:pPr>
              <w:widowControl w:val="0"/>
              <w:spacing w:line="400" w:lineRule="exact"/>
              <w:ind w:firstLine="562"/>
              <w:jc w:val="left"/>
              <w:rPr>
                <w:rFonts w:ascii="仿宋_GB2312" w:hAnsi="仿宋_GB2312" w:eastAsia="仿宋_GB2312" w:cs="仿宋_GB2312"/>
                <w:color w:val="000000"/>
                <w:kern w:val="0"/>
                <w:sz w:val="28"/>
                <w:szCs w:val="28"/>
              </w:rPr>
            </w:pPr>
            <w:r>
              <w:rPr>
                <w:rFonts w:hint="eastAsia" w:ascii="楷体" w:hAnsi="楷体" w:eastAsia="楷体" w:cs="楷体"/>
                <w:b/>
                <w:bCs/>
                <w:color w:val="000000"/>
                <w:kern w:val="0"/>
                <w:sz w:val="28"/>
                <w:szCs w:val="28"/>
              </w:rPr>
              <w:t>“民族团结进步+红色基因传承”工程。</w:t>
            </w:r>
            <w:r>
              <w:rPr>
                <w:rFonts w:hint="eastAsia" w:ascii="仿宋_GB2312" w:hAnsi="仿宋_GB2312" w:eastAsia="仿宋_GB2312" w:cs="仿宋_GB2312"/>
                <w:color w:val="000000"/>
                <w:kern w:val="0"/>
                <w:sz w:val="28"/>
                <w:szCs w:val="28"/>
              </w:rPr>
              <w:t>挖掘圭山革命根据地、“边纵”会谈旧址等红色文化资源，打造一批“红色教育+”等红色旅游线路，推进红色遗址遗迹游览、红色餐饮、红色购物等产品有效组合，实现红色旅游与自然山水、田园风光、民风民俗有机统一。强化红色文化旅游纪念设施修缮保护，推进红色教育基地和红色教育主阵地建设。以石林红色革命历史为题材，推进红色教育作品编辑创作，加快培养一支红色教育宣讲员队伍，助推打造云南省红色旅游示范基地。</w:t>
            </w:r>
          </w:p>
          <w:p w14:paraId="3D837EFB">
            <w:pPr>
              <w:widowControl w:val="0"/>
              <w:spacing w:line="400" w:lineRule="exact"/>
              <w:ind w:firstLine="562"/>
              <w:jc w:val="left"/>
              <w:rPr>
                <w:rFonts w:ascii="Times New Roman" w:hAnsi="Times New Roman" w:eastAsia="仿宋_GB2312"/>
                <w:color w:val="000000"/>
                <w:sz w:val="28"/>
                <w:szCs w:val="28"/>
              </w:rPr>
            </w:pPr>
            <w:r>
              <w:rPr>
                <w:rFonts w:hint="eastAsia" w:ascii="楷体" w:hAnsi="楷体" w:eastAsia="楷体" w:cs="楷体"/>
                <w:b/>
                <w:color w:val="000000"/>
                <w:sz w:val="28"/>
                <w:szCs w:val="28"/>
              </w:rPr>
              <w:t>少数民族优秀文化保护传承工程。</w:t>
            </w:r>
            <w:r>
              <w:rPr>
                <w:rFonts w:hint="eastAsia" w:ascii="Times New Roman" w:hAnsi="Times New Roman" w:eastAsia="仿宋_GB2312"/>
                <w:color w:val="000000"/>
                <w:sz w:val="28"/>
                <w:szCs w:val="28"/>
              </w:rPr>
              <w:t>挖掘、整理、记录、研究、出版和数字化保护传承少数民族优秀传统文化，把传承建设各民族共享的中华文化与尊重保护和弘扬各民族优秀文化有机结合起来，开展民族优秀文化进校园、进乡村、进社区。抓好民族古籍数据库平台，实现古籍资源有效利用，让少数民族古籍成为铸牢中华民族共同体意识的重要资源</w:t>
            </w:r>
          </w:p>
          <w:p w14:paraId="6B7B84CD">
            <w:pPr>
              <w:widowControl w:val="0"/>
              <w:spacing w:line="400" w:lineRule="exact"/>
              <w:ind w:firstLine="562"/>
              <w:jc w:val="left"/>
              <w:rPr>
                <w:color w:val="000000"/>
              </w:rPr>
            </w:pPr>
            <w:r>
              <w:rPr>
                <w:rFonts w:hint="eastAsia" w:ascii="楷体" w:hAnsi="楷体" w:eastAsia="楷体" w:cs="楷体"/>
                <w:b/>
                <w:bCs/>
                <w:color w:val="000000"/>
                <w:kern w:val="0"/>
                <w:sz w:val="28"/>
                <w:szCs w:val="28"/>
              </w:rPr>
              <w:t>少数民族文化精品工程。</w:t>
            </w:r>
            <w:r>
              <w:rPr>
                <w:rFonts w:hint="eastAsia" w:ascii="仿宋" w:hAnsi="仿宋" w:eastAsia="仿宋" w:cs="仿宋"/>
                <w:color w:val="000000"/>
                <w:sz w:val="28"/>
                <w:szCs w:val="28"/>
              </w:rPr>
              <w:t>建设2个弘扬中华文化精神、艺术精湛、效益突出、促进民族文化创新交融和繁荣发展的少数民族文化精品，巩固提升已有的少数民族文化品牌，推动民族文化创造性转化和创新性发展</w:t>
            </w:r>
            <w:r>
              <w:rPr>
                <w:rFonts w:hint="eastAsia" w:ascii="Times New Roman" w:hAnsi="Times New Roman" w:eastAsia="仿宋_GB2312"/>
                <w:color w:val="000000"/>
                <w:sz w:val="28"/>
                <w:szCs w:val="28"/>
              </w:rPr>
              <w:t>。</w:t>
            </w:r>
          </w:p>
          <w:p w14:paraId="07586D67">
            <w:pPr>
              <w:widowControl w:val="0"/>
              <w:spacing w:line="400" w:lineRule="exact"/>
              <w:ind w:firstLine="562"/>
              <w:jc w:val="left"/>
              <w:rPr>
                <w:rFonts w:ascii="Times New Roman" w:hAnsi="Times New Roman" w:eastAsia="仿宋_GB2312"/>
                <w:color w:val="000000"/>
                <w:sz w:val="28"/>
                <w:szCs w:val="28"/>
              </w:rPr>
            </w:pPr>
            <w:r>
              <w:rPr>
                <w:rFonts w:hint="eastAsia" w:ascii="楷体" w:hAnsi="楷体" w:eastAsia="楷体" w:cs="楷体"/>
                <w:b/>
                <w:color w:val="000000"/>
                <w:sz w:val="28"/>
                <w:szCs w:val="28"/>
              </w:rPr>
              <w:t>非遗保护重点工程。</w:t>
            </w:r>
            <w:r>
              <w:rPr>
                <w:rFonts w:hint="eastAsia" w:ascii="仿宋" w:hAnsi="仿宋" w:eastAsia="仿宋" w:cs="仿宋"/>
                <w:color w:val="000000"/>
                <w:sz w:val="28"/>
                <w:szCs w:val="28"/>
              </w:rPr>
              <w:t>实施全县非遗名录体系建设、非遗保护振兴、非遗区域性整体保护、非遗数字化记录、非遗理论研究、非遗人才培养、非遗传承传播、非遗融合发展等工程。</w:t>
            </w:r>
          </w:p>
          <w:p w14:paraId="22379E84">
            <w:pPr>
              <w:widowControl w:val="0"/>
              <w:spacing w:line="400" w:lineRule="exact"/>
              <w:ind w:firstLine="562"/>
              <w:jc w:val="left"/>
              <w:rPr>
                <w:rFonts w:ascii="仿宋" w:hAnsi="仿宋" w:eastAsia="仿宋" w:cs="仿宋"/>
                <w:color w:val="000000"/>
                <w:sz w:val="28"/>
                <w:szCs w:val="28"/>
              </w:rPr>
            </w:pPr>
            <w:r>
              <w:rPr>
                <w:rFonts w:hint="eastAsia" w:ascii="楷体" w:hAnsi="楷体" w:eastAsia="楷体" w:cs="楷体"/>
                <w:b/>
                <w:bCs/>
                <w:color w:val="000000"/>
                <w:kern w:val="0"/>
                <w:sz w:val="28"/>
                <w:szCs w:val="28"/>
              </w:rPr>
              <w:t>历史文化名城（镇村街区）和传统村落保护工程</w:t>
            </w:r>
            <w:r>
              <w:rPr>
                <w:rFonts w:hint="eastAsia" w:ascii="楷体" w:hAnsi="楷体" w:eastAsia="楷体" w:cs="楷体"/>
                <w:b/>
                <w:bCs/>
                <w:color w:val="000000"/>
                <w:sz w:val="28"/>
                <w:szCs w:val="28"/>
              </w:rPr>
              <w:t>。</w:t>
            </w:r>
            <w:r>
              <w:rPr>
                <w:rFonts w:hint="eastAsia" w:ascii="仿宋" w:hAnsi="仿宋" w:eastAsia="仿宋" w:cs="仿宋"/>
                <w:color w:val="000000"/>
                <w:sz w:val="28"/>
                <w:szCs w:val="28"/>
              </w:rPr>
              <w:t>强化历史文化名城（镇村街区）保护规划和传统村落保护发展规划编制、修编和实施，加强建设管控，</w:t>
            </w:r>
            <w:r>
              <w:rPr>
                <w:rFonts w:ascii="仿宋" w:hAnsi="仿宋" w:eastAsia="仿宋" w:cs="仿宋"/>
                <w:color w:val="000000"/>
                <w:sz w:val="28"/>
                <w:szCs w:val="28"/>
              </w:rPr>
              <w:t>有序推进全</w:t>
            </w:r>
            <w:r>
              <w:rPr>
                <w:rFonts w:hint="eastAsia" w:ascii="仿宋" w:hAnsi="仿宋" w:eastAsia="仿宋" w:cs="仿宋"/>
                <w:color w:val="000000"/>
                <w:sz w:val="28"/>
                <w:szCs w:val="28"/>
              </w:rPr>
              <w:t>市</w:t>
            </w:r>
            <w:r>
              <w:rPr>
                <w:rFonts w:ascii="仿宋" w:hAnsi="仿宋" w:eastAsia="仿宋" w:cs="仿宋"/>
                <w:color w:val="000000"/>
                <w:sz w:val="28"/>
                <w:szCs w:val="28"/>
              </w:rPr>
              <w:t>历史文化名城、名镇、名村、名街环境综合整治提升行动，</w:t>
            </w:r>
            <w:r>
              <w:rPr>
                <w:rFonts w:hint="eastAsia" w:ascii="仿宋" w:hAnsi="仿宋" w:eastAsia="仿宋" w:cs="仿宋"/>
                <w:color w:val="000000"/>
                <w:sz w:val="28"/>
                <w:szCs w:val="28"/>
              </w:rPr>
              <w:t>大力推进传统村落保护发展，</w:t>
            </w:r>
            <w:r>
              <w:rPr>
                <w:rFonts w:ascii="仿宋" w:hAnsi="仿宋" w:eastAsia="仿宋" w:cs="仿宋"/>
                <w:color w:val="000000"/>
                <w:sz w:val="28"/>
                <w:szCs w:val="28"/>
              </w:rPr>
              <w:t>完善配套基础设施和公共服务设施</w:t>
            </w:r>
            <w:r>
              <w:rPr>
                <w:rFonts w:hint="eastAsia" w:ascii="仿宋" w:hAnsi="仿宋" w:eastAsia="仿宋" w:cs="仿宋"/>
                <w:color w:val="000000"/>
                <w:sz w:val="28"/>
                <w:szCs w:val="28"/>
              </w:rPr>
              <w:t>，</w:t>
            </w:r>
            <w:r>
              <w:rPr>
                <w:rFonts w:ascii="仿宋" w:hAnsi="仿宋" w:eastAsia="仿宋" w:cs="仿宋"/>
                <w:color w:val="000000"/>
                <w:sz w:val="28"/>
                <w:szCs w:val="28"/>
              </w:rPr>
              <w:t>积极推动历史建筑保护修缮和测绘建档</w:t>
            </w:r>
            <w:r>
              <w:rPr>
                <w:rFonts w:hint="eastAsia" w:ascii="仿宋" w:hAnsi="仿宋" w:eastAsia="仿宋" w:cs="仿宋"/>
                <w:color w:val="000000"/>
                <w:sz w:val="28"/>
                <w:szCs w:val="28"/>
              </w:rPr>
              <w:t>。</w:t>
            </w:r>
          </w:p>
          <w:p w14:paraId="6CF56B02">
            <w:pPr>
              <w:widowControl w:val="0"/>
              <w:spacing w:line="400" w:lineRule="exact"/>
              <w:ind w:firstLine="562"/>
              <w:jc w:val="left"/>
              <w:rPr>
                <w:rFonts w:ascii="仿宋" w:hAnsi="仿宋" w:eastAsia="仿宋" w:cs="仿宋"/>
                <w:b/>
                <w:bCs/>
                <w:color w:val="000000"/>
                <w:sz w:val="28"/>
                <w:szCs w:val="28"/>
              </w:rPr>
            </w:pPr>
            <w:r>
              <w:rPr>
                <w:rFonts w:hint="eastAsia" w:ascii="楷体" w:hAnsi="楷体" w:eastAsia="楷体" w:cs="楷体"/>
                <w:b/>
                <w:bCs/>
                <w:color w:val="000000"/>
                <w:kern w:val="0"/>
                <w:sz w:val="28"/>
                <w:szCs w:val="28"/>
              </w:rPr>
              <w:t>文物保护工程。</w:t>
            </w:r>
            <w:r>
              <w:rPr>
                <w:rFonts w:ascii="仿宋" w:hAnsi="仿宋" w:eastAsia="仿宋" w:cs="仿宋"/>
                <w:color w:val="000000"/>
                <w:sz w:val="28"/>
                <w:szCs w:val="28"/>
              </w:rPr>
              <w:t>加大</w:t>
            </w:r>
            <w:r>
              <w:rPr>
                <w:rFonts w:hint="eastAsia" w:ascii="仿宋" w:hAnsi="仿宋" w:eastAsia="仿宋" w:cs="仿宋"/>
                <w:color w:val="000000"/>
                <w:sz w:val="28"/>
                <w:szCs w:val="28"/>
              </w:rPr>
              <w:t>可移动文物和不可移动文物保护力度。</w:t>
            </w:r>
          </w:p>
          <w:p w14:paraId="7578FBA5">
            <w:pPr>
              <w:widowControl/>
              <w:spacing w:line="400" w:lineRule="exact"/>
              <w:ind w:firstLine="562"/>
              <w:jc w:val="left"/>
              <w:rPr>
                <w:rFonts w:ascii="Times New Roman" w:hAnsi="Times New Roman" w:cs="宋体"/>
                <w:color w:val="000000"/>
                <w:sz w:val="28"/>
                <w:szCs w:val="28"/>
              </w:rPr>
            </w:pPr>
            <w:r>
              <w:rPr>
                <w:rFonts w:hint="eastAsia" w:ascii="楷体" w:hAnsi="楷体" w:eastAsia="楷体" w:cs="楷体"/>
                <w:b/>
                <w:bCs/>
                <w:color w:val="000000"/>
                <w:kern w:val="0"/>
                <w:sz w:val="28"/>
                <w:szCs w:val="28"/>
              </w:rPr>
              <w:t>“学前学会普通话”行动。</w:t>
            </w:r>
            <w:r>
              <w:rPr>
                <w:rFonts w:hint="eastAsia" w:ascii="仿宋" w:hAnsi="仿宋" w:eastAsia="仿宋" w:cs="仿宋"/>
                <w:color w:val="000000"/>
                <w:sz w:val="28"/>
                <w:szCs w:val="28"/>
              </w:rPr>
              <w:t>在民族地区幼儿园、幼教点全面推广普通话，努力实现3-6岁学前儿童能够在接受义务教育前使用国家通用语言进行沟通交流，形成国家通用语言思维，达到听懂、能说、愿说、会用普通话的目标。</w:t>
            </w:r>
          </w:p>
        </w:tc>
      </w:tr>
    </w:tbl>
    <w:p w14:paraId="1DD9932B">
      <w:pPr>
        <w:ind w:firstLine="640"/>
        <w:rPr>
          <w:rFonts w:ascii="Times New Roman" w:hAnsi="Times New Roman" w:eastAsia="仿宋_GB2312" w:cs="仿宋_GB2312"/>
          <w:color w:val="000000"/>
          <w:sz w:val="32"/>
          <w:szCs w:val="32"/>
        </w:rPr>
      </w:pPr>
    </w:p>
    <w:p w14:paraId="6C0B09F4">
      <w:pPr>
        <w:ind w:firstLine="640"/>
        <w:rPr>
          <w:rFonts w:ascii="Times New Roman" w:hAnsi="Times New Roman" w:eastAsia="仿宋_GB2312" w:cs="仿宋_GB2312"/>
          <w:color w:val="000000"/>
          <w:sz w:val="32"/>
          <w:szCs w:val="32"/>
        </w:rPr>
      </w:pPr>
    </w:p>
    <w:p w14:paraId="430A12CE">
      <w:pPr>
        <w:pStyle w:val="4"/>
        <w:spacing w:before="0" w:beforeAutospacing="0" w:after="0" w:afterAutospacing="0" w:line="560" w:lineRule="exact"/>
        <w:jc w:val="center"/>
        <w:rPr>
          <w:rFonts w:hint="default" w:ascii="Times New Roman" w:hAnsi="Times New Roman" w:eastAsia="黑体" w:cs="黑体"/>
          <w:b w:val="0"/>
          <w:bCs w:val="0"/>
          <w:color w:val="000000"/>
          <w:sz w:val="32"/>
          <w:szCs w:val="32"/>
        </w:rPr>
      </w:pPr>
      <w:bookmarkStart w:id="113" w:name="_Toc12783"/>
      <w:r>
        <w:rPr>
          <w:rFonts w:ascii="Times New Roman" w:hAnsi="Times New Roman" w:eastAsia="黑体" w:cs="黑体"/>
          <w:b w:val="0"/>
          <w:bCs w:val="0"/>
          <w:color w:val="000000"/>
          <w:sz w:val="32"/>
          <w:szCs w:val="32"/>
        </w:rPr>
        <w:t>第三节 推动各民族共同走向社会主义现代化，在夯实中华民族共同体物质基础上作出表率</w:t>
      </w:r>
      <w:bookmarkEnd w:id="113"/>
    </w:p>
    <w:p w14:paraId="3217925A">
      <w:pPr>
        <w:spacing w:line="560" w:lineRule="exact"/>
        <w:ind w:firstLine="640"/>
        <w:rPr>
          <w:rFonts w:ascii="Times New Roman" w:hAnsi="Times New Roman" w:eastAsia="仿宋_GB2312"/>
          <w:bCs/>
          <w:color w:val="000000"/>
          <w:kern w:val="32"/>
          <w:sz w:val="32"/>
          <w:szCs w:val="32"/>
        </w:rPr>
      </w:pPr>
      <w:r>
        <w:rPr>
          <w:rFonts w:hint="eastAsia" w:ascii="Times New Roman" w:hAnsi="Times New Roman" w:eastAsia="仿宋_GB2312"/>
          <w:bCs/>
          <w:color w:val="000000"/>
          <w:kern w:val="32"/>
          <w:sz w:val="32"/>
          <w:szCs w:val="32"/>
        </w:rPr>
        <w:t>进一步加大基础设施、创新驱动、产业发展、对外开放、乡村振兴和生态文明建设，促进各族人民实现共同发展、共同富裕，夯实中华民族共同体物质基础。</w:t>
      </w:r>
    </w:p>
    <w:p w14:paraId="121D6FF2">
      <w:pPr>
        <w:pStyle w:val="5"/>
        <w:spacing w:before="0" w:after="0" w:line="560" w:lineRule="exact"/>
        <w:ind w:firstLine="643"/>
        <w:rPr>
          <w:rFonts w:ascii="Times New Roman" w:hAnsi="Times New Roman" w:eastAsia="楷体" w:cs="楷体"/>
          <w:color w:val="000000"/>
          <w:szCs w:val="24"/>
        </w:rPr>
      </w:pPr>
      <w:bookmarkStart w:id="114" w:name="_Toc24445"/>
      <w:bookmarkStart w:id="115" w:name="_Toc21677_WPSOffice_Level2"/>
      <w:r>
        <w:rPr>
          <w:rFonts w:hint="eastAsia" w:ascii="Times New Roman" w:hAnsi="Times New Roman" w:eastAsia="楷体" w:cs="楷体"/>
          <w:color w:val="000000"/>
          <w:szCs w:val="24"/>
        </w:rPr>
        <w:t>一、提档升级民族地区基础设施</w:t>
      </w:r>
      <w:bookmarkEnd w:id="114"/>
      <w:bookmarkEnd w:id="115"/>
    </w:p>
    <w:p w14:paraId="078255DB">
      <w:pPr>
        <w:pStyle w:val="2"/>
        <w:spacing w:line="560" w:lineRule="exact"/>
        <w:ind w:firstLine="640"/>
        <w:rPr>
          <w:rFonts w:ascii="仿宋" w:hAnsi="仿宋" w:eastAsia="仿宋" w:cs="仿宋"/>
          <w:color w:val="000000"/>
          <w:sz w:val="32"/>
          <w:szCs w:val="32"/>
        </w:rPr>
      </w:pPr>
      <w:r>
        <w:rPr>
          <w:rFonts w:hint="eastAsia" w:ascii="仿宋_GB2312" w:eastAsia="仿宋_GB2312"/>
          <w:color w:val="000000"/>
          <w:sz w:val="32"/>
          <w:szCs w:val="32"/>
        </w:rPr>
        <w:t>更新城市改造，完善综合交通网络，建成国道G326和G324线石林县城过境公路及配套设施、国道G324线召夸至北大村改建工程；继续加大县道、乡道升级改造、日常维护和路域环境整治力度，实施交通基础设施改善提升工程，谋划高铁站与主城区、景区的快速轨道交通，做到高铁站、县城、景区等主要节点全时段无缝连接，补齐交通基础设施建设短板，逐步提高综合交通运输服务水平。统筹推进防洪、供水、水生态以及智慧水务全面发展，构建现代化水安全保障体系。实施西河、东山河等山洪沟治理工程，完善山洪灾害防治体系；推进现有病险水库、水闸除险加固，消除安全隐患；实施乡镇抗旱水源工程，科学配置和优化调度水源，提高抗旱应急供水能力。加快大型水</w:t>
      </w:r>
      <w:r>
        <w:rPr>
          <w:rFonts w:hint="eastAsia" w:ascii="仿宋_GB2312" w:hAnsi="仿宋" w:eastAsia="仿宋_GB2312"/>
          <w:color w:val="000000"/>
          <w:sz w:val="32"/>
          <w:szCs w:val="32"/>
        </w:rPr>
        <w:t>库、大中型灌区、水系连通工程等重点水网工程建设，推进大中型灌区续建配套与现代化改造、中小河流治理和病险水库除险加固、抗旱水源工程建设和山洪灾害防治。提升农村人口饮水安全保障水平。加快电力重大工程项目建设，加强农村电网改造，加大可再生能源推广应用。支持民族地区因地制宜开发利用当地能源资源。</w:t>
      </w:r>
      <w:r>
        <w:rPr>
          <w:rFonts w:hint="eastAsia" w:ascii="仿宋_GB2312" w:eastAsia="仿宋_GB2312"/>
          <w:color w:val="000000"/>
          <w:sz w:val="32"/>
          <w:szCs w:val="32"/>
        </w:rPr>
        <w:t>加强石林智能电网建设，推进新一轮农村电网改造。加快非煤矿山转型升级，积极推进尾矿综合回收利用，加快建设绿色矿山。科学有序推动可再生能源开发，适时推进太阳能、风能、生物质能、光伏等清洁能源开发利用。加快天然气支线管道建设。推进新能源汽车普及使用，重点在景区、园区、旅游专线沿线布局建设充电站、充电桩等新型基础设施。</w:t>
      </w:r>
      <w:r>
        <w:rPr>
          <w:rFonts w:hint="eastAsia" w:ascii="仿宋_GB2312" w:hAnsi="仿宋" w:eastAsia="仿宋_GB2312"/>
          <w:color w:val="000000"/>
          <w:sz w:val="32"/>
          <w:szCs w:val="32"/>
        </w:rPr>
        <w:t>加强新型信息基础设施建设，深入实施“宽带石林”建设，推动光纤宽带网络向乡镇和农村地区延伸覆盖。对现有百兆以下固定宽带用户升级提速至百兆，加快建设千兆宽带。实施4G补盲提速、5G基站建设工程，推动县城、集镇医院、学校、生态工业集中区、石林景区等重点区域5G网络覆盖。推动物联网、IPv6、公共场所免费WiFi等规模化部署和应用。推进数字乡村工程建设，扩大农村宽带网络和移动通信网络覆盖面。建设覆盖民族地区的多式联运物流网，加快物流枢纽布局和仓储、冷链物流基础设施建设，推行集约化配送模式，完善县、乡、村三级物流网络，提升物流信息化水平。</w:t>
      </w:r>
      <w:r>
        <w:rPr>
          <w:rFonts w:hint="eastAsia" w:ascii="仿宋_GB2312" w:hAnsi="宋体" w:eastAsia="仿宋_GB2312"/>
          <w:color w:val="000000"/>
          <w:sz w:val="32"/>
          <w:szCs w:val="32"/>
        </w:rPr>
        <w:t>打造县乡村三级物流共同配送体系，完善农村电商物流体系，建立县域统一的、适应“工业品下乡、农产品进城”双向流通的农村物流管理系统，对接物流需求方与提供方，整合全县物流信息，发挥指挥调度作用，有效管理订单、运单、运力、场站与货物，实现合理、顺畅、高效的货物流转。</w:t>
      </w:r>
    </w:p>
    <w:p w14:paraId="3F1142A3">
      <w:pPr>
        <w:pStyle w:val="5"/>
        <w:spacing w:before="0" w:after="0" w:line="560" w:lineRule="exact"/>
        <w:ind w:firstLine="643"/>
        <w:rPr>
          <w:rFonts w:ascii="Times New Roman" w:hAnsi="Times New Roman" w:eastAsia="楷体" w:cs="楷体"/>
          <w:color w:val="000000"/>
          <w:szCs w:val="24"/>
        </w:rPr>
      </w:pPr>
      <w:bookmarkStart w:id="116" w:name="_Toc27979_WPSOffice_Level2"/>
      <w:bookmarkStart w:id="117" w:name="_Toc21201"/>
      <w:r>
        <w:rPr>
          <w:rFonts w:hint="eastAsia" w:ascii="Times New Roman" w:hAnsi="Times New Roman" w:eastAsia="楷体" w:cs="楷体"/>
          <w:color w:val="000000"/>
          <w:szCs w:val="24"/>
        </w:rPr>
        <w:t>二、强化民族地区创新驱动发展</w:t>
      </w:r>
      <w:bookmarkEnd w:id="116"/>
      <w:bookmarkEnd w:id="117"/>
    </w:p>
    <w:p w14:paraId="02B89BCB">
      <w:pPr>
        <w:pStyle w:val="2"/>
        <w:spacing w:line="560" w:lineRule="exact"/>
        <w:ind w:firstLine="640"/>
        <w:rPr>
          <w:rFonts w:ascii="仿宋" w:hAnsi="仿宋" w:eastAsia="仿宋" w:cs="仿宋"/>
          <w:color w:val="000000"/>
          <w:sz w:val="32"/>
          <w:szCs w:val="32"/>
        </w:rPr>
      </w:pPr>
      <w:r>
        <w:rPr>
          <w:rFonts w:hint="eastAsia" w:ascii="仿宋" w:hAnsi="仿宋" w:eastAsia="仿宋" w:cs="仿宋"/>
          <w:color w:val="000000"/>
          <w:sz w:val="32"/>
          <w:szCs w:val="32"/>
        </w:rPr>
        <w:t>坚持创新在发展中的核心地位，完善创新体系建设，强化科技支撑催生新发展动能。加强创新主体建设，强化企业创新主体地位，提升企业技术创新能力，着力培育一批有核心竞争力的骨干企业、高新技术企业、科技型中小企业，鼓励企业设立和申报实验室、工程研究中心、产业（技术）创新中心、重点（工程）实验室、企业技术中心等创新平台。加大对科技项目的支持力度，加大对民族地区支柱产业、特色优势产业和新兴产业的科技扶持，提升民族地区产业发展的科技含量。</w:t>
      </w:r>
    </w:p>
    <w:p w14:paraId="5127C828">
      <w:pPr>
        <w:pStyle w:val="5"/>
        <w:spacing w:before="0" w:after="0" w:line="560" w:lineRule="exact"/>
        <w:ind w:firstLine="643"/>
        <w:rPr>
          <w:rFonts w:ascii="Times New Roman" w:hAnsi="Times New Roman" w:eastAsia="楷体" w:cs="楷体"/>
          <w:color w:val="000000"/>
          <w:szCs w:val="24"/>
        </w:rPr>
      </w:pPr>
      <w:bookmarkStart w:id="118" w:name="_Toc8398_WPSOffice_Level2"/>
      <w:bookmarkStart w:id="119" w:name="_Toc9871"/>
      <w:r>
        <w:rPr>
          <w:rFonts w:hint="eastAsia" w:ascii="Times New Roman" w:hAnsi="Times New Roman" w:eastAsia="楷体" w:cs="楷体"/>
          <w:color w:val="000000"/>
          <w:szCs w:val="24"/>
        </w:rPr>
        <w:t>三、推动民族地区产业优化升级</w:t>
      </w:r>
      <w:bookmarkEnd w:id="118"/>
      <w:bookmarkEnd w:id="119"/>
    </w:p>
    <w:p w14:paraId="06F60D36">
      <w:pPr>
        <w:pStyle w:val="2"/>
        <w:spacing w:line="560" w:lineRule="exact"/>
        <w:ind w:firstLine="640"/>
        <w:rPr>
          <w:rFonts w:ascii="仿宋_GB2312" w:eastAsia="仿宋_GB2312"/>
          <w:color w:val="000000"/>
          <w:sz w:val="32"/>
          <w:szCs w:val="32"/>
        </w:rPr>
      </w:pPr>
      <w:r>
        <w:rPr>
          <w:rFonts w:hint="eastAsia" w:ascii="仿宋_GB2312" w:hAnsi="仿宋" w:eastAsia="仿宋_GB2312"/>
          <w:color w:val="000000"/>
          <w:sz w:val="32"/>
          <w:szCs w:val="32"/>
        </w:rPr>
        <w:t>巩固提升传统支柱产业和特色优势产业，加快信息技术与传统产业深度融合发展，促进传统产业数字化转型。扶持民族贸易和民族特需商品生产。加大新一代信息技术、高端装备和新材料、生物医药、大健康、数字创意等战略性新兴产业培育发展，推动区块链技术和产业创新发展，创新促进科技成果转化机制，提升民族地区创新驱动发展能力。创新升级现代服务业，推动生产性服务业专业化发展，推动生活性服务业精细化发展，大幅提升服务业水平，不断提高服务业增加值比重。加快新型基础设施建设，坚持“数字经济、数字政府、数字社会、数字城市”发展思路，推动数字经济与实体经济深度融合，打造“数字石林”。加强科技创新主体培育，加快科技创新载体建设，突出人才优先，加快发展动力由主要依靠要素拉动向创新驱动转型步伐，加快提升科技实力和创新能力。建立健全民族地区绿色生产和消费机制，加大绿色工厂和绿色园区支持力度，推动企业绿色改造升级，推进绿色技术创新，发展绿色金融。做大做强人参果、辣椒、苹果、枇杷、花卉、生猪、圭山山羊等特色种养殖业，打造西街口人参果、石林街道辣椒、圭山苹果及大可乡枇杷四个特色产业标准化生产示范乡镇，加快发展“一县一业”“一村一品”。探索“企业+农户、合作社+农户、企业+基地+农户、企业+合作社+农户”乡村产业经营模式，完善利益联结机制，推进产业标准化、规模化发展。支持龙头企业发展农产品精深加工，鼓励农民合作社、家庭农场、农户发展农产品产地初加工。推行“特色产品+合作社+电商服务商+电商平台”等模式，大力发展农村电子商务，积极发展直播电商等新型业态。加强产业园区建设，推进开发区优化提升，加大园区基础设施、公共服务平台和产业项目支持力度，推进特色产业集群发展。依托产业园区平台，加快新旧动能转化和转型升级，推进工业经济突破性发展，推进生态工业创新发展。优化民族地区农业生产结构和区域布局，坚持“稳定粮烟、巩固果蔬、提升畜花”思路，实施农业“一二三”行动，推进品种培优、品质提升、品牌打造和标准化生产，积极打造世界一流“绿色食品牌”，打造全市现代特色农业基地。实施兴林富民行动，发展现代高效林业。</w:t>
      </w:r>
      <w:r>
        <w:rPr>
          <w:rFonts w:hint="eastAsia" w:ascii="仿宋_GB2312" w:eastAsia="仿宋_GB2312"/>
          <w:color w:val="000000"/>
          <w:sz w:val="32"/>
          <w:szCs w:val="32"/>
        </w:rPr>
        <w:t>加快发展民族地区森林旅游、河湖湿地观光、高山草甸运动、林下种养殖、野生动物观赏等产业，开发观光农业、森林康养、游憩休闲等服务，促进生态资源转化为生态经济。</w:t>
      </w:r>
      <w:bookmarkStart w:id="120" w:name="_Toc32022"/>
    </w:p>
    <w:p w14:paraId="169DCCB6">
      <w:pPr>
        <w:pStyle w:val="2"/>
        <w:numPr>
          <w:ilvl w:val="0"/>
          <w:numId w:val="4"/>
        </w:numPr>
        <w:spacing w:line="560" w:lineRule="exact"/>
        <w:ind w:firstLine="643"/>
        <w:rPr>
          <w:rFonts w:hint="eastAsia" w:ascii="楷体" w:hAnsi="楷体" w:eastAsia="楷体" w:cs="黑体"/>
          <w:b/>
          <w:color w:val="000000"/>
          <w:sz w:val="32"/>
          <w:szCs w:val="24"/>
        </w:rPr>
      </w:pPr>
      <w:bookmarkStart w:id="121" w:name="_Toc18915_WPSOffice_Level2"/>
      <w:r>
        <w:rPr>
          <w:rFonts w:hint="eastAsia" w:ascii="楷体" w:hAnsi="楷体" w:eastAsia="楷体" w:cs="黑体"/>
          <w:b/>
          <w:color w:val="000000"/>
          <w:sz w:val="32"/>
          <w:szCs w:val="24"/>
        </w:rPr>
        <w:t>加快民族地区对外开放步伐</w:t>
      </w:r>
      <w:bookmarkEnd w:id="120"/>
      <w:bookmarkEnd w:id="121"/>
      <w:bookmarkStart w:id="122" w:name="_Toc13164"/>
    </w:p>
    <w:p w14:paraId="2D43498E">
      <w:pPr>
        <w:pStyle w:val="2"/>
        <w:spacing w:line="560" w:lineRule="exact"/>
        <w:ind w:firstLine="640"/>
        <w:rPr>
          <w:rFonts w:ascii="仿宋_GB2312" w:hAnsi="仿宋" w:eastAsia="仿宋_GB2312"/>
          <w:color w:val="000000"/>
          <w:sz w:val="32"/>
          <w:szCs w:val="32"/>
        </w:rPr>
      </w:pPr>
      <w:r>
        <w:rPr>
          <w:rFonts w:hint="eastAsia" w:ascii="仿宋_GB2312" w:hAnsi="仿宋" w:eastAsia="仿宋_GB2312"/>
          <w:color w:val="000000"/>
          <w:sz w:val="32"/>
          <w:szCs w:val="32"/>
        </w:rPr>
        <w:t>积极对接中国（云南）自由贸易试验区昆明片区、昆明国家跨境电子商务试验区等国际开放平台，引进国际贸易、跨境电商平台等相关企业，助力外贸企业发展。加强与周边州市县以及友好旗县，在农业、交通、旅游、经贸等领域开展广泛合作交流，实现互惠互利共赢。深度对接京津冀、长三角、珠三角等发达地区，积极创造各类信息交流、合作洽谈等平台。深化人文交流合作，组织好各类商会协会、展会节会，积极参与南博会、农博会、商洽会等会展，主动争取承办大型活动，进一步提升石林的影响力和知名度。开展学术研讨、非遗传承、节庆会展、文化旅游等方面的多层级人文交流对话与合作。组织好各类商会协会、展会节会等资源信息，积极参与南博会、农博会、商洽会等会展，主动争取承办大型活动，吸引知名会展、主题会展落户石林，打造“石林会展”品牌，提升石林的国际影响力和知名度。</w:t>
      </w:r>
    </w:p>
    <w:p w14:paraId="4189D0D4">
      <w:pPr>
        <w:pStyle w:val="5"/>
        <w:spacing w:before="0" w:after="0" w:line="560" w:lineRule="exact"/>
        <w:ind w:firstLine="643"/>
        <w:rPr>
          <w:rFonts w:ascii="楷体" w:hAnsi="楷体" w:eastAsia="楷体" w:cs="楷体_GB2312"/>
          <w:color w:val="000000"/>
          <w:kern w:val="2"/>
        </w:rPr>
      </w:pPr>
      <w:bookmarkStart w:id="123" w:name="_Toc4279_WPSOffice_Level2"/>
      <w:r>
        <w:rPr>
          <w:rFonts w:hint="eastAsia" w:ascii="楷体" w:hAnsi="楷体" w:eastAsia="楷体" w:cs="楷体_GB2312"/>
          <w:color w:val="000000"/>
          <w:kern w:val="2"/>
        </w:rPr>
        <w:t>五、全面推进民族地区乡村振兴</w:t>
      </w:r>
      <w:bookmarkEnd w:id="122"/>
      <w:bookmarkEnd w:id="123"/>
    </w:p>
    <w:p w14:paraId="3CE117A5">
      <w:pPr>
        <w:pStyle w:val="2"/>
        <w:spacing w:line="560" w:lineRule="exact"/>
        <w:ind w:firstLine="640"/>
        <w:rPr>
          <w:rFonts w:ascii="仿宋" w:hAnsi="仿宋" w:eastAsia="仿宋" w:cs="仿宋"/>
          <w:color w:val="000000"/>
          <w:sz w:val="32"/>
          <w:szCs w:val="32"/>
        </w:rPr>
      </w:pPr>
      <w:r>
        <w:rPr>
          <w:rFonts w:hint="eastAsia" w:ascii="Times New Roman" w:hAnsi="Times New Roman" w:eastAsia="仿宋_GB2312" w:cs="仿宋_GB2312"/>
          <w:color w:val="000000"/>
          <w:sz w:val="32"/>
          <w:szCs w:val="32"/>
        </w:rPr>
        <w:t>按照“产业兴旺、生态宜居、乡村文明、治理有效、生活富裕”总要求，发展壮大乡村产业，实施乡村建设行动，推动农业全面升级、农村全面进步、农民全面发展，加快农业农村现代化。推进民族地区巩固拓展脱贫攻坚成果同乡村振兴有效对接，建立健全“一平台、三机制”，强化基础设施建设、人居环境整治、产业培育发展、社会保障兜底，突出抓好产业就业、素质能力提升和易地扶贫搬迁后续帮扶。依托乡村振兴“百千万”工程和民族地区乡村振兴试点工作，以加快农业农村现代化、推动高质量发展、促进民族团结进步为重点，遴选综合条件好、民族团结进步示范作用明显的乡村，加强政策资金倾斜支持，重点打造一批美丽宜居、生活富裕、敬党爱国的乡村示范典型。开展民族地区科普骨干人才培训，培养一批家庭农村经营者、农村创业创新带头人、农村电商、乡村工匠等乡土人才，不断增强民族地区各民族群众科学素养，激活乡村振兴内生动力。积极推动特色小镇创建，聚焦“特色、产业、生态、易达、宜居、智慧、成网”七大要素，继续打造一批产业特色鲜明、人文底蕴浓厚、服务设施完善、生态环境优美的特色村镇。积极参与打造“中国民族和美乡村”品牌，建设一批团结、和谐、美丽、宜居的乡村。争取在条件的民族乡创建“团结之家”示范点，引导各族群众生产生活互帮、民族文化互融、思想互促共进。</w:t>
      </w:r>
    </w:p>
    <w:p w14:paraId="4755C82A">
      <w:pPr>
        <w:pStyle w:val="5"/>
        <w:spacing w:before="0" w:after="0" w:line="560" w:lineRule="exact"/>
        <w:ind w:firstLine="643"/>
        <w:rPr>
          <w:rFonts w:ascii="Times New Roman" w:hAnsi="Times New Roman" w:eastAsia="楷体" w:cs="楷体"/>
          <w:color w:val="000000"/>
          <w:szCs w:val="24"/>
        </w:rPr>
      </w:pPr>
      <w:bookmarkStart w:id="124" w:name="_Toc5402"/>
      <w:bookmarkStart w:id="125" w:name="_Toc3886_WPSOffice_Level2"/>
      <w:r>
        <w:rPr>
          <w:rFonts w:hint="eastAsia" w:ascii="Times New Roman" w:hAnsi="Times New Roman" w:eastAsia="楷体" w:cs="楷体"/>
          <w:color w:val="000000"/>
          <w:szCs w:val="24"/>
        </w:rPr>
        <w:t>六、加强民族地区生态文明建设</w:t>
      </w:r>
      <w:bookmarkEnd w:id="124"/>
      <w:bookmarkEnd w:id="125"/>
    </w:p>
    <w:p w14:paraId="07D3221D">
      <w:pPr>
        <w:spacing w:line="560" w:lineRule="exact"/>
        <w:ind w:firstLine="640"/>
        <w:rPr>
          <w:rFonts w:ascii="仿宋_GB2312" w:hAnsi="仿宋" w:eastAsia="仿宋_GB2312"/>
          <w:color w:val="000000"/>
          <w:sz w:val="32"/>
          <w:szCs w:val="32"/>
        </w:rPr>
      </w:pPr>
      <w:r>
        <w:rPr>
          <w:rFonts w:hint="eastAsia" w:ascii="Times New Roman" w:hAnsi="Times New Roman" w:eastAsia="仿宋_GB2312" w:cs="仿宋_GB2312"/>
          <w:color w:val="000000"/>
          <w:sz w:val="32"/>
          <w:szCs w:val="32"/>
        </w:rPr>
        <w:t>坚持绿水青山就是金山银山的理念，加强民族地区生态环境保护与治理</w:t>
      </w:r>
      <w:r>
        <w:rPr>
          <w:rFonts w:hint="eastAsia" w:ascii="仿宋_GB2312" w:eastAsia="仿宋_GB2312"/>
          <w:color w:val="000000"/>
          <w:sz w:val="32"/>
          <w:szCs w:val="32"/>
        </w:rPr>
        <w:t>，构建以国家公园为主的自然保护地体系，推动生物廊道、保护小区建设。加强野生动植物资源调查，更新完善生物多样性数据库。加强巴江下游大叠水区域、石林风景名胜区、圭山国家森林公园等区域保护监管，加大珍稀特种药材秋海棠、石蝴蝶、路南海菜花、野三七等物种保护力度。加强外来物种防控，开展物种引进风险评估，建立外来入侵物种监测防控体系，严防外来有害物种入侵。完善民族地区生物多样性保护体系和保护网络，按照有关规定，建立自然保护地、种质资源保护区（地）、原生境保护小区（点）。加强重要生态系统保护和修复重大工程建设，推动山水林田湖草系统治理。加强大气污染和水污染防治，强化土壤污染防控和修复，提升城乡人居环境。</w:t>
      </w:r>
      <w:r>
        <w:rPr>
          <w:rFonts w:hint="eastAsia" w:ascii="仿宋_GB2312" w:hAnsi="仿宋" w:eastAsia="仿宋_GB2312"/>
          <w:color w:val="000000"/>
          <w:sz w:val="32"/>
          <w:szCs w:val="32"/>
        </w:rPr>
        <w:t>根据法律法规和国家统一部署，完善自然资源资产有偿使用制度和生态保护补偿机制，健全自然资源产权制度，构建分类科学的自然资源资产产权体系。逐步扩大民族地区生态保护补偿范围，合理提高补偿标准。</w:t>
      </w:r>
    </w:p>
    <w:p w14:paraId="4CD291FE">
      <w:pPr>
        <w:pStyle w:val="2"/>
        <w:ind w:firstLine="640"/>
        <w:rPr>
          <w:rFonts w:ascii="仿宋_GB2312" w:hAnsi="仿宋" w:eastAsia="仿宋_GB2312"/>
          <w:color w:val="000000"/>
          <w:sz w:val="32"/>
          <w:szCs w:val="32"/>
        </w:rPr>
      </w:pP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11F5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C596E87">
            <w:pPr>
              <w:widowControl w:val="0"/>
              <w:spacing w:line="500" w:lineRule="exact"/>
              <w:jc w:val="center"/>
              <w:rPr>
                <w:rFonts w:ascii="Times New Roman" w:hAnsi="Times New Roman" w:cs="宋体"/>
                <w:color w:val="000000"/>
                <w:sz w:val="28"/>
                <w:szCs w:val="28"/>
              </w:rPr>
            </w:pPr>
            <w:r>
              <w:rPr>
                <w:rFonts w:hint="eastAsia" w:ascii="Times New Roman" w:hAnsi="Times New Roman" w:cs="宋体"/>
                <w:b/>
                <w:bCs/>
                <w:color w:val="000000"/>
                <w:sz w:val="28"/>
                <w:szCs w:val="28"/>
              </w:rPr>
              <w:t>专栏3  推动各民族共同走向社会主义现代化重点工程</w:t>
            </w:r>
          </w:p>
        </w:tc>
      </w:tr>
      <w:tr w14:paraId="1A4F7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4E762B38">
            <w:pPr>
              <w:widowControl w:val="0"/>
              <w:spacing w:line="400" w:lineRule="exact"/>
              <w:ind w:firstLine="562"/>
              <w:jc w:val="left"/>
              <w:rPr>
                <w:rFonts w:ascii="Times New Roman" w:hAnsi="Times New Roman" w:eastAsia="仿宋_GB2312"/>
                <w:color w:val="000000"/>
                <w:sz w:val="28"/>
                <w:szCs w:val="28"/>
              </w:rPr>
            </w:pPr>
            <w:r>
              <w:rPr>
                <w:rFonts w:hint="eastAsia" w:ascii="楷体" w:hAnsi="楷体" w:eastAsia="楷体" w:cs="楷体"/>
                <w:b/>
                <w:bCs/>
                <w:color w:val="000000"/>
                <w:kern w:val="0"/>
                <w:sz w:val="28"/>
                <w:szCs w:val="28"/>
              </w:rPr>
              <w:t>民族团结进步“十县百乡千村万户”示范引领建设工程。</w:t>
            </w:r>
            <w:r>
              <w:rPr>
                <w:rFonts w:hint="eastAsia" w:ascii="Times New Roman" w:hAnsi="Times New Roman" w:eastAsia="仿宋_GB2312"/>
                <w:color w:val="000000"/>
                <w:sz w:val="28"/>
                <w:szCs w:val="28"/>
              </w:rPr>
              <w:t>立足铸牢中华民族共同体意识和推动民族地区高质量发展，每年建设一批民族团结进步示范典型。</w:t>
            </w:r>
          </w:p>
          <w:p w14:paraId="37BBA2FE">
            <w:pPr>
              <w:widowControl w:val="0"/>
              <w:spacing w:line="400" w:lineRule="exact"/>
              <w:ind w:firstLine="562"/>
              <w:jc w:val="left"/>
              <w:rPr>
                <w:rFonts w:ascii="仿宋" w:hAnsi="仿宋" w:eastAsia="仿宋" w:cs="仿宋"/>
                <w:color w:val="000000"/>
                <w:sz w:val="28"/>
                <w:szCs w:val="28"/>
              </w:rPr>
            </w:pPr>
            <w:r>
              <w:rPr>
                <w:rFonts w:hint="eastAsia" w:ascii="楷体" w:hAnsi="楷体" w:eastAsia="楷体" w:cs="楷体"/>
                <w:b/>
                <w:bCs/>
                <w:color w:val="000000"/>
                <w:kern w:val="0"/>
                <w:sz w:val="28"/>
                <w:szCs w:val="28"/>
              </w:rPr>
              <w:t>民族特色村镇建设。</w:t>
            </w:r>
            <w:r>
              <w:rPr>
                <w:rFonts w:hint="eastAsia" w:ascii="仿宋" w:hAnsi="仿宋" w:eastAsia="仿宋" w:cs="仿宋"/>
                <w:color w:val="000000"/>
                <w:sz w:val="28"/>
                <w:szCs w:val="28"/>
              </w:rPr>
              <w:t>巩固提升已命名的少数民族特色村建设水平，新增建设一批少数民族特色村镇，实现民族文化与旅游产业融合发展。</w:t>
            </w:r>
          </w:p>
          <w:p w14:paraId="1349042A">
            <w:pPr>
              <w:widowControl w:val="0"/>
              <w:spacing w:line="400" w:lineRule="exact"/>
              <w:ind w:firstLine="562"/>
              <w:jc w:val="left"/>
              <w:rPr>
                <w:rFonts w:ascii="Times New Roman" w:hAnsi="Times New Roman" w:eastAsia="仿宋_GB2312"/>
                <w:color w:val="000000"/>
                <w:sz w:val="28"/>
                <w:szCs w:val="28"/>
              </w:rPr>
            </w:pPr>
            <w:r>
              <w:rPr>
                <w:rFonts w:hint="eastAsia" w:ascii="楷体" w:hAnsi="楷体" w:eastAsia="楷体" w:cs="楷体"/>
                <w:b/>
                <w:bCs/>
                <w:color w:val="000000"/>
                <w:kern w:val="0"/>
                <w:sz w:val="28"/>
                <w:szCs w:val="28"/>
              </w:rPr>
              <w:t> “团结之家”示范点建设。</w:t>
            </w:r>
            <w:r>
              <w:rPr>
                <w:rFonts w:hint="eastAsia" w:ascii="Times New Roman" w:hAnsi="Times New Roman" w:eastAsia="仿宋_GB2312"/>
                <w:color w:val="000000"/>
                <w:sz w:val="28"/>
                <w:szCs w:val="28"/>
              </w:rPr>
              <w:t>创建“团结之家”示范点，通过“团结之家”的民族文化艺术团、民族文化陈列室、民族政策宣传栏等，营造各民族间友爱互助、团结和谐的良好社会氛围。</w:t>
            </w:r>
          </w:p>
          <w:p w14:paraId="1DB22153">
            <w:pPr>
              <w:widowControl w:val="0"/>
              <w:spacing w:line="400" w:lineRule="exact"/>
              <w:ind w:firstLine="562"/>
              <w:jc w:val="left"/>
              <w:rPr>
                <w:rFonts w:ascii="Times New Roman" w:hAnsi="Times New Roman" w:eastAsia="仿宋_GB2312"/>
                <w:color w:val="000000"/>
                <w:sz w:val="28"/>
                <w:szCs w:val="28"/>
              </w:rPr>
            </w:pPr>
            <w:r>
              <w:rPr>
                <w:rFonts w:hint="eastAsia" w:ascii="楷体" w:hAnsi="楷体" w:eastAsia="楷体" w:cs="楷体"/>
                <w:b/>
                <w:bCs/>
                <w:color w:val="000000"/>
                <w:kern w:val="0"/>
                <w:sz w:val="28"/>
                <w:szCs w:val="28"/>
              </w:rPr>
              <w:t>乡村振兴试点（含试点乡镇、试点村）工程。</w:t>
            </w:r>
            <w:r>
              <w:rPr>
                <w:rFonts w:hint="eastAsia" w:ascii="Times New Roman" w:hAnsi="Times New Roman" w:eastAsia="仿宋_GB2312"/>
                <w:color w:val="000000"/>
                <w:sz w:val="28"/>
                <w:szCs w:val="28"/>
              </w:rPr>
              <w:t>“十四五”期间，以加快农业农村现代化、推动高质量发展、促进民族团结进步为重点，实施5个代表性突出、发展潜力大、工作基础好的乡村振兴试点项目，打造美丽宜居、生活富裕、敬党爱国的乡村示范典型。</w:t>
            </w:r>
          </w:p>
          <w:p w14:paraId="6D756752">
            <w:pPr>
              <w:widowControl w:val="0"/>
              <w:spacing w:line="400" w:lineRule="exact"/>
              <w:ind w:firstLine="643"/>
              <w:jc w:val="left"/>
              <w:rPr>
                <w:rFonts w:ascii="Times New Roman" w:hAnsi="Times New Roman" w:cs="宋体"/>
                <w:color w:val="000000"/>
                <w:sz w:val="28"/>
                <w:szCs w:val="28"/>
              </w:rPr>
            </w:pPr>
            <w:r>
              <w:rPr>
                <w:rFonts w:hint="eastAsia" w:ascii="楷体" w:hAnsi="楷体" w:eastAsia="楷体" w:cs="楷体"/>
                <w:b/>
                <w:bCs/>
                <w:color w:val="000000"/>
                <w:kern w:val="0"/>
                <w:sz w:val="32"/>
                <w:szCs w:val="32"/>
                <w:lang w:val="zh-CN"/>
              </w:rPr>
              <w:t>民族地区</w:t>
            </w:r>
            <w:r>
              <w:rPr>
                <w:rFonts w:hint="eastAsia" w:ascii="楷体" w:hAnsi="楷体" w:eastAsia="楷体" w:cs="楷体"/>
                <w:b/>
                <w:bCs/>
                <w:color w:val="000000"/>
                <w:kern w:val="0"/>
                <w:sz w:val="28"/>
                <w:szCs w:val="28"/>
                <w:lang w:val="zh-CN"/>
              </w:rPr>
              <w:t>生态文明创建工程。</w:t>
            </w:r>
            <w:r>
              <w:rPr>
                <w:rFonts w:hint="eastAsia" w:ascii="仿宋" w:hAnsi="仿宋" w:eastAsia="仿宋" w:cs="仿宋"/>
                <w:color w:val="000000"/>
                <w:sz w:val="28"/>
                <w:szCs w:val="28"/>
              </w:rPr>
              <w:t>创建</w:t>
            </w:r>
            <w:r>
              <w:rPr>
                <w:rFonts w:hint="eastAsia" w:ascii="仿宋" w:hAnsi="仿宋" w:eastAsia="仿宋" w:cs="仿宋"/>
                <w:color w:val="000000"/>
                <w:sz w:val="28"/>
                <w:szCs w:val="28"/>
                <w:lang w:val="zh-CN"/>
              </w:rPr>
              <w:t>“绿水青山就是金山银山”实践创新基地、</w:t>
            </w:r>
            <w:r>
              <w:rPr>
                <w:rFonts w:hint="eastAsia" w:ascii="仿宋" w:hAnsi="仿宋" w:eastAsia="仿宋" w:cs="仿宋"/>
                <w:color w:val="000000"/>
                <w:sz w:val="28"/>
                <w:szCs w:val="28"/>
              </w:rPr>
              <w:t>生态文明乡镇，</w:t>
            </w:r>
            <w:r>
              <w:rPr>
                <w:rFonts w:hint="eastAsia" w:ascii="仿宋" w:hAnsi="仿宋" w:eastAsia="仿宋" w:cs="仿宋"/>
                <w:color w:val="000000"/>
                <w:sz w:val="28"/>
                <w:szCs w:val="28"/>
                <w:lang w:val="zh-CN"/>
              </w:rPr>
              <w:t>鼓励建设民族民间生态文化之乡和民族优秀生态文化传承基地等</w:t>
            </w:r>
            <w:r>
              <w:rPr>
                <w:rFonts w:hint="eastAsia" w:ascii="Times New Roman" w:hAnsi="Times New Roman" w:eastAsia="仿宋_GB2312"/>
                <w:color w:val="000000"/>
                <w:sz w:val="28"/>
                <w:szCs w:val="28"/>
              </w:rPr>
              <w:t>。</w:t>
            </w:r>
          </w:p>
        </w:tc>
      </w:tr>
    </w:tbl>
    <w:p w14:paraId="1498C3A0">
      <w:pPr>
        <w:rPr>
          <w:rFonts w:ascii="Times New Roman" w:hAnsi="Times New Roman" w:eastAsia="仿宋_GB2312" w:cs="仿宋_GB2312"/>
          <w:color w:val="000000"/>
          <w:sz w:val="32"/>
          <w:szCs w:val="32"/>
        </w:rPr>
      </w:pPr>
    </w:p>
    <w:p w14:paraId="60D040E2">
      <w:pPr>
        <w:pStyle w:val="4"/>
        <w:spacing w:before="0" w:beforeAutospacing="0" w:after="0" w:afterAutospacing="0" w:line="560" w:lineRule="exact"/>
        <w:jc w:val="center"/>
        <w:rPr>
          <w:rFonts w:hint="default" w:ascii="Times New Roman" w:hAnsi="Times New Roman" w:eastAsia="黑体" w:cs="黑体"/>
          <w:b w:val="0"/>
          <w:bCs w:val="0"/>
          <w:color w:val="000000"/>
          <w:sz w:val="32"/>
          <w:szCs w:val="32"/>
        </w:rPr>
      </w:pPr>
      <w:bookmarkStart w:id="126" w:name="_Toc2729"/>
      <w:r>
        <w:rPr>
          <w:rFonts w:ascii="Times New Roman" w:hAnsi="Times New Roman" w:eastAsia="黑体" w:cs="黑体"/>
          <w:b w:val="0"/>
          <w:bCs w:val="0"/>
          <w:color w:val="000000"/>
          <w:sz w:val="32"/>
          <w:szCs w:val="32"/>
        </w:rPr>
        <w:t>第四节 促进各民族交往交流交融，在夯实中华民族共同体社会基础上作出表率</w:t>
      </w:r>
      <w:bookmarkEnd w:id="126"/>
    </w:p>
    <w:p w14:paraId="3819DD48">
      <w:pPr>
        <w:spacing w:line="560" w:lineRule="exact"/>
        <w:ind w:firstLine="640"/>
        <w:rPr>
          <w:rFonts w:ascii="Times New Roman" w:hAnsi="Times New Roman" w:eastAsia="仿宋_GB2312"/>
          <w:bCs/>
          <w:color w:val="000000"/>
          <w:kern w:val="32"/>
          <w:sz w:val="32"/>
          <w:szCs w:val="32"/>
        </w:rPr>
      </w:pPr>
      <w:r>
        <w:rPr>
          <w:rFonts w:hint="eastAsia" w:ascii="Times New Roman" w:hAnsi="Times New Roman" w:eastAsia="仿宋_GB2312"/>
          <w:bCs/>
          <w:color w:val="000000"/>
          <w:kern w:val="32"/>
          <w:sz w:val="32"/>
          <w:szCs w:val="32"/>
        </w:rPr>
        <w:t>加强铸牢中华民族共同体意识的宣传教育和学习研究，全面深入持久开展民族团结进步示范创建，优化城市民族工作，不断增进民生福祉，促进各民族广泛交往、全面交流、深度交融，夯实中华民族共同体社会基础。</w:t>
      </w:r>
    </w:p>
    <w:p w14:paraId="778D9283">
      <w:pPr>
        <w:pStyle w:val="5"/>
        <w:spacing w:before="0" w:after="0" w:line="560" w:lineRule="exact"/>
        <w:ind w:firstLine="643"/>
        <w:rPr>
          <w:rFonts w:ascii="Times New Roman" w:hAnsi="Times New Roman" w:eastAsia="楷体" w:cs="楷体"/>
          <w:color w:val="000000"/>
          <w:szCs w:val="24"/>
        </w:rPr>
      </w:pPr>
      <w:bookmarkStart w:id="127" w:name="_Toc8226"/>
      <w:bookmarkStart w:id="128" w:name="_Toc3940_WPSOffice_Level2"/>
      <w:r>
        <w:rPr>
          <w:rFonts w:hint="eastAsia" w:ascii="Times New Roman" w:hAnsi="Times New Roman" w:eastAsia="楷体" w:cs="楷体"/>
          <w:color w:val="000000"/>
          <w:szCs w:val="24"/>
        </w:rPr>
        <w:t>一、深化铸牢中华民族共同体意识宣传教育</w:t>
      </w:r>
      <w:bookmarkEnd w:id="127"/>
      <w:bookmarkEnd w:id="128"/>
    </w:p>
    <w:p w14:paraId="7066B998">
      <w:pPr>
        <w:pStyle w:val="2"/>
        <w:spacing w:line="560" w:lineRule="exact"/>
        <w:ind w:firstLine="640"/>
        <w:rPr>
          <w:rFonts w:ascii="仿宋" w:hAnsi="仿宋" w:eastAsia="仿宋" w:cs="仿宋"/>
          <w:color w:val="000000"/>
          <w:sz w:val="32"/>
          <w:szCs w:val="32"/>
        </w:rPr>
      </w:pPr>
      <w:r>
        <w:rPr>
          <w:rFonts w:hint="eastAsia" w:ascii="Times New Roman" w:hAnsi="Times New Roman" w:eastAsia="仿宋_GB2312" w:cs="仿宋_GB2312"/>
          <w:color w:val="000000"/>
          <w:sz w:val="32"/>
          <w:szCs w:val="32"/>
        </w:rPr>
        <w:t>以铸牢中华民族共同体意识为主线，深入开展主题教育实践活动，构建铸牢中华民族共同体意识宣传教育常态化机制，纳入干部教育、党员教育、国民教育体系全过程，树立正确的国家观、历史观、民族观、文化观、宗教观，</w:t>
      </w:r>
      <w:r>
        <w:rPr>
          <w:rFonts w:hint="eastAsia" w:ascii="仿宋" w:hAnsi="仿宋" w:eastAsia="仿宋" w:cs="仿宋"/>
          <w:color w:val="000000"/>
          <w:sz w:val="32"/>
          <w:szCs w:val="32"/>
        </w:rPr>
        <w:t>深化各民族铸牢中华民族共同体意识的思想和行动自觉，引导各族人民牢固树立休戚与共、荣辱与共、生死与共、命运与共的共同体理念，让中华民族共同体意识深入人心</w:t>
      </w:r>
      <w:r>
        <w:rPr>
          <w:rFonts w:hint="eastAsia" w:ascii="Times New Roman" w:hAnsi="Times New Roman" w:eastAsia="仿宋_GB2312" w:cs="仿宋_GB2312"/>
          <w:color w:val="000000"/>
          <w:sz w:val="32"/>
          <w:szCs w:val="32"/>
        </w:rPr>
        <w:t>。积极</w:t>
      </w:r>
      <w:r>
        <w:rPr>
          <w:rFonts w:hint="eastAsia" w:ascii="仿宋" w:hAnsi="仿宋" w:eastAsia="仿宋" w:cs="仿宋"/>
          <w:color w:val="000000"/>
          <w:sz w:val="32"/>
          <w:szCs w:val="32"/>
        </w:rPr>
        <w:t>推进中华民族共同体意识进校园、进教材、进课堂、进头脑，</w:t>
      </w:r>
      <w:r>
        <w:rPr>
          <w:rFonts w:hint="eastAsia" w:ascii="Times New Roman" w:hAnsi="Times New Roman" w:eastAsia="仿宋_GB2312" w:cs="仿宋_GB2312"/>
          <w:color w:val="000000"/>
          <w:sz w:val="32"/>
          <w:szCs w:val="32"/>
        </w:rPr>
        <w:t>推动各级各类学校把铸牢中华民族共同体意识教育有机融入思想政治课程和民族团结进步教育课程，</w:t>
      </w:r>
      <w:r>
        <w:rPr>
          <w:rFonts w:hint="eastAsia" w:ascii="仿宋" w:hAnsi="仿宋" w:eastAsia="仿宋" w:cs="仿宋"/>
          <w:color w:val="000000"/>
          <w:sz w:val="32"/>
          <w:szCs w:val="32"/>
        </w:rPr>
        <w:t>创建一批铸牢中华民族共同体意识教育示范学校</w:t>
      </w:r>
      <w:r>
        <w:rPr>
          <w:rFonts w:hint="eastAsia" w:ascii="Times New Roman" w:hAnsi="Times New Roman" w:eastAsia="仿宋_GB2312" w:cs="仿宋_GB2312"/>
          <w:color w:val="000000"/>
          <w:sz w:val="32"/>
          <w:szCs w:val="32"/>
        </w:rPr>
        <w:t>。新建和改造一批民族团结主题街区、民族团结进步促进广场，培育和打造一批铸牢中华民族共同体意识主题教育场馆、现场教育点、宣传教育基地、</w:t>
      </w:r>
      <w:r>
        <w:rPr>
          <w:rFonts w:hint="eastAsia" w:ascii="仿宋" w:hAnsi="仿宋" w:eastAsia="仿宋" w:cs="仿宋"/>
          <w:color w:val="000000"/>
          <w:sz w:val="32"/>
          <w:szCs w:val="32"/>
        </w:rPr>
        <w:t>研究教育实践中心</w:t>
      </w:r>
      <w:r>
        <w:rPr>
          <w:rFonts w:hint="eastAsia" w:ascii="Times New Roman" w:hAnsi="Times New Roman" w:eastAsia="仿宋_GB2312" w:cs="仿宋_GB2312"/>
          <w:color w:val="000000"/>
          <w:sz w:val="32"/>
          <w:szCs w:val="32"/>
        </w:rPr>
        <w:t>。重点建设以中央民族访问团在路南为主线的石林县铸牢中华民族共同体意识教育基地、在五棵树村建设石林县铸牢中华民族共同体意识陈列馆、在小箐村建设民族团结进步陈列馆。建设“民族团结进步融媒体中心”，以媒体宣传、学校教育、干部培训为重点，构建课堂教学、社会实践、主题教育多位一体的宣传教育平台，充分利用各级主流媒体和融媒体中心开设专题、专栏加强共同体意识宣传教育。组织开展铸牢中华民族共同体意识宣讲活动，深化民族团结进步宣传月、宣传周、宣传日活动，在公共区域、人员密集地方等场所举办以中华民族、中华文化、民族团结为主题的宣传教育活动，营造“中华民族一家亲，同心共筑中国梦”的良好社会氛围。</w:t>
      </w:r>
    </w:p>
    <w:p w14:paraId="3045CA18">
      <w:pPr>
        <w:pStyle w:val="5"/>
        <w:spacing w:before="0" w:after="0" w:line="560" w:lineRule="exact"/>
        <w:ind w:firstLine="643"/>
        <w:rPr>
          <w:rFonts w:ascii="Times New Roman" w:hAnsi="Times New Roman" w:eastAsia="楷体" w:cs="楷体"/>
          <w:color w:val="000000"/>
          <w:szCs w:val="24"/>
        </w:rPr>
      </w:pPr>
      <w:bookmarkStart w:id="129" w:name="_Toc32423_WPSOffice_Level2"/>
      <w:bookmarkStart w:id="130" w:name="_Toc27509"/>
      <w:r>
        <w:rPr>
          <w:rFonts w:hint="eastAsia" w:ascii="Times New Roman" w:hAnsi="Times New Roman" w:eastAsia="楷体" w:cs="楷体"/>
          <w:color w:val="000000"/>
          <w:szCs w:val="24"/>
        </w:rPr>
        <w:t>二、全面深入持久开展民族团结进步创建</w:t>
      </w:r>
      <w:bookmarkEnd w:id="129"/>
      <w:bookmarkEnd w:id="130"/>
    </w:p>
    <w:p w14:paraId="0CB6DEB9">
      <w:pPr>
        <w:pStyle w:val="2"/>
        <w:tabs>
          <w:tab w:val="right" w:leader="dot" w:pos="8306"/>
        </w:tabs>
        <w:spacing w:line="560" w:lineRule="exact"/>
        <w:ind w:firstLine="640"/>
        <w:rPr>
          <w:rFonts w:ascii="仿宋" w:hAnsi="仿宋" w:eastAsia="仿宋" w:cs="仿宋"/>
          <w:color w:val="000000"/>
          <w:sz w:val="32"/>
          <w:szCs w:val="32"/>
        </w:rPr>
      </w:pPr>
      <w:r>
        <w:rPr>
          <w:rFonts w:hint="eastAsia" w:ascii="Times New Roman" w:hAnsi="Times New Roman" w:eastAsia="仿宋_GB2312" w:cs="仿宋_GB2312"/>
          <w:color w:val="000000"/>
          <w:sz w:val="32"/>
          <w:szCs w:val="32"/>
        </w:rPr>
        <w:t>健全民族团结进步创建机制，深化细化创建工作目标体系，提高创建工作的规范化、科学化、社会化水平，全面深入持久开展民族团结进步创建工作，推动各民族和睦相处、和衷共济、和谐发展。全力争创全国民族团结进步示范县、示范单位和教育基地</w:t>
      </w:r>
      <w:r>
        <w:rPr>
          <w:rFonts w:hint="eastAsia" w:ascii="仿宋" w:hAnsi="仿宋" w:eastAsia="仿宋" w:cs="仿宋"/>
          <w:color w:val="000000"/>
          <w:sz w:val="32"/>
          <w:szCs w:val="32"/>
        </w:rPr>
        <w:t>。</w:t>
      </w:r>
      <w:r>
        <w:rPr>
          <w:rFonts w:hint="eastAsia" w:ascii="Times New Roman" w:hAnsi="Times New Roman" w:eastAsia="仿宋_GB2312" w:cs="仿宋_GB2312"/>
          <w:color w:val="000000"/>
          <w:sz w:val="32"/>
          <w:szCs w:val="32"/>
        </w:rPr>
        <w:t>紧紧围绕民族团结进步示范创建工作，开展与乡村振兴战略实施、美丽乡村建设、市域治理现代化等重点工作统筹实施，推动全县民族团结进步创建工作在创建中发展、在发展中创新。持续开展民族团结进步创建“十进”主阵地、主渠道，不断提质扩面、创新载体，把握全面创建与重点推进相结合，把民族团结进步创建工作重心下沉到社区、乡村、学校、企业、军营、医院等基层单位。按照“重点突破、以点带面、示范引导、全面推进”的思路，在巩固原有创建工作的基础上，树立一批“十进”示范点。</w:t>
      </w:r>
      <w:r>
        <w:rPr>
          <w:rFonts w:hint="eastAsia" w:ascii="仿宋" w:hAnsi="仿宋" w:eastAsia="仿宋" w:cs="仿宋"/>
          <w:color w:val="000000"/>
          <w:sz w:val="32"/>
          <w:szCs w:val="32"/>
        </w:rPr>
        <w:t>扎实推进“互联网+民族团结进步”，发展壮大</w:t>
      </w:r>
      <w:r>
        <w:rPr>
          <w:rFonts w:hint="eastAsia" w:ascii="Times New Roman" w:hAnsi="Times New Roman" w:eastAsia="仿宋_GB2312" w:cs="仿宋_GB2312"/>
          <w:color w:val="000000"/>
          <w:sz w:val="32"/>
          <w:szCs w:val="32"/>
        </w:rPr>
        <w:t>铸牢中华民族共同体意识的</w:t>
      </w:r>
      <w:r>
        <w:rPr>
          <w:rFonts w:hint="eastAsia" w:ascii="仿宋" w:hAnsi="仿宋" w:eastAsia="仿宋" w:cs="仿宋"/>
          <w:color w:val="000000"/>
          <w:sz w:val="32"/>
          <w:szCs w:val="32"/>
        </w:rPr>
        <w:t>网上舆论阵地，及时发布民族团结进步创建相关工作动态、主题宣传片、系列微视频，讲述民族团结进步生动故事，推广创建工作中的好经验、好做法。</w:t>
      </w:r>
    </w:p>
    <w:p w14:paraId="6F995581">
      <w:pPr>
        <w:pStyle w:val="5"/>
        <w:spacing w:before="0" w:after="0" w:line="560" w:lineRule="exact"/>
        <w:ind w:firstLine="643"/>
        <w:rPr>
          <w:rFonts w:ascii="Times New Roman" w:hAnsi="Times New Roman" w:eastAsia="楷体" w:cs="楷体"/>
          <w:color w:val="000000"/>
          <w:szCs w:val="24"/>
        </w:rPr>
      </w:pPr>
      <w:bookmarkStart w:id="131" w:name="_Toc31005_WPSOffice_Level2"/>
      <w:bookmarkStart w:id="132" w:name="_Toc23473"/>
      <w:r>
        <w:rPr>
          <w:rFonts w:hint="eastAsia" w:ascii="Times New Roman" w:hAnsi="Times New Roman" w:eastAsia="楷体" w:cs="楷体"/>
          <w:color w:val="000000"/>
          <w:szCs w:val="24"/>
        </w:rPr>
        <w:t>三、推进城市民族工作高质量发展</w:t>
      </w:r>
      <w:bookmarkEnd w:id="131"/>
      <w:bookmarkEnd w:id="132"/>
    </w:p>
    <w:p w14:paraId="03C05A8F">
      <w:pPr>
        <w:pStyle w:val="2"/>
        <w:spacing w:line="560" w:lineRule="exact"/>
        <w:ind w:firstLine="0"/>
        <w:rPr>
          <w:rFonts w:ascii="Times New Roman" w:hAnsi="Times New Roman" w:eastAsia="仿宋_GB2312" w:cs="仿宋_GB2312"/>
          <w:color w:val="000000"/>
          <w:sz w:val="32"/>
          <w:szCs w:val="32"/>
        </w:rPr>
      </w:pPr>
      <w:r>
        <w:rPr>
          <w:rFonts w:hint="eastAsia" w:ascii="仿宋" w:hAnsi="仿宋" w:eastAsia="仿宋" w:cs="仿宋"/>
          <w:b/>
          <w:bCs/>
          <w:color w:val="000000"/>
          <w:sz w:val="32"/>
          <w:szCs w:val="32"/>
        </w:rPr>
        <w:t>优化城市流动人口服务管理。</w:t>
      </w:r>
      <w:r>
        <w:rPr>
          <w:rFonts w:hint="eastAsia" w:ascii="Times New Roman" w:hAnsi="Times New Roman" w:eastAsia="仿宋_GB2312" w:cs="仿宋_GB2312"/>
          <w:color w:val="000000"/>
          <w:sz w:val="32"/>
          <w:szCs w:val="32"/>
        </w:rPr>
        <w:t>建立少数民族流动人口服务管理体系建设，执行《少数民族流动人口服务管理跨区域联动协作协议》，扩大跨区域联动协作机制覆盖范围。建立少数民族流动人口流入地与流出地对接协作机制，形成信息互通、人员互动、衔接互补、共同负责的工作格局。积极与公安、社区、物管等对接联系，利用大数据建立少数民族流动人口信息库，实现对少数民族流动人口信息实时监测。</w:t>
      </w:r>
    </w:p>
    <w:p w14:paraId="4DF15BE3">
      <w:pPr>
        <w:pStyle w:val="2"/>
        <w:spacing w:line="560" w:lineRule="exact"/>
        <w:ind w:firstLine="640"/>
        <w:rPr>
          <w:rFonts w:ascii="Times New Roman" w:hAnsi="Times New Roman" w:eastAsia="仿宋_GB2312" w:cs="仿宋_GB2312"/>
          <w:color w:val="000000"/>
          <w:sz w:val="32"/>
          <w:szCs w:val="32"/>
        </w:rPr>
      </w:pPr>
      <w:r>
        <w:rPr>
          <w:rFonts w:hint="eastAsia" w:ascii="Times New Roman" w:hAnsi="Times New Roman" w:eastAsia="仿宋_GB2312" w:cs="仿宋_GB2312"/>
          <w:b/>
          <w:bCs/>
          <w:color w:val="000000"/>
          <w:sz w:val="32"/>
          <w:szCs w:val="32"/>
        </w:rPr>
        <w:t>打造城市便民利民服务综合平台。</w:t>
      </w:r>
      <w:r>
        <w:rPr>
          <w:rFonts w:hint="eastAsia" w:ascii="Times New Roman" w:hAnsi="Times New Roman" w:eastAsia="仿宋_GB2312" w:cs="仿宋_GB2312"/>
          <w:color w:val="000000"/>
          <w:sz w:val="32"/>
          <w:szCs w:val="32"/>
        </w:rPr>
        <w:t>践行“来到昆明就是一家人”的庄严承诺，不断完善平等进入市场、融入城市的政策导向和制度保障，确保在石林少数民族流动人口在落户、住房、教育、医疗、就业创业、文化生活、婚姻生育、技能培训、法律援助、社会保障等方面享受同政策、同待遇，实现基本公共服务均等化。依托社区少数民族“服务联系、业务信息服务、创业促就业服务、纠纷调处和法律援助、社团培育”五平台，创新推进城市民族工作数据化、信息化、网格化服务管理，为各民族市民提供全方位、优质高效的一站式便民利民服务，打通服务少数民族群众“最后一公里”。按需在乡镇（街道）、社区设立少数民族服务窗口，增设民族语言服务，解决少数民族群众语言不通办事难题，开通一站式办理、一窗办结、一部手机办事通，满足少数民族群众办事需求。</w:t>
      </w:r>
    </w:p>
    <w:p w14:paraId="1147707F">
      <w:pPr>
        <w:pStyle w:val="2"/>
        <w:spacing w:line="560" w:lineRule="exact"/>
        <w:ind w:firstLine="640"/>
        <w:rPr>
          <w:rFonts w:ascii="Times New Roman" w:hAnsi="Times New Roman" w:eastAsia="仿宋_GB2312" w:cs="仿宋_GB2312"/>
          <w:color w:val="000000"/>
          <w:sz w:val="32"/>
          <w:szCs w:val="32"/>
        </w:rPr>
      </w:pPr>
      <w:r>
        <w:rPr>
          <w:rFonts w:ascii="Times New Roman" w:hAnsi="Times New Roman" w:eastAsia="仿宋_GB2312" w:cs="仿宋_GB2312"/>
          <w:b/>
          <w:bCs/>
          <w:color w:val="000000"/>
          <w:sz w:val="32"/>
          <w:szCs w:val="32"/>
        </w:rPr>
        <w:t>建立互嵌式社会结构和社区环境</w:t>
      </w:r>
      <w:r>
        <w:rPr>
          <w:rFonts w:hint="eastAsia" w:ascii="Times New Roman" w:hAnsi="Times New Roman" w:eastAsia="仿宋_GB2312" w:cs="仿宋_GB2312"/>
          <w:b/>
          <w:bCs/>
          <w:color w:val="000000"/>
          <w:sz w:val="32"/>
          <w:szCs w:val="32"/>
        </w:rPr>
        <w:t>。</w:t>
      </w:r>
      <w:r>
        <w:rPr>
          <w:rFonts w:hint="eastAsia" w:ascii="Times New Roman" w:hAnsi="Times New Roman" w:eastAsia="仿宋_GB2312" w:cs="仿宋_GB2312"/>
          <w:color w:val="000000"/>
          <w:sz w:val="32"/>
          <w:szCs w:val="32"/>
        </w:rPr>
        <w:t>继续强化各级党委政府民族工作的主体责任，健全“协同联动、监督检查、考核评估和责任分担”的城市民族工作机制，健全城市民族工作网络，巩固“党委领导、政府负责、部门协同、社会参与”的工作格局，推动城市民族工作与社会治理深度融合。鼓励各族群众在民族地区和非民族地区、城市和乡村双向流动，成立社区“一家亲”工作站，切实帮助社区少数民族流动人口解决就学、就医、就业、租房、租店、技能提升等问题，保障流动人口享有城市均等化服务。推进社区民族工作数据化、信息化、网格化服务管理，注重建设多民族共居的互嵌社区，增进各族群众手足相亲、守望相助，建设各民族共居共学共事共乐的和谐家园。结合文明城市创建等活动，持续深化国家级、省级、市级、县级民族团结进步示范社区创建，塑造民城市民族工作新品牌、新样本。加强社区、社工和社会组织“三社”联动，引导少数民族人口参与当地社区服务和管理，形成城乡居民和多元主体广泛参与、群策群力，共同解决城市民族工作热点难点问题的良好局面。推动基层党建工作与城市社会区民族工作深度融合，积极探索构建以党建引领，社区党委+居民小区党支部+社会组织+社工+小区自管小组+社会工作联盟单位“六位一体”的社区治理机制，汇聚各方社会力量，打造多元主体、多元协商参与社会治理共建共治共享新格局。</w:t>
      </w:r>
    </w:p>
    <w:p w14:paraId="3ECC7404">
      <w:pPr>
        <w:pStyle w:val="5"/>
        <w:spacing w:before="0" w:after="0" w:line="560" w:lineRule="exact"/>
        <w:ind w:firstLine="643"/>
        <w:rPr>
          <w:rFonts w:ascii="Times New Roman" w:hAnsi="Times New Roman" w:eastAsia="楷体" w:cs="楷体"/>
          <w:color w:val="000000"/>
          <w:szCs w:val="24"/>
        </w:rPr>
      </w:pPr>
      <w:bookmarkStart w:id="133" w:name="_Toc29713"/>
      <w:bookmarkStart w:id="134" w:name="_Toc10539_WPSOffice_Level2"/>
      <w:r>
        <w:rPr>
          <w:rFonts w:hint="eastAsia" w:ascii="Times New Roman" w:hAnsi="Times New Roman" w:eastAsia="楷体" w:cs="楷体"/>
          <w:color w:val="000000"/>
          <w:szCs w:val="24"/>
        </w:rPr>
        <w:t>四、共建共享高品质幸福美好</w:t>
      </w:r>
      <w:bookmarkEnd w:id="133"/>
      <w:r>
        <w:rPr>
          <w:rFonts w:hint="eastAsia" w:ascii="Times New Roman" w:hAnsi="Times New Roman" w:eastAsia="楷体" w:cs="楷体"/>
          <w:color w:val="000000"/>
          <w:szCs w:val="24"/>
        </w:rPr>
        <w:t>石林</w:t>
      </w:r>
      <w:bookmarkEnd w:id="134"/>
    </w:p>
    <w:p w14:paraId="5F3A632B">
      <w:pPr>
        <w:pStyle w:val="2"/>
        <w:spacing w:line="560" w:lineRule="exact"/>
        <w:ind w:firstLine="640"/>
        <w:rPr>
          <w:rFonts w:ascii="Times New Roman" w:hAnsi="Times New Roman" w:eastAsia="仿宋_GB2312" w:cs="仿宋_GB2312"/>
          <w:color w:val="000000"/>
          <w:sz w:val="32"/>
          <w:szCs w:val="32"/>
        </w:rPr>
      </w:pPr>
      <w:r>
        <w:rPr>
          <w:rFonts w:hint="eastAsia" w:ascii="仿宋_GB2312" w:hAnsi="仿宋" w:eastAsia="仿宋_GB2312"/>
          <w:color w:val="000000"/>
          <w:sz w:val="32"/>
          <w:szCs w:val="32"/>
        </w:rPr>
        <w:t>切实增加民族地区教育投入，推动义务教育均衡发展和城乡一体化，提高学前教育、高中教育、职业教育等质量和水平。</w:t>
      </w:r>
      <w:r>
        <w:rPr>
          <w:rFonts w:hint="eastAsia" w:ascii="仿宋_GB2312" w:eastAsia="仿宋_GB2312"/>
          <w:color w:val="000000"/>
          <w:sz w:val="32"/>
          <w:szCs w:val="32"/>
        </w:rPr>
        <w:t>扩大学前教育资源供给，实施“一村一幼”学前教育发展计划，保障农村幼儿就近接受学前教育；加大公办普惠性幼儿园建设力度，规范发展民办幼儿园。合理调整城乡学校布局，实施城乡义务教育公办学校补短板工程，创建全国义务教育优质均衡县。推进普通高中扩容提质，加强普通高中学校功能性设施标准化建设和特色发展，促进高中教育提规模、上水平。深化产教融合、校企合作，完善职业教育培训体系。</w:t>
      </w:r>
      <w:r>
        <w:rPr>
          <w:rFonts w:hint="eastAsia" w:ascii="仿宋_GB2312" w:hAnsi="仿宋" w:eastAsia="仿宋_GB2312"/>
          <w:color w:val="000000"/>
          <w:sz w:val="32"/>
          <w:szCs w:val="32"/>
        </w:rPr>
        <w:t>全面加强国家通用语言文字教育，确保国家通用语言文字作为教育教学基本用语用字。加强民族地区医疗卫生机构标准化建设和全科医生队伍建设，完善药品供应保障体系，构建预防为主、群防群治的传染病防控机制。推动全县优质医疗资源向基层倾斜，优先安排医疗基础设施建设、设备购置、药品配备等项目。完善城乡居民基本医疗保险制度和大病补充医疗保险制度。</w:t>
      </w:r>
      <w:r>
        <w:rPr>
          <w:rFonts w:hint="eastAsia" w:ascii="仿宋_GB2312" w:eastAsia="仿宋_GB2312"/>
          <w:color w:val="000000"/>
          <w:sz w:val="32"/>
          <w:szCs w:val="32"/>
        </w:rPr>
        <w:t>按照“基层首诊、双向转诊、急慢分治、上下联动”的诊疗模式，全面推进紧密型县域医联体、医共体建设，建立有效的分级诊疗制度。加强公共卫生机构建设，构建村卫生室（社区卫生服务站）为网底、乡镇（街道）卫生院为枢纽、县级医疗机构为主体的三级医疗服务体系。开展疾病预防控制机构标准化、规范化建设，提高突发公共卫生事件应急处置能力。创新推进医养结合，做大做强“医康护养”结合的现代养老产业，积极打造国内外知名的旅居养老胜地。</w:t>
      </w:r>
      <w:r>
        <w:rPr>
          <w:rFonts w:hint="eastAsia" w:ascii="仿宋_GB2312" w:hAnsi="仿宋" w:eastAsia="仿宋_GB2312"/>
          <w:color w:val="000000"/>
          <w:sz w:val="32"/>
          <w:szCs w:val="32"/>
        </w:rPr>
        <w:t>加大民族地区养老服务基础设施建设，促进居家养老和社区养老服务发展。</w:t>
      </w:r>
      <w:r>
        <w:rPr>
          <w:rFonts w:hint="eastAsia" w:ascii="仿宋_GB2312" w:eastAsia="仿宋_GB2312"/>
          <w:color w:val="000000"/>
          <w:sz w:val="32"/>
          <w:szCs w:val="32"/>
        </w:rPr>
        <w:t>健全养老服务体系，推进农村敬老院、老年公寓、农村居家养老服务中心等养老设施建设，全面提升养老服务水平。</w:t>
      </w:r>
      <w:r>
        <w:rPr>
          <w:rFonts w:hint="eastAsia" w:ascii="仿宋_GB2312" w:hAnsi="仿宋" w:eastAsia="仿宋_GB2312"/>
          <w:color w:val="000000"/>
          <w:sz w:val="32"/>
          <w:szCs w:val="32"/>
        </w:rPr>
        <w:t>保障少数民族妇女儿童合法权益，建立健全婴幼儿照护和妇幼保健服务网络，完善农村留守儿童和困境儿童关爱服务体系和救助保护机制。加强民族地区特困人员、残疾人、优抚对象等群体的兜底保障。加强基本劳动就业创业服务保障，鼓励和支持企业就近就地聘用管理、技术和劳务人员，提高跨地区劳务输出组织化程度。强化就业创业和职业培训政策支持，落实小微企业扶持、就业创业税收优惠、创业担保贷款财政贴息等政策，在分配中央就业补助资金时给予民族地区适当倾斜。</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13F8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333BAEE9">
            <w:pPr>
              <w:widowControl w:val="0"/>
              <w:spacing w:line="500" w:lineRule="exact"/>
              <w:jc w:val="center"/>
              <w:rPr>
                <w:rFonts w:ascii="Times New Roman" w:hAnsi="Times New Roman" w:cs="宋体"/>
                <w:color w:val="000000"/>
                <w:sz w:val="28"/>
                <w:szCs w:val="28"/>
              </w:rPr>
            </w:pPr>
            <w:r>
              <w:rPr>
                <w:rFonts w:hint="eastAsia" w:ascii="Times New Roman" w:hAnsi="Times New Roman" w:cs="宋体"/>
                <w:b/>
                <w:bCs/>
                <w:color w:val="000000"/>
                <w:sz w:val="28"/>
                <w:szCs w:val="28"/>
              </w:rPr>
              <w:t>专栏4  促进各民族交往交流交融重点工程</w:t>
            </w:r>
          </w:p>
        </w:tc>
      </w:tr>
      <w:tr w14:paraId="43A92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263E71A">
            <w:pPr>
              <w:widowControl w:val="0"/>
              <w:spacing w:line="400" w:lineRule="exact"/>
              <w:ind w:firstLine="562"/>
              <w:jc w:val="left"/>
              <w:rPr>
                <w:rFonts w:ascii="Times New Roman" w:hAnsi="Times New Roman" w:eastAsia="仿宋_GB2312"/>
                <w:color w:val="000000"/>
                <w:sz w:val="28"/>
                <w:szCs w:val="28"/>
              </w:rPr>
            </w:pPr>
            <w:r>
              <w:rPr>
                <w:rFonts w:ascii="楷体" w:hAnsi="楷体" w:eastAsia="楷体" w:cs="楷体"/>
                <w:b/>
                <w:color w:val="000000"/>
                <w:sz w:val="28"/>
                <w:szCs w:val="28"/>
              </w:rPr>
              <w:t>民族团结进步全域创建</w:t>
            </w:r>
            <w:r>
              <w:rPr>
                <w:rFonts w:hint="eastAsia" w:ascii="楷体" w:hAnsi="楷体" w:eastAsia="楷体" w:cs="楷体"/>
                <w:b/>
                <w:color w:val="000000"/>
                <w:sz w:val="28"/>
                <w:szCs w:val="28"/>
              </w:rPr>
              <w:t>工程</w:t>
            </w:r>
            <w:r>
              <w:rPr>
                <w:rFonts w:ascii="楷体" w:hAnsi="楷体" w:eastAsia="楷体" w:cs="楷体"/>
                <w:b/>
                <w:color w:val="000000"/>
                <w:sz w:val="28"/>
                <w:szCs w:val="28"/>
              </w:rPr>
              <w:t>。</w:t>
            </w:r>
            <w:r>
              <w:rPr>
                <w:rFonts w:hint="eastAsia" w:ascii="Times New Roman" w:hAnsi="Times New Roman" w:eastAsia="仿宋_GB2312"/>
                <w:color w:val="000000"/>
                <w:sz w:val="28"/>
                <w:szCs w:val="28"/>
              </w:rPr>
              <w:t>到“十四五”末，重新创建</w:t>
            </w:r>
            <w:r>
              <w:rPr>
                <w:rFonts w:ascii="Times New Roman" w:hAnsi="Times New Roman" w:eastAsia="仿宋_GB2312"/>
                <w:color w:val="000000"/>
                <w:sz w:val="28"/>
                <w:szCs w:val="28"/>
              </w:rPr>
              <w:t>全国民族团结进步示范</w:t>
            </w:r>
            <w:r>
              <w:rPr>
                <w:rFonts w:hint="eastAsia" w:ascii="Times New Roman" w:hAnsi="Times New Roman" w:eastAsia="仿宋_GB2312"/>
                <w:color w:val="000000"/>
                <w:sz w:val="28"/>
                <w:szCs w:val="28"/>
              </w:rPr>
              <w:t>县成功，</w:t>
            </w:r>
            <w:r>
              <w:rPr>
                <w:rFonts w:ascii="Times New Roman" w:hAnsi="Times New Roman" w:eastAsia="仿宋_GB2312"/>
                <w:color w:val="000000"/>
                <w:sz w:val="28"/>
                <w:szCs w:val="28"/>
              </w:rPr>
              <w:t>创建</w:t>
            </w:r>
            <w:r>
              <w:rPr>
                <w:rFonts w:hint="eastAsia" w:ascii="Times New Roman" w:hAnsi="Times New Roman" w:eastAsia="仿宋_GB2312"/>
                <w:color w:val="000000"/>
                <w:sz w:val="28"/>
                <w:szCs w:val="28"/>
              </w:rPr>
              <w:t>省级以上</w:t>
            </w:r>
            <w:r>
              <w:rPr>
                <w:rFonts w:ascii="Times New Roman" w:hAnsi="Times New Roman" w:eastAsia="仿宋_GB2312"/>
                <w:color w:val="000000"/>
                <w:sz w:val="28"/>
                <w:szCs w:val="28"/>
              </w:rPr>
              <w:t>民族团结进步示示范单位</w:t>
            </w:r>
            <w:r>
              <w:rPr>
                <w:rFonts w:hint="eastAsia" w:ascii="Times New Roman" w:hAnsi="Times New Roman" w:eastAsia="仿宋_GB2312"/>
                <w:color w:val="000000"/>
                <w:sz w:val="28"/>
                <w:szCs w:val="28"/>
              </w:rPr>
              <w:t>20</w:t>
            </w:r>
            <w:r>
              <w:rPr>
                <w:rFonts w:ascii="Times New Roman" w:hAnsi="Times New Roman" w:eastAsia="仿宋_GB2312"/>
                <w:color w:val="000000"/>
                <w:sz w:val="28"/>
                <w:szCs w:val="28"/>
              </w:rPr>
              <w:t>个</w:t>
            </w:r>
            <w:r>
              <w:rPr>
                <w:rFonts w:hint="eastAsia" w:ascii="Times New Roman" w:hAnsi="Times New Roman" w:eastAsia="仿宋_GB2312"/>
                <w:color w:val="000000"/>
                <w:sz w:val="28"/>
                <w:szCs w:val="28"/>
              </w:rPr>
              <w:t>，市级以上</w:t>
            </w:r>
            <w:r>
              <w:rPr>
                <w:rFonts w:ascii="Times New Roman" w:hAnsi="Times New Roman" w:eastAsia="仿宋_GB2312"/>
                <w:color w:val="000000"/>
                <w:sz w:val="28"/>
                <w:szCs w:val="28"/>
              </w:rPr>
              <w:t>民族团结进步示示范单位</w:t>
            </w:r>
            <w:r>
              <w:rPr>
                <w:rFonts w:hint="eastAsia" w:ascii="Times New Roman" w:hAnsi="Times New Roman" w:eastAsia="仿宋_GB2312"/>
                <w:color w:val="000000"/>
                <w:sz w:val="28"/>
                <w:szCs w:val="28"/>
              </w:rPr>
              <w:t>100</w:t>
            </w:r>
            <w:r>
              <w:rPr>
                <w:rFonts w:ascii="Times New Roman" w:hAnsi="Times New Roman" w:eastAsia="仿宋_GB2312"/>
                <w:color w:val="000000"/>
                <w:sz w:val="28"/>
                <w:szCs w:val="28"/>
              </w:rPr>
              <w:t>个</w:t>
            </w:r>
            <w:r>
              <w:rPr>
                <w:rFonts w:hint="eastAsia" w:ascii="Times New Roman" w:hAnsi="Times New Roman" w:eastAsia="仿宋_GB2312"/>
                <w:color w:val="000000"/>
                <w:sz w:val="28"/>
                <w:szCs w:val="28"/>
              </w:rPr>
              <w:t>；大力开展县级民族团结进步示范创建工作，</w:t>
            </w:r>
            <w:r>
              <w:rPr>
                <w:rFonts w:ascii="Times New Roman" w:hAnsi="Times New Roman" w:eastAsia="仿宋_GB2312"/>
                <w:color w:val="000000"/>
                <w:sz w:val="28"/>
                <w:szCs w:val="28"/>
              </w:rPr>
              <w:t>推动民族团结进步创建</w:t>
            </w:r>
            <w:r>
              <w:rPr>
                <w:rFonts w:hint="eastAsia" w:ascii="Times New Roman" w:hAnsi="Times New Roman" w:eastAsia="仿宋_GB2312"/>
                <w:color w:val="000000"/>
                <w:sz w:val="28"/>
                <w:szCs w:val="28"/>
              </w:rPr>
              <w:t>实现</w:t>
            </w:r>
            <w:r>
              <w:rPr>
                <w:rFonts w:ascii="Times New Roman" w:hAnsi="Times New Roman" w:eastAsia="仿宋_GB2312"/>
                <w:color w:val="000000"/>
                <w:sz w:val="28"/>
                <w:szCs w:val="28"/>
              </w:rPr>
              <w:t>全覆盖</w:t>
            </w:r>
            <w:r>
              <w:rPr>
                <w:rFonts w:hint="eastAsia" w:ascii="Times New Roman" w:hAnsi="Times New Roman" w:eastAsia="仿宋_GB2312"/>
                <w:color w:val="000000"/>
                <w:sz w:val="28"/>
                <w:szCs w:val="28"/>
              </w:rPr>
              <w:t>。</w:t>
            </w:r>
          </w:p>
          <w:p w14:paraId="1E8CB034">
            <w:pPr>
              <w:widowControl w:val="0"/>
              <w:spacing w:line="400" w:lineRule="exact"/>
              <w:ind w:firstLine="562"/>
              <w:jc w:val="left"/>
              <w:rPr>
                <w:rFonts w:ascii="Times New Roman" w:hAnsi="Times New Roman" w:eastAsia="仿宋_GB2312"/>
                <w:color w:val="000000"/>
                <w:sz w:val="28"/>
                <w:szCs w:val="28"/>
              </w:rPr>
            </w:pPr>
            <w:r>
              <w:rPr>
                <w:rFonts w:hint="eastAsia" w:ascii="楷体" w:hAnsi="楷体" w:eastAsia="楷体" w:cs="楷体"/>
                <w:b/>
                <w:color w:val="000000"/>
                <w:sz w:val="28"/>
                <w:szCs w:val="28"/>
              </w:rPr>
              <w:t>民族团结进步创建“十进”工作。</w:t>
            </w:r>
            <w:r>
              <w:rPr>
                <w:rFonts w:hint="eastAsia" w:ascii="Times New Roman" w:hAnsi="Times New Roman" w:eastAsia="仿宋_GB2312"/>
                <w:color w:val="000000"/>
                <w:sz w:val="28"/>
                <w:szCs w:val="28"/>
              </w:rPr>
              <w:t>深入开展民族团结进步创建“十进”活动，民族团结进步创建“进机关、进企业、进社区、进乡镇、进学校、进宗教活动场所、进军营、进基层政法单位（基层法庭、派出所、司法所）、进旅游景区、进医院”，推动民族团结进步创建涵盖不同行业和不同领域。</w:t>
            </w:r>
          </w:p>
          <w:p w14:paraId="5936B52A">
            <w:pPr>
              <w:widowControl/>
              <w:spacing w:line="400" w:lineRule="exact"/>
              <w:ind w:firstLine="562"/>
              <w:jc w:val="left"/>
              <w:rPr>
                <w:rFonts w:ascii="楷体" w:hAnsi="楷体" w:eastAsia="楷体" w:cs="楷体"/>
                <w:b/>
                <w:color w:val="000000"/>
                <w:sz w:val="28"/>
                <w:szCs w:val="28"/>
              </w:rPr>
            </w:pPr>
            <w:r>
              <w:rPr>
                <w:rFonts w:hint="eastAsia" w:ascii="楷体" w:hAnsi="楷体" w:eastAsia="楷体" w:cs="楷体"/>
                <w:b/>
                <w:color w:val="000000"/>
                <w:sz w:val="28"/>
                <w:szCs w:val="28"/>
              </w:rPr>
              <w:t>铸牢中华民族共同体意识教育示范学校创建。</w:t>
            </w:r>
            <w:r>
              <w:rPr>
                <w:rFonts w:hint="eastAsia" w:ascii="Times New Roman" w:hAnsi="Times New Roman" w:eastAsia="仿宋_GB2312"/>
                <w:color w:val="000000"/>
                <w:sz w:val="28"/>
                <w:szCs w:val="28"/>
              </w:rPr>
              <w:t>在全县创建铸牢中华民族共同体意识教育示范学校10所以上，推动学校铸牢中华民族共同体意识教育常态化。</w:t>
            </w:r>
          </w:p>
          <w:p w14:paraId="511021BC">
            <w:pPr>
              <w:widowControl/>
              <w:spacing w:line="400" w:lineRule="exact"/>
              <w:ind w:firstLine="562"/>
              <w:jc w:val="both"/>
              <w:rPr>
                <w:rFonts w:ascii="Times New Roman" w:hAnsi="Times New Roman" w:eastAsia="仿宋_GB2312"/>
                <w:color w:val="000000"/>
                <w:sz w:val="28"/>
                <w:szCs w:val="28"/>
              </w:rPr>
            </w:pPr>
            <w:r>
              <w:rPr>
                <w:rFonts w:hint="eastAsia" w:ascii="楷体" w:hAnsi="楷体" w:eastAsia="楷体" w:cs="楷体"/>
                <w:b/>
                <w:color w:val="000000"/>
                <w:sz w:val="28"/>
                <w:szCs w:val="28"/>
              </w:rPr>
              <w:t>铸牢中华民族共同体意识教育实践基地创建。</w:t>
            </w:r>
            <w:r>
              <w:rPr>
                <w:rFonts w:hint="eastAsia" w:ascii="Times New Roman" w:hAnsi="Times New Roman" w:eastAsia="仿宋_GB2312"/>
                <w:color w:val="000000"/>
                <w:sz w:val="28"/>
                <w:szCs w:val="28"/>
              </w:rPr>
              <w:t>创建深入开展铸牢中华民族共同体意识宣传教育和实践探索成效显著的教育实践基地3个，示范带动铸牢中华民族共同体意识深入人心。</w:t>
            </w:r>
            <w:r>
              <w:rPr>
                <w:rFonts w:hint="eastAsia" w:ascii="Times New Roman" w:hAnsi="Times New Roman" w:eastAsia="仿宋_GB2312" w:cs="仿宋_GB2312"/>
                <w:color w:val="000000"/>
                <w:sz w:val="28"/>
                <w:szCs w:val="28"/>
              </w:rPr>
              <w:t>重点建设以中央民族访问团在路南为主线的石林县铸牢中华民族共同体意识教育基地、在五棵树村建设石林县铸牢中华民族共同体意识陈列馆、在小箐村建设民族团结进步陈列馆。</w:t>
            </w:r>
          </w:p>
          <w:p w14:paraId="3E407ADA">
            <w:pPr>
              <w:widowControl/>
              <w:spacing w:line="400" w:lineRule="exact"/>
              <w:ind w:firstLine="562"/>
              <w:jc w:val="left"/>
              <w:rPr>
                <w:rFonts w:ascii="Times New Roman" w:hAnsi="Times New Roman" w:eastAsia="仿宋_GB2312"/>
                <w:color w:val="000000"/>
                <w:sz w:val="28"/>
                <w:szCs w:val="28"/>
              </w:rPr>
            </w:pPr>
            <w:r>
              <w:rPr>
                <w:rFonts w:hint="eastAsia" w:ascii="楷体" w:hAnsi="楷体" w:eastAsia="楷体" w:cs="楷体"/>
                <w:b/>
                <w:bCs/>
                <w:color w:val="000000"/>
                <w:sz w:val="28"/>
                <w:szCs w:val="28"/>
              </w:rPr>
              <w:t>少数民族流动人口服务管理示范工程。</w:t>
            </w:r>
            <w:r>
              <w:rPr>
                <w:rFonts w:hint="eastAsia" w:ascii="仿宋" w:hAnsi="仿宋" w:eastAsia="仿宋" w:cs="仿宋"/>
                <w:color w:val="000000"/>
                <w:sz w:val="28"/>
                <w:szCs w:val="28"/>
              </w:rPr>
              <w:t>持续做好城市社区流动人口服务管理、失地群众可持续发展、老年群体服务管理等工作，持续推进少数民族流动人口服务管理体系建设试点工作</w:t>
            </w:r>
            <w:r>
              <w:rPr>
                <w:rFonts w:hint="eastAsia" w:ascii="Times New Roman" w:hAnsi="Times New Roman" w:eastAsia="仿宋_GB2312"/>
                <w:color w:val="000000"/>
                <w:sz w:val="28"/>
                <w:szCs w:val="28"/>
              </w:rPr>
              <w:t>。</w:t>
            </w:r>
          </w:p>
          <w:p w14:paraId="4F116F89">
            <w:pPr>
              <w:widowControl/>
              <w:spacing w:line="400" w:lineRule="exact"/>
              <w:ind w:firstLine="562"/>
              <w:jc w:val="left"/>
              <w:rPr>
                <w:rFonts w:ascii="Times New Roman" w:hAnsi="Times New Roman" w:eastAsia="仿宋_GB2312"/>
                <w:color w:val="000000"/>
                <w:sz w:val="28"/>
                <w:szCs w:val="28"/>
              </w:rPr>
            </w:pPr>
            <w:r>
              <w:rPr>
                <w:rFonts w:hint="eastAsia" w:ascii="楷体" w:hAnsi="楷体" w:eastAsia="楷体" w:cs="楷体"/>
                <w:b/>
                <w:bCs/>
                <w:color w:val="000000"/>
                <w:sz w:val="28"/>
                <w:szCs w:val="28"/>
              </w:rPr>
              <w:t>民族团结进步示范社区创建。</w:t>
            </w:r>
            <w:r>
              <w:rPr>
                <w:rFonts w:hint="eastAsia" w:ascii="Times New Roman" w:hAnsi="Times New Roman" w:eastAsia="仿宋_GB2312"/>
                <w:color w:val="000000"/>
                <w:sz w:val="28"/>
                <w:szCs w:val="28"/>
              </w:rPr>
              <w:t>以社区党建为核心，以服务群众为主题，以居民自治为方向，以维护稳定为基础，持续深化民族团结进步示范社区创建。到2025年，创建市级以上民族团结进步示范社区4</w:t>
            </w:r>
            <w:r>
              <w:rPr>
                <w:rFonts w:ascii="Times New Roman" w:hAnsi="Times New Roman" w:eastAsia="仿宋_GB2312"/>
                <w:color w:val="000000"/>
                <w:sz w:val="28"/>
                <w:szCs w:val="28"/>
              </w:rPr>
              <w:t>个</w:t>
            </w:r>
            <w:r>
              <w:rPr>
                <w:rFonts w:hint="eastAsia" w:ascii="Times New Roman" w:hAnsi="Times New Roman" w:eastAsia="仿宋_GB2312"/>
                <w:color w:val="000000"/>
                <w:sz w:val="28"/>
                <w:szCs w:val="28"/>
              </w:rPr>
              <w:t>。</w:t>
            </w:r>
          </w:p>
          <w:p w14:paraId="738A50CB">
            <w:pPr>
              <w:widowControl/>
              <w:spacing w:line="400" w:lineRule="exact"/>
              <w:ind w:firstLine="562"/>
              <w:jc w:val="left"/>
              <w:rPr>
                <w:rFonts w:ascii="Times New Roman" w:hAnsi="Times New Roman" w:eastAsia="仿宋_GB2312"/>
                <w:color w:val="000000"/>
                <w:sz w:val="28"/>
                <w:szCs w:val="28"/>
              </w:rPr>
            </w:pPr>
            <w:r>
              <w:rPr>
                <w:rFonts w:hint="eastAsia" w:ascii="楷体" w:hAnsi="楷体" w:eastAsia="楷体" w:cs="楷体"/>
                <w:b/>
                <w:color w:val="000000"/>
                <w:sz w:val="28"/>
                <w:szCs w:val="28"/>
              </w:rPr>
              <w:t>社区“一家亲”工作站建设</w:t>
            </w:r>
            <w:r>
              <w:rPr>
                <w:rFonts w:ascii="楷体" w:hAnsi="楷体" w:eastAsia="楷体" w:cs="楷体"/>
                <w:b/>
                <w:color w:val="000000"/>
                <w:sz w:val="28"/>
                <w:szCs w:val="28"/>
              </w:rPr>
              <w:t>。</w:t>
            </w:r>
            <w:r>
              <w:rPr>
                <w:rFonts w:ascii="Times New Roman" w:hAnsi="Times New Roman" w:eastAsia="仿宋_GB2312"/>
                <w:color w:val="000000"/>
                <w:sz w:val="28"/>
                <w:szCs w:val="28"/>
              </w:rPr>
              <w:t>把民族团结进步事业与党的建设、社会治理、社区服务有机融合，实行</w:t>
            </w:r>
            <w:r>
              <w:rPr>
                <w:rFonts w:hint="eastAsia" w:ascii="Times New Roman" w:hAnsi="Times New Roman" w:eastAsia="仿宋_GB2312"/>
                <w:color w:val="000000"/>
                <w:sz w:val="28"/>
                <w:szCs w:val="28"/>
              </w:rPr>
              <w:t>“</w:t>
            </w:r>
            <w:r>
              <w:rPr>
                <w:rFonts w:ascii="Times New Roman" w:hAnsi="Times New Roman" w:eastAsia="仿宋_GB2312"/>
                <w:color w:val="000000"/>
                <w:sz w:val="28"/>
                <w:szCs w:val="28"/>
              </w:rPr>
              <w:t>街道—社区—居民区</w:t>
            </w:r>
            <w:r>
              <w:rPr>
                <w:rFonts w:hint="eastAsia" w:ascii="Times New Roman" w:hAnsi="Times New Roman" w:eastAsia="仿宋_GB2312"/>
                <w:color w:val="000000"/>
                <w:sz w:val="28"/>
                <w:szCs w:val="28"/>
              </w:rPr>
              <w:t>”</w:t>
            </w:r>
            <w:r>
              <w:rPr>
                <w:rFonts w:ascii="Times New Roman" w:hAnsi="Times New Roman" w:eastAsia="仿宋_GB2312"/>
                <w:color w:val="000000"/>
                <w:sz w:val="28"/>
                <w:szCs w:val="28"/>
              </w:rPr>
              <w:t>三级治理模式</w:t>
            </w:r>
            <w:r>
              <w:rPr>
                <w:rFonts w:hint="eastAsia" w:ascii="Times New Roman" w:hAnsi="Times New Roman" w:eastAsia="仿宋_GB2312"/>
                <w:color w:val="000000"/>
                <w:sz w:val="28"/>
                <w:szCs w:val="28"/>
              </w:rPr>
              <w:t>，</w:t>
            </w:r>
            <w:r>
              <w:rPr>
                <w:rFonts w:ascii="Times New Roman" w:hAnsi="Times New Roman" w:eastAsia="仿宋_GB2312"/>
                <w:color w:val="000000"/>
                <w:sz w:val="28"/>
                <w:szCs w:val="28"/>
              </w:rPr>
              <w:t>依托社区为民服务工作站及网络平台，为</w:t>
            </w:r>
            <w:r>
              <w:rPr>
                <w:rFonts w:hint="eastAsia" w:ascii="Times New Roman" w:hAnsi="Times New Roman" w:eastAsia="仿宋_GB2312"/>
                <w:color w:val="000000"/>
                <w:sz w:val="28"/>
                <w:szCs w:val="28"/>
              </w:rPr>
              <w:t>社区群众提供</w:t>
            </w:r>
            <w:r>
              <w:rPr>
                <w:rFonts w:ascii="Times New Roman" w:hAnsi="Times New Roman" w:eastAsia="仿宋_GB2312"/>
                <w:color w:val="000000"/>
                <w:sz w:val="28"/>
                <w:szCs w:val="28"/>
              </w:rPr>
              <w:t>更优更好</w:t>
            </w:r>
            <w:r>
              <w:rPr>
                <w:rFonts w:hint="eastAsia" w:ascii="Times New Roman" w:hAnsi="Times New Roman" w:eastAsia="仿宋_GB2312"/>
                <w:color w:val="000000"/>
                <w:sz w:val="28"/>
                <w:szCs w:val="28"/>
              </w:rPr>
              <w:t>的服务。到2025年，建设5家以上社区“一家亲”工作站。</w:t>
            </w:r>
          </w:p>
          <w:p w14:paraId="2165A045">
            <w:pPr>
              <w:widowControl/>
              <w:spacing w:line="400" w:lineRule="exact"/>
              <w:ind w:firstLine="562"/>
              <w:jc w:val="left"/>
              <w:rPr>
                <w:rFonts w:ascii="楷体" w:hAnsi="楷体" w:eastAsia="楷体" w:cs="楷体"/>
                <w:b/>
                <w:color w:val="000000"/>
                <w:sz w:val="28"/>
                <w:szCs w:val="28"/>
              </w:rPr>
            </w:pPr>
            <w:r>
              <w:rPr>
                <w:rFonts w:hint="eastAsia" w:ascii="楷体" w:hAnsi="楷体" w:eastAsia="楷体" w:cs="楷体"/>
                <w:b/>
                <w:color w:val="000000"/>
                <w:sz w:val="28"/>
                <w:szCs w:val="28"/>
              </w:rPr>
              <w:t>民族地区农村劳动力转移工程。</w:t>
            </w:r>
            <w:r>
              <w:rPr>
                <w:rFonts w:hint="eastAsia" w:ascii="Times New Roman" w:hAnsi="Times New Roman" w:eastAsia="仿宋_GB2312"/>
                <w:color w:val="000000"/>
                <w:sz w:val="28"/>
                <w:szCs w:val="28"/>
              </w:rPr>
              <w:t>完善民族地区农村劳动力转移政府管理与服务，强化人力资源市场建设，加强职业技能培训，提高农村劳动力的整体素质，加强劳动者权益保障。到2025年，农村劳动力转移数5万人。</w:t>
            </w:r>
          </w:p>
          <w:p w14:paraId="47E9F41C">
            <w:pPr>
              <w:widowControl/>
              <w:spacing w:line="400" w:lineRule="exact"/>
              <w:ind w:firstLine="562"/>
              <w:jc w:val="left"/>
              <w:rPr>
                <w:rFonts w:ascii="仿宋" w:hAnsi="仿宋" w:eastAsia="仿宋" w:cs="仿宋"/>
                <w:color w:val="000000"/>
                <w:sz w:val="28"/>
                <w:szCs w:val="28"/>
              </w:rPr>
            </w:pPr>
            <w:r>
              <w:rPr>
                <w:rFonts w:hint="eastAsia" w:ascii="楷体" w:hAnsi="楷体" w:eastAsia="楷体" w:cs="楷体"/>
                <w:b/>
                <w:bCs/>
                <w:color w:val="000000"/>
                <w:sz w:val="28"/>
                <w:szCs w:val="28"/>
              </w:rPr>
              <w:t>民族团结进步示范班计划。</w:t>
            </w:r>
            <w:r>
              <w:rPr>
                <w:rFonts w:hint="eastAsia" w:ascii="仿宋" w:hAnsi="仿宋" w:eastAsia="仿宋" w:cs="仿宋"/>
                <w:color w:val="000000"/>
                <w:sz w:val="28"/>
                <w:szCs w:val="28"/>
              </w:rPr>
              <w:t>在各学校打造民族团结进步示范班，为各族学生营造共学共进的良好氛围。招收各民族家庭生活困难学生，按现行学生资助政策给予学费、生活费补助。</w:t>
            </w:r>
          </w:p>
          <w:p w14:paraId="36BA043E">
            <w:pPr>
              <w:widowControl/>
              <w:spacing w:line="400" w:lineRule="exact"/>
              <w:ind w:firstLine="562"/>
              <w:jc w:val="left"/>
              <w:rPr>
                <w:rFonts w:ascii="Times New Roman" w:hAnsi="Times New Roman" w:cs="宋体"/>
                <w:color w:val="000000"/>
                <w:sz w:val="28"/>
                <w:szCs w:val="28"/>
              </w:rPr>
            </w:pPr>
            <w:r>
              <w:rPr>
                <w:rFonts w:hint="eastAsia" w:ascii="楷体" w:hAnsi="楷体" w:eastAsia="楷体" w:cs="楷体"/>
                <w:b/>
                <w:bCs/>
                <w:color w:val="000000"/>
                <w:sz w:val="28"/>
                <w:szCs w:val="28"/>
                <w:lang w:val="zh-CN"/>
              </w:rPr>
              <w:t>民族医医疗机构建设。</w:t>
            </w:r>
            <w:r>
              <w:rPr>
                <w:rFonts w:hint="eastAsia" w:ascii="仿宋" w:hAnsi="仿宋" w:eastAsia="仿宋" w:cs="仿宋"/>
                <w:color w:val="000000"/>
                <w:sz w:val="28"/>
                <w:szCs w:val="28"/>
                <w:shd w:val="clear" w:color="auto" w:fill="FFFFFF"/>
              </w:rPr>
              <w:t>建设或提升一批民族医特色突出、专科优势明显、临床疗效显著、管理规范科学的民族医医院。</w:t>
            </w:r>
          </w:p>
        </w:tc>
      </w:tr>
    </w:tbl>
    <w:p w14:paraId="4D2465EF">
      <w:pPr>
        <w:pStyle w:val="2"/>
        <w:ind w:firstLine="640"/>
        <w:rPr>
          <w:rFonts w:ascii="Times New Roman" w:hAnsi="Times New Roman" w:eastAsia="仿宋_GB2312" w:cs="仿宋_GB2312"/>
          <w:color w:val="000000"/>
          <w:sz w:val="32"/>
          <w:szCs w:val="32"/>
        </w:rPr>
      </w:pPr>
    </w:p>
    <w:p w14:paraId="7AE3C1BC">
      <w:pPr>
        <w:pStyle w:val="4"/>
        <w:spacing w:before="0" w:beforeAutospacing="0" w:after="0" w:afterAutospacing="0" w:line="560" w:lineRule="exact"/>
        <w:jc w:val="center"/>
        <w:rPr>
          <w:rFonts w:hint="default" w:ascii="Times New Roman" w:hAnsi="Times New Roman" w:eastAsia="黑体" w:cs="黑体"/>
          <w:b w:val="0"/>
          <w:bCs w:val="0"/>
          <w:color w:val="000000"/>
          <w:sz w:val="32"/>
          <w:szCs w:val="32"/>
        </w:rPr>
      </w:pPr>
      <w:bookmarkStart w:id="135" w:name="_Toc4263"/>
      <w:r>
        <w:rPr>
          <w:rFonts w:ascii="Times New Roman" w:hAnsi="Times New Roman" w:eastAsia="黑体" w:cs="黑体"/>
          <w:b w:val="0"/>
          <w:bCs w:val="0"/>
          <w:color w:val="000000"/>
          <w:sz w:val="32"/>
          <w:szCs w:val="32"/>
        </w:rPr>
        <w:t xml:space="preserve">第五节 </w:t>
      </w:r>
      <w:r>
        <w:rPr>
          <w:rFonts w:hint="default" w:ascii="Times New Roman" w:hAnsi="Times New Roman" w:eastAsia="黑体" w:cs="黑体"/>
          <w:b w:val="0"/>
          <w:bCs w:val="0"/>
          <w:color w:val="000000"/>
          <w:sz w:val="32"/>
          <w:szCs w:val="32"/>
        </w:rPr>
        <w:t>提升民族</w:t>
      </w:r>
      <w:r>
        <w:rPr>
          <w:rFonts w:ascii="Times New Roman" w:hAnsi="Times New Roman" w:eastAsia="黑体" w:cs="黑体"/>
          <w:b w:val="0"/>
          <w:bCs w:val="0"/>
          <w:color w:val="000000"/>
          <w:sz w:val="32"/>
          <w:szCs w:val="32"/>
        </w:rPr>
        <w:t>宗教</w:t>
      </w:r>
      <w:r>
        <w:rPr>
          <w:rFonts w:hint="default" w:ascii="Times New Roman" w:hAnsi="Times New Roman" w:eastAsia="黑体" w:cs="黑体"/>
          <w:b w:val="0"/>
          <w:bCs w:val="0"/>
          <w:color w:val="000000"/>
          <w:sz w:val="32"/>
          <w:szCs w:val="32"/>
        </w:rPr>
        <w:t>事务治理</w:t>
      </w:r>
      <w:r>
        <w:rPr>
          <w:rFonts w:ascii="Times New Roman" w:hAnsi="Times New Roman" w:eastAsia="黑体" w:cs="黑体"/>
          <w:b w:val="0"/>
          <w:bCs w:val="0"/>
          <w:color w:val="000000"/>
          <w:sz w:val="32"/>
          <w:szCs w:val="32"/>
        </w:rPr>
        <w:t>能力</w:t>
      </w:r>
      <w:r>
        <w:rPr>
          <w:rFonts w:hint="default" w:ascii="Times New Roman" w:hAnsi="Times New Roman" w:eastAsia="黑体" w:cs="黑体"/>
          <w:b w:val="0"/>
          <w:bCs w:val="0"/>
          <w:color w:val="000000"/>
          <w:sz w:val="32"/>
          <w:szCs w:val="32"/>
        </w:rPr>
        <w:t>和治理</w:t>
      </w:r>
      <w:r>
        <w:rPr>
          <w:rFonts w:ascii="Times New Roman" w:hAnsi="Times New Roman" w:eastAsia="黑体" w:cs="黑体"/>
          <w:b w:val="0"/>
          <w:bCs w:val="0"/>
          <w:color w:val="000000"/>
          <w:sz w:val="32"/>
          <w:szCs w:val="32"/>
        </w:rPr>
        <w:t>水平</w:t>
      </w:r>
      <w:r>
        <w:rPr>
          <w:rFonts w:hint="default" w:ascii="Times New Roman" w:hAnsi="Times New Roman" w:eastAsia="黑体" w:cs="黑体"/>
          <w:b w:val="0"/>
          <w:bCs w:val="0"/>
          <w:color w:val="000000"/>
          <w:sz w:val="32"/>
          <w:szCs w:val="32"/>
        </w:rPr>
        <w:t>现代化</w:t>
      </w:r>
      <w:r>
        <w:rPr>
          <w:rFonts w:ascii="Times New Roman" w:hAnsi="Times New Roman" w:eastAsia="黑体" w:cs="黑体"/>
          <w:b w:val="0"/>
          <w:bCs w:val="0"/>
          <w:color w:val="000000"/>
          <w:sz w:val="32"/>
          <w:szCs w:val="32"/>
        </w:rPr>
        <w:t>，在夯实中华民族共同体法治基础上作出表率</w:t>
      </w:r>
      <w:bookmarkEnd w:id="135"/>
    </w:p>
    <w:p w14:paraId="4CFE8AF5">
      <w:pPr>
        <w:spacing w:line="560" w:lineRule="exact"/>
        <w:ind w:firstLine="640"/>
        <w:rPr>
          <w:rFonts w:ascii="Times New Roman" w:hAnsi="Times New Roman" w:eastAsia="仿宋_GB2312"/>
          <w:bCs/>
          <w:color w:val="000000"/>
          <w:kern w:val="32"/>
          <w:sz w:val="32"/>
          <w:szCs w:val="32"/>
        </w:rPr>
      </w:pPr>
      <w:r>
        <w:rPr>
          <w:rFonts w:hint="eastAsia" w:ascii="Times New Roman" w:hAnsi="Times New Roman" w:eastAsia="仿宋_GB2312"/>
          <w:bCs/>
          <w:color w:val="000000"/>
          <w:kern w:val="32"/>
          <w:sz w:val="32"/>
          <w:szCs w:val="32"/>
        </w:rPr>
        <w:t>坚持总体国家安全观，统筹安全和发展，坚持维护国家统一和安全，守好意识形态阵地，有效防范化解民族宗教领域风险隐患，不断推进民族宗教事务治理体系和治理能力现代化，夯实中华民族共同体法治基础。</w:t>
      </w:r>
    </w:p>
    <w:p w14:paraId="4B385604">
      <w:pPr>
        <w:pStyle w:val="5"/>
        <w:spacing w:before="0" w:after="0" w:line="560" w:lineRule="exact"/>
        <w:ind w:firstLine="643"/>
        <w:rPr>
          <w:rFonts w:ascii="Times New Roman" w:hAnsi="Times New Roman" w:eastAsia="楷体" w:cs="楷体"/>
          <w:color w:val="000000"/>
          <w:szCs w:val="24"/>
        </w:rPr>
      </w:pPr>
      <w:bookmarkStart w:id="136" w:name="_Toc26357"/>
      <w:bookmarkStart w:id="137" w:name="_Toc4642_WPSOffice_Level2"/>
      <w:r>
        <w:rPr>
          <w:rFonts w:hint="eastAsia" w:ascii="Times New Roman" w:hAnsi="Times New Roman" w:eastAsia="楷体" w:cs="楷体"/>
          <w:color w:val="000000"/>
          <w:szCs w:val="24"/>
        </w:rPr>
        <w:t>一、持续推进依法治理民族事务</w:t>
      </w:r>
      <w:bookmarkEnd w:id="136"/>
      <w:bookmarkEnd w:id="137"/>
    </w:p>
    <w:p w14:paraId="7EC9A0DB">
      <w:pPr>
        <w:pStyle w:val="2"/>
        <w:spacing w:line="560" w:lineRule="exact"/>
        <w:ind w:firstLine="640"/>
        <w:rPr>
          <w:rFonts w:ascii="仿宋" w:hAnsi="仿宋" w:eastAsia="仿宋" w:cs="仿宋"/>
          <w:color w:val="000000"/>
          <w:sz w:val="32"/>
          <w:szCs w:val="32"/>
        </w:rPr>
      </w:pPr>
      <w:r>
        <w:rPr>
          <w:rFonts w:hint="eastAsia" w:ascii="Times New Roman" w:hAnsi="Times New Roman" w:eastAsia="仿宋_GB2312" w:cs="仿宋_GB2312"/>
          <w:color w:val="000000"/>
          <w:sz w:val="32"/>
          <w:szCs w:val="32"/>
        </w:rPr>
        <w:t>全面贯彻国务院《城市民族工作条例》和《云南省城市民族工作条例》，加强对党的民族宗教政策和法律法规的宣传教育工作，提高广大干部群众的民族宗教政策和法律意识。坚持各民族一律平等，保证各民族共同当家作主、参与国家事务管理，依法保障各族群众合法权益。强化保障少数民族合法权益的法律实践，依法保护和尊重少数民族生活习惯、语言文字和宗教信仰，加强清真食品监督管理，规范少数民族殡葬服务特殊需求，切实保障少数民族群众的合法权益。加强基层公共法律服务资源配置，探索创新基层矛盾纠纷调处方式，实现法律服务“一站通”“一线通”“一网通”。认真落实国家“八五”普法规划，充分利用民族传统节日、宪法日等，在门户网站、微信公众号、微博平台开展宪法和《民族区域自治法》及配套法规宣传教育，定期举办民族宗教政策法规学习宣传月活动。针对性加强对少数民族流动人口、青少年、媒体从业人员、企业经营管理人员等群体的宣传教育，增强全社会对民族区域自治制度贯彻执行的自觉性。以“零容忍”的态度坚决制止民族歧视行为，做到各行业领域执法活动、公共服务中对各族群众一视同仁。</w:t>
      </w:r>
    </w:p>
    <w:p w14:paraId="7BEE0182">
      <w:pPr>
        <w:pStyle w:val="5"/>
        <w:spacing w:before="0" w:after="0" w:line="560" w:lineRule="exact"/>
        <w:ind w:firstLine="643"/>
        <w:rPr>
          <w:rFonts w:ascii="Times New Roman" w:hAnsi="Times New Roman" w:eastAsia="楷体" w:cs="楷体"/>
          <w:color w:val="000000"/>
          <w:szCs w:val="24"/>
        </w:rPr>
      </w:pPr>
      <w:bookmarkStart w:id="138" w:name="_Toc2124"/>
      <w:bookmarkStart w:id="139" w:name="_Toc9606_WPSOffice_Level2"/>
      <w:r>
        <w:rPr>
          <w:rFonts w:hint="eastAsia" w:ascii="Times New Roman" w:hAnsi="Times New Roman" w:eastAsia="楷体" w:cs="楷体"/>
          <w:color w:val="000000"/>
          <w:szCs w:val="24"/>
        </w:rPr>
        <w:t>二、始终坚持我国宗教中国化方向</w:t>
      </w:r>
      <w:bookmarkEnd w:id="138"/>
      <w:bookmarkEnd w:id="139"/>
    </w:p>
    <w:p w14:paraId="6ED1AE5E">
      <w:pPr>
        <w:pStyle w:val="2"/>
        <w:spacing w:line="560" w:lineRule="exact"/>
        <w:ind w:firstLine="0"/>
        <w:rPr>
          <w:rFonts w:ascii="仿宋" w:hAnsi="仿宋" w:eastAsia="仿宋" w:cs="仿宋"/>
          <w:color w:val="000000"/>
          <w:sz w:val="32"/>
          <w:szCs w:val="32"/>
        </w:rPr>
      </w:pPr>
      <w:r>
        <w:rPr>
          <w:rFonts w:hint="eastAsia" w:ascii="仿宋" w:hAnsi="仿宋" w:eastAsia="仿宋" w:cs="仿宋"/>
          <w:color w:val="000000"/>
          <w:sz w:val="32"/>
          <w:szCs w:val="32"/>
        </w:rPr>
        <w:t xml:space="preserve">    坚持我国宗教中国化方向，依法管理宗教事务，积极引导宗教与社会主义社会相适应。加强宗教界人士、信教群众的爱国主义和社会主义教育，加强“感党恩、听党话、跟党走”宣传教育，推进“</w:t>
      </w:r>
      <w:r>
        <w:rPr>
          <w:rFonts w:ascii="仿宋" w:hAnsi="仿宋" w:eastAsia="仿宋" w:cs="仿宋"/>
          <w:color w:val="000000"/>
          <w:sz w:val="32"/>
          <w:szCs w:val="32"/>
        </w:rPr>
        <w:t>和谐寺观教堂</w:t>
      </w:r>
      <w:r>
        <w:rPr>
          <w:rFonts w:hint="eastAsia" w:ascii="仿宋" w:hAnsi="仿宋" w:eastAsia="仿宋" w:cs="仿宋"/>
          <w:color w:val="000000"/>
          <w:sz w:val="32"/>
          <w:szCs w:val="32"/>
        </w:rPr>
        <w:t>”创建，开展“五进”宗教活动场所活动，鼓励和支持宗教团体、宗教活动场所开展民族团结进步创建工作。坚持用社会主义核心价值观引领、用中华文化浸润，引导宗教界深入挖掘教义教规中有利于民族团结、社会和谐、时代进步、健康文明的内容，持续开展坚持我国宗教中国化方向为主题的专题研讨和讲经讲道交流活动。加强宗教团体和宗教人才队伍建设，坚持“政治上靠得住、宗教上有造诣、品德上能服众、关键时起作用”四条标准，强化对宗教教职人员的国民教育、法治教育、政治教育、宗教教育。加大对宗教界人士、信教群众《中华人民共和国宪法》《中华人民共和国民法典》《宗教事务条例》等法律法规的宣传教育，教育引导正确认识和处理国法与教规的关系，提高法治观念。依法开展宗教领域热点难点问题治理工作</w:t>
      </w:r>
      <w:r>
        <w:rPr>
          <w:rFonts w:ascii="仿宋" w:hAnsi="仿宋" w:eastAsia="仿宋" w:cs="仿宋"/>
          <w:color w:val="000000"/>
          <w:sz w:val="32"/>
          <w:szCs w:val="32"/>
        </w:rPr>
        <w:t>，</w:t>
      </w:r>
      <w:r>
        <w:rPr>
          <w:rFonts w:hint="eastAsia" w:ascii="仿宋" w:hAnsi="仿宋" w:eastAsia="仿宋" w:cs="仿宋"/>
          <w:color w:val="000000"/>
          <w:sz w:val="32"/>
          <w:szCs w:val="32"/>
        </w:rPr>
        <w:t>加强互联网宗教管理，不断提高宗教工作治理能力，</w:t>
      </w:r>
      <w:r>
        <w:rPr>
          <w:rFonts w:ascii="仿宋" w:hAnsi="仿宋" w:eastAsia="仿宋" w:cs="仿宋"/>
          <w:color w:val="000000"/>
          <w:sz w:val="32"/>
          <w:szCs w:val="32"/>
        </w:rPr>
        <w:t>维护宗教领域</w:t>
      </w:r>
      <w:r>
        <w:rPr>
          <w:rFonts w:hint="eastAsia" w:ascii="仿宋" w:hAnsi="仿宋" w:eastAsia="仿宋" w:cs="仿宋"/>
          <w:color w:val="000000"/>
          <w:sz w:val="32"/>
          <w:szCs w:val="32"/>
        </w:rPr>
        <w:t>和谐</w:t>
      </w:r>
      <w:r>
        <w:rPr>
          <w:rFonts w:ascii="仿宋" w:hAnsi="仿宋" w:eastAsia="仿宋" w:cs="仿宋"/>
          <w:color w:val="000000"/>
          <w:sz w:val="32"/>
          <w:szCs w:val="32"/>
        </w:rPr>
        <w:t>稳定</w:t>
      </w:r>
      <w:r>
        <w:rPr>
          <w:rFonts w:hint="eastAsia" w:ascii="仿宋" w:hAnsi="仿宋" w:eastAsia="仿宋" w:cs="仿宋"/>
          <w:color w:val="000000"/>
          <w:sz w:val="32"/>
          <w:szCs w:val="32"/>
        </w:rPr>
        <w:t>。</w:t>
      </w:r>
    </w:p>
    <w:p w14:paraId="13EC21EF">
      <w:pPr>
        <w:pStyle w:val="5"/>
        <w:spacing w:before="0" w:after="0" w:line="560" w:lineRule="exact"/>
        <w:ind w:firstLine="643"/>
        <w:rPr>
          <w:rFonts w:ascii="Times New Roman" w:hAnsi="Times New Roman" w:eastAsia="楷体" w:cs="楷体"/>
          <w:color w:val="000000"/>
          <w:szCs w:val="24"/>
        </w:rPr>
      </w:pPr>
      <w:bookmarkStart w:id="140" w:name="_Toc32306"/>
      <w:bookmarkStart w:id="141" w:name="_Toc4978_WPSOffice_Level2"/>
      <w:r>
        <w:rPr>
          <w:rFonts w:hint="eastAsia" w:ascii="Times New Roman" w:hAnsi="Times New Roman" w:eastAsia="楷体" w:cs="楷体"/>
          <w:color w:val="000000"/>
          <w:szCs w:val="24"/>
        </w:rPr>
        <w:t>三、有效化解民族宗教领域风险隐患</w:t>
      </w:r>
      <w:bookmarkEnd w:id="140"/>
      <w:bookmarkEnd w:id="141"/>
    </w:p>
    <w:p w14:paraId="3C8C3525">
      <w:pPr>
        <w:spacing w:line="592" w:lineRule="exact"/>
        <w:ind w:firstLine="640"/>
        <w:rPr>
          <w:rFonts w:ascii="仿宋_GB2312" w:hAnsi="仿宋_GB2312" w:eastAsia="仿宋_GB2312" w:cs="仿宋_GB2312"/>
          <w:sz w:val="32"/>
          <w:szCs w:val="32"/>
        </w:rPr>
      </w:pPr>
      <w:r>
        <w:rPr>
          <w:rFonts w:hint="eastAsia" w:ascii="Times New Roman" w:hAnsi="Times New Roman" w:eastAsia="仿宋_GB2312" w:cs="仿宋_GB2312"/>
          <w:color w:val="000000"/>
          <w:sz w:val="32"/>
          <w:szCs w:val="32"/>
        </w:rPr>
        <w:t>坚持统一领导、分级负责、属地化解，完善防范化解民族宗教领域风险隐患长效机制，加大风险研判和处置化解工作力度。认真落实《昆明市涉及民族宗教因素矛盾纠纷四级同步监管机制》，对民族宗教矛盾纠纷实行市、县（市、区）、乡镇（街道）、村（社区）四级同步统计、同步监测、同步监管、同步研判。旗帜鲜明反对历史虚无主义、极端民族主义、宗教极端主义、大汉族主义和地方民族主义，积极稳妥处理涉民族宗教因素的意识形态问题</w:t>
      </w:r>
      <w:r>
        <w:rPr>
          <w:rFonts w:hint="eastAsia" w:ascii="Times New Roman" w:hAnsi="Times New Roman" w:eastAsia="仿宋_GB2312" w:cs="仿宋_GB2312"/>
          <w:sz w:val="32"/>
          <w:szCs w:val="32"/>
        </w:rPr>
        <w:t>。坚持和发展新时代“枫桥经验”，推进行政调解规范化、加强人民调整解组织建设，完善调解、仲裁、行政裁决、行政复议等矛盾纠纷多元化解机制。积极开展民主法治村（社区）、“枫桥式”司法所和派出所创建，把矛盾和问题解决在基层、化解在萌芽状态。不断完善涉及民族宗教因素的突发事件应急处置和网络舆情联动处置</w:t>
      </w:r>
      <w:r>
        <w:rPr>
          <w:rFonts w:hint="eastAsia" w:ascii="Times New Roman" w:hAnsi="Times New Roman" w:eastAsia="仿宋_GB2312" w:cs="仿宋_GB2312"/>
          <w:color w:val="000000"/>
          <w:sz w:val="32"/>
          <w:szCs w:val="32"/>
        </w:rPr>
        <w:t>机制，及时妥善处置矛盾纠纷，防止群体性事件、上访事件发生。加大网络信息安全建设力度，健全网络舆情管控引导机制，掌握网上舆论主动权，净化网络空间，建好网上各民族共同家园。广泛开展“五进”宗教活动场所活动，团结争取宗教界人士和信教群众。加强宗教工作“一网两单”制度建设，健全责任清单内容、范围、层级，进一步提高工作完成率</w:t>
      </w:r>
      <w:r>
        <w:rPr>
          <w:rFonts w:hint="eastAsia" w:ascii="仿宋_GB2312" w:hAnsi="仿宋_GB2312" w:eastAsia="仿宋_GB2312" w:cs="仿宋_GB2312"/>
          <w:color w:val="000000"/>
          <w:sz w:val="32"/>
          <w:szCs w:val="32"/>
        </w:rPr>
        <w:t>。</w:t>
      </w:r>
      <w:r>
        <w:rPr>
          <w:rFonts w:hint="eastAsia" w:ascii="Times New Roman" w:hAnsi="Times New Roman" w:eastAsia="仿宋_GB2312" w:cs="仿宋_GB2312"/>
          <w:color w:val="000000"/>
          <w:sz w:val="32"/>
          <w:szCs w:val="32"/>
        </w:rPr>
        <w:t>全面贯彻党的宗教工作基本方针，坚持我国宗教中国化方向，积极引导宗教与社会主义社会相适应，规范管理宗教活动场所、宗教教职人员，确保宗教活动有序进行。</w:t>
      </w:r>
    </w:p>
    <w:p w14:paraId="7411DB0F">
      <w:pPr>
        <w:pStyle w:val="5"/>
        <w:spacing w:before="0" w:after="0" w:line="560" w:lineRule="exact"/>
        <w:ind w:firstLine="643"/>
        <w:rPr>
          <w:rFonts w:ascii="Times New Roman" w:hAnsi="Times New Roman" w:eastAsia="楷体" w:cs="楷体"/>
          <w:color w:val="000000"/>
          <w:szCs w:val="24"/>
        </w:rPr>
      </w:pPr>
      <w:bookmarkStart w:id="142" w:name="_Toc31408"/>
      <w:bookmarkStart w:id="143" w:name="_Toc22679_WPSOffice_Level2"/>
      <w:r>
        <w:rPr>
          <w:rFonts w:hint="eastAsia" w:ascii="Times New Roman" w:hAnsi="Times New Roman" w:eastAsia="楷体" w:cs="楷体"/>
          <w:color w:val="000000"/>
          <w:szCs w:val="24"/>
        </w:rPr>
        <w:t>四、加强民族宗教工作信息化建设</w:t>
      </w:r>
      <w:bookmarkEnd w:id="142"/>
      <w:bookmarkEnd w:id="143"/>
    </w:p>
    <w:p w14:paraId="6CD776D7">
      <w:pPr>
        <w:spacing w:line="560" w:lineRule="exact"/>
        <w:ind w:firstLine="640"/>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加快运用互联网、云计算、大数据等信息技术，围绕昆明城市数据互联共享与系统整合建设，以“一基础（网络基础）两平台（公共支撑平台、大数据平台）三应用（综合管理、民族事务管理、宗教事务管理）”为核心的信息化框架体系，整合资源，优化流程，推进大数据在民族宗教工作领域的应用水平，实现信息贯通、数据共享、响应联动，提升民族宗教工作数字化、网络化和智能化水平。</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1A551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5FE81EB8">
            <w:pPr>
              <w:widowControl w:val="0"/>
              <w:spacing w:line="500" w:lineRule="exact"/>
              <w:jc w:val="center"/>
              <w:rPr>
                <w:rFonts w:ascii="Times New Roman" w:hAnsi="Times New Roman" w:cs="宋体"/>
                <w:color w:val="000000"/>
                <w:sz w:val="28"/>
                <w:szCs w:val="28"/>
              </w:rPr>
            </w:pPr>
            <w:bookmarkStart w:id="144" w:name="_Toc15660"/>
            <w:bookmarkStart w:id="145" w:name="_Toc25720"/>
            <w:bookmarkStart w:id="146" w:name="_Toc10293"/>
            <w:r>
              <w:rPr>
                <w:rFonts w:hint="eastAsia" w:ascii="Times New Roman" w:hAnsi="Times New Roman" w:cs="宋体"/>
                <w:b/>
                <w:bCs/>
                <w:color w:val="000000"/>
                <w:sz w:val="28"/>
                <w:szCs w:val="28"/>
              </w:rPr>
              <w:t>专栏4 提升民族宗教事务治理能力和治理水平现代化重点工程</w:t>
            </w:r>
          </w:p>
        </w:tc>
      </w:tr>
      <w:tr w14:paraId="6F078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37D61A0F">
            <w:pPr>
              <w:widowControl w:val="0"/>
              <w:spacing w:line="400" w:lineRule="exact"/>
              <w:ind w:firstLine="562"/>
              <w:jc w:val="left"/>
              <w:rPr>
                <w:rFonts w:ascii="Times New Roman" w:hAnsi="Times New Roman" w:eastAsia="仿宋_GB2312"/>
                <w:color w:val="000000"/>
                <w:sz w:val="28"/>
                <w:szCs w:val="28"/>
              </w:rPr>
            </w:pPr>
            <w:r>
              <w:rPr>
                <w:rFonts w:hint="eastAsia" w:ascii="楷体" w:hAnsi="楷体" w:eastAsia="楷体" w:cs="楷体"/>
                <w:b/>
                <w:bCs/>
                <w:color w:val="000000"/>
                <w:sz w:val="28"/>
                <w:szCs w:val="28"/>
              </w:rPr>
              <w:t>矛盾纠纷排查和调处机制建设工程。</w:t>
            </w:r>
            <w:r>
              <w:rPr>
                <w:rFonts w:hint="eastAsia" w:ascii="Times New Roman" w:hAnsi="Times New Roman" w:eastAsia="仿宋_GB2312"/>
                <w:color w:val="000000"/>
                <w:sz w:val="28"/>
                <w:szCs w:val="28"/>
              </w:rPr>
              <w:t>切实维护社会稳定，有效预防、及时控制、妥善处理涉及民族宗教因素的事件，保障少数民族合法利益，维护宗教和睦、社会和谐。到2025年，全县涉及民族宗教因素矛盾纠纷化解处置率达90%。</w:t>
            </w:r>
          </w:p>
          <w:p w14:paraId="60638FCF">
            <w:pPr>
              <w:widowControl w:val="0"/>
              <w:spacing w:line="400" w:lineRule="exact"/>
              <w:ind w:firstLine="562"/>
              <w:jc w:val="left"/>
              <w:rPr>
                <w:rFonts w:ascii="Times New Roman" w:hAnsi="Times New Roman" w:eastAsia="仿宋_GB2312"/>
                <w:color w:val="000000"/>
                <w:sz w:val="28"/>
                <w:szCs w:val="28"/>
              </w:rPr>
            </w:pPr>
            <w:r>
              <w:rPr>
                <w:rFonts w:hint="eastAsia" w:ascii="楷体" w:hAnsi="楷体" w:eastAsia="楷体" w:cs="楷体"/>
                <w:b/>
                <w:bCs/>
                <w:color w:val="000000"/>
                <w:sz w:val="28"/>
                <w:szCs w:val="28"/>
              </w:rPr>
              <w:t>和谐宗教创建计划。</w:t>
            </w:r>
            <w:r>
              <w:rPr>
                <w:rFonts w:hint="eastAsia" w:ascii="Times New Roman" w:hAnsi="Times New Roman" w:eastAsia="仿宋_GB2312"/>
                <w:color w:val="000000"/>
                <w:sz w:val="28"/>
                <w:szCs w:val="28"/>
              </w:rPr>
              <w:t>创建一批省级和市级“民族团结进步示范宗教活动场所（和谐寺观教堂）”，深入开展“国旗、宪法和法律法规、社会主义核心价值观、中华优秀传统文化、民族团结进步”进宗教场所活动。</w:t>
            </w:r>
          </w:p>
          <w:p w14:paraId="28E0DAAE">
            <w:pPr>
              <w:widowControl w:val="0"/>
              <w:spacing w:line="400" w:lineRule="exact"/>
              <w:ind w:firstLine="562"/>
              <w:jc w:val="left"/>
              <w:rPr>
                <w:rFonts w:ascii="Times New Roman" w:hAnsi="Times New Roman" w:cs="宋体"/>
                <w:color w:val="000000"/>
                <w:sz w:val="28"/>
                <w:szCs w:val="28"/>
              </w:rPr>
            </w:pPr>
            <w:r>
              <w:rPr>
                <w:rFonts w:hint="eastAsia" w:ascii="楷体" w:hAnsi="楷体" w:eastAsia="楷体" w:cs="楷体"/>
                <w:b/>
                <w:bCs/>
                <w:color w:val="000000"/>
                <w:sz w:val="28"/>
                <w:szCs w:val="28"/>
              </w:rPr>
              <w:t>民族宗教工作信息化建设工程。</w:t>
            </w:r>
            <w:r>
              <w:rPr>
                <w:rFonts w:hint="eastAsia" w:ascii="Times New Roman" w:hAnsi="Times New Roman" w:eastAsia="仿宋_GB2312"/>
                <w:color w:val="000000"/>
                <w:sz w:val="28"/>
                <w:szCs w:val="28"/>
              </w:rPr>
              <w:t>整合现有信息系统及数据资源，参与建设与民族宗教事务相适应、统一融合的民族宗教工作信息化框架体系，搭建公共支撑平台、大数据平台及市县两级信息系统。</w:t>
            </w:r>
          </w:p>
        </w:tc>
      </w:tr>
      <w:bookmarkEnd w:id="144"/>
      <w:bookmarkEnd w:id="145"/>
      <w:bookmarkEnd w:id="146"/>
    </w:tbl>
    <w:p w14:paraId="37538860">
      <w:pPr>
        <w:pStyle w:val="7"/>
        <w:rPr>
          <w:color w:val="000000"/>
        </w:rPr>
      </w:pPr>
    </w:p>
    <w:p w14:paraId="3A2B2AEF">
      <w:pPr>
        <w:pStyle w:val="2"/>
        <w:rPr>
          <w:color w:val="000000"/>
        </w:rPr>
      </w:pPr>
    </w:p>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14:paraId="230F46E1">
      <w:pPr>
        <w:pStyle w:val="42"/>
        <w:numPr>
          <w:ilvl w:val="0"/>
          <w:numId w:val="5"/>
        </w:numPr>
        <w:snapToGrid w:val="0"/>
        <w:spacing w:line="560" w:lineRule="exact"/>
        <w:ind w:firstLine="2243"/>
        <w:jc w:val="left"/>
        <w:rPr>
          <w:rFonts w:ascii="黑体" w:hAnsi="黑体" w:eastAsia="黑体" w:cs="黑体"/>
          <w:color w:val="000000"/>
          <w:kern w:val="0"/>
          <w:sz w:val="32"/>
          <w:szCs w:val="32"/>
        </w:rPr>
      </w:pPr>
      <w:bookmarkStart w:id="147" w:name="_Toc1759_WPSOffice_Level1"/>
      <w:r>
        <w:rPr>
          <w:rFonts w:hint="eastAsia" w:ascii="黑体" w:hAnsi="黑体" w:eastAsia="黑体" w:cs="黑体"/>
          <w:color w:val="000000"/>
          <w:kern w:val="0"/>
          <w:sz w:val="32"/>
          <w:szCs w:val="32"/>
        </w:rPr>
        <w:t>保障措施</w:t>
      </w:r>
      <w:bookmarkEnd w:id="147"/>
    </w:p>
    <w:p w14:paraId="2E0CF425">
      <w:pPr>
        <w:pStyle w:val="42"/>
        <w:snapToGrid w:val="0"/>
        <w:spacing w:line="560" w:lineRule="exact"/>
        <w:ind w:firstLine="0"/>
        <w:rPr>
          <w:rFonts w:ascii="黑体" w:hAnsi="黑体" w:eastAsia="黑体" w:cs="黑体"/>
          <w:color w:val="000000"/>
          <w:kern w:val="0"/>
          <w:sz w:val="32"/>
          <w:szCs w:val="32"/>
        </w:rPr>
      </w:pPr>
    </w:p>
    <w:p w14:paraId="3D421511">
      <w:pPr>
        <w:pStyle w:val="46"/>
        <w:adjustRightInd w:val="0"/>
        <w:snapToGrid w:val="0"/>
        <w:spacing w:line="560" w:lineRule="exact"/>
        <w:ind w:firstLine="640"/>
        <w:jc w:val="left"/>
        <w:outlineLvl w:val="1"/>
        <w:rPr>
          <w:rFonts w:ascii="黑体" w:hAnsi="黑体" w:eastAsia="黑体" w:cs="黑体"/>
          <w:color w:val="000000"/>
          <w:sz w:val="32"/>
          <w:szCs w:val="32"/>
        </w:rPr>
      </w:pPr>
      <w:bookmarkStart w:id="148" w:name="_Toc16948"/>
      <w:bookmarkStart w:id="149" w:name="_Toc17293_WPSOffice_Level2"/>
      <w:bookmarkStart w:id="150" w:name="_Toc24329"/>
      <w:bookmarkStart w:id="151" w:name="_Toc27972"/>
      <w:bookmarkStart w:id="152" w:name="_Toc22396"/>
      <w:bookmarkStart w:id="153" w:name="_Toc20695"/>
      <w:bookmarkStart w:id="154" w:name="_Toc3737"/>
      <w:bookmarkStart w:id="155" w:name="_Toc12811"/>
      <w:bookmarkStart w:id="156" w:name="_Toc9668"/>
      <w:bookmarkStart w:id="157" w:name="_Toc7648"/>
      <w:bookmarkStart w:id="158" w:name="_Toc12826"/>
      <w:bookmarkStart w:id="159" w:name="_Toc13177"/>
      <w:bookmarkStart w:id="160" w:name="_Toc18297"/>
      <w:bookmarkStart w:id="161" w:name="_Toc405"/>
      <w:bookmarkStart w:id="162" w:name="_Toc1850"/>
      <w:bookmarkStart w:id="163" w:name="_Toc9963"/>
      <w:bookmarkStart w:id="164" w:name="_Toc29250"/>
      <w:bookmarkStart w:id="165" w:name="_Toc24942"/>
      <w:bookmarkStart w:id="166" w:name="_Toc28395"/>
      <w:bookmarkStart w:id="167" w:name="_Toc25979"/>
      <w:bookmarkStart w:id="168" w:name="_Toc32210"/>
      <w:bookmarkStart w:id="169" w:name="_Toc2689"/>
      <w:bookmarkStart w:id="170" w:name="_Toc21014"/>
      <w:bookmarkStart w:id="171" w:name="_Toc5129"/>
      <w:bookmarkStart w:id="172" w:name="_Toc26386"/>
      <w:bookmarkStart w:id="173" w:name="_Toc1101"/>
      <w:bookmarkStart w:id="174" w:name="_Toc11809"/>
      <w:bookmarkStart w:id="175" w:name="_Toc63615485"/>
      <w:bookmarkStart w:id="176" w:name="_Toc21684"/>
      <w:bookmarkStart w:id="177" w:name="_Toc29254"/>
      <w:bookmarkStart w:id="178" w:name="_Toc27225"/>
      <w:bookmarkStart w:id="179" w:name="_Toc8631"/>
      <w:bookmarkStart w:id="180" w:name="_Toc21524"/>
      <w:r>
        <w:rPr>
          <w:rFonts w:hint="eastAsia" w:ascii="黑体" w:hAnsi="黑体" w:eastAsia="黑体" w:cs="黑体"/>
          <w:color w:val="000000"/>
          <w:sz w:val="32"/>
          <w:szCs w:val="32"/>
        </w:rPr>
        <w:t>一、加强组织领导</w:t>
      </w:r>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2B3AFCD5">
      <w:pPr>
        <w:adjustRightInd w:val="0"/>
        <w:snapToGrid w:val="0"/>
        <w:spacing w:line="560" w:lineRule="exact"/>
        <w:ind w:firstLine="640"/>
        <w:rPr>
          <w:rFonts w:ascii="方正仿宋_GB2312" w:hAnsi="方正仿宋_GB2312" w:eastAsia="方正仿宋_GB2312" w:cs="方正仿宋_GB2312"/>
          <w:color w:val="000000"/>
          <w:sz w:val="32"/>
          <w:szCs w:val="32"/>
          <w:lang w:val="zh-CN"/>
        </w:rPr>
      </w:pPr>
      <w:r>
        <w:rPr>
          <w:rFonts w:hint="eastAsia" w:ascii="Times New Roman" w:hAnsi="Times New Roman" w:eastAsia="仿宋_GB2312"/>
          <w:color w:val="000000"/>
          <w:sz w:val="32"/>
          <w:szCs w:val="32"/>
        </w:rPr>
        <w:t>充分发挥县委民族宗教工作领导小组和民族团结进步示范创建指挥部的作用，</w:t>
      </w:r>
      <w:r>
        <w:rPr>
          <w:rFonts w:hint="eastAsia" w:ascii="方正仿宋_GB2312" w:hAnsi="方正仿宋_GB2312" w:eastAsia="方正仿宋_GB2312" w:cs="方正仿宋_GB2312"/>
          <w:color w:val="000000"/>
          <w:sz w:val="32"/>
          <w:szCs w:val="32"/>
          <w:lang w:val="zh-CN"/>
        </w:rPr>
        <w:t>切实加强对</w:t>
      </w:r>
      <w:r>
        <w:rPr>
          <w:rFonts w:hint="eastAsia" w:ascii="方正仿宋_GB2312" w:hAnsi="方正仿宋_GB2312" w:eastAsia="方正仿宋_GB2312" w:cs="方正仿宋_GB2312"/>
          <w:color w:val="000000"/>
          <w:sz w:val="32"/>
          <w:szCs w:val="32"/>
        </w:rPr>
        <w:t>民族团结进步的</w:t>
      </w:r>
      <w:r>
        <w:rPr>
          <w:rFonts w:hint="eastAsia" w:ascii="方正仿宋_GB2312" w:hAnsi="方正仿宋_GB2312" w:eastAsia="方正仿宋_GB2312" w:cs="方正仿宋_GB2312"/>
          <w:color w:val="000000"/>
          <w:sz w:val="32"/>
          <w:szCs w:val="32"/>
          <w:lang w:val="zh-CN"/>
        </w:rPr>
        <w:t>工作的组织领导，把</w:t>
      </w:r>
      <w:r>
        <w:rPr>
          <w:rFonts w:hint="eastAsia" w:ascii="方正仿宋_GB2312" w:hAnsi="方正仿宋_GB2312" w:eastAsia="方正仿宋_GB2312" w:cs="方正仿宋_GB2312"/>
          <w:color w:val="000000"/>
          <w:sz w:val="32"/>
          <w:szCs w:val="32"/>
        </w:rPr>
        <w:t>建设</w:t>
      </w:r>
      <w:r>
        <w:rPr>
          <w:rFonts w:hint="eastAsia" w:ascii="方正仿宋_GB2312" w:hAnsi="方正仿宋_GB2312" w:eastAsia="方正仿宋_GB2312" w:cs="方正仿宋_GB2312"/>
          <w:color w:val="000000"/>
          <w:sz w:val="32"/>
          <w:szCs w:val="32"/>
          <w:lang w:val="zh-CN"/>
        </w:rPr>
        <w:t>工作纳入重要议事日程，周密部署，精心组织，狠抓落实。加强对规划实施的组织领导，落实责任、密切配合，确保如期完成本规划确定的各项目标任务。领导小组办公室设在民族宗教工作部门，负责综合协调、督促检查和总结通报。</w:t>
      </w:r>
    </w:p>
    <w:p w14:paraId="40F3717A">
      <w:pPr>
        <w:pStyle w:val="46"/>
        <w:adjustRightInd w:val="0"/>
        <w:snapToGrid w:val="0"/>
        <w:spacing w:line="560" w:lineRule="exact"/>
        <w:ind w:firstLine="640"/>
        <w:jc w:val="left"/>
        <w:outlineLvl w:val="1"/>
        <w:rPr>
          <w:rFonts w:ascii="黑体" w:hAnsi="黑体" w:eastAsia="黑体" w:cs="黑体"/>
          <w:color w:val="000000"/>
          <w:sz w:val="32"/>
          <w:szCs w:val="32"/>
        </w:rPr>
      </w:pPr>
      <w:bookmarkStart w:id="181" w:name="_Toc24182"/>
      <w:bookmarkStart w:id="182" w:name="_Toc1276"/>
      <w:bookmarkStart w:id="183" w:name="_Toc31912"/>
      <w:bookmarkStart w:id="184" w:name="_Toc31143"/>
      <w:bookmarkStart w:id="185" w:name="_Toc21074"/>
      <w:bookmarkStart w:id="186" w:name="_Toc11284"/>
      <w:bookmarkStart w:id="187" w:name="_Toc866"/>
      <w:bookmarkStart w:id="188" w:name="_Toc8018"/>
      <w:bookmarkStart w:id="189" w:name="_Toc19168"/>
      <w:bookmarkStart w:id="190" w:name="_Toc19722"/>
      <w:bookmarkStart w:id="191" w:name="_Toc31054"/>
      <w:bookmarkStart w:id="192" w:name="_Toc23335"/>
      <w:bookmarkStart w:id="193" w:name="_Toc3108"/>
      <w:bookmarkStart w:id="194" w:name="_Toc13433"/>
      <w:bookmarkStart w:id="195" w:name="_Toc13498"/>
      <w:bookmarkStart w:id="196" w:name="_Toc13536_WPSOffice_Level2"/>
      <w:bookmarkStart w:id="197" w:name="_Toc23053"/>
      <w:bookmarkStart w:id="198" w:name="_Toc7584"/>
      <w:r>
        <w:rPr>
          <w:rFonts w:hint="eastAsia" w:ascii="黑体" w:hAnsi="黑体" w:eastAsia="黑体" w:cs="黑体"/>
          <w:color w:val="000000"/>
          <w:sz w:val="32"/>
          <w:szCs w:val="32"/>
        </w:rPr>
        <w:t>二、强化分工协作</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373FB7E2">
      <w:pPr>
        <w:adjustRightInd w:val="0"/>
        <w:snapToGrid w:val="0"/>
        <w:spacing w:line="560" w:lineRule="exact"/>
        <w:ind w:firstLine="640"/>
        <w:rPr>
          <w:rFonts w:ascii="方正仿宋_GB2312" w:hAnsi="方正仿宋_GB2312" w:eastAsia="方正仿宋_GB2312" w:cs="方正仿宋_GB2312"/>
          <w:color w:val="000000"/>
          <w:sz w:val="32"/>
          <w:szCs w:val="32"/>
          <w:lang w:val="zh-CN"/>
        </w:rPr>
      </w:pPr>
      <w:r>
        <w:rPr>
          <w:rFonts w:hint="eastAsia" w:ascii="方正仿宋_GB2312" w:hAnsi="方正仿宋_GB2312" w:eastAsia="方正仿宋_GB2312" w:cs="方正仿宋_GB2312"/>
          <w:color w:val="000000"/>
          <w:sz w:val="32"/>
          <w:szCs w:val="32"/>
        </w:rPr>
        <w:t>完善</w:t>
      </w:r>
      <w:r>
        <w:rPr>
          <w:rFonts w:hint="eastAsia" w:ascii="方正仿宋_GB2312" w:hAnsi="方正仿宋_GB2312" w:eastAsia="方正仿宋_GB2312" w:cs="方正仿宋_GB2312"/>
          <w:color w:val="000000"/>
          <w:sz w:val="32"/>
          <w:szCs w:val="32"/>
          <w:lang w:val="zh-CN"/>
        </w:rPr>
        <w:t>协调推动工作机制，推动落实规划明确的重点工作、重点工程和政策措施。强化各级党委和政府的主体责任，增强全社会守护民族团结生命线</w:t>
      </w:r>
      <w:r>
        <w:rPr>
          <w:rFonts w:hint="eastAsia" w:ascii="方正仿宋_GB2312" w:hAnsi="方正仿宋_GB2312" w:eastAsia="方正仿宋_GB2312" w:cs="方正仿宋_GB2312"/>
          <w:color w:val="000000"/>
          <w:sz w:val="32"/>
          <w:szCs w:val="32"/>
        </w:rPr>
        <w:t>和开展铸牢中华民族共同体意识建设</w:t>
      </w:r>
      <w:r>
        <w:rPr>
          <w:rFonts w:hint="eastAsia" w:ascii="方正仿宋_GB2312" w:hAnsi="方正仿宋_GB2312" w:eastAsia="方正仿宋_GB2312" w:cs="方正仿宋_GB2312"/>
          <w:color w:val="000000"/>
          <w:sz w:val="32"/>
          <w:szCs w:val="32"/>
          <w:lang w:val="zh-CN"/>
        </w:rPr>
        <w:t>的共同责任，推动党政主导、共建共享，构建党委统一领导、党政齐抓共管、民宗部门综合协调、其他部门各司其职、社会广泛参与的工作大格局。民宗部门要认真履行职责，充分发挥牵头抓总作用，协调有关部门按照职能分工做好相应工作，随时掌握动态，及时汇总有关情况，有效推进工作落实。宣传部门和新闻媒体要丰富宣传内容，创新宣传载体，加大宣传力度，强化舆论引导。县直各部门要认真履行工作责任和义务，各司其职、各尽其责，主动配合、发挥作用，切实把承担的工作任务落实到位。</w:t>
      </w:r>
    </w:p>
    <w:p w14:paraId="74C9D4F8">
      <w:pPr>
        <w:pStyle w:val="46"/>
        <w:adjustRightInd w:val="0"/>
        <w:snapToGrid w:val="0"/>
        <w:spacing w:line="560" w:lineRule="exact"/>
        <w:ind w:firstLine="640"/>
        <w:jc w:val="left"/>
        <w:outlineLvl w:val="1"/>
        <w:rPr>
          <w:rFonts w:ascii="黑体" w:hAnsi="黑体" w:eastAsia="黑体" w:cs="黑体"/>
          <w:color w:val="000000"/>
          <w:sz w:val="32"/>
          <w:szCs w:val="32"/>
        </w:rPr>
      </w:pPr>
      <w:bookmarkStart w:id="199" w:name="_Toc6489"/>
      <w:bookmarkStart w:id="200" w:name="_Toc6443"/>
      <w:bookmarkStart w:id="201" w:name="_Toc29936"/>
      <w:bookmarkStart w:id="202" w:name="_Toc1797"/>
      <w:bookmarkStart w:id="203" w:name="_Toc31356"/>
      <w:bookmarkStart w:id="204" w:name="_Toc5241"/>
      <w:bookmarkStart w:id="205" w:name="_Toc29811"/>
      <w:bookmarkStart w:id="206" w:name="_Toc2024"/>
      <w:bookmarkStart w:id="207" w:name="_Toc29514"/>
      <w:bookmarkStart w:id="208" w:name="_Toc30379"/>
      <w:bookmarkStart w:id="209" w:name="_Toc4721"/>
      <w:bookmarkStart w:id="210" w:name="_Toc22970"/>
      <w:bookmarkStart w:id="211" w:name="_Toc21272"/>
      <w:bookmarkStart w:id="212" w:name="_Toc21282"/>
      <w:bookmarkStart w:id="213" w:name="_Toc2309"/>
      <w:bookmarkStart w:id="214" w:name="_Toc5746"/>
      <w:bookmarkStart w:id="215" w:name="_Toc19802"/>
      <w:bookmarkStart w:id="216" w:name="_Toc4118"/>
      <w:bookmarkStart w:id="217" w:name="_Toc9086"/>
      <w:bookmarkStart w:id="218" w:name="_Toc3998"/>
      <w:bookmarkStart w:id="219" w:name="_Toc26803"/>
      <w:bookmarkStart w:id="220" w:name="_Toc12204"/>
      <w:bookmarkStart w:id="221" w:name="_Toc24749"/>
      <w:bookmarkStart w:id="222" w:name="_Toc15479"/>
      <w:bookmarkStart w:id="223" w:name="_Toc13622"/>
      <w:bookmarkStart w:id="224" w:name="_Toc18158"/>
      <w:bookmarkStart w:id="225" w:name="_Toc3708"/>
      <w:bookmarkStart w:id="226" w:name="_Toc575"/>
      <w:bookmarkStart w:id="227" w:name="_Toc25037"/>
      <w:bookmarkStart w:id="228" w:name="_Toc15760"/>
      <w:bookmarkStart w:id="229" w:name="_Toc10394"/>
      <w:bookmarkStart w:id="230" w:name="_Toc12548_WPSOffice_Level2"/>
      <w:bookmarkStart w:id="231" w:name="_Toc25640"/>
      <w:r>
        <w:rPr>
          <w:rFonts w:hint="eastAsia" w:ascii="黑体" w:hAnsi="黑体" w:eastAsia="黑体" w:cs="黑体"/>
          <w:color w:val="000000"/>
          <w:sz w:val="32"/>
          <w:szCs w:val="32"/>
        </w:rPr>
        <w:t>三、强化资金保障</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5BC7EECB">
      <w:pPr>
        <w:adjustRightInd w:val="0"/>
        <w:snapToGrid w:val="0"/>
        <w:spacing w:line="560" w:lineRule="exact"/>
        <w:ind w:firstLine="640"/>
        <w:jc w:val="left"/>
        <w:rPr>
          <w:rFonts w:ascii="方正仿宋_GB2312" w:hAnsi="方正仿宋_GB2312" w:eastAsia="方正仿宋_GB2312" w:cs="方正仿宋_GB2312"/>
          <w:color w:val="000000"/>
          <w:sz w:val="32"/>
          <w:szCs w:val="32"/>
          <w:lang w:val="zh-CN"/>
        </w:rPr>
      </w:pPr>
      <w:r>
        <w:rPr>
          <w:rFonts w:hint="eastAsia" w:ascii="方正仿宋_GB2312" w:hAnsi="方正仿宋_GB2312" w:eastAsia="方正仿宋_GB2312" w:cs="方正仿宋_GB2312"/>
          <w:color w:val="000000"/>
          <w:sz w:val="32"/>
          <w:szCs w:val="32"/>
          <w:lang w:val="zh-CN"/>
        </w:rPr>
        <w:t>按照整合资源、集中投入、分工合作、各尽其责的原则，以规划为平台，以改善提升民族地区基础设施、基本公共服务和增收产业为重点，</w:t>
      </w:r>
      <w:r>
        <w:rPr>
          <w:rFonts w:ascii="Times New Roman" w:hAnsi="Times New Roman" w:eastAsia="仿宋_GB2312"/>
          <w:color w:val="000000"/>
          <w:sz w:val="32"/>
          <w:szCs w:val="32"/>
        </w:rPr>
        <w:t>积极争取国家和省、市资金支持，</w:t>
      </w:r>
      <w:r>
        <w:rPr>
          <w:rFonts w:hint="eastAsia" w:ascii="Times New Roman" w:hAnsi="Times New Roman" w:eastAsia="仿宋_GB2312"/>
          <w:color w:val="000000"/>
          <w:sz w:val="32"/>
          <w:szCs w:val="32"/>
        </w:rPr>
        <w:t>用好用足县级民族机动金，</w:t>
      </w:r>
      <w:r>
        <w:rPr>
          <w:rFonts w:ascii="Times New Roman" w:hAnsi="Times New Roman" w:eastAsia="仿宋_GB2312"/>
          <w:color w:val="000000"/>
          <w:sz w:val="32"/>
          <w:szCs w:val="32"/>
        </w:rPr>
        <w:t>加大对民族团结进步工作的经费投</w:t>
      </w:r>
      <w:r>
        <w:rPr>
          <w:rFonts w:hint="eastAsia" w:ascii="Times New Roman" w:hAnsi="Times New Roman" w:eastAsia="仿宋_GB2312"/>
          <w:color w:val="000000"/>
          <w:sz w:val="32"/>
          <w:szCs w:val="32"/>
        </w:rPr>
        <w:t>入</w:t>
      </w:r>
      <w:r>
        <w:rPr>
          <w:rFonts w:hint="eastAsia" w:ascii="方正仿宋_GB2312" w:hAnsi="方正仿宋_GB2312" w:eastAsia="方正仿宋_GB2312" w:cs="方正仿宋_GB2312"/>
          <w:color w:val="000000"/>
          <w:sz w:val="32"/>
          <w:szCs w:val="32"/>
          <w:lang w:val="zh-CN"/>
        </w:rPr>
        <w:t>。</w:t>
      </w:r>
    </w:p>
    <w:p w14:paraId="1689F075">
      <w:pPr>
        <w:pStyle w:val="46"/>
        <w:adjustRightInd w:val="0"/>
        <w:snapToGrid w:val="0"/>
        <w:spacing w:line="560" w:lineRule="exact"/>
        <w:ind w:firstLine="640"/>
        <w:jc w:val="left"/>
        <w:outlineLvl w:val="1"/>
        <w:rPr>
          <w:rFonts w:ascii="黑体" w:hAnsi="黑体" w:eastAsia="黑体" w:cs="黑体"/>
          <w:color w:val="000000"/>
          <w:sz w:val="32"/>
          <w:szCs w:val="32"/>
        </w:rPr>
      </w:pPr>
      <w:bookmarkStart w:id="232" w:name="_Toc5780"/>
      <w:bookmarkStart w:id="233" w:name="_Toc14590"/>
      <w:bookmarkStart w:id="234" w:name="_Toc2659"/>
      <w:bookmarkStart w:id="235" w:name="_Toc3542"/>
      <w:bookmarkStart w:id="236" w:name="_Toc16509"/>
      <w:bookmarkStart w:id="237" w:name="_Toc11177"/>
      <w:bookmarkStart w:id="238" w:name="_Toc20406"/>
      <w:bookmarkStart w:id="239" w:name="_Toc63615487"/>
      <w:bookmarkStart w:id="240" w:name="_Toc30262"/>
      <w:bookmarkStart w:id="241" w:name="_Toc11446"/>
      <w:bookmarkStart w:id="242" w:name="_Toc13492"/>
      <w:bookmarkStart w:id="243" w:name="_Toc32320"/>
      <w:bookmarkStart w:id="244" w:name="_Toc31742"/>
      <w:bookmarkStart w:id="245" w:name="_Toc3653"/>
      <w:bookmarkStart w:id="246" w:name="_Toc31747"/>
      <w:bookmarkStart w:id="247" w:name="_Toc13223"/>
      <w:bookmarkStart w:id="248" w:name="_Toc3918"/>
      <w:bookmarkStart w:id="249" w:name="_Toc8039"/>
      <w:bookmarkStart w:id="250" w:name="_Toc28357"/>
      <w:bookmarkStart w:id="251" w:name="_Toc25285"/>
      <w:bookmarkStart w:id="252" w:name="_Toc16590"/>
      <w:bookmarkStart w:id="253" w:name="_Toc14792"/>
      <w:bookmarkStart w:id="254" w:name="_Toc30631"/>
      <w:bookmarkStart w:id="255" w:name="_Toc13269"/>
      <w:bookmarkStart w:id="256" w:name="_Toc28353"/>
      <w:bookmarkStart w:id="257" w:name="_Toc21139"/>
      <w:bookmarkStart w:id="258" w:name="_Toc23885"/>
      <w:bookmarkStart w:id="259" w:name="_Toc23843"/>
      <w:bookmarkStart w:id="260" w:name="_Toc14235"/>
      <w:bookmarkStart w:id="261" w:name="_Toc8525"/>
      <w:bookmarkStart w:id="262" w:name="_Toc7322"/>
      <w:bookmarkStart w:id="263" w:name="_Toc9814"/>
      <w:bookmarkStart w:id="264" w:name="_Toc14769_WPSOffice_Level2"/>
      <w:bookmarkStart w:id="265" w:name="_Toc4751"/>
      <w:r>
        <w:rPr>
          <w:rFonts w:hint="eastAsia" w:ascii="黑体" w:hAnsi="黑体" w:eastAsia="黑体" w:cs="黑体"/>
          <w:color w:val="000000"/>
          <w:sz w:val="32"/>
          <w:szCs w:val="32"/>
        </w:rPr>
        <w:t>四、强化督促落实</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23FCBDCA">
      <w:pPr>
        <w:adjustRightInd w:val="0"/>
        <w:snapToGrid w:val="0"/>
        <w:spacing w:line="560" w:lineRule="exact"/>
        <w:ind w:firstLine="640"/>
        <w:jc w:val="left"/>
        <w:rPr>
          <w:rFonts w:ascii="方正仿宋_GB2312" w:hAnsi="方正仿宋_GB2312" w:eastAsia="方正仿宋_GB2312" w:cs="方正仿宋_GB2312"/>
          <w:color w:val="000000"/>
          <w:sz w:val="32"/>
          <w:szCs w:val="32"/>
          <w:lang w:val="zh-CN"/>
        </w:rPr>
      </w:pPr>
      <w:r>
        <w:rPr>
          <w:rFonts w:hint="eastAsia" w:ascii="方正仿宋_GB2312" w:hAnsi="方正仿宋_GB2312" w:eastAsia="方正仿宋_GB2312" w:cs="方正仿宋_GB2312"/>
          <w:color w:val="000000"/>
          <w:sz w:val="32"/>
          <w:szCs w:val="32"/>
          <w:lang w:val="zh-CN"/>
        </w:rPr>
        <w:t>把规划任务实施完成情况纳入全县年度综合考核评价，以及领导干部年度综合考核内容。县委目督办、县政府目督办要把民族团结进步建设工作纳入各乡镇</w:t>
      </w:r>
      <w:r>
        <w:rPr>
          <w:rFonts w:hint="eastAsia" w:ascii="方正仿宋_GB2312" w:hAnsi="方正仿宋_GB2312" w:eastAsia="方正仿宋_GB2312" w:cs="方正仿宋_GB2312"/>
          <w:color w:val="000000"/>
          <w:sz w:val="32"/>
          <w:szCs w:val="32"/>
        </w:rPr>
        <w:t>(街道)、</w:t>
      </w:r>
      <w:r>
        <w:rPr>
          <w:rFonts w:hint="eastAsia" w:ascii="方正仿宋_GB2312" w:hAnsi="方正仿宋_GB2312" w:eastAsia="方正仿宋_GB2312" w:cs="方正仿宋_GB2312"/>
          <w:color w:val="000000"/>
          <w:sz w:val="32"/>
          <w:szCs w:val="32"/>
          <w:lang w:val="zh-CN"/>
        </w:rPr>
        <w:t>部门年度绩效考核范畴，作为评先选优的重要依据。强化对民族团结进步建设工作的日常考核监督，不断深化建设工作实效。领导小组办公室要会同县委、县政府督查部门，加强对各乡镇（街道）、各部门建设工作进展情况的监督检查，督促工作落实；年初分解下达任务，年中进行检查，年底严格考核。建立健全民族团结进步工作任务落实督查督办制度和责任追究制度，明确任务清单、责任单位和任务完成时限，实行挂牌督办。建立社会参与和监督机制，引导社会力量参与规划实施，形成规划实施合力。</w:t>
      </w:r>
    </w:p>
    <w:p w14:paraId="1A1E6D66">
      <w:pPr>
        <w:pStyle w:val="46"/>
        <w:adjustRightInd w:val="0"/>
        <w:snapToGrid w:val="0"/>
        <w:spacing w:line="560" w:lineRule="exact"/>
        <w:ind w:firstLine="640"/>
        <w:jc w:val="left"/>
        <w:outlineLvl w:val="1"/>
        <w:rPr>
          <w:rFonts w:ascii="黑体" w:hAnsi="黑体" w:eastAsia="黑体" w:cs="黑体"/>
          <w:color w:val="000000"/>
          <w:sz w:val="32"/>
          <w:szCs w:val="32"/>
        </w:rPr>
      </w:pPr>
      <w:bookmarkStart w:id="266" w:name="_Toc6398"/>
      <w:bookmarkStart w:id="267" w:name="_Toc24448"/>
      <w:bookmarkStart w:id="268" w:name="_Toc9220"/>
      <w:bookmarkStart w:id="269" w:name="_Toc28026"/>
      <w:bookmarkStart w:id="270" w:name="_Toc455"/>
      <w:bookmarkStart w:id="271" w:name="_Toc31115"/>
      <w:bookmarkStart w:id="272" w:name="_Toc25479"/>
      <w:bookmarkStart w:id="273" w:name="_Toc13885"/>
      <w:bookmarkStart w:id="274" w:name="_Toc22294"/>
      <w:bookmarkStart w:id="275" w:name="_Toc27679"/>
      <w:bookmarkStart w:id="276" w:name="_Toc22493"/>
      <w:bookmarkStart w:id="277" w:name="_Toc5553"/>
      <w:bookmarkStart w:id="278" w:name="_Toc1625"/>
      <w:bookmarkStart w:id="279" w:name="_Toc26777"/>
      <w:bookmarkStart w:id="280" w:name="_Toc16101"/>
      <w:bookmarkStart w:id="281" w:name="_Toc190"/>
      <w:bookmarkStart w:id="282" w:name="_Toc1364"/>
      <w:bookmarkStart w:id="283" w:name="_Toc19162"/>
      <w:bookmarkStart w:id="284" w:name="_Toc17394"/>
      <w:bookmarkStart w:id="285" w:name="_Toc30057"/>
      <w:bookmarkStart w:id="286" w:name="_Toc3934"/>
      <w:bookmarkStart w:id="287" w:name="_Toc25763"/>
      <w:bookmarkStart w:id="288" w:name="_Toc28405"/>
      <w:bookmarkStart w:id="289" w:name="_Toc18978"/>
      <w:bookmarkStart w:id="290" w:name="_Toc19853"/>
      <w:bookmarkStart w:id="291" w:name="_Toc12093"/>
      <w:bookmarkStart w:id="292" w:name="_Toc19832"/>
      <w:bookmarkStart w:id="293" w:name="_Toc15839"/>
      <w:bookmarkStart w:id="294" w:name="_Toc8203_WPSOffice_Level2"/>
      <w:bookmarkStart w:id="295" w:name="_Toc4643"/>
      <w:bookmarkStart w:id="296" w:name="_Toc26223"/>
      <w:bookmarkStart w:id="297" w:name="_Toc25308"/>
      <w:bookmarkStart w:id="298" w:name="_Toc9101"/>
      <w:bookmarkStart w:id="299" w:name="_Toc55768155"/>
      <w:bookmarkStart w:id="300" w:name="_Toc6341"/>
      <w:bookmarkStart w:id="301" w:name="_Toc32449"/>
      <w:r>
        <w:rPr>
          <w:rFonts w:hint="eastAsia" w:ascii="黑体" w:hAnsi="黑体" w:eastAsia="黑体" w:cs="黑体"/>
          <w:color w:val="000000"/>
          <w:sz w:val="32"/>
          <w:szCs w:val="32"/>
        </w:rPr>
        <w:t>五、加强宣传推广</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4E8EE987">
      <w:pPr>
        <w:adjustRightInd w:val="0"/>
        <w:snapToGrid w:val="0"/>
        <w:spacing w:line="560" w:lineRule="exact"/>
        <w:ind w:firstLine="640"/>
        <w:rPr>
          <w:rFonts w:ascii="方正仿宋_GB2312" w:hAnsi="方正仿宋_GB2312" w:eastAsia="方正仿宋_GB2312" w:cs="方正仿宋_GB2312"/>
          <w:color w:val="000000"/>
          <w:sz w:val="32"/>
          <w:szCs w:val="32"/>
          <w:lang w:val="zh-CN"/>
        </w:rPr>
      </w:pPr>
      <w:r>
        <w:rPr>
          <w:rFonts w:hint="eastAsia" w:ascii="方正仿宋_GB2312" w:hAnsi="方正仿宋_GB2312" w:eastAsia="方正仿宋_GB2312" w:cs="方正仿宋_GB2312"/>
          <w:color w:val="000000"/>
          <w:sz w:val="32"/>
          <w:szCs w:val="32"/>
          <w:lang w:val="zh-CN"/>
        </w:rPr>
        <w:t>引导和支持各类媒体多角度、多层次、多形式、多渠道广泛深入宣传民族团结进步工作，营造和培育全社会共同关心、支持和参与建设工作的良好氛围。开展民族团结进步宣传月宣传活动，为市民讲解宣传相关知识。采取以会代训的形式，对全县基层民族宗教干部进行</w:t>
      </w:r>
      <w:r>
        <w:rPr>
          <w:rFonts w:hint="eastAsia" w:ascii="方正仿宋_GB2312" w:hAnsi="方正仿宋_GB2312" w:eastAsia="方正仿宋_GB2312" w:cs="方正仿宋_GB2312"/>
          <w:color w:val="000000"/>
          <w:sz w:val="32"/>
          <w:szCs w:val="32"/>
        </w:rPr>
        <w:t>相关的</w:t>
      </w:r>
      <w:r>
        <w:rPr>
          <w:rFonts w:hint="eastAsia" w:ascii="方正仿宋_GB2312" w:hAnsi="方正仿宋_GB2312" w:eastAsia="方正仿宋_GB2312" w:cs="方正仿宋_GB2312"/>
          <w:color w:val="000000"/>
          <w:sz w:val="32"/>
          <w:szCs w:val="32"/>
          <w:lang w:val="zh-CN"/>
        </w:rPr>
        <w:t>政策理论培训，不断提升各级领导班子和干部队伍依法</w:t>
      </w:r>
      <w:r>
        <w:rPr>
          <w:rFonts w:hint="eastAsia" w:ascii="方正仿宋_GB2312" w:hAnsi="方正仿宋_GB2312" w:eastAsia="方正仿宋_GB2312" w:cs="方正仿宋_GB2312"/>
          <w:color w:val="000000"/>
          <w:sz w:val="32"/>
          <w:szCs w:val="32"/>
        </w:rPr>
        <w:t>开展民族团结进步建设</w:t>
      </w:r>
      <w:r>
        <w:rPr>
          <w:rFonts w:hint="eastAsia" w:ascii="方正仿宋_GB2312" w:hAnsi="方正仿宋_GB2312" w:eastAsia="方正仿宋_GB2312" w:cs="方正仿宋_GB2312"/>
          <w:color w:val="000000"/>
          <w:sz w:val="32"/>
          <w:szCs w:val="32"/>
          <w:lang w:val="zh-CN"/>
        </w:rPr>
        <w:t>的能力。各级各有关部门要充分利用报刊、广播、电视、网络、微博、微信、广告牌、LED屏和宣传栏等形式，大力宣传民族团结进步及铸牢中华民族共同体意识的重大意义、目标任务、工作成效和典型经验，宣传活动要做到形式多样、生动活泼，使民族团结进步和铸牢中华民族共同体意识建设工作做到家喻户晓、深入人心，形成全党动员、全民动手、人人参与的</w:t>
      </w:r>
      <w:r>
        <w:rPr>
          <w:rFonts w:hint="eastAsia" w:ascii="方正仿宋_GB2312" w:hAnsi="方正仿宋_GB2312" w:eastAsia="方正仿宋_GB2312" w:cs="方正仿宋_GB2312"/>
          <w:color w:val="000000"/>
          <w:sz w:val="32"/>
          <w:szCs w:val="32"/>
        </w:rPr>
        <w:t>浓</w:t>
      </w:r>
      <w:r>
        <w:rPr>
          <w:rFonts w:hint="eastAsia" w:ascii="方正仿宋_GB2312" w:hAnsi="方正仿宋_GB2312" w:eastAsia="方正仿宋_GB2312" w:cs="方正仿宋_GB2312"/>
          <w:color w:val="000000"/>
          <w:sz w:val="32"/>
          <w:szCs w:val="32"/>
          <w:lang w:val="zh-CN"/>
        </w:rPr>
        <w:t>厚氛围。</w:t>
      </w:r>
    </w:p>
    <w:p w14:paraId="6ACCA97B">
      <w:pPr>
        <w:pStyle w:val="2"/>
        <w:ind w:firstLine="640"/>
        <w:rPr>
          <w:rFonts w:ascii="方正仿宋_GB2312" w:hAnsi="方正仿宋_GB2312" w:eastAsia="方正仿宋_GB2312" w:cs="方正仿宋_GB2312"/>
          <w:color w:val="000000"/>
          <w:sz w:val="32"/>
          <w:szCs w:val="32"/>
          <w:lang w:val="zh-CN"/>
        </w:rPr>
      </w:pPr>
    </w:p>
    <w:p w14:paraId="238F3AF1">
      <w:pPr>
        <w:pStyle w:val="2"/>
        <w:ind w:firstLine="640"/>
        <w:rPr>
          <w:rFonts w:ascii="方正仿宋_GB2312" w:hAnsi="方正仿宋_GB2312" w:eastAsia="方正仿宋_GB2312" w:cs="方正仿宋_GB2312"/>
          <w:color w:val="000000"/>
          <w:sz w:val="32"/>
          <w:szCs w:val="32"/>
          <w:lang w:val="zh-CN"/>
        </w:rPr>
      </w:pPr>
    </w:p>
    <w:p w14:paraId="7752C8F8">
      <w:pPr>
        <w:pStyle w:val="2"/>
        <w:ind w:firstLine="0"/>
        <w:rPr>
          <w:rFonts w:ascii="方正仿宋_GB2312" w:hAnsi="方正仿宋_GB2312" w:eastAsia="方正仿宋_GB2312" w:cs="方正仿宋_GB2312"/>
          <w:color w:val="000000"/>
          <w:sz w:val="32"/>
          <w:szCs w:val="32"/>
          <w:lang w:val="zh-CN"/>
        </w:rPr>
      </w:pPr>
    </w:p>
    <w:p w14:paraId="4335FA83">
      <w:pPr>
        <w:pStyle w:val="3"/>
        <w:spacing w:before="0" w:after="0" w:line="600" w:lineRule="exact"/>
        <w:jc w:val="center"/>
        <w:rPr>
          <w:rFonts w:ascii="方正小标宋简体" w:hAnsi="方正小标宋简体" w:eastAsia="方正小标宋简体" w:cs="方正小标宋简体"/>
          <w:color w:val="000000"/>
          <w:sz w:val="28"/>
          <w:szCs w:val="28"/>
        </w:rPr>
      </w:pPr>
      <w:bookmarkStart w:id="302" w:name="_Toc22467"/>
      <w:bookmarkStart w:id="303" w:name="_Toc20159"/>
      <w:bookmarkStart w:id="304" w:name="_Toc31921"/>
    </w:p>
    <w:p w14:paraId="3AEFF500">
      <w:pPr>
        <w:pStyle w:val="3"/>
        <w:spacing w:before="0" w:after="0" w:line="600" w:lineRule="exact"/>
        <w:jc w:val="center"/>
        <w:rPr>
          <w:rFonts w:ascii="方正小标宋简体" w:hAnsi="方正小标宋简体" w:eastAsia="方正小标宋简体" w:cs="方正小标宋简体"/>
          <w:color w:val="000000"/>
          <w:sz w:val="28"/>
          <w:szCs w:val="28"/>
        </w:rPr>
      </w:pPr>
    </w:p>
    <w:p w14:paraId="0C2335FC">
      <w:pPr>
        <w:pStyle w:val="3"/>
        <w:spacing w:before="0" w:after="0" w:line="600" w:lineRule="exact"/>
        <w:jc w:val="center"/>
        <w:rPr>
          <w:rFonts w:hint="eastAsia" w:ascii="方正小标宋简体" w:hAnsi="方正小标宋简体" w:eastAsia="方正小标宋简体" w:cs="方正小标宋简体"/>
          <w:color w:val="000000"/>
          <w:sz w:val="28"/>
          <w:szCs w:val="28"/>
        </w:rPr>
      </w:pPr>
    </w:p>
    <w:p w14:paraId="6857669C"/>
    <w:p w14:paraId="12DFA1FA">
      <w:pPr>
        <w:pStyle w:val="3"/>
        <w:spacing w:before="0" w:after="0" w:line="600" w:lineRule="exact"/>
        <w:jc w:val="center"/>
        <w:rPr>
          <w:rFonts w:ascii="方正小标宋简体" w:hAnsi="方正小标宋简体" w:eastAsia="方正小标宋简体" w:cs="方正小标宋简体"/>
          <w:color w:val="000000"/>
          <w:sz w:val="28"/>
          <w:szCs w:val="28"/>
        </w:rPr>
      </w:pPr>
      <w:r>
        <w:rPr>
          <w:rFonts w:hint="eastAsia" w:ascii="方正小标宋简体" w:hAnsi="方正小标宋简体" w:eastAsia="方正小标宋简体" w:cs="方正小标宋简体"/>
          <w:color w:val="000000"/>
          <w:sz w:val="28"/>
          <w:szCs w:val="28"/>
        </w:rPr>
        <w:t>附件：《石林彝族自治县“十四五”民族团结进步发展规划》指标、</w:t>
      </w:r>
    </w:p>
    <w:p w14:paraId="1FDDD592">
      <w:pPr>
        <w:pStyle w:val="3"/>
        <w:spacing w:before="0" w:after="0" w:line="600" w:lineRule="exact"/>
        <w:jc w:val="center"/>
        <w:rPr>
          <w:rFonts w:ascii="黑体" w:hAnsi="黑体" w:eastAsia="黑体" w:cs="黑体"/>
          <w:color w:val="000000"/>
          <w:sz w:val="28"/>
          <w:szCs w:val="28"/>
        </w:rPr>
      </w:pPr>
      <w:r>
        <w:rPr>
          <w:rFonts w:hint="eastAsia" w:ascii="方正小标宋简体" w:hAnsi="方正小标宋简体" w:eastAsia="方正小标宋简体" w:cs="方正小标宋简体"/>
          <w:color w:val="000000"/>
          <w:sz w:val="28"/>
          <w:szCs w:val="28"/>
        </w:rPr>
        <w:t>主要任务和专栏责任分工</w:t>
      </w:r>
      <w:bookmarkEnd w:id="302"/>
      <w:bookmarkEnd w:id="303"/>
      <w:bookmarkEnd w:id="304"/>
    </w:p>
    <w:tbl>
      <w:tblPr>
        <w:tblStyle w:val="16"/>
        <w:tblW w:w="9147" w:type="dxa"/>
        <w:tblInd w:w="-2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4800"/>
        <w:gridCol w:w="3593"/>
      </w:tblGrid>
      <w:tr w14:paraId="2692B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7" w:type="dxa"/>
            <w:gridSpan w:val="3"/>
          </w:tcPr>
          <w:p w14:paraId="372DEA87">
            <w:pPr>
              <w:widowControl w:val="0"/>
              <w:spacing w:line="300" w:lineRule="exact"/>
              <w:jc w:val="left"/>
              <w:rPr>
                <w:rFonts w:ascii="宋体" w:hAnsi="宋体" w:cs="宋体"/>
                <w:color w:val="000000"/>
                <w:sz w:val="24"/>
              </w:rPr>
            </w:pPr>
            <w:r>
              <w:rPr>
                <w:rFonts w:hint="eastAsia" w:ascii="黑体" w:hAnsi="黑体" w:eastAsia="黑体" w:cs="黑体"/>
                <w:color w:val="000000"/>
                <w:sz w:val="24"/>
              </w:rPr>
              <w:t>一、指标</w:t>
            </w:r>
          </w:p>
        </w:tc>
      </w:tr>
      <w:tr w14:paraId="61A1EF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14:paraId="73D52F2F">
            <w:pPr>
              <w:widowControl w:val="0"/>
              <w:spacing w:line="300" w:lineRule="exact"/>
              <w:jc w:val="center"/>
              <w:rPr>
                <w:rFonts w:ascii="黑体" w:hAnsi="黑体" w:eastAsia="黑体" w:cs="黑体"/>
                <w:color w:val="000000"/>
                <w:sz w:val="24"/>
              </w:rPr>
            </w:pPr>
            <w:r>
              <w:rPr>
                <w:rFonts w:hint="eastAsia" w:ascii="黑体" w:hAnsi="黑体" w:eastAsia="黑体" w:cs="黑体"/>
                <w:color w:val="000000"/>
                <w:sz w:val="24"/>
              </w:rPr>
              <w:t>序号</w:t>
            </w:r>
          </w:p>
        </w:tc>
        <w:tc>
          <w:tcPr>
            <w:tcW w:w="4800" w:type="dxa"/>
          </w:tcPr>
          <w:p w14:paraId="40BAAC15">
            <w:pPr>
              <w:widowControl w:val="0"/>
              <w:spacing w:line="300" w:lineRule="exact"/>
              <w:jc w:val="center"/>
              <w:rPr>
                <w:rFonts w:ascii="黑体" w:hAnsi="黑体" w:eastAsia="黑体" w:cs="黑体"/>
                <w:color w:val="000000"/>
                <w:sz w:val="24"/>
              </w:rPr>
            </w:pPr>
            <w:r>
              <w:rPr>
                <w:rFonts w:hint="eastAsia" w:ascii="黑体" w:hAnsi="黑体" w:eastAsia="黑体" w:cs="黑体"/>
                <w:color w:val="000000"/>
                <w:sz w:val="24"/>
              </w:rPr>
              <w:t>指标名称</w:t>
            </w:r>
          </w:p>
        </w:tc>
        <w:tc>
          <w:tcPr>
            <w:tcW w:w="3593" w:type="dxa"/>
          </w:tcPr>
          <w:p w14:paraId="6956DF03">
            <w:pPr>
              <w:widowControl w:val="0"/>
              <w:spacing w:line="300" w:lineRule="exact"/>
              <w:jc w:val="center"/>
              <w:rPr>
                <w:rFonts w:ascii="黑体" w:hAnsi="黑体" w:eastAsia="黑体" w:cs="黑体"/>
                <w:color w:val="000000"/>
                <w:sz w:val="24"/>
              </w:rPr>
            </w:pPr>
            <w:r>
              <w:rPr>
                <w:rFonts w:hint="eastAsia" w:ascii="黑体" w:hAnsi="黑体" w:eastAsia="黑体" w:cs="黑体"/>
                <w:color w:val="000000"/>
                <w:sz w:val="24"/>
              </w:rPr>
              <w:t>责任部门</w:t>
            </w:r>
          </w:p>
        </w:tc>
      </w:tr>
      <w:tr w14:paraId="0D693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3AD75FBB">
            <w:pPr>
              <w:widowControl w:val="0"/>
              <w:spacing w:line="300" w:lineRule="exact"/>
              <w:jc w:val="center"/>
              <w:rPr>
                <w:rFonts w:ascii="宋体" w:hAnsi="宋体" w:cs="宋体"/>
                <w:color w:val="000000"/>
                <w:sz w:val="24"/>
              </w:rPr>
            </w:pPr>
            <w:r>
              <w:rPr>
                <w:rFonts w:hint="eastAsia" w:ascii="宋体" w:hAnsi="宋体" w:cs="宋体"/>
                <w:color w:val="000000"/>
                <w:sz w:val="24"/>
              </w:rPr>
              <w:t>1</w:t>
            </w:r>
          </w:p>
        </w:tc>
        <w:tc>
          <w:tcPr>
            <w:tcW w:w="4800" w:type="dxa"/>
            <w:vAlign w:val="center"/>
          </w:tcPr>
          <w:p w14:paraId="64794FA2">
            <w:pPr>
              <w:widowControl w:val="0"/>
              <w:spacing w:line="300" w:lineRule="exact"/>
              <w:jc w:val="both"/>
              <w:rPr>
                <w:rFonts w:ascii="宋体" w:hAnsi="宋体" w:cs="宋体"/>
                <w:color w:val="000000"/>
                <w:sz w:val="24"/>
              </w:rPr>
            </w:pPr>
            <w:r>
              <w:rPr>
                <w:rFonts w:hint="eastAsia" w:ascii="宋体" w:hAnsi="宋体" w:cs="宋体"/>
                <w:color w:val="000000"/>
                <w:sz w:val="24"/>
              </w:rPr>
              <w:t>各级各部门专题研究铸牢中华民族共同体意识工作次数（次）</w:t>
            </w:r>
          </w:p>
        </w:tc>
        <w:tc>
          <w:tcPr>
            <w:tcW w:w="3593" w:type="dxa"/>
            <w:vAlign w:val="center"/>
          </w:tcPr>
          <w:p w14:paraId="658E65D2">
            <w:pPr>
              <w:widowControl w:val="0"/>
              <w:spacing w:line="300" w:lineRule="exact"/>
              <w:jc w:val="both"/>
              <w:rPr>
                <w:rFonts w:ascii="宋体" w:hAnsi="宋体" w:cs="宋体"/>
                <w:color w:val="000000"/>
                <w:sz w:val="24"/>
              </w:rPr>
            </w:pPr>
            <w:r>
              <w:rPr>
                <w:rFonts w:hint="eastAsia" w:ascii="宋体" w:hAnsi="宋体" w:cs="宋体"/>
                <w:color w:val="000000"/>
                <w:sz w:val="24"/>
              </w:rPr>
              <w:t>各级各部门</w:t>
            </w:r>
          </w:p>
        </w:tc>
      </w:tr>
      <w:tr w14:paraId="3D2B4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54" w:type="dxa"/>
            <w:vAlign w:val="center"/>
          </w:tcPr>
          <w:p w14:paraId="10B48C4D">
            <w:pPr>
              <w:widowControl w:val="0"/>
              <w:spacing w:line="300" w:lineRule="exact"/>
              <w:jc w:val="center"/>
              <w:rPr>
                <w:rFonts w:ascii="宋体" w:hAnsi="宋体" w:cs="宋体"/>
                <w:color w:val="000000"/>
                <w:sz w:val="24"/>
              </w:rPr>
            </w:pPr>
            <w:r>
              <w:rPr>
                <w:rFonts w:hint="eastAsia" w:ascii="宋体" w:hAnsi="宋体" w:cs="宋体"/>
                <w:color w:val="000000"/>
                <w:sz w:val="24"/>
              </w:rPr>
              <w:t>2</w:t>
            </w:r>
          </w:p>
        </w:tc>
        <w:tc>
          <w:tcPr>
            <w:tcW w:w="4800" w:type="dxa"/>
            <w:vAlign w:val="center"/>
          </w:tcPr>
          <w:p w14:paraId="447E2089">
            <w:pPr>
              <w:widowControl w:val="0"/>
              <w:spacing w:line="300" w:lineRule="exact"/>
              <w:jc w:val="both"/>
              <w:rPr>
                <w:rFonts w:ascii="宋体" w:hAnsi="宋体" w:cs="宋体"/>
                <w:color w:val="000000"/>
                <w:sz w:val="24"/>
              </w:rPr>
            </w:pPr>
            <w:r>
              <w:rPr>
                <w:rFonts w:hint="eastAsia" w:ascii="宋体" w:hAnsi="宋体" w:cs="宋体"/>
                <w:color w:val="000000"/>
                <w:sz w:val="24"/>
              </w:rPr>
              <w:t>基层党组织标准化规范化率（%）</w:t>
            </w:r>
          </w:p>
        </w:tc>
        <w:tc>
          <w:tcPr>
            <w:tcW w:w="3593" w:type="dxa"/>
            <w:vAlign w:val="center"/>
          </w:tcPr>
          <w:p w14:paraId="002A91E6">
            <w:pPr>
              <w:widowControl w:val="0"/>
              <w:spacing w:line="300" w:lineRule="exact"/>
              <w:jc w:val="both"/>
              <w:rPr>
                <w:rFonts w:ascii="宋体" w:hAnsi="宋体" w:cs="宋体"/>
                <w:color w:val="000000"/>
                <w:sz w:val="24"/>
              </w:rPr>
            </w:pPr>
            <w:r>
              <w:rPr>
                <w:rFonts w:hint="eastAsia" w:ascii="宋体" w:hAnsi="宋体" w:cs="宋体"/>
                <w:color w:val="000000"/>
                <w:sz w:val="24"/>
              </w:rPr>
              <w:t>县委组织部</w:t>
            </w:r>
          </w:p>
        </w:tc>
      </w:tr>
      <w:tr w14:paraId="53A6A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33F2C649">
            <w:pPr>
              <w:widowControl w:val="0"/>
              <w:spacing w:line="300" w:lineRule="exact"/>
              <w:jc w:val="center"/>
              <w:rPr>
                <w:rFonts w:ascii="宋体" w:hAnsi="宋体" w:cs="宋体"/>
                <w:color w:val="000000"/>
                <w:sz w:val="24"/>
              </w:rPr>
            </w:pPr>
            <w:r>
              <w:rPr>
                <w:rFonts w:hint="eastAsia" w:ascii="宋体" w:hAnsi="宋体" w:cs="宋体"/>
                <w:color w:val="000000"/>
                <w:sz w:val="24"/>
              </w:rPr>
              <w:t>3</w:t>
            </w:r>
          </w:p>
        </w:tc>
        <w:tc>
          <w:tcPr>
            <w:tcW w:w="4800" w:type="dxa"/>
            <w:vAlign w:val="center"/>
          </w:tcPr>
          <w:p w14:paraId="365C533A">
            <w:pPr>
              <w:widowControl w:val="0"/>
              <w:spacing w:line="300" w:lineRule="exact"/>
              <w:jc w:val="both"/>
              <w:rPr>
                <w:rFonts w:ascii="宋体" w:hAnsi="宋体" w:cs="宋体"/>
                <w:color w:val="000000"/>
                <w:sz w:val="24"/>
              </w:rPr>
            </w:pPr>
            <w:r>
              <w:rPr>
                <w:rFonts w:hint="eastAsia" w:ascii="宋体" w:hAnsi="宋体" w:cs="宋体"/>
                <w:color w:val="000000"/>
                <w:sz w:val="24"/>
              </w:rPr>
              <w:t>中华民族视觉形象工程（项）</w:t>
            </w:r>
          </w:p>
        </w:tc>
        <w:tc>
          <w:tcPr>
            <w:tcW w:w="3593" w:type="dxa"/>
            <w:vAlign w:val="center"/>
          </w:tcPr>
          <w:p w14:paraId="630AEC7A">
            <w:pPr>
              <w:widowControl w:val="0"/>
              <w:spacing w:line="300" w:lineRule="exact"/>
              <w:jc w:val="both"/>
              <w:rPr>
                <w:rFonts w:ascii="宋体" w:hAnsi="宋体" w:cs="宋体"/>
                <w:color w:val="000000"/>
                <w:sz w:val="24"/>
              </w:rPr>
            </w:pPr>
            <w:r>
              <w:rPr>
                <w:rFonts w:hint="eastAsia" w:ascii="宋体" w:hAnsi="宋体" w:cs="宋体"/>
                <w:color w:val="000000"/>
                <w:spacing w:val="-17"/>
                <w:sz w:val="24"/>
              </w:rPr>
              <w:t>县委宣传部，县民族宗教局、县文化和旅游局、县融媒体中心</w:t>
            </w:r>
          </w:p>
        </w:tc>
      </w:tr>
      <w:tr w14:paraId="61BF5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00E1D2DC">
            <w:pPr>
              <w:widowControl w:val="0"/>
              <w:spacing w:line="300" w:lineRule="exact"/>
              <w:jc w:val="center"/>
              <w:rPr>
                <w:rFonts w:ascii="宋体" w:hAnsi="宋体" w:cs="宋体"/>
                <w:color w:val="000000"/>
                <w:sz w:val="24"/>
              </w:rPr>
            </w:pPr>
            <w:r>
              <w:rPr>
                <w:rFonts w:hint="eastAsia" w:ascii="宋体" w:hAnsi="宋体" w:cs="宋体"/>
                <w:color w:val="000000"/>
                <w:sz w:val="24"/>
              </w:rPr>
              <w:t>4</w:t>
            </w:r>
          </w:p>
        </w:tc>
        <w:tc>
          <w:tcPr>
            <w:tcW w:w="4800" w:type="dxa"/>
            <w:vAlign w:val="center"/>
          </w:tcPr>
          <w:p w14:paraId="399A99EA">
            <w:pPr>
              <w:widowControl w:val="0"/>
              <w:spacing w:line="300" w:lineRule="exact"/>
              <w:jc w:val="both"/>
              <w:rPr>
                <w:rFonts w:ascii="宋体" w:hAnsi="宋体" w:cs="宋体"/>
                <w:color w:val="000000"/>
                <w:sz w:val="24"/>
              </w:rPr>
            </w:pPr>
            <w:r>
              <w:rPr>
                <w:rFonts w:hint="eastAsia" w:ascii="宋体" w:hAnsi="宋体" w:cs="宋体"/>
                <w:color w:val="000000"/>
                <w:sz w:val="24"/>
              </w:rPr>
              <w:t>少数民族优秀文化保护传承工程（项）</w:t>
            </w:r>
          </w:p>
        </w:tc>
        <w:tc>
          <w:tcPr>
            <w:tcW w:w="3593" w:type="dxa"/>
            <w:vAlign w:val="center"/>
          </w:tcPr>
          <w:p w14:paraId="674227B9">
            <w:pPr>
              <w:widowControl w:val="0"/>
              <w:spacing w:line="300" w:lineRule="exact"/>
              <w:jc w:val="both"/>
              <w:rPr>
                <w:rFonts w:ascii="宋体" w:hAnsi="宋体" w:cs="宋体"/>
                <w:color w:val="000000"/>
                <w:sz w:val="24"/>
              </w:rPr>
            </w:pPr>
            <w:r>
              <w:rPr>
                <w:rFonts w:hint="eastAsia" w:ascii="宋体" w:hAnsi="宋体" w:cs="宋体"/>
                <w:color w:val="000000"/>
                <w:spacing w:val="-17"/>
                <w:sz w:val="24"/>
              </w:rPr>
              <w:t>县文化和旅游局、</w:t>
            </w:r>
            <w:r>
              <w:rPr>
                <w:rFonts w:hint="eastAsia" w:ascii="宋体" w:hAnsi="宋体" w:cs="宋体"/>
                <w:color w:val="000000"/>
                <w:sz w:val="24"/>
              </w:rPr>
              <w:t>县民族宗教局</w:t>
            </w:r>
          </w:p>
        </w:tc>
      </w:tr>
      <w:tr w14:paraId="695D7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6E7ED0E3">
            <w:pPr>
              <w:widowControl w:val="0"/>
              <w:spacing w:line="300" w:lineRule="exact"/>
              <w:jc w:val="center"/>
              <w:rPr>
                <w:rFonts w:ascii="宋体" w:hAnsi="宋体" w:cs="宋体"/>
                <w:color w:val="000000"/>
                <w:sz w:val="24"/>
              </w:rPr>
            </w:pPr>
            <w:r>
              <w:rPr>
                <w:rFonts w:hint="eastAsia" w:ascii="宋体" w:hAnsi="宋体" w:cs="宋体"/>
                <w:color w:val="000000"/>
                <w:sz w:val="24"/>
              </w:rPr>
              <w:t>5</w:t>
            </w:r>
          </w:p>
        </w:tc>
        <w:tc>
          <w:tcPr>
            <w:tcW w:w="4800" w:type="dxa"/>
            <w:vAlign w:val="center"/>
          </w:tcPr>
          <w:p w14:paraId="38CEF3BD">
            <w:pPr>
              <w:widowControl w:val="0"/>
              <w:spacing w:line="300" w:lineRule="exact"/>
              <w:jc w:val="both"/>
              <w:rPr>
                <w:rFonts w:ascii="宋体" w:hAnsi="宋体" w:cs="宋体"/>
                <w:color w:val="000000"/>
                <w:sz w:val="24"/>
              </w:rPr>
            </w:pPr>
            <w:r>
              <w:rPr>
                <w:rFonts w:hint="eastAsia" w:ascii="宋体" w:hAnsi="宋体" w:cs="宋体"/>
                <w:color w:val="000000"/>
                <w:sz w:val="24"/>
              </w:rPr>
              <w:t>少数民族文化精品工程（项）</w:t>
            </w:r>
          </w:p>
        </w:tc>
        <w:tc>
          <w:tcPr>
            <w:tcW w:w="3593" w:type="dxa"/>
            <w:vAlign w:val="center"/>
          </w:tcPr>
          <w:p w14:paraId="1A5227C8">
            <w:pPr>
              <w:widowControl w:val="0"/>
              <w:spacing w:line="300" w:lineRule="exact"/>
              <w:jc w:val="both"/>
              <w:rPr>
                <w:rFonts w:ascii="宋体" w:hAnsi="宋体" w:cs="宋体"/>
                <w:color w:val="000000"/>
                <w:sz w:val="24"/>
              </w:rPr>
            </w:pPr>
            <w:r>
              <w:rPr>
                <w:rFonts w:hint="eastAsia" w:ascii="宋体" w:hAnsi="宋体" w:cs="宋体"/>
                <w:color w:val="000000"/>
                <w:spacing w:val="-17"/>
                <w:sz w:val="24"/>
              </w:rPr>
              <w:t>县文化和旅游局、</w:t>
            </w:r>
            <w:r>
              <w:rPr>
                <w:rFonts w:hint="eastAsia" w:ascii="宋体" w:hAnsi="宋体" w:cs="宋体"/>
                <w:color w:val="000000"/>
                <w:sz w:val="24"/>
              </w:rPr>
              <w:t>县民族宗教局</w:t>
            </w:r>
          </w:p>
        </w:tc>
      </w:tr>
      <w:tr w14:paraId="03206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7447AE39">
            <w:pPr>
              <w:widowControl w:val="0"/>
              <w:spacing w:line="300" w:lineRule="exact"/>
              <w:jc w:val="center"/>
              <w:rPr>
                <w:rFonts w:ascii="宋体" w:hAnsi="宋体" w:cs="宋体"/>
                <w:color w:val="000000"/>
                <w:sz w:val="24"/>
              </w:rPr>
            </w:pPr>
            <w:r>
              <w:rPr>
                <w:rFonts w:hint="eastAsia" w:ascii="宋体" w:hAnsi="宋体" w:cs="宋体"/>
                <w:color w:val="000000"/>
                <w:sz w:val="24"/>
              </w:rPr>
              <w:t>6</w:t>
            </w:r>
          </w:p>
        </w:tc>
        <w:tc>
          <w:tcPr>
            <w:tcW w:w="4800" w:type="dxa"/>
            <w:vAlign w:val="center"/>
          </w:tcPr>
          <w:p w14:paraId="1AB8D301">
            <w:pPr>
              <w:widowControl w:val="0"/>
              <w:spacing w:line="300" w:lineRule="exact"/>
              <w:jc w:val="both"/>
              <w:rPr>
                <w:rFonts w:ascii="宋体" w:hAnsi="宋体" w:cs="宋体"/>
                <w:color w:val="000000"/>
                <w:sz w:val="24"/>
              </w:rPr>
            </w:pPr>
            <w:r>
              <w:rPr>
                <w:rFonts w:hint="eastAsia" w:ascii="宋体" w:hAnsi="宋体" w:cs="宋体"/>
                <w:color w:val="000000"/>
                <w:sz w:val="24"/>
              </w:rPr>
              <w:t>国家通用语言文字普及率（%）</w:t>
            </w:r>
          </w:p>
        </w:tc>
        <w:tc>
          <w:tcPr>
            <w:tcW w:w="3593" w:type="dxa"/>
            <w:vAlign w:val="center"/>
          </w:tcPr>
          <w:p w14:paraId="48697B68">
            <w:pPr>
              <w:widowControl w:val="0"/>
              <w:spacing w:line="300" w:lineRule="exact"/>
              <w:jc w:val="both"/>
              <w:rPr>
                <w:rFonts w:ascii="宋体" w:hAnsi="宋体" w:cs="宋体"/>
                <w:color w:val="000000"/>
                <w:sz w:val="24"/>
              </w:rPr>
            </w:pPr>
            <w:r>
              <w:rPr>
                <w:rFonts w:hint="eastAsia" w:ascii="宋体" w:hAnsi="宋体" w:cs="宋体"/>
                <w:color w:val="000000"/>
                <w:sz w:val="24"/>
              </w:rPr>
              <w:t>县教育体育局</w:t>
            </w:r>
          </w:p>
        </w:tc>
      </w:tr>
      <w:tr w14:paraId="49780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20DA68D0">
            <w:pPr>
              <w:widowControl w:val="0"/>
              <w:spacing w:line="300" w:lineRule="exact"/>
              <w:jc w:val="center"/>
              <w:rPr>
                <w:rFonts w:ascii="宋体" w:hAnsi="宋体" w:cs="宋体"/>
                <w:color w:val="000000"/>
                <w:sz w:val="24"/>
              </w:rPr>
            </w:pPr>
            <w:r>
              <w:rPr>
                <w:rFonts w:hint="eastAsia" w:ascii="宋体" w:hAnsi="宋体" w:cs="宋体"/>
                <w:color w:val="000000"/>
                <w:sz w:val="24"/>
              </w:rPr>
              <w:t>7</w:t>
            </w:r>
          </w:p>
        </w:tc>
        <w:tc>
          <w:tcPr>
            <w:tcW w:w="4800" w:type="dxa"/>
            <w:vAlign w:val="center"/>
          </w:tcPr>
          <w:p w14:paraId="4262B7D3">
            <w:pPr>
              <w:widowControl w:val="0"/>
              <w:spacing w:line="300" w:lineRule="exact"/>
              <w:jc w:val="both"/>
              <w:rPr>
                <w:rFonts w:ascii="宋体" w:hAnsi="宋体" w:cs="宋体"/>
                <w:color w:val="000000"/>
                <w:sz w:val="24"/>
              </w:rPr>
            </w:pPr>
            <w:r>
              <w:rPr>
                <w:rFonts w:hint="eastAsia" w:ascii="宋体" w:hAnsi="宋体" w:cs="宋体"/>
                <w:color w:val="000000"/>
                <w:sz w:val="24"/>
              </w:rPr>
              <w:t>地区生产总值（亿元）</w:t>
            </w:r>
          </w:p>
        </w:tc>
        <w:tc>
          <w:tcPr>
            <w:tcW w:w="3593" w:type="dxa"/>
            <w:vAlign w:val="center"/>
          </w:tcPr>
          <w:p w14:paraId="4C94E4B7">
            <w:pPr>
              <w:widowControl w:val="0"/>
              <w:spacing w:line="300" w:lineRule="exact"/>
              <w:jc w:val="both"/>
              <w:rPr>
                <w:rFonts w:ascii="宋体" w:hAnsi="宋体" w:cs="宋体"/>
                <w:color w:val="000000"/>
                <w:sz w:val="24"/>
              </w:rPr>
            </w:pPr>
            <w:r>
              <w:rPr>
                <w:rFonts w:hint="eastAsia" w:ascii="宋体" w:hAnsi="宋体" w:cs="宋体"/>
                <w:color w:val="000000"/>
                <w:sz w:val="24"/>
              </w:rPr>
              <w:t>县发展和改革局</w:t>
            </w:r>
          </w:p>
        </w:tc>
      </w:tr>
      <w:tr w14:paraId="1FC59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0A403906">
            <w:pPr>
              <w:widowControl w:val="0"/>
              <w:spacing w:line="300" w:lineRule="exact"/>
              <w:jc w:val="center"/>
              <w:rPr>
                <w:rFonts w:ascii="宋体" w:hAnsi="宋体" w:cs="宋体"/>
                <w:color w:val="000000"/>
                <w:sz w:val="24"/>
              </w:rPr>
            </w:pPr>
            <w:r>
              <w:rPr>
                <w:rFonts w:hint="eastAsia" w:ascii="宋体" w:hAnsi="宋体" w:cs="宋体"/>
                <w:color w:val="000000"/>
                <w:sz w:val="24"/>
              </w:rPr>
              <w:t>8</w:t>
            </w:r>
          </w:p>
        </w:tc>
        <w:tc>
          <w:tcPr>
            <w:tcW w:w="4800" w:type="dxa"/>
            <w:vAlign w:val="center"/>
          </w:tcPr>
          <w:p w14:paraId="2483E988">
            <w:pPr>
              <w:widowControl w:val="0"/>
              <w:spacing w:line="300" w:lineRule="exact"/>
              <w:jc w:val="both"/>
              <w:rPr>
                <w:rFonts w:ascii="宋体" w:hAnsi="宋体" w:cs="宋体"/>
                <w:color w:val="000000"/>
                <w:sz w:val="24"/>
              </w:rPr>
            </w:pPr>
            <w:r>
              <w:rPr>
                <w:rFonts w:hint="eastAsia" w:ascii="宋体" w:hAnsi="宋体" w:cs="宋体"/>
                <w:color w:val="000000"/>
                <w:sz w:val="24"/>
              </w:rPr>
              <w:t>人均地区生产总值（元）</w:t>
            </w:r>
          </w:p>
        </w:tc>
        <w:tc>
          <w:tcPr>
            <w:tcW w:w="3593" w:type="dxa"/>
            <w:vAlign w:val="center"/>
          </w:tcPr>
          <w:p w14:paraId="349CEC9C">
            <w:pPr>
              <w:widowControl w:val="0"/>
              <w:spacing w:line="300" w:lineRule="exact"/>
              <w:jc w:val="both"/>
              <w:rPr>
                <w:rFonts w:ascii="宋体" w:hAnsi="宋体" w:cs="宋体"/>
                <w:color w:val="000000"/>
                <w:sz w:val="24"/>
              </w:rPr>
            </w:pPr>
            <w:r>
              <w:rPr>
                <w:rFonts w:hint="eastAsia" w:ascii="宋体" w:hAnsi="宋体" w:cs="宋体"/>
                <w:color w:val="000000"/>
                <w:sz w:val="24"/>
              </w:rPr>
              <w:t>县发展和改革局</w:t>
            </w:r>
          </w:p>
        </w:tc>
      </w:tr>
      <w:tr w14:paraId="7D8AF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61C714E6">
            <w:pPr>
              <w:widowControl w:val="0"/>
              <w:spacing w:line="300" w:lineRule="exact"/>
              <w:jc w:val="center"/>
              <w:rPr>
                <w:rFonts w:ascii="宋体" w:hAnsi="宋体" w:cs="宋体"/>
                <w:color w:val="000000"/>
                <w:sz w:val="24"/>
              </w:rPr>
            </w:pPr>
            <w:r>
              <w:rPr>
                <w:rFonts w:hint="eastAsia" w:ascii="宋体" w:hAnsi="宋体" w:cs="宋体"/>
                <w:color w:val="000000"/>
                <w:sz w:val="24"/>
              </w:rPr>
              <w:t>9</w:t>
            </w:r>
          </w:p>
        </w:tc>
        <w:tc>
          <w:tcPr>
            <w:tcW w:w="4800" w:type="dxa"/>
            <w:vAlign w:val="center"/>
          </w:tcPr>
          <w:p w14:paraId="01338187">
            <w:pPr>
              <w:widowControl w:val="0"/>
              <w:spacing w:line="300" w:lineRule="exact"/>
              <w:jc w:val="both"/>
              <w:rPr>
                <w:rFonts w:ascii="宋体" w:hAnsi="宋体" w:cs="宋体"/>
                <w:color w:val="000000"/>
                <w:sz w:val="24"/>
              </w:rPr>
            </w:pPr>
            <w:r>
              <w:rPr>
                <w:rFonts w:hint="eastAsia" w:ascii="宋体" w:hAnsi="宋体" w:cs="宋体"/>
                <w:color w:val="000000"/>
                <w:sz w:val="24"/>
              </w:rPr>
              <w:t>常住人口城镇化率（%）</w:t>
            </w:r>
          </w:p>
        </w:tc>
        <w:tc>
          <w:tcPr>
            <w:tcW w:w="3593" w:type="dxa"/>
            <w:vAlign w:val="center"/>
          </w:tcPr>
          <w:p w14:paraId="5DDF8CA9">
            <w:pPr>
              <w:widowControl w:val="0"/>
              <w:spacing w:line="300" w:lineRule="exact"/>
              <w:jc w:val="both"/>
              <w:rPr>
                <w:rFonts w:ascii="宋体" w:hAnsi="宋体" w:cs="宋体"/>
                <w:color w:val="000000"/>
                <w:sz w:val="24"/>
              </w:rPr>
            </w:pPr>
            <w:r>
              <w:rPr>
                <w:rFonts w:hint="eastAsia" w:ascii="宋体" w:hAnsi="宋体" w:cs="宋体"/>
                <w:color w:val="000000"/>
                <w:sz w:val="24"/>
              </w:rPr>
              <w:t>县发展和改革局</w:t>
            </w:r>
          </w:p>
        </w:tc>
      </w:tr>
      <w:tr w14:paraId="18FB8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47B65251">
            <w:pPr>
              <w:widowControl w:val="0"/>
              <w:spacing w:line="300" w:lineRule="exact"/>
              <w:jc w:val="center"/>
              <w:rPr>
                <w:rFonts w:ascii="宋体" w:hAnsi="宋体" w:cs="宋体"/>
                <w:color w:val="000000"/>
                <w:sz w:val="24"/>
              </w:rPr>
            </w:pPr>
            <w:r>
              <w:rPr>
                <w:rFonts w:hint="eastAsia" w:ascii="宋体" w:hAnsi="宋体" w:cs="宋体"/>
                <w:color w:val="000000"/>
                <w:sz w:val="24"/>
              </w:rPr>
              <w:t>10</w:t>
            </w:r>
          </w:p>
        </w:tc>
        <w:tc>
          <w:tcPr>
            <w:tcW w:w="4800" w:type="dxa"/>
            <w:vAlign w:val="center"/>
          </w:tcPr>
          <w:p w14:paraId="79DF4EF1">
            <w:pPr>
              <w:widowControl w:val="0"/>
              <w:spacing w:line="300" w:lineRule="exact"/>
              <w:jc w:val="both"/>
              <w:rPr>
                <w:rFonts w:ascii="宋体" w:hAnsi="宋体" w:cs="宋体"/>
                <w:color w:val="000000"/>
                <w:sz w:val="24"/>
              </w:rPr>
            </w:pPr>
            <w:r>
              <w:rPr>
                <w:rFonts w:hint="eastAsia" w:ascii="宋体" w:hAnsi="宋体" w:cs="宋体"/>
                <w:color w:val="000000"/>
                <w:sz w:val="24"/>
              </w:rPr>
              <w:t>居民人均可支配收入增速（%）</w:t>
            </w:r>
          </w:p>
        </w:tc>
        <w:tc>
          <w:tcPr>
            <w:tcW w:w="3593" w:type="dxa"/>
            <w:vAlign w:val="center"/>
          </w:tcPr>
          <w:p w14:paraId="2392B0B0">
            <w:pPr>
              <w:widowControl w:val="0"/>
              <w:spacing w:line="300" w:lineRule="exact"/>
              <w:jc w:val="both"/>
              <w:rPr>
                <w:rFonts w:ascii="宋体" w:hAnsi="宋体" w:cs="宋体"/>
                <w:color w:val="000000"/>
                <w:sz w:val="24"/>
              </w:rPr>
            </w:pPr>
            <w:r>
              <w:rPr>
                <w:rFonts w:hint="eastAsia" w:ascii="宋体" w:hAnsi="宋体" w:cs="宋体"/>
                <w:color w:val="000000"/>
                <w:sz w:val="24"/>
              </w:rPr>
              <w:t>县发展和改革局、县人力资源和社会保障局、</w:t>
            </w:r>
            <w:r>
              <w:rPr>
                <w:rFonts w:hint="eastAsia" w:ascii="宋体" w:hAnsi="宋体" w:cs="宋体"/>
                <w:color w:val="000000"/>
                <w:spacing w:val="-23"/>
                <w:sz w:val="24"/>
              </w:rPr>
              <w:t>县农业农村局</w:t>
            </w:r>
          </w:p>
        </w:tc>
      </w:tr>
      <w:tr w14:paraId="4AE0C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4C2A3509">
            <w:pPr>
              <w:widowControl w:val="0"/>
              <w:spacing w:line="300" w:lineRule="exact"/>
              <w:jc w:val="center"/>
              <w:rPr>
                <w:rFonts w:ascii="宋体" w:hAnsi="宋体" w:cs="宋体"/>
                <w:color w:val="000000"/>
                <w:sz w:val="24"/>
              </w:rPr>
            </w:pPr>
            <w:r>
              <w:rPr>
                <w:rFonts w:hint="eastAsia" w:ascii="宋体" w:hAnsi="宋体" w:cs="宋体"/>
                <w:color w:val="000000"/>
                <w:sz w:val="24"/>
              </w:rPr>
              <w:t>11</w:t>
            </w:r>
          </w:p>
        </w:tc>
        <w:tc>
          <w:tcPr>
            <w:tcW w:w="4800" w:type="dxa"/>
            <w:vAlign w:val="center"/>
          </w:tcPr>
          <w:p w14:paraId="00B55B28">
            <w:pPr>
              <w:widowControl w:val="0"/>
              <w:spacing w:line="300" w:lineRule="exact"/>
              <w:jc w:val="both"/>
              <w:rPr>
                <w:rFonts w:ascii="宋体" w:hAnsi="宋体" w:cs="宋体"/>
                <w:color w:val="000000"/>
                <w:sz w:val="24"/>
              </w:rPr>
            </w:pPr>
            <w:r>
              <w:rPr>
                <w:rFonts w:hint="eastAsia" w:ascii="宋体" w:hAnsi="宋体" w:cs="宋体"/>
                <w:color w:val="000000"/>
                <w:sz w:val="24"/>
              </w:rPr>
              <w:t>新增城镇就业人数（万人）</w:t>
            </w:r>
          </w:p>
        </w:tc>
        <w:tc>
          <w:tcPr>
            <w:tcW w:w="3593" w:type="dxa"/>
            <w:vAlign w:val="center"/>
          </w:tcPr>
          <w:p w14:paraId="68E05D74">
            <w:pPr>
              <w:widowControl w:val="0"/>
              <w:spacing w:line="300" w:lineRule="exact"/>
              <w:jc w:val="both"/>
              <w:rPr>
                <w:rFonts w:ascii="宋体" w:hAnsi="宋体" w:cs="宋体"/>
                <w:color w:val="000000"/>
                <w:sz w:val="24"/>
              </w:rPr>
            </w:pPr>
            <w:r>
              <w:rPr>
                <w:rFonts w:hint="eastAsia" w:ascii="宋体" w:hAnsi="宋体" w:cs="宋体"/>
                <w:color w:val="000000"/>
                <w:sz w:val="24"/>
              </w:rPr>
              <w:t>县人力资源和社会保障局</w:t>
            </w:r>
          </w:p>
        </w:tc>
      </w:tr>
      <w:tr w14:paraId="38F5C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7B28EA60">
            <w:pPr>
              <w:widowControl w:val="0"/>
              <w:spacing w:line="300" w:lineRule="exact"/>
              <w:jc w:val="center"/>
              <w:rPr>
                <w:rFonts w:ascii="宋体" w:hAnsi="宋体" w:cs="宋体"/>
                <w:color w:val="000000"/>
                <w:sz w:val="24"/>
              </w:rPr>
            </w:pPr>
            <w:r>
              <w:rPr>
                <w:rFonts w:hint="eastAsia" w:ascii="宋体" w:hAnsi="宋体" w:cs="宋体"/>
                <w:color w:val="000000"/>
                <w:sz w:val="24"/>
              </w:rPr>
              <w:t>12</w:t>
            </w:r>
          </w:p>
        </w:tc>
        <w:tc>
          <w:tcPr>
            <w:tcW w:w="4800" w:type="dxa"/>
            <w:vAlign w:val="center"/>
          </w:tcPr>
          <w:p w14:paraId="15490A0C">
            <w:pPr>
              <w:widowControl w:val="0"/>
              <w:spacing w:line="300" w:lineRule="exact"/>
              <w:jc w:val="both"/>
              <w:rPr>
                <w:rFonts w:ascii="宋体" w:hAnsi="宋体" w:cs="宋体"/>
                <w:color w:val="000000"/>
                <w:sz w:val="24"/>
              </w:rPr>
            </w:pPr>
            <w:r>
              <w:rPr>
                <w:rFonts w:hint="eastAsia" w:ascii="宋体" w:hAnsi="宋体" w:cs="宋体"/>
                <w:color w:val="000000"/>
                <w:sz w:val="24"/>
              </w:rPr>
              <w:t>劳动年龄人口平均受教育年限（年）</w:t>
            </w:r>
          </w:p>
        </w:tc>
        <w:tc>
          <w:tcPr>
            <w:tcW w:w="3593" w:type="dxa"/>
            <w:vAlign w:val="center"/>
          </w:tcPr>
          <w:p w14:paraId="64EE8A14">
            <w:pPr>
              <w:widowControl w:val="0"/>
              <w:spacing w:line="300" w:lineRule="exact"/>
              <w:jc w:val="both"/>
              <w:rPr>
                <w:rFonts w:ascii="宋体" w:hAnsi="宋体" w:cs="宋体"/>
                <w:color w:val="000000"/>
                <w:sz w:val="24"/>
              </w:rPr>
            </w:pPr>
            <w:r>
              <w:rPr>
                <w:rFonts w:hint="eastAsia" w:ascii="宋体" w:hAnsi="宋体" w:cs="宋体"/>
                <w:color w:val="000000"/>
                <w:sz w:val="24"/>
              </w:rPr>
              <w:t>县教育体育局</w:t>
            </w:r>
          </w:p>
        </w:tc>
      </w:tr>
      <w:tr w14:paraId="02AE7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67AD8EE5">
            <w:pPr>
              <w:widowControl w:val="0"/>
              <w:spacing w:line="300" w:lineRule="exact"/>
              <w:jc w:val="center"/>
              <w:rPr>
                <w:rFonts w:ascii="宋体" w:hAnsi="宋体" w:cs="宋体"/>
                <w:color w:val="000000"/>
                <w:sz w:val="24"/>
              </w:rPr>
            </w:pPr>
            <w:r>
              <w:rPr>
                <w:rFonts w:hint="eastAsia" w:ascii="宋体" w:hAnsi="宋体" w:cs="宋体"/>
                <w:color w:val="000000"/>
                <w:sz w:val="24"/>
              </w:rPr>
              <w:t>13</w:t>
            </w:r>
          </w:p>
        </w:tc>
        <w:tc>
          <w:tcPr>
            <w:tcW w:w="4800" w:type="dxa"/>
            <w:vAlign w:val="center"/>
          </w:tcPr>
          <w:p w14:paraId="012C75A0">
            <w:pPr>
              <w:widowControl w:val="0"/>
              <w:spacing w:line="300" w:lineRule="exact"/>
              <w:jc w:val="both"/>
              <w:rPr>
                <w:rFonts w:ascii="宋体" w:hAnsi="宋体" w:cs="宋体"/>
                <w:color w:val="000000"/>
                <w:sz w:val="24"/>
              </w:rPr>
            </w:pPr>
            <w:r>
              <w:rPr>
                <w:rFonts w:hint="eastAsia" w:ascii="宋体" w:hAnsi="宋体" w:cs="宋体"/>
                <w:color w:val="000000"/>
                <w:sz w:val="24"/>
              </w:rPr>
              <w:t>每千人执业（助理）医师数（人）</w:t>
            </w:r>
          </w:p>
        </w:tc>
        <w:tc>
          <w:tcPr>
            <w:tcW w:w="3593" w:type="dxa"/>
            <w:vAlign w:val="center"/>
          </w:tcPr>
          <w:p w14:paraId="12D27A7D">
            <w:pPr>
              <w:widowControl w:val="0"/>
              <w:spacing w:line="300" w:lineRule="exact"/>
              <w:jc w:val="both"/>
              <w:rPr>
                <w:rFonts w:ascii="宋体" w:hAnsi="宋体" w:cs="宋体"/>
                <w:color w:val="000000"/>
                <w:sz w:val="24"/>
              </w:rPr>
            </w:pPr>
            <w:r>
              <w:rPr>
                <w:rFonts w:hint="eastAsia" w:ascii="宋体" w:hAnsi="宋体" w:cs="宋体"/>
                <w:color w:val="000000"/>
                <w:sz w:val="24"/>
              </w:rPr>
              <w:t>县卫生健康局</w:t>
            </w:r>
          </w:p>
        </w:tc>
      </w:tr>
      <w:tr w14:paraId="2429C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2D36B472">
            <w:pPr>
              <w:widowControl w:val="0"/>
              <w:spacing w:line="300" w:lineRule="exact"/>
              <w:jc w:val="center"/>
              <w:rPr>
                <w:rFonts w:ascii="宋体" w:hAnsi="宋体" w:cs="宋体"/>
                <w:color w:val="000000"/>
                <w:sz w:val="24"/>
              </w:rPr>
            </w:pPr>
            <w:r>
              <w:rPr>
                <w:rFonts w:hint="eastAsia" w:ascii="宋体" w:hAnsi="宋体" w:cs="宋体"/>
                <w:color w:val="000000"/>
                <w:sz w:val="24"/>
              </w:rPr>
              <w:t>14</w:t>
            </w:r>
          </w:p>
        </w:tc>
        <w:tc>
          <w:tcPr>
            <w:tcW w:w="4800" w:type="dxa"/>
            <w:vAlign w:val="center"/>
          </w:tcPr>
          <w:p w14:paraId="038E7FAB">
            <w:pPr>
              <w:widowControl w:val="0"/>
              <w:spacing w:line="300" w:lineRule="exact"/>
              <w:jc w:val="both"/>
              <w:rPr>
                <w:rFonts w:ascii="宋体" w:hAnsi="宋体" w:cs="宋体"/>
                <w:color w:val="000000"/>
                <w:sz w:val="24"/>
              </w:rPr>
            </w:pPr>
            <w:r>
              <w:rPr>
                <w:rFonts w:hint="eastAsia" w:ascii="宋体" w:hAnsi="宋体" w:cs="宋体"/>
                <w:color w:val="000000"/>
                <w:sz w:val="24"/>
              </w:rPr>
              <w:t>全国民族团结进步创建示范县创建数（个）</w:t>
            </w:r>
          </w:p>
        </w:tc>
        <w:tc>
          <w:tcPr>
            <w:tcW w:w="3593" w:type="dxa"/>
            <w:vAlign w:val="center"/>
          </w:tcPr>
          <w:p w14:paraId="6DEC1B6B">
            <w:pPr>
              <w:widowControl w:val="0"/>
              <w:spacing w:line="300" w:lineRule="exact"/>
              <w:jc w:val="both"/>
              <w:rPr>
                <w:rFonts w:ascii="宋体" w:hAnsi="宋体" w:cs="宋体"/>
                <w:color w:val="000000"/>
                <w:sz w:val="24"/>
              </w:rPr>
            </w:pPr>
            <w:r>
              <w:rPr>
                <w:rFonts w:hint="eastAsia" w:ascii="宋体" w:hAnsi="宋体" w:cs="宋体"/>
                <w:color w:val="000000"/>
                <w:sz w:val="24"/>
              </w:rPr>
              <w:t>县民族宗教局</w:t>
            </w:r>
          </w:p>
        </w:tc>
      </w:tr>
      <w:tr w14:paraId="28037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5EFDEE1A">
            <w:pPr>
              <w:widowControl w:val="0"/>
              <w:spacing w:line="300" w:lineRule="exact"/>
              <w:jc w:val="center"/>
              <w:rPr>
                <w:rFonts w:ascii="宋体" w:hAnsi="宋体" w:cs="宋体"/>
                <w:color w:val="000000"/>
                <w:sz w:val="24"/>
              </w:rPr>
            </w:pPr>
            <w:r>
              <w:rPr>
                <w:rFonts w:hint="eastAsia" w:ascii="宋体" w:hAnsi="宋体" w:cs="宋体"/>
                <w:color w:val="000000"/>
                <w:sz w:val="24"/>
              </w:rPr>
              <w:t>15</w:t>
            </w:r>
          </w:p>
        </w:tc>
        <w:tc>
          <w:tcPr>
            <w:tcW w:w="4800" w:type="dxa"/>
            <w:vAlign w:val="center"/>
          </w:tcPr>
          <w:p w14:paraId="4A42A218">
            <w:pPr>
              <w:widowControl w:val="0"/>
              <w:spacing w:line="300" w:lineRule="exact"/>
              <w:jc w:val="both"/>
              <w:rPr>
                <w:rFonts w:ascii="宋体" w:hAnsi="宋体" w:cs="宋体"/>
                <w:color w:val="000000"/>
                <w:sz w:val="24"/>
              </w:rPr>
            </w:pPr>
            <w:r>
              <w:rPr>
                <w:rFonts w:hint="eastAsia" w:ascii="宋体" w:hAnsi="宋体" w:cs="宋体"/>
                <w:color w:val="000000"/>
                <w:sz w:val="24"/>
              </w:rPr>
              <w:t>省级民族团结进步创建示范县创建数（个）</w:t>
            </w:r>
          </w:p>
        </w:tc>
        <w:tc>
          <w:tcPr>
            <w:tcW w:w="3593" w:type="dxa"/>
            <w:vAlign w:val="center"/>
          </w:tcPr>
          <w:p w14:paraId="13F8AD47">
            <w:pPr>
              <w:widowControl w:val="0"/>
              <w:spacing w:line="300" w:lineRule="exact"/>
              <w:jc w:val="both"/>
              <w:rPr>
                <w:rFonts w:ascii="宋体" w:hAnsi="宋体" w:cs="宋体"/>
                <w:color w:val="000000"/>
                <w:sz w:val="24"/>
              </w:rPr>
            </w:pPr>
            <w:r>
              <w:rPr>
                <w:rFonts w:hint="eastAsia" w:ascii="宋体" w:hAnsi="宋体" w:cs="宋体"/>
                <w:color w:val="000000"/>
                <w:sz w:val="24"/>
              </w:rPr>
              <w:t>县民族宗教局</w:t>
            </w:r>
          </w:p>
        </w:tc>
      </w:tr>
      <w:tr w14:paraId="4E1C9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0229B917">
            <w:pPr>
              <w:widowControl w:val="0"/>
              <w:spacing w:line="300" w:lineRule="exact"/>
              <w:jc w:val="center"/>
              <w:rPr>
                <w:rFonts w:ascii="宋体" w:hAnsi="宋体" w:cs="宋体"/>
                <w:color w:val="000000"/>
                <w:sz w:val="24"/>
              </w:rPr>
            </w:pPr>
            <w:r>
              <w:rPr>
                <w:rFonts w:hint="eastAsia" w:ascii="宋体" w:hAnsi="宋体" w:cs="宋体"/>
                <w:color w:val="000000"/>
                <w:sz w:val="24"/>
              </w:rPr>
              <w:t>16</w:t>
            </w:r>
          </w:p>
        </w:tc>
        <w:tc>
          <w:tcPr>
            <w:tcW w:w="4800" w:type="dxa"/>
            <w:vAlign w:val="center"/>
          </w:tcPr>
          <w:p w14:paraId="25C0ED1F">
            <w:pPr>
              <w:widowControl w:val="0"/>
              <w:spacing w:line="300" w:lineRule="exact"/>
              <w:jc w:val="both"/>
              <w:rPr>
                <w:rFonts w:ascii="宋体" w:hAnsi="宋体" w:cs="宋体"/>
                <w:color w:val="000000"/>
                <w:sz w:val="24"/>
              </w:rPr>
            </w:pPr>
            <w:r>
              <w:rPr>
                <w:rFonts w:hint="eastAsia" w:ascii="宋体" w:hAnsi="宋体" w:cs="宋体"/>
                <w:color w:val="000000"/>
                <w:sz w:val="24"/>
              </w:rPr>
              <w:t>市级民族团结进步创建示范县创建数（个）</w:t>
            </w:r>
          </w:p>
        </w:tc>
        <w:tc>
          <w:tcPr>
            <w:tcW w:w="3593" w:type="dxa"/>
            <w:vAlign w:val="center"/>
          </w:tcPr>
          <w:p w14:paraId="4D30068D">
            <w:pPr>
              <w:widowControl w:val="0"/>
              <w:spacing w:line="300" w:lineRule="exact"/>
              <w:jc w:val="both"/>
              <w:rPr>
                <w:rFonts w:ascii="宋体" w:hAnsi="宋体" w:cs="宋体"/>
                <w:color w:val="000000"/>
                <w:sz w:val="24"/>
              </w:rPr>
            </w:pPr>
            <w:r>
              <w:rPr>
                <w:rFonts w:hint="eastAsia" w:ascii="宋体" w:hAnsi="宋体" w:cs="宋体"/>
                <w:color w:val="000000"/>
                <w:sz w:val="24"/>
              </w:rPr>
              <w:t>县民族宗教局</w:t>
            </w:r>
          </w:p>
        </w:tc>
      </w:tr>
      <w:tr w14:paraId="126AC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0474038D">
            <w:pPr>
              <w:widowControl w:val="0"/>
              <w:spacing w:line="300" w:lineRule="exact"/>
              <w:jc w:val="center"/>
              <w:rPr>
                <w:rFonts w:ascii="宋体" w:hAnsi="宋体" w:cs="宋体"/>
                <w:color w:val="000000"/>
                <w:sz w:val="24"/>
              </w:rPr>
            </w:pPr>
            <w:r>
              <w:rPr>
                <w:rFonts w:hint="eastAsia" w:ascii="宋体" w:hAnsi="宋体" w:cs="宋体"/>
                <w:color w:val="000000"/>
                <w:sz w:val="24"/>
              </w:rPr>
              <w:t>17</w:t>
            </w:r>
          </w:p>
        </w:tc>
        <w:tc>
          <w:tcPr>
            <w:tcW w:w="4800" w:type="dxa"/>
            <w:vAlign w:val="center"/>
          </w:tcPr>
          <w:p w14:paraId="215DCBDA">
            <w:pPr>
              <w:widowControl w:val="0"/>
              <w:spacing w:line="300" w:lineRule="exact"/>
              <w:jc w:val="both"/>
              <w:rPr>
                <w:rFonts w:ascii="宋体" w:hAnsi="宋体" w:cs="宋体"/>
                <w:color w:val="000000"/>
                <w:sz w:val="24"/>
              </w:rPr>
            </w:pPr>
            <w:r>
              <w:rPr>
                <w:rFonts w:hint="eastAsia" w:ascii="宋体" w:hAnsi="宋体" w:cs="宋体"/>
                <w:color w:val="000000"/>
                <w:sz w:val="24"/>
              </w:rPr>
              <w:t>全国</w:t>
            </w:r>
            <w:r>
              <w:rPr>
                <w:rFonts w:ascii="宋体" w:hAnsi="宋体" w:cs="宋体"/>
                <w:color w:val="000000"/>
                <w:sz w:val="24"/>
              </w:rPr>
              <w:t>民族团结进步创建示范单位</w:t>
            </w:r>
            <w:r>
              <w:rPr>
                <w:rFonts w:hint="eastAsia" w:ascii="宋体" w:hAnsi="宋体" w:cs="宋体"/>
                <w:color w:val="000000"/>
                <w:sz w:val="24"/>
              </w:rPr>
              <w:t>创建数（个）</w:t>
            </w:r>
          </w:p>
        </w:tc>
        <w:tc>
          <w:tcPr>
            <w:tcW w:w="3593" w:type="dxa"/>
            <w:vAlign w:val="center"/>
          </w:tcPr>
          <w:p w14:paraId="2E04C244">
            <w:pPr>
              <w:widowControl w:val="0"/>
              <w:spacing w:line="300" w:lineRule="exact"/>
              <w:jc w:val="both"/>
              <w:rPr>
                <w:rFonts w:ascii="宋体" w:hAnsi="宋体" w:cs="宋体"/>
                <w:color w:val="000000"/>
                <w:sz w:val="24"/>
              </w:rPr>
            </w:pPr>
            <w:r>
              <w:rPr>
                <w:rFonts w:hint="eastAsia" w:ascii="宋体" w:hAnsi="宋体" w:cs="宋体"/>
                <w:color w:val="000000"/>
                <w:sz w:val="24"/>
              </w:rPr>
              <w:t>县民族宗教局</w:t>
            </w:r>
          </w:p>
        </w:tc>
      </w:tr>
      <w:tr w14:paraId="14945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1FB1A45A">
            <w:pPr>
              <w:widowControl w:val="0"/>
              <w:spacing w:line="300" w:lineRule="exact"/>
              <w:jc w:val="center"/>
              <w:rPr>
                <w:rFonts w:ascii="宋体" w:hAnsi="宋体" w:cs="宋体"/>
                <w:color w:val="000000"/>
                <w:sz w:val="24"/>
              </w:rPr>
            </w:pPr>
            <w:r>
              <w:rPr>
                <w:rFonts w:hint="eastAsia" w:ascii="宋体" w:hAnsi="宋体" w:cs="宋体"/>
                <w:color w:val="000000"/>
                <w:sz w:val="24"/>
              </w:rPr>
              <w:t>18</w:t>
            </w:r>
          </w:p>
        </w:tc>
        <w:tc>
          <w:tcPr>
            <w:tcW w:w="4800" w:type="dxa"/>
            <w:vAlign w:val="center"/>
          </w:tcPr>
          <w:p w14:paraId="5B65C8F7">
            <w:pPr>
              <w:widowControl w:val="0"/>
              <w:spacing w:line="300" w:lineRule="exact"/>
              <w:jc w:val="both"/>
              <w:rPr>
                <w:rFonts w:ascii="宋体" w:hAnsi="宋体" w:cs="宋体"/>
                <w:color w:val="000000"/>
                <w:sz w:val="24"/>
              </w:rPr>
            </w:pPr>
            <w:r>
              <w:rPr>
                <w:rFonts w:hint="eastAsia" w:ascii="宋体" w:hAnsi="宋体" w:cs="宋体"/>
                <w:color w:val="000000"/>
                <w:sz w:val="24"/>
              </w:rPr>
              <w:t>省级</w:t>
            </w:r>
            <w:r>
              <w:rPr>
                <w:rFonts w:ascii="宋体" w:hAnsi="宋体" w:cs="宋体"/>
                <w:color w:val="000000"/>
                <w:sz w:val="24"/>
              </w:rPr>
              <w:t>民族团结进步创建示范单位</w:t>
            </w:r>
            <w:r>
              <w:rPr>
                <w:rFonts w:hint="eastAsia" w:ascii="宋体" w:hAnsi="宋体" w:cs="宋体"/>
                <w:color w:val="000000"/>
                <w:sz w:val="24"/>
              </w:rPr>
              <w:t>创建数（个）</w:t>
            </w:r>
          </w:p>
        </w:tc>
        <w:tc>
          <w:tcPr>
            <w:tcW w:w="3593" w:type="dxa"/>
            <w:vAlign w:val="center"/>
          </w:tcPr>
          <w:p w14:paraId="52348940">
            <w:pPr>
              <w:widowControl w:val="0"/>
              <w:spacing w:line="300" w:lineRule="exact"/>
              <w:jc w:val="both"/>
              <w:rPr>
                <w:rFonts w:ascii="宋体" w:hAnsi="宋体" w:cs="宋体"/>
                <w:color w:val="000000"/>
                <w:sz w:val="24"/>
              </w:rPr>
            </w:pPr>
            <w:r>
              <w:rPr>
                <w:rFonts w:hint="eastAsia" w:ascii="宋体" w:hAnsi="宋体" w:cs="宋体"/>
                <w:color w:val="000000"/>
                <w:sz w:val="24"/>
              </w:rPr>
              <w:t>县民族宗教局</w:t>
            </w:r>
          </w:p>
        </w:tc>
      </w:tr>
      <w:tr w14:paraId="272B6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054AADBB">
            <w:pPr>
              <w:widowControl w:val="0"/>
              <w:spacing w:line="300" w:lineRule="exact"/>
              <w:jc w:val="center"/>
              <w:rPr>
                <w:rFonts w:ascii="宋体" w:hAnsi="宋体" w:cs="宋体"/>
                <w:color w:val="000000"/>
                <w:sz w:val="24"/>
              </w:rPr>
            </w:pPr>
            <w:r>
              <w:rPr>
                <w:rFonts w:hint="eastAsia" w:ascii="宋体" w:hAnsi="宋体" w:cs="宋体"/>
                <w:color w:val="000000"/>
                <w:sz w:val="24"/>
              </w:rPr>
              <w:t>19</w:t>
            </w:r>
          </w:p>
        </w:tc>
        <w:tc>
          <w:tcPr>
            <w:tcW w:w="4800" w:type="dxa"/>
            <w:vAlign w:val="center"/>
          </w:tcPr>
          <w:p w14:paraId="65C5F26A">
            <w:pPr>
              <w:widowControl w:val="0"/>
              <w:spacing w:line="300" w:lineRule="exact"/>
              <w:jc w:val="both"/>
              <w:rPr>
                <w:rFonts w:ascii="宋体" w:hAnsi="宋体" w:cs="宋体"/>
                <w:color w:val="000000"/>
                <w:sz w:val="24"/>
              </w:rPr>
            </w:pPr>
            <w:r>
              <w:rPr>
                <w:rFonts w:hint="eastAsia" w:ascii="宋体" w:hAnsi="宋体" w:cs="宋体"/>
                <w:color w:val="000000"/>
                <w:sz w:val="24"/>
              </w:rPr>
              <w:t>市级</w:t>
            </w:r>
            <w:r>
              <w:rPr>
                <w:rFonts w:ascii="宋体" w:hAnsi="宋体" w:cs="宋体"/>
                <w:color w:val="000000"/>
                <w:sz w:val="24"/>
              </w:rPr>
              <w:t>民族团结进步创建示范单位</w:t>
            </w:r>
            <w:r>
              <w:rPr>
                <w:rFonts w:hint="eastAsia" w:ascii="宋体" w:hAnsi="宋体" w:cs="宋体"/>
                <w:color w:val="000000"/>
                <w:sz w:val="24"/>
              </w:rPr>
              <w:t>创建数（个）</w:t>
            </w:r>
          </w:p>
        </w:tc>
        <w:tc>
          <w:tcPr>
            <w:tcW w:w="3593" w:type="dxa"/>
            <w:vAlign w:val="center"/>
          </w:tcPr>
          <w:p w14:paraId="0BA8DF63">
            <w:pPr>
              <w:widowControl w:val="0"/>
              <w:spacing w:line="300" w:lineRule="exact"/>
              <w:jc w:val="both"/>
              <w:rPr>
                <w:rFonts w:ascii="宋体" w:hAnsi="宋体" w:cs="宋体"/>
                <w:color w:val="000000"/>
                <w:sz w:val="24"/>
              </w:rPr>
            </w:pPr>
            <w:r>
              <w:rPr>
                <w:rFonts w:hint="eastAsia" w:ascii="宋体" w:hAnsi="宋体" w:cs="宋体"/>
                <w:color w:val="000000"/>
                <w:sz w:val="24"/>
              </w:rPr>
              <w:t>县民族宗教局</w:t>
            </w:r>
          </w:p>
        </w:tc>
      </w:tr>
      <w:tr w14:paraId="15903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40921A57">
            <w:pPr>
              <w:widowControl w:val="0"/>
              <w:spacing w:line="300" w:lineRule="exact"/>
              <w:jc w:val="center"/>
              <w:rPr>
                <w:rFonts w:ascii="宋体" w:hAnsi="宋体" w:cs="宋体"/>
                <w:color w:val="000000"/>
                <w:sz w:val="24"/>
              </w:rPr>
            </w:pPr>
            <w:r>
              <w:rPr>
                <w:rFonts w:hint="eastAsia" w:ascii="宋体" w:hAnsi="宋体" w:cs="宋体"/>
                <w:color w:val="000000"/>
                <w:sz w:val="24"/>
              </w:rPr>
              <w:t>20</w:t>
            </w:r>
          </w:p>
        </w:tc>
        <w:tc>
          <w:tcPr>
            <w:tcW w:w="4800" w:type="dxa"/>
            <w:vAlign w:val="center"/>
          </w:tcPr>
          <w:p w14:paraId="402EC8D5">
            <w:pPr>
              <w:widowControl w:val="0"/>
              <w:spacing w:line="300" w:lineRule="exact"/>
              <w:jc w:val="both"/>
              <w:rPr>
                <w:rFonts w:ascii="宋体" w:hAnsi="宋体" w:cs="宋体"/>
                <w:color w:val="000000"/>
                <w:sz w:val="24"/>
              </w:rPr>
            </w:pPr>
            <w:r>
              <w:rPr>
                <w:rFonts w:hint="eastAsia" w:ascii="宋体" w:hAnsi="宋体" w:cs="宋体"/>
                <w:color w:val="000000"/>
                <w:sz w:val="24"/>
              </w:rPr>
              <w:t>省级以上民族团结进步示范社区创建数（个）</w:t>
            </w:r>
          </w:p>
        </w:tc>
        <w:tc>
          <w:tcPr>
            <w:tcW w:w="3593" w:type="dxa"/>
            <w:vAlign w:val="center"/>
          </w:tcPr>
          <w:p w14:paraId="74669BCF">
            <w:pPr>
              <w:widowControl w:val="0"/>
              <w:spacing w:line="300" w:lineRule="exact"/>
              <w:jc w:val="both"/>
              <w:rPr>
                <w:rFonts w:ascii="宋体" w:hAnsi="宋体" w:cs="宋体"/>
                <w:color w:val="000000"/>
                <w:sz w:val="24"/>
              </w:rPr>
            </w:pPr>
            <w:r>
              <w:rPr>
                <w:rFonts w:hint="eastAsia" w:ascii="宋体" w:hAnsi="宋体" w:cs="宋体"/>
                <w:color w:val="000000"/>
                <w:sz w:val="24"/>
              </w:rPr>
              <w:t>县民族宗教局</w:t>
            </w:r>
          </w:p>
        </w:tc>
      </w:tr>
      <w:tr w14:paraId="5F468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06C774C5">
            <w:pPr>
              <w:widowControl w:val="0"/>
              <w:spacing w:line="300" w:lineRule="exact"/>
              <w:jc w:val="center"/>
              <w:rPr>
                <w:rFonts w:ascii="宋体" w:hAnsi="宋体" w:cs="宋体"/>
                <w:color w:val="000000"/>
                <w:sz w:val="24"/>
              </w:rPr>
            </w:pPr>
            <w:r>
              <w:rPr>
                <w:rFonts w:hint="eastAsia" w:ascii="宋体" w:hAnsi="宋体" w:cs="宋体"/>
                <w:color w:val="000000"/>
                <w:sz w:val="24"/>
              </w:rPr>
              <w:t>21</w:t>
            </w:r>
          </w:p>
        </w:tc>
        <w:tc>
          <w:tcPr>
            <w:tcW w:w="4800" w:type="dxa"/>
            <w:vAlign w:val="center"/>
          </w:tcPr>
          <w:p w14:paraId="6839AEB2">
            <w:pPr>
              <w:widowControl w:val="0"/>
              <w:spacing w:line="300" w:lineRule="exact"/>
              <w:jc w:val="both"/>
              <w:rPr>
                <w:rFonts w:ascii="宋体" w:hAnsi="宋体" w:cs="宋体"/>
                <w:color w:val="000000"/>
                <w:sz w:val="24"/>
              </w:rPr>
            </w:pPr>
            <w:r>
              <w:rPr>
                <w:rFonts w:hint="eastAsia" w:ascii="宋体" w:hAnsi="宋体" w:cs="宋体"/>
                <w:color w:val="000000"/>
                <w:sz w:val="24"/>
              </w:rPr>
              <w:t>市级以上民族团结进步示范社区创建数（个）</w:t>
            </w:r>
          </w:p>
        </w:tc>
        <w:tc>
          <w:tcPr>
            <w:tcW w:w="3593" w:type="dxa"/>
            <w:vAlign w:val="center"/>
          </w:tcPr>
          <w:p w14:paraId="0F4EB0A5">
            <w:pPr>
              <w:widowControl w:val="0"/>
              <w:spacing w:line="300" w:lineRule="exact"/>
              <w:jc w:val="both"/>
              <w:rPr>
                <w:rFonts w:ascii="宋体" w:hAnsi="宋体" w:cs="宋体"/>
                <w:color w:val="000000"/>
                <w:sz w:val="24"/>
              </w:rPr>
            </w:pPr>
            <w:r>
              <w:rPr>
                <w:rFonts w:hint="eastAsia" w:ascii="宋体" w:hAnsi="宋体" w:cs="宋体"/>
                <w:color w:val="000000"/>
                <w:sz w:val="24"/>
              </w:rPr>
              <w:t>县民族宗教局</w:t>
            </w:r>
          </w:p>
        </w:tc>
      </w:tr>
      <w:tr w14:paraId="46624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59D12619">
            <w:pPr>
              <w:widowControl w:val="0"/>
              <w:spacing w:line="300" w:lineRule="exact"/>
              <w:jc w:val="center"/>
              <w:rPr>
                <w:rFonts w:ascii="宋体" w:hAnsi="宋体" w:cs="宋体"/>
                <w:color w:val="000000"/>
                <w:sz w:val="24"/>
              </w:rPr>
            </w:pPr>
            <w:r>
              <w:rPr>
                <w:rFonts w:hint="eastAsia" w:ascii="宋体" w:hAnsi="宋体" w:cs="宋体"/>
                <w:color w:val="000000"/>
                <w:sz w:val="24"/>
              </w:rPr>
              <w:t>22</w:t>
            </w:r>
          </w:p>
        </w:tc>
        <w:tc>
          <w:tcPr>
            <w:tcW w:w="4800" w:type="dxa"/>
            <w:vAlign w:val="center"/>
          </w:tcPr>
          <w:p w14:paraId="0ADDFD65">
            <w:pPr>
              <w:widowControl w:val="0"/>
              <w:spacing w:line="300" w:lineRule="exact"/>
              <w:jc w:val="both"/>
              <w:rPr>
                <w:rFonts w:ascii="宋体" w:hAnsi="宋体" w:cs="宋体"/>
                <w:color w:val="000000"/>
                <w:sz w:val="24"/>
              </w:rPr>
            </w:pPr>
            <w:r>
              <w:rPr>
                <w:rFonts w:hint="eastAsia" w:ascii="宋体" w:hAnsi="宋体" w:cs="宋体"/>
                <w:color w:val="000000"/>
                <w:sz w:val="24"/>
              </w:rPr>
              <w:t>铸牢中华民族共同体意识研究教育实践场所（个）</w:t>
            </w:r>
          </w:p>
        </w:tc>
        <w:tc>
          <w:tcPr>
            <w:tcW w:w="3593" w:type="dxa"/>
            <w:vAlign w:val="center"/>
          </w:tcPr>
          <w:p w14:paraId="496D42EC">
            <w:pPr>
              <w:widowControl w:val="0"/>
              <w:spacing w:line="300" w:lineRule="exact"/>
              <w:jc w:val="both"/>
              <w:rPr>
                <w:rFonts w:ascii="宋体" w:hAnsi="宋体" w:cs="宋体"/>
                <w:color w:val="000000"/>
                <w:sz w:val="24"/>
              </w:rPr>
            </w:pPr>
            <w:r>
              <w:rPr>
                <w:rFonts w:hint="eastAsia" w:ascii="宋体" w:hAnsi="宋体" w:cs="宋体"/>
                <w:color w:val="000000"/>
                <w:sz w:val="24"/>
              </w:rPr>
              <w:t>县委宣传部、县民族宗教局</w:t>
            </w:r>
          </w:p>
        </w:tc>
      </w:tr>
      <w:tr w14:paraId="3E1E2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4BB27BC6">
            <w:pPr>
              <w:widowControl w:val="0"/>
              <w:spacing w:line="300" w:lineRule="exact"/>
              <w:jc w:val="center"/>
              <w:rPr>
                <w:rFonts w:ascii="宋体" w:hAnsi="宋体" w:cs="宋体"/>
                <w:color w:val="000000"/>
                <w:sz w:val="24"/>
              </w:rPr>
            </w:pPr>
            <w:r>
              <w:rPr>
                <w:rFonts w:hint="eastAsia" w:ascii="宋体" w:hAnsi="宋体" w:cs="宋体"/>
                <w:color w:val="000000"/>
                <w:sz w:val="24"/>
              </w:rPr>
              <w:t>23</w:t>
            </w:r>
          </w:p>
        </w:tc>
        <w:tc>
          <w:tcPr>
            <w:tcW w:w="4800" w:type="dxa"/>
            <w:vAlign w:val="center"/>
          </w:tcPr>
          <w:p w14:paraId="62946849">
            <w:pPr>
              <w:widowControl w:val="0"/>
              <w:spacing w:line="300" w:lineRule="exact"/>
              <w:jc w:val="both"/>
              <w:rPr>
                <w:rFonts w:ascii="宋体" w:hAnsi="宋体" w:cs="宋体"/>
                <w:color w:val="000000"/>
                <w:sz w:val="24"/>
              </w:rPr>
            </w:pPr>
            <w:r>
              <w:rPr>
                <w:rFonts w:hint="eastAsia" w:ascii="宋体" w:hAnsi="宋体" w:cs="宋体"/>
                <w:color w:val="000000"/>
                <w:sz w:val="24"/>
              </w:rPr>
              <w:t>省级以上民族团结教育基地（个）</w:t>
            </w:r>
          </w:p>
        </w:tc>
        <w:tc>
          <w:tcPr>
            <w:tcW w:w="3593" w:type="dxa"/>
            <w:vAlign w:val="center"/>
          </w:tcPr>
          <w:p w14:paraId="2EC02F85">
            <w:pPr>
              <w:widowControl w:val="0"/>
              <w:spacing w:line="300" w:lineRule="exact"/>
              <w:jc w:val="both"/>
              <w:rPr>
                <w:rFonts w:ascii="宋体" w:hAnsi="宋体" w:cs="宋体"/>
                <w:color w:val="000000"/>
                <w:sz w:val="24"/>
              </w:rPr>
            </w:pPr>
            <w:r>
              <w:rPr>
                <w:rFonts w:hint="eastAsia" w:ascii="宋体" w:hAnsi="宋体" w:cs="宋体"/>
                <w:color w:val="000000"/>
                <w:sz w:val="24"/>
              </w:rPr>
              <w:t>县民族宗教局</w:t>
            </w:r>
          </w:p>
        </w:tc>
      </w:tr>
      <w:tr w14:paraId="7CEBE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54" w:type="dxa"/>
            <w:vAlign w:val="center"/>
          </w:tcPr>
          <w:p w14:paraId="2205CFE4">
            <w:pPr>
              <w:widowControl w:val="0"/>
              <w:spacing w:line="300" w:lineRule="exact"/>
              <w:jc w:val="center"/>
              <w:rPr>
                <w:rFonts w:ascii="宋体" w:hAnsi="宋体" w:cs="宋体"/>
                <w:color w:val="000000"/>
                <w:sz w:val="24"/>
              </w:rPr>
            </w:pPr>
            <w:r>
              <w:rPr>
                <w:rFonts w:hint="eastAsia" w:ascii="宋体" w:hAnsi="宋体" w:cs="宋体"/>
                <w:color w:val="000000"/>
                <w:sz w:val="24"/>
              </w:rPr>
              <w:t>24</w:t>
            </w:r>
          </w:p>
        </w:tc>
        <w:tc>
          <w:tcPr>
            <w:tcW w:w="4800" w:type="dxa"/>
            <w:vAlign w:val="center"/>
          </w:tcPr>
          <w:p w14:paraId="4A62FA2A">
            <w:pPr>
              <w:widowControl w:val="0"/>
              <w:spacing w:line="300" w:lineRule="exact"/>
              <w:jc w:val="both"/>
              <w:rPr>
                <w:rFonts w:ascii="宋体" w:hAnsi="宋体" w:cs="宋体"/>
                <w:color w:val="000000"/>
                <w:sz w:val="24"/>
              </w:rPr>
            </w:pPr>
            <w:r>
              <w:rPr>
                <w:rFonts w:hint="eastAsia" w:ascii="宋体" w:hAnsi="宋体" w:cs="宋体"/>
                <w:color w:val="000000"/>
                <w:sz w:val="24"/>
              </w:rPr>
              <w:t>省级以上少数民族特色村寨（个）</w:t>
            </w:r>
          </w:p>
        </w:tc>
        <w:tc>
          <w:tcPr>
            <w:tcW w:w="3593" w:type="dxa"/>
            <w:vAlign w:val="center"/>
          </w:tcPr>
          <w:p w14:paraId="209CA42F">
            <w:pPr>
              <w:widowControl w:val="0"/>
              <w:spacing w:line="300" w:lineRule="exact"/>
              <w:jc w:val="both"/>
              <w:rPr>
                <w:rFonts w:ascii="宋体" w:hAnsi="宋体" w:cs="宋体"/>
                <w:color w:val="000000"/>
                <w:sz w:val="24"/>
              </w:rPr>
            </w:pPr>
            <w:r>
              <w:rPr>
                <w:rFonts w:hint="eastAsia" w:ascii="宋体" w:hAnsi="宋体" w:cs="宋体"/>
                <w:color w:val="000000"/>
                <w:sz w:val="24"/>
              </w:rPr>
              <w:t>县民族宗教局</w:t>
            </w:r>
          </w:p>
        </w:tc>
      </w:tr>
      <w:tr w14:paraId="3857A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4822DF70">
            <w:pPr>
              <w:widowControl w:val="0"/>
              <w:spacing w:line="300" w:lineRule="exact"/>
              <w:jc w:val="center"/>
              <w:rPr>
                <w:rFonts w:ascii="宋体" w:hAnsi="宋体" w:cs="宋体"/>
                <w:color w:val="000000"/>
                <w:sz w:val="24"/>
              </w:rPr>
            </w:pPr>
            <w:r>
              <w:rPr>
                <w:rFonts w:hint="eastAsia" w:ascii="宋体" w:hAnsi="宋体" w:cs="宋体"/>
                <w:color w:val="000000"/>
                <w:sz w:val="24"/>
              </w:rPr>
              <w:t>25</w:t>
            </w:r>
          </w:p>
        </w:tc>
        <w:tc>
          <w:tcPr>
            <w:tcW w:w="4800" w:type="dxa"/>
            <w:vAlign w:val="center"/>
          </w:tcPr>
          <w:p w14:paraId="6858F95C">
            <w:pPr>
              <w:widowControl w:val="0"/>
              <w:spacing w:line="300" w:lineRule="exact"/>
              <w:jc w:val="both"/>
              <w:rPr>
                <w:rFonts w:ascii="宋体" w:hAnsi="宋体" w:cs="宋体"/>
                <w:color w:val="000000"/>
                <w:sz w:val="24"/>
              </w:rPr>
            </w:pPr>
            <w:r>
              <w:rPr>
                <w:rFonts w:hint="eastAsia" w:ascii="宋体" w:hAnsi="宋体" w:cs="宋体"/>
                <w:color w:val="000000"/>
                <w:sz w:val="24"/>
              </w:rPr>
              <w:t>“</w:t>
            </w:r>
            <w:r>
              <w:rPr>
                <w:rFonts w:ascii="宋体" w:hAnsi="宋体" w:cs="宋体"/>
                <w:color w:val="000000"/>
                <w:sz w:val="24"/>
              </w:rPr>
              <w:t>融荣与共实践中心</w:t>
            </w:r>
            <w:r>
              <w:rPr>
                <w:rFonts w:hint="eastAsia" w:ascii="宋体" w:hAnsi="宋体" w:cs="宋体"/>
                <w:color w:val="000000"/>
                <w:sz w:val="24"/>
              </w:rPr>
              <w:t>”建设数（个）</w:t>
            </w:r>
          </w:p>
        </w:tc>
        <w:tc>
          <w:tcPr>
            <w:tcW w:w="3593" w:type="dxa"/>
            <w:vAlign w:val="center"/>
          </w:tcPr>
          <w:p w14:paraId="385FF5AC">
            <w:pPr>
              <w:widowControl w:val="0"/>
              <w:spacing w:line="300" w:lineRule="exact"/>
              <w:jc w:val="both"/>
              <w:rPr>
                <w:rFonts w:ascii="宋体" w:hAnsi="宋体" w:cs="宋体"/>
                <w:color w:val="000000"/>
                <w:sz w:val="24"/>
              </w:rPr>
            </w:pPr>
            <w:r>
              <w:rPr>
                <w:rFonts w:hint="eastAsia" w:ascii="宋体" w:hAnsi="宋体" w:cs="宋体"/>
                <w:color w:val="000000"/>
                <w:sz w:val="24"/>
              </w:rPr>
              <w:t>县民族宗教局</w:t>
            </w:r>
          </w:p>
        </w:tc>
      </w:tr>
      <w:tr w14:paraId="0D827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4FE6A2B5">
            <w:pPr>
              <w:widowControl w:val="0"/>
              <w:spacing w:line="300" w:lineRule="exact"/>
              <w:jc w:val="center"/>
              <w:rPr>
                <w:rFonts w:ascii="宋体" w:hAnsi="宋体" w:cs="宋体"/>
                <w:color w:val="000000"/>
                <w:sz w:val="24"/>
              </w:rPr>
            </w:pPr>
            <w:r>
              <w:rPr>
                <w:rFonts w:hint="eastAsia" w:ascii="宋体" w:hAnsi="宋体" w:cs="宋体"/>
                <w:color w:val="000000"/>
                <w:sz w:val="24"/>
              </w:rPr>
              <w:t>26</w:t>
            </w:r>
          </w:p>
        </w:tc>
        <w:tc>
          <w:tcPr>
            <w:tcW w:w="4800" w:type="dxa"/>
            <w:vAlign w:val="center"/>
          </w:tcPr>
          <w:p w14:paraId="4EE88A5A">
            <w:pPr>
              <w:widowControl w:val="0"/>
              <w:spacing w:line="300" w:lineRule="exact"/>
              <w:jc w:val="both"/>
              <w:rPr>
                <w:rFonts w:ascii="宋体" w:hAnsi="宋体" w:cs="宋体"/>
                <w:color w:val="000000"/>
                <w:sz w:val="24"/>
              </w:rPr>
            </w:pPr>
            <w:r>
              <w:rPr>
                <w:rFonts w:hint="eastAsia" w:ascii="宋体" w:hAnsi="宋体" w:cs="宋体"/>
                <w:color w:val="000000"/>
                <w:sz w:val="24"/>
              </w:rPr>
              <w:t>“一家亲”工作站建设数（个）</w:t>
            </w:r>
          </w:p>
        </w:tc>
        <w:tc>
          <w:tcPr>
            <w:tcW w:w="3593" w:type="dxa"/>
            <w:vAlign w:val="center"/>
          </w:tcPr>
          <w:p w14:paraId="440A978C">
            <w:pPr>
              <w:widowControl w:val="0"/>
              <w:spacing w:line="300" w:lineRule="exact"/>
              <w:jc w:val="both"/>
              <w:rPr>
                <w:rFonts w:ascii="宋体" w:hAnsi="宋体" w:cs="宋体"/>
                <w:color w:val="000000"/>
                <w:sz w:val="24"/>
              </w:rPr>
            </w:pPr>
            <w:r>
              <w:rPr>
                <w:rFonts w:hint="eastAsia" w:ascii="宋体" w:hAnsi="宋体" w:cs="宋体"/>
                <w:color w:val="000000"/>
                <w:sz w:val="24"/>
              </w:rPr>
              <w:t>县民族宗教局</w:t>
            </w:r>
          </w:p>
        </w:tc>
      </w:tr>
      <w:tr w14:paraId="60605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7EF2B1E3">
            <w:pPr>
              <w:widowControl w:val="0"/>
              <w:spacing w:line="300" w:lineRule="exact"/>
              <w:jc w:val="center"/>
              <w:rPr>
                <w:rFonts w:ascii="宋体" w:hAnsi="宋体" w:cs="宋体"/>
                <w:color w:val="000000"/>
                <w:sz w:val="24"/>
              </w:rPr>
            </w:pPr>
            <w:r>
              <w:rPr>
                <w:rFonts w:hint="eastAsia" w:ascii="宋体" w:hAnsi="宋体" w:cs="宋体"/>
                <w:color w:val="000000"/>
                <w:sz w:val="24"/>
              </w:rPr>
              <w:t>27</w:t>
            </w:r>
          </w:p>
        </w:tc>
        <w:tc>
          <w:tcPr>
            <w:tcW w:w="4800" w:type="dxa"/>
            <w:vAlign w:val="center"/>
          </w:tcPr>
          <w:p w14:paraId="65D14D0C">
            <w:pPr>
              <w:widowControl w:val="0"/>
              <w:spacing w:line="300" w:lineRule="exact"/>
              <w:jc w:val="both"/>
              <w:rPr>
                <w:rFonts w:ascii="宋体" w:hAnsi="宋体" w:cs="宋体"/>
                <w:color w:val="000000"/>
                <w:sz w:val="24"/>
              </w:rPr>
            </w:pPr>
            <w:r>
              <w:rPr>
                <w:rFonts w:hint="eastAsia" w:ascii="宋体" w:hAnsi="宋体" w:cs="宋体"/>
                <w:color w:val="000000"/>
                <w:sz w:val="24"/>
              </w:rPr>
              <w:t>“一网两单”交办问题完成率（%）</w:t>
            </w:r>
          </w:p>
        </w:tc>
        <w:tc>
          <w:tcPr>
            <w:tcW w:w="3593" w:type="dxa"/>
            <w:vAlign w:val="center"/>
          </w:tcPr>
          <w:p w14:paraId="5F3EC7DD">
            <w:pPr>
              <w:widowControl w:val="0"/>
              <w:spacing w:line="300" w:lineRule="exact"/>
              <w:jc w:val="both"/>
              <w:rPr>
                <w:rFonts w:ascii="宋体" w:hAnsi="宋体" w:cs="宋体"/>
                <w:color w:val="000000"/>
                <w:sz w:val="24"/>
              </w:rPr>
            </w:pPr>
            <w:r>
              <w:rPr>
                <w:rFonts w:hint="eastAsia" w:ascii="宋体" w:hAnsi="宋体" w:cs="宋体"/>
                <w:color w:val="000000"/>
                <w:sz w:val="24"/>
              </w:rPr>
              <w:t>县委统战部，县民族宗教局</w:t>
            </w:r>
          </w:p>
        </w:tc>
      </w:tr>
      <w:tr w14:paraId="7630E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78A0872D">
            <w:pPr>
              <w:widowControl w:val="0"/>
              <w:spacing w:line="300" w:lineRule="exact"/>
              <w:jc w:val="center"/>
              <w:rPr>
                <w:rFonts w:ascii="宋体" w:hAnsi="宋体" w:cs="宋体"/>
                <w:color w:val="000000"/>
                <w:sz w:val="24"/>
              </w:rPr>
            </w:pPr>
            <w:r>
              <w:rPr>
                <w:rFonts w:hint="eastAsia" w:ascii="宋体" w:hAnsi="宋体" w:cs="宋体"/>
                <w:color w:val="000000"/>
                <w:sz w:val="24"/>
              </w:rPr>
              <w:t>28</w:t>
            </w:r>
          </w:p>
        </w:tc>
        <w:tc>
          <w:tcPr>
            <w:tcW w:w="4800" w:type="dxa"/>
            <w:vAlign w:val="center"/>
          </w:tcPr>
          <w:p w14:paraId="2124310F">
            <w:pPr>
              <w:widowControl w:val="0"/>
              <w:spacing w:line="300" w:lineRule="exact"/>
              <w:jc w:val="both"/>
              <w:rPr>
                <w:rFonts w:ascii="宋体" w:hAnsi="宋体" w:cs="宋体"/>
                <w:color w:val="000000"/>
                <w:sz w:val="24"/>
              </w:rPr>
            </w:pPr>
            <w:r>
              <w:rPr>
                <w:rFonts w:hint="eastAsia" w:ascii="宋体" w:hAnsi="宋体" w:cs="宋体"/>
                <w:color w:val="000000"/>
                <w:sz w:val="24"/>
              </w:rPr>
              <w:t>涉及民族宗教因素矛盾纠纷排查处置率（%）</w:t>
            </w:r>
          </w:p>
        </w:tc>
        <w:tc>
          <w:tcPr>
            <w:tcW w:w="3593" w:type="dxa"/>
            <w:vAlign w:val="center"/>
          </w:tcPr>
          <w:p w14:paraId="70D09983">
            <w:pPr>
              <w:widowControl w:val="0"/>
              <w:spacing w:line="300" w:lineRule="exact"/>
              <w:jc w:val="both"/>
              <w:rPr>
                <w:rFonts w:ascii="宋体" w:hAnsi="宋体" w:cs="宋体"/>
                <w:color w:val="000000"/>
                <w:sz w:val="24"/>
              </w:rPr>
            </w:pPr>
            <w:r>
              <w:rPr>
                <w:rFonts w:hint="eastAsia" w:ascii="宋体" w:hAnsi="宋体" w:cs="宋体"/>
                <w:color w:val="000000"/>
                <w:sz w:val="24"/>
              </w:rPr>
              <w:t>县民族宗教局、县公安局、县司法局</w:t>
            </w:r>
          </w:p>
        </w:tc>
      </w:tr>
      <w:tr w14:paraId="0BCB7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7D15EEB3">
            <w:pPr>
              <w:widowControl w:val="0"/>
              <w:spacing w:line="300" w:lineRule="exact"/>
              <w:jc w:val="center"/>
              <w:rPr>
                <w:rFonts w:ascii="宋体" w:hAnsi="宋体" w:cs="宋体"/>
                <w:color w:val="000000"/>
                <w:sz w:val="24"/>
              </w:rPr>
            </w:pPr>
            <w:r>
              <w:rPr>
                <w:rFonts w:hint="eastAsia" w:ascii="宋体" w:hAnsi="宋体" w:cs="宋体"/>
                <w:color w:val="000000"/>
                <w:sz w:val="24"/>
              </w:rPr>
              <w:t>29</w:t>
            </w:r>
          </w:p>
        </w:tc>
        <w:tc>
          <w:tcPr>
            <w:tcW w:w="4800" w:type="dxa"/>
            <w:vAlign w:val="center"/>
          </w:tcPr>
          <w:p w14:paraId="4322F1EE">
            <w:pPr>
              <w:widowControl w:val="0"/>
              <w:spacing w:line="300" w:lineRule="exact"/>
              <w:jc w:val="both"/>
              <w:rPr>
                <w:rFonts w:ascii="宋体" w:hAnsi="宋体" w:cs="宋体"/>
                <w:color w:val="000000"/>
                <w:sz w:val="24"/>
              </w:rPr>
            </w:pPr>
            <w:r>
              <w:rPr>
                <w:rFonts w:hint="eastAsia" w:ascii="宋体" w:hAnsi="宋体" w:cs="宋体"/>
                <w:color w:val="000000"/>
                <w:sz w:val="24"/>
              </w:rPr>
              <w:t>涉及民族宗教因素网络舆情排查处置率（%）</w:t>
            </w:r>
          </w:p>
        </w:tc>
        <w:tc>
          <w:tcPr>
            <w:tcW w:w="3593" w:type="dxa"/>
            <w:vAlign w:val="center"/>
          </w:tcPr>
          <w:p w14:paraId="2FC5D105">
            <w:pPr>
              <w:widowControl w:val="0"/>
              <w:spacing w:line="300" w:lineRule="exact"/>
              <w:jc w:val="both"/>
              <w:rPr>
                <w:rFonts w:ascii="宋体" w:hAnsi="宋体" w:cs="宋体"/>
                <w:color w:val="000000"/>
                <w:sz w:val="24"/>
              </w:rPr>
            </w:pPr>
            <w:r>
              <w:rPr>
                <w:rFonts w:hint="eastAsia" w:ascii="宋体" w:hAnsi="宋体" w:cs="宋体"/>
                <w:color w:val="000000"/>
                <w:sz w:val="24"/>
              </w:rPr>
              <w:t>县委网信办、县民族宗教局</w:t>
            </w:r>
          </w:p>
        </w:tc>
      </w:tr>
      <w:tr w14:paraId="67570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7" w:type="dxa"/>
            <w:gridSpan w:val="3"/>
          </w:tcPr>
          <w:p w14:paraId="04418406">
            <w:pPr>
              <w:widowControl w:val="0"/>
              <w:spacing w:line="300" w:lineRule="exact"/>
              <w:jc w:val="left"/>
              <w:rPr>
                <w:rFonts w:ascii="宋体" w:hAnsi="宋体" w:cs="宋体"/>
                <w:color w:val="000000"/>
                <w:sz w:val="24"/>
              </w:rPr>
            </w:pPr>
            <w:r>
              <w:rPr>
                <w:rFonts w:hint="eastAsia" w:ascii="黑体" w:hAnsi="黑体" w:eastAsia="黑体" w:cs="黑体"/>
                <w:color w:val="000000"/>
                <w:sz w:val="24"/>
              </w:rPr>
              <w:t>二、主要任务</w:t>
            </w:r>
          </w:p>
        </w:tc>
      </w:tr>
      <w:tr w14:paraId="47BF6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14:paraId="225E9C75">
            <w:pPr>
              <w:widowControl w:val="0"/>
              <w:spacing w:line="300" w:lineRule="exact"/>
              <w:jc w:val="center"/>
              <w:rPr>
                <w:rFonts w:ascii="宋体" w:hAnsi="宋体" w:cs="宋体"/>
                <w:color w:val="000000"/>
                <w:sz w:val="24"/>
              </w:rPr>
            </w:pPr>
            <w:r>
              <w:rPr>
                <w:rFonts w:hint="eastAsia" w:ascii="黑体" w:hAnsi="黑体" w:eastAsia="黑体" w:cs="黑体"/>
                <w:color w:val="000000"/>
                <w:sz w:val="24"/>
              </w:rPr>
              <w:t>序号</w:t>
            </w:r>
          </w:p>
        </w:tc>
        <w:tc>
          <w:tcPr>
            <w:tcW w:w="4800" w:type="dxa"/>
          </w:tcPr>
          <w:p w14:paraId="0A2294EC">
            <w:pPr>
              <w:widowControl w:val="0"/>
              <w:spacing w:line="300" w:lineRule="exact"/>
              <w:jc w:val="center"/>
              <w:rPr>
                <w:rFonts w:ascii="宋体" w:hAnsi="宋体" w:cs="宋体"/>
                <w:color w:val="000000"/>
                <w:sz w:val="24"/>
              </w:rPr>
            </w:pPr>
            <w:r>
              <w:rPr>
                <w:rFonts w:hint="eastAsia" w:ascii="黑体" w:hAnsi="黑体" w:eastAsia="黑体" w:cs="黑体"/>
                <w:color w:val="000000"/>
                <w:sz w:val="24"/>
              </w:rPr>
              <w:t>主要任务</w:t>
            </w:r>
          </w:p>
        </w:tc>
        <w:tc>
          <w:tcPr>
            <w:tcW w:w="3593" w:type="dxa"/>
          </w:tcPr>
          <w:p w14:paraId="33D849E9">
            <w:pPr>
              <w:widowControl w:val="0"/>
              <w:spacing w:line="300" w:lineRule="exact"/>
              <w:jc w:val="center"/>
              <w:rPr>
                <w:rFonts w:ascii="宋体" w:hAnsi="宋体" w:cs="宋体"/>
                <w:color w:val="000000"/>
                <w:sz w:val="24"/>
              </w:rPr>
            </w:pPr>
            <w:r>
              <w:rPr>
                <w:rFonts w:hint="eastAsia" w:ascii="黑体" w:hAnsi="黑体" w:eastAsia="黑体" w:cs="黑体"/>
                <w:color w:val="000000"/>
                <w:sz w:val="24"/>
              </w:rPr>
              <w:t>责任部门</w:t>
            </w:r>
          </w:p>
        </w:tc>
      </w:tr>
      <w:tr w14:paraId="3A554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414916C7">
            <w:pPr>
              <w:widowControl w:val="0"/>
              <w:spacing w:line="300" w:lineRule="exact"/>
              <w:jc w:val="center"/>
              <w:rPr>
                <w:rFonts w:ascii="宋体" w:hAnsi="宋体" w:cs="宋体"/>
                <w:color w:val="000000"/>
                <w:sz w:val="24"/>
              </w:rPr>
            </w:pPr>
            <w:r>
              <w:rPr>
                <w:rFonts w:hint="eastAsia" w:ascii="宋体" w:hAnsi="宋体" w:cs="宋体"/>
                <w:color w:val="000000"/>
                <w:sz w:val="24"/>
              </w:rPr>
              <w:t>1</w:t>
            </w:r>
          </w:p>
        </w:tc>
        <w:tc>
          <w:tcPr>
            <w:tcW w:w="4800" w:type="dxa"/>
            <w:vAlign w:val="center"/>
          </w:tcPr>
          <w:p w14:paraId="5A5189B3">
            <w:pPr>
              <w:widowControl w:val="0"/>
              <w:spacing w:line="300" w:lineRule="exact"/>
              <w:jc w:val="left"/>
              <w:rPr>
                <w:rFonts w:ascii="宋体" w:hAnsi="宋体" w:cs="宋体"/>
                <w:color w:val="000000"/>
                <w:sz w:val="24"/>
              </w:rPr>
            </w:pPr>
            <w:r>
              <w:rPr>
                <w:rFonts w:hint="eastAsia" w:ascii="宋体" w:hAnsi="宋体" w:cs="宋体"/>
                <w:color w:val="000000"/>
                <w:sz w:val="24"/>
              </w:rPr>
              <w:t>加强党对民族宗教工作的全面领导，在夯实中华民族共同体政治基础上作出表率</w:t>
            </w:r>
          </w:p>
        </w:tc>
        <w:tc>
          <w:tcPr>
            <w:tcW w:w="3593" w:type="dxa"/>
          </w:tcPr>
          <w:p w14:paraId="6A39232F">
            <w:pPr>
              <w:widowControl w:val="0"/>
              <w:spacing w:line="300" w:lineRule="exact"/>
              <w:jc w:val="left"/>
              <w:rPr>
                <w:rFonts w:ascii="宋体" w:hAnsi="宋体" w:cs="宋体"/>
                <w:color w:val="000000"/>
                <w:sz w:val="24"/>
              </w:rPr>
            </w:pPr>
            <w:r>
              <w:rPr>
                <w:rFonts w:hint="eastAsia" w:ascii="宋体" w:hAnsi="宋体" w:cs="宋体"/>
                <w:color w:val="000000"/>
                <w:sz w:val="24"/>
              </w:rPr>
              <w:t>县委组织部、县委宣传部、县委统战部，县民族宗教局、县人力资源和社会保障局，各乡镇（街道）</w:t>
            </w:r>
          </w:p>
        </w:tc>
      </w:tr>
      <w:tr w14:paraId="14EF4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146AE654">
            <w:pPr>
              <w:widowControl w:val="0"/>
              <w:spacing w:line="300" w:lineRule="exact"/>
              <w:jc w:val="center"/>
              <w:rPr>
                <w:rFonts w:ascii="宋体" w:hAnsi="宋体" w:cs="宋体"/>
                <w:color w:val="000000"/>
                <w:sz w:val="24"/>
              </w:rPr>
            </w:pPr>
            <w:r>
              <w:rPr>
                <w:rFonts w:hint="eastAsia" w:ascii="宋体" w:hAnsi="宋体" w:cs="宋体"/>
                <w:color w:val="000000"/>
                <w:sz w:val="24"/>
              </w:rPr>
              <w:t>2</w:t>
            </w:r>
          </w:p>
        </w:tc>
        <w:tc>
          <w:tcPr>
            <w:tcW w:w="4800" w:type="dxa"/>
            <w:vAlign w:val="center"/>
          </w:tcPr>
          <w:p w14:paraId="0058D85F">
            <w:pPr>
              <w:widowControl w:val="0"/>
              <w:spacing w:line="300" w:lineRule="exact"/>
              <w:jc w:val="left"/>
              <w:rPr>
                <w:rFonts w:ascii="宋体" w:hAnsi="宋体" w:cs="宋体"/>
                <w:color w:val="000000"/>
                <w:sz w:val="24"/>
              </w:rPr>
            </w:pPr>
            <w:r>
              <w:rPr>
                <w:rFonts w:hint="eastAsia" w:ascii="宋体" w:hAnsi="宋体" w:cs="宋体"/>
                <w:color w:val="000000"/>
                <w:sz w:val="24"/>
              </w:rPr>
              <w:t>推进中华民族共有精神家园建设，在夯实中华民族共同体文化基础上作出表率</w:t>
            </w:r>
          </w:p>
        </w:tc>
        <w:tc>
          <w:tcPr>
            <w:tcW w:w="3593" w:type="dxa"/>
          </w:tcPr>
          <w:p w14:paraId="5BAAC009">
            <w:pPr>
              <w:widowControl w:val="0"/>
              <w:spacing w:line="300" w:lineRule="exact"/>
              <w:jc w:val="left"/>
              <w:rPr>
                <w:rFonts w:ascii="宋体" w:hAnsi="宋体" w:cs="宋体"/>
                <w:color w:val="000000"/>
                <w:sz w:val="24"/>
              </w:rPr>
            </w:pPr>
            <w:r>
              <w:rPr>
                <w:rFonts w:hint="eastAsia" w:ascii="宋体" w:hAnsi="宋体" w:cs="宋体"/>
                <w:color w:val="000000"/>
                <w:sz w:val="24"/>
              </w:rPr>
              <w:t>县委宣传部、县民族宗教局、</w:t>
            </w:r>
            <w:r>
              <w:rPr>
                <w:rFonts w:hint="eastAsia" w:ascii="宋体" w:hAnsi="宋体" w:cs="宋体"/>
                <w:color w:val="000000"/>
                <w:spacing w:val="-23"/>
                <w:sz w:val="24"/>
              </w:rPr>
              <w:t>县住房和城乡建设局、</w:t>
            </w:r>
            <w:r>
              <w:rPr>
                <w:rFonts w:hint="eastAsia" w:ascii="宋体" w:hAnsi="宋体" w:cs="宋体"/>
                <w:color w:val="000000"/>
                <w:spacing w:val="-17"/>
                <w:sz w:val="24"/>
              </w:rPr>
              <w:t>县文化和旅游局、县融媒体中心、</w:t>
            </w:r>
            <w:r>
              <w:rPr>
                <w:rFonts w:hint="eastAsia" w:ascii="宋体" w:hAnsi="宋体" w:cs="宋体"/>
                <w:color w:val="000000"/>
                <w:sz w:val="24"/>
              </w:rPr>
              <w:t>县教育体育局，各乡镇（街道）</w:t>
            </w:r>
          </w:p>
        </w:tc>
      </w:tr>
      <w:tr w14:paraId="30ABD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3E26F51F">
            <w:pPr>
              <w:widowControl w:val="0"/>
              <w:spacing w:line="300" w:lineRule="exact"/>
              <w:jc w:val="center"/>
              <w:rPr>
                <w:rFonts w:ascii="宋体" w:hAnsi="宋体" w:cs="宋体"/>
                <w:color w:val="000000"/>
                <w:sz w:val="24"/>
              </w:rPr>
            </w:pPr>
            <w:r>
              <w:rPr>
                <w:rFonts w:hint="eastAsia" w:ascii="宋体" w:hAnsi="宋体" w:cs="宋体"/>
                <w:color w:val="000000"/>
                <w:sz w:val="24"/>
              </w:rPr>
              <w:t>3</w:t>
            </w:r>
          </w:p>
        </w:tc>
        <w:tc>
          <w:tcPr>
            <w:tcW w:w="4800" w:type="dxa"/>
            <w:vAlign w:val="center"/>
          </w:tcPr>
          <w:p w14:paraId="0A43F995">
            <w:pPr>
              <w:widowControl w:val="0"/>
              <w:spacing w:line="300" w:lineRule="exact"/>
              <w:jc w:val="left"/>
              <w:rPr>
                <w:rFonts w:ascii="宋体" w:hAnsi="宋体" w:cs="宋体"/>
                <w:color w:val="000000"/>
                <w:sz w:val="24"/>
              </w:rPr>
            </w:pPr>
            <w:r>
              <w:rPr>
                <w:rFonts w:hint="eastAsia" w:ascii="宋体" w:hAnsi="宋体" w:cs="宋体"/>
                <w:color w:val="000000"/>
                <w:sz w:val="24"/>
              </w:rPr>
              <w:t>推动各民族共同走向社会主义现代化，在夯实中华民族共同体物质基础上作出表率</w:t>
            </w:r>
          </w:p>
        </w:tc>
        <w:tc>
          <w:tcPr>
            <w:tcW w:w="3593" w:type="dxa"/>
          </w:tcPr>
          <w:p w14:paraId="1F539218">
            <w:pPr>
              <w:widowControl w:val="0"/>
              <w:spacing w:line="300" w:lineRule="exact"/>
              <w:jc w:val="left"/>
              <w:rPr>
                <w:rFonts w:ascii="宋体" w:hAnsi="宋体" w:cs="宋体"/>
                <w:color w:val="000000"/>
                <w:sz w:val="24"/>
              </w:rPr>
            </w:pPr>
            <w:r>
              <w:rPr>
                <w:rFonts w:hint="eastAsia" w:ascii="宋体" w:hAnsi="宋体" w:cs="宋体"/>
                <w:color w:val="000000"/>
                <w:spacing w:val="-23"/>
                <w:sz w:val="24"/>
              </w:rPr>
              <w:t>县发展和改革局、县交通运输局、县水务局、县农业农村局、县工业和信息化局、</w:t>
            </w:r>
            <w:r>
              <w:rPr>
                <w:rFonts w:hint="eastAsia" w:ascii="宋体" w:hAnsi="宋体" w:cs="宋体"/>
                <w:color w:val="000000"/>
                <w:spacing w:val="-17"/>
                <w:sz w:val="24"/>
              </w:rPr>
              <w:t>县文化和旅游局、</w:t>
            </w:r>
            <w:r>
              <w:rPr>
                <w:rFonts w:hint="eastAsia" w:ascii="宋体" w:hAnsi="宋体" w:cs="宋体"/>
                <w:color w:val="000000"/>
                <w:spacing w:val="-23"/>
                <w:sz w:val="24"/>
              </w:rPr>
              <w:t>县外办、县住房和城乡建设局、县乡村振兴局、</w:t>
            </w:r>
            <w:r>
              <w:rPr>
                <w:rFonts w:hint="eastAsia" w:ascii="宋体" w:hAnsi="宋体" w:cs="宋体"/>
                <w:color w:val="000000"/>
                <w:sz w:val="24"/>
              </w:rPr>
              <w:t>县</w:t>
            </w:r>
            <w:r>
              <w:rPr>
                <w:rFonts w:hint="eastAsia" w:ascii="宋体" w:hAnsi="宋体" w:cs="宋体"/>
                <w:color w:val="000000"/>
                <w:spacing w:val="-23"/>
                <w:sz w:val="24"/>
              </w:rPr>
              <w:t>民族宗教局、</w:t>
            </w:r>
            <w:r>
              <w:rPr>
                <w:rFonts w:hint="eastAsia" w:ascii="宋体" w:hAnsi="宋体" w:cs="宋体"/>
                <w:color w:val="000000"/>
                <w:sz w:val="24"/>
              </w:rPr>
              <w:t>县</w:t>
            </w:r>
            <w:r>
              <w:rPr>
                <w:rFonts w:hint="eastAsia" w:ascii="宋体" w:hAnsi="宋体" w:cs="宋体"/>
                <w:color w:val="000000"/>
                <w:spacing w:val="-23"/>
                <w:sz w:val="24"/>
              </w:rPr>
              <w:t>财政局、</w:t>
            </w:r>
            <w:r>
              <w:rPr>
                <w:rFonts w:hint="eastAsia" w:ascii="宋体" w:hAnsi="宋体" w:cs="宋体"/>
                <w:color w:val="000000"/>
                <w:spacing w:val="-11"/>
                <w:sz w:val="24"/>
              </w:rPr>
              <w:t>县自然资源局、</w:t>
            </w:r>
            <w:r>
              <w:rPr>
                <w:rFonts w:hint="eastAsia" w:ascii="宋体" w:hAnsi="宋体" w:cs="宋体"/>
                <w:color w:val="000000"/>
                <w:spacing w:val="-23"/>
                <w:sz w:val="24"/>
              </w:rPr>
              <w:t>市</w:t>
            </w:r>
            <w:r>
              <w:rPr>
                <w:rFonts w:hint="eastAsia" w:ascii="宋体" w:hAnsi="宋体" w:cs="宋体"/>
                <w:color w:val="000000"/>
                <w:spacing w:val="-11"/>
                <w:sz w:val="24"/>
              </w:rPr>
              <w:t>生态环境局石林分局、县林业和草原局、</w:t>
            </w:r>
            <w:r>
              <w:rPr>
                <w:rFonts w:hint="eastAsia" w:ascii="宋体" w:hAnsi="宋体" w:cs="宋体"/>
                <w:color w:val="000000"/>
                <w:spacing w:val="-23"/>
                <w:sz w:val="24"/>
              </w:rPr>
              <w:t>县通信管理局，</w:t>
            </w:r>
            <w:r>
              <w:rPr>
                <w:rFonts w:hint="eastAsia" w:ascii="宋体" w:hAnsi="宋体" w:cs="宋体"/>
                <w:color w:val="000000"/>
                <w:sz w:val="24"/>
              </w:rPr>
              <w:t>各乡镇（街道）</w:t>
            </w:r>
          </w:p>
        </w:tc>
      </w:tr>
      <w:tr w14:paraId="229CA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215111BF">
            <w:pPr>
              <w:widowControl w:val="0"/>
              <w:spacing w:line="300" w:lineRule="exact"/>
              <w:jc w:val="center"/>
              <w:rPr>
                <w:rFonts w:ascii="宋体" w:hAnsi="宋体" w:cs="宋体"/>
                <w:color w:val="000000"/>
                <w:sz w:val="24"/>
              </w:rPr>
            </w:pPr>
            <w:r>
              <w:rPr>
                <w:rFonts w:hint="eastAsia" w:ascii="宋体" w:hAnsi="宋体" w:cs="宋体"/>
                <w:color w:val="000000"/>
                <w:sz w:val="24"/>
              </w:rPr>
              <w:t>4</w:t>
            </w:r>
          </w:p>
        </w:tc>
        <w:tc>
          <w:tcPr>
            <w:tcW w:w="4800" w:type="dxa"/>
            <w:vAlign w:val="center"/>
          </w:tcPr>
          <w:p w14:paraId="2FB786C0">
            <w:pPr>
              <w:widowControl w:val="0"/>
              <w:spacing w:line="300" w:lineRule="exact"/>
              <w:jc w:val="left"/>
              <w:rPr>
                <w:rFonts w:ascii="宋体" w:hAnsi="宋体" w:cs="宋体"/>
                <w:color w:val="000000"/>
                <w:sz w:val="24"/>
              </w:rPr>
            </w:pPr>
            <w:r>
              <w:rPr>
                <w:rFonts w:hint="eastAsia" w:ascii="宋体" w:hAnsi="宋体" w:cs="宋体"/>
                <w:color w:val="000000"/>
                <w:sz w:val="24"/>
              </w:rPr>
              <w:t>促进各民族交往交流交融，在夯实中华民族共同体社会基础上作出表率</w:t>
            </w:r>
          </w:p>
        </w:tc>
        <w:tc>
          <w:tcPr>
            <w:tcW w:w="3593" w:type="dxa"/>
          </w:tcPr>
          <w:p w14:paraId="1A650BC6">
            <w:pPr>
              <w:widowControl w:val="0"/>
              <w:spacing w:line="300" w:lineRule="exact"/>
              <w:jc w:val="left"/>
              <w:rPr>
                <w:rFonts w:ascii="宋体" w:hAnsi="宋体" w:cs="宋体"/>
                <w:color w:val="000000"/>
                <w:sz w:val="24"/>
              </w:rPr>
            </w:pPr>
            <w:r>
              <w:rPr>
                <w:rFonts w:hint="eastAsia" w:ascii="宋体" w:hAnsi="宋体" w:cs="宋体"/>
                <w:color w:val="000000"/>
                <w:sz w:val="24"/>
              </w:rPr>
              <w:t>县委宣传部、县委统战部、</w:t>
            </w:r>
            <w:r>
              <w:rPr>
                <w:rFonts w:hint="eastAsia" w:ascii="宋体" w:hAnsi="宋体" w:cs="宋体"/>
                <w:color w:val="000000"/>
                <w:spacing w:val="-6"/>
                <w:sz w:val="24"/>
              </w:rPr>
              <w:t>县</w:t>
            </w:r>
            <w:r>
              <w:rPr>
                <w:rFonts w:hint="eastAsia"/>
                <w:color w:val="000000"/>
                <w:spacing w:val="-6"/>
                <w:sz w:val="24"/>
              </w:rPr>
              <w:t>民族宗教局、县教育体育局、</w:t>
            </w:r>
            <w:r>
              <w:rPr>
                <w:rFonts w:hint="eastAsia" w:ascii="宋体" w:hAnsi="宋体" w:cs="宋体"/>
                <w:color w:val="000000"/>
                <w:spacing w:val="-23"/>
                <w:sz w:val="24"/>
              </w:rPr>
              <w:t>县</w:t>
            </w:r>
            <w:r>
              <w:rPr>
                <w:rFonts w:hint="eastAsia" w:ascii="宋体" w:hAnsi="宋体" w:cs="宋体"/>
                <w:color w:val="000000"/>
                <w:sz w:val="24"/>
              </w:rPr>
              <w:t>人力资源和社会保障局、县民政局、</w:t>
            </w:r>
            <w:r>
              <w:rPr>
                <w:rFonts w:hint="eastAsia" w:ascii="宋体" w:hAnsi="宋体" w:cs="宋体"/>
                <w:color w:val="000000"/>
                <w:spacing w:val="-23"/>
                <w:sz w:val="24"/>
              </w:rPr>
              <w:t>县卫生健康局、县医保局</w:t>
            </w:r>
            <w:r>
              <w:rPr>
                <w:rFonts w:hint="eastAsia" w:ascii="宋体" w:hAnsi="宋体" w:cs="宋体"/>
                <w:color w:val="000000"/>
                <w:sz w:val="24"/>
              </w:rPr>
              <w:t>，各乡镇（街道）</w:t>
            </w:r>
          </w:p>
        </w:tc>
      </w:tr>
      <w:tr w14:paraId="6C1E5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3FA635AE">
            <w:pPr>
              <w:widowControl w:val="0"/>
              <w:spacing w:line="300" w:lineRule="exact"/>
              <w:jc w:val="center"/>
              <w:rPr>
                <w:rFonts w:ascii="宋体" w:hAnsi="宋体" w:cs="宋体"/>
                <w:color w:val="000000"/>
                <w:sz w:val="24"/>
              </w:rPr>
            </w:pPr>
            <w:r>
              <w:rPr>
                <w:rFonts w:hint="eastAsia" w:ascii="宋体" w:hAnsi="宋体" w:cs="宋体"/>
                <w:color w:val="000000"/>
                <w:sz w:val="24"/>
              </w:rPr>
              <w:t>5</w:t>
            </w:r>
          </w:p>
        </w:tc>
        <w:tc>
          <w:tcPr>
            <w:tcW w:w="4800" w:type="dxa"/>
            <w:vAlign w:val="center"/>
          </w:tcPr>
          <w:p w14:paraId="693E9BF3">
            <w:pPr>
              <w:widowControl w:val="0"/>
              <w:spacing w:line="300" w:lineRule="exact"/>
              <w:jc w:val="left"/>
              <w:rPr>
                <w:rFonts w:ascii="宋体" w:hAnsi="宋体" w:cs="宋体"/>
                <w:color w:val="000000"/>
                <w:sz w:val="24"/>
              </w:rPr>
            </w:pPr>
            <w:r>
              <w:rPr>
                <w:rFonts w:hint="eastAsia" w:ascii="宋体" w:hAnsi="宋体" w:cs="宋体"/>
                <w:color w:val="000000"/>
                <w:sz w:val="24"/>
              </w:rPr>
              <w:t>提升民族宗教事务治理能力和治理水平现代化，在夯实中华民族共同体法治基础上作出表率</w:t>
            </w:r>
          </w:p>
        </w:tc>
        <w:tc>
          <w:tcPr>
            <w:tcW w:w="3593" w:type="dxa"/>
          </w:tcPr>
          <w:p w14:paraId="313660F3">
            <w:pPr>
              <w:widowControl w:val="0"/>
              <w:spacing w:line="300" w:lineRule="exact"/>
              <w:jc w:val="left"/>
              <w:rPr>
                <w:color w:val="000000"/>
                <w:sz w:val="24"/>
              </w:rPr>
            </w:pPr>
            <w:r>
              <w:rPr>
                <w:rFonts w:hint="eastAsia" w:ascii="宋体" w:hAnsi="宋体" w:cs="宋体"/>
                <w:color w:val="000000"/>
                <w:sz w:val="24"/>
              </w:rPr>
              <w:t>县委统战部、县委政法委、县民族宗教局、县公安局、县司法局、县应急局、各乡镇（街道）</w:t>
            </w:r>
          </w:p>
        </w:tc>
      </w:tr>
      <w:tr w14:paraId="41F34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47" w:type="dxa"/>
            <w:gridSpan w:val="3"/>
          </w:tcPr>
          <w:p w14:paraId="29A568C4">
            <w:pPr>
              <w:widowControl w:val="0"/>
              <w:spacing w:line="300" w:lineRule="exact"/>
              <w:jc w:val="left"/>
              <w:rPr>
                <w:rFonts w:ascii="宋体" w:hAnsi="宋体" w:cs="宋体"/>
                <w:color w:val="000000"/>
                <w:sz w:val="24"/>
              </w:rPr>
            </w:pPr>
            <w:r>
              <w:rPr>
                <w:rFonts w:hint="eastAsia" w:ascii="黑体" w:hAnsi="黑体" w:eastAsia="黑体" w:cs="黑体"/>
                <w:color w:val="000000"/>
                <w:sz w:val="24"/>
              </w:rPr>
              <w:t>三、专栏</w:t>
            </w:r>
          </w:p>
        </w:tc>
      </w:tr>
      <w:tr w14:paraId="6D053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14:paraId="20BCAE3F">
            <w:pPr>
              <w:widowControl w:val="0"/>
              <w:spacing w:line="300" w:lineRule="exact"/>
              <w:jc w:val="center"/>
              <w:rPr>
                <w:rFonts w:ascii="宋体" w:hAnsi="宋体" w:cs="宋体"/>
                <w:color w:val="000000"/>
                <w:sz w:val="24"/>
              </w:rPr>
            </w:pPr>
            <w:r>
              <w:rPr>
                <w:rFonts w:hint="eastAsia" w:ascii="黑体" w:hAnsi="黑体" w:eastAsia="黑体" w:cs="黑体"/>
                <w:color w:val="000000"/>
                <w:sz w:val="24"/>
              </w:rPr>
              <w:t>序号</w:t>
            </w:r>
          </w:p>
        </w:tc>
        <w:tc>
          <w:tcPr>
            <w:tcW w:w="4800" w:type="dxa"/>
            <w:vAlign w:val="center"/>
          </w:tcPr>
          <w:p w14:paraId="52172724">
            <w:pPr>
              <w:widowControl w:val="0"/>
              <w:spacing w:line="300" w:lineRule="exact"/>
              <w:jc w:val="center"/>
              <w:rPr>
                <w:rFonts w:ascii="宋体" w:hAnsi="宋体" w:cs="宋体"/>
                <w:color w:val="000000"/>
                <w:sz w:val="24"/>
              </w:rPr>
            </w:pPr>
            <w:r>
              <w:rPr>
                <w:rFonts w:hint="eastAsia" w:ascii="黑体" w:hAnsi="黑体" w:eastAsia="黑体" w:cs="黑体"/>
                <w:color w:val="000000"/>
                <w:sz w:val="24"/>
              </w:rPr>
              <w:t>专栏任务</w:t>
            </w:r>
          </w:p>
        </w:tc>
        <w:tc>
          <w:tcPr>
            <w:tcW w:w="3593" w:type="dxa"/>
            <w:vAlign w:val="center"/>
          </w:tcPr>
          <w:p w14:paraId="53CF3844">
            <w:pPr>
              <w:widowControl w:val="0"/>
              <w:spacing w:line="300" w:lineRule="exact"/>
              <w:jc w:val="center"/>
              <w:rPr>
                <w:rFonts w:ascii="宋体" w:hAnsi="宋体" w:cs="宋体"/>
                <w:color w:val="000000"/>
                <w:sz w:val="24"/>
              </w:rPr>
            </w:pPr>
            <w:r>
              <w:rPr>
                <w:rFonts w:hint="eastAsia" w:ascii="黑体" w:hAnsi="黑体" w:eastAsia="黑体" w:cs="黑体"/>
                <w:color w:val="000000"/>
                <w:sz w:val="24"/>
              </w:rPr>
              <w:t>责任部门</w:t>
            </w:r>
          </w:p>
        </w:tc>
      </w:tr>
      <w:tr w14:paraId="5B308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3426B221">
            <w:pPr>
              <w:widowControl w:val="0"/>
              <w:spacing w:line="300" w:lineRule="exact"/>
              <w:jc w:val="center"/>
              <w:rPr>
                <w:rFonts w:ascii="宋体" w:hAnsi="宋体" w:cs="宋体"/>
                <w:color w:val="000000"/>
                <w:sz w:val="24"/>
              </w:rPr>
            </w:pPr>
            <w:r>
              <w:rPr>
                <w:rFonts w:hint="eastAsia" w:ascii="宋体" w:hAnsi="宋体" w:cs="宋体"/>
                <w:color w:val="000000"/>
                <w:sz w:val="24"/>
              </w:rPr>
              <w:t>1</w:t>
            </w:r>
          </w:p>
        </w:tc>
        <w:tc>
          <w:tcPr>
            <w:tcW w:w="4800" w:type="dxa"/>
            <w:vAlign w:val="center"/>
          </w:tcPr>
          <w:p w14:paraId="29C4E53B">
            <w:pPr>
              <w:widowControl w:val="0"/>
              <w:spacing w:line="300" w:lineRule="exact"/>
              <w:jc w:val="both"/>
              <w:rPr>
                <w:rFonts w:ascii="宋体" w:hAnsi="宋体" w:cs="宋体"/>
                <w:color w:val="000000"/>
                <w:sz w:val="24"/>
              </w:rPr>
            </w:pPr>
            <w:r>
              <w:rPr>
                <w:rFonts w:hint="eastAsia" w:ascii="宋体" w:hAnsi="宋体" w:cs="宋体"/>
                <w:color w:val="000000"/>
                <w:sz w:val="24"/>
              </w:rPr>
              <w:t>全面开展“自强、诚信、感恩”主题教育</w:t>
            </w:r>
          </w:p>
        </w:tc>
        <w:tc>
          <w:tcPr>
            <w:tcW w:w="3593" w:type="dxa"/>
            <w:vAlign w:val="center"/>
          </w:tcPr>
          <w:p w14:paraId="0DBF0E75">
            <w:pPr>
              <w:widowControl w:val="0"/>
              <w:spacing w:line="300" w:lineRule="exact"/>
              <w:jc w:val="both"/>
              <w:rPr>
                <w:rFonts w:ascii="宋体" w:hAnsi="宋体" w:cs="宋体"/>
                <w:color w:val="000000"/>
                <w:sz w:val="24"/>
              </w:rPr>
            </w:pPr>
            <w:r>
              <w:rPr>
                <w:rFonts w:hint="eastAsia" w:ascii="宋体" w:hAnsi="宋体" w:cs="宋体"/>
                <w:color w:val="000000"/>
                <w:sz w:val="24"/>
              </w:rPr>
              <w:t>县委宣传部</w:t>
            </w:r>
          </w:p>
        </w:tc>
      </w:tr>
      <w:tr w14:paraId="4B9CF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77066CE3">
            <w:pPr>
              <w:widowControl w:val="0"/>
              <w:spacing w:line="300" w:lineRule="exact"/>
              <w:jc w:val="center"/>
              <w:rPr>
                <w:rFonts w:ascii="宋体" w:hAnsi="宋体" w:cs="宋体"/>
                <w:color w:val="000000"/>
                <w:sz w:val="24"/>
              </w:rPr>
            </w:pPr>
            <w:r>
              <w:rPr>
                <w:rFonts w:hint="eastAsia" w:ascii="宋体" w:hAnsi="宋体" w:cs="宋体"/>
                <w:color w:val="000000"/>
                <w:sz w:val="24"/>
              </w:rPr>
              <w:t>2</w:t>
            </w:r>
          </w:p>
        </w:tc>
        <w:tc>
          <w:tcPr>
            <w:tcW w:w="4800" w:type="dxa"/>
            <w:vAlign w:val="center"/>
          </w:tcPr>
          <w:p w14:paraId="4795289E">
            <w:pPr>
              <w:widowControl w:val="0"/>
              <w:spacing w:line="300" w:lineRule="exact"/>
              <w:jc w:val="both"/>
              <w:rPr>
                <w:rFonts w:ascii="宋体" w:hAnsi="宋体" w:cs="宋体"/>
                <w:color w:val="000000"/>
                <w:sz w:val="24"/>
              </w:rPr>
            </w:pPr>
            <w:r>
              <w:rPr>
                <w:rFonts w:hint="eastAsia" w:ascii="宋体" w:hAnsi="宋体" w:cs="宋体"/>
                <w:color w:val="000000"/>
                <w:sz w:val="24"/>
              </w:rPr>
              <w:t>加强干部教育培训</w:t>
            </w:r>
          </w:p>
        </w:tc>
        <w:tc>
          <w:tcPr>
            <w:tcW w:w="3593" w:type="dxa"/>
            <w:vAlign w:val="center"/>
          </w:tcPr>
          <w:p w14:paraId="4CEE7DE7">
            <w:pPr>
              <w:widowControl w:val="0"/>
              <w:spacing w:line="300" w:lineRule="exact"/>
              <w:jc w:val="both"/>
              <w:rPr>
                <w:rFonts w:ascii="宋体" w:hAnsi="宋体" w:cs="宋体"/>
                <w:color w:val="000000"/>
                <w:sz w:val="24"/>
              </w:rPr>
            </w:pPr>
            <w:r>
              <w:rPr>
                <w:rFonts w:hint="eastAsia" w:ascii="宋体" w:hAnsi="宋体" w:cs="宋体"/>
                <w:color w:val="000000"/>
                <w:sz w:val="24"/>
              </w:rPr>
              <w:t>县委组织部、县委党校、</w:t>
            </w:r>
            <w:r>
              <w:rPr>
                <w:rFonts w:hint="eastAsia" w:ascii="宋体" w:hAnsi="宋体" w:cs="宋体"/>
                <w:color w:val="000000"/>
                <w:spacing w:val="-6"/>
                <w:sz w:val="24"/>
              </w:rPr>
              <w:t>县</w:t>
            </w:r>
            <w:r>
              <w:rPr>
                <w:rFonts w:hint="eastAsia"/>
                <w:color w:val="000000"/>
                <w:spacing w:val="-6"/>
                <w:sz w:val="24"/>
              </w:rPr>
              <w:t>民族宗教局</w:t>
            </w:r>
          </w:p>
        </w:tc>
      </w:tr>
      <w:tr w14:paraId="5CF65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174557AF">
            <w:pPr>
              <w:widowControl w:val="0"/>
              <w:spacing w:line="300" w:lineRule="exact"/>
              <w:jc w:val="center"/>
              <w:rPr>
                <w:rFonts w:ascii="宋体" w:hAnsi="宋体" w:cs="宋体"/>
                <w:color w:val="000000"/>
                <w:sz w:val="24"/>
              </w:rPr>
            </w:pPr>
            <w:r>
              <w:rPr>
                <w:rFonts w:hint="eastAsia" w:ascii="宋体" w:hAnsi="宋体" w:cs="宋体"/>
                <w:color w:val="000000"/>
                <w:sz w:val="24"/>
              </w:rPr>
              <w:t>3</w:t>
            </w:r>
          </w:p>
        </w:tc>
        <w:tc>
          <w:tcPr>
            <w:tcW w:w="4800" w:type="dxa"/>
            <w:vAlign w:val="center"/>
          </w:tcPr>
          <w:p w14:paraId="695FAE00">
            <w:pPr>
              <w:widowControl w:val="0"/>
              <w:spacing w:line="300" w:lineRule="exact"/>
              <w:jc w:val="both"/>
              <w:rPr>
                <w:rFonts w:ascii="宋体" w:hAnsi="宋体" w:cs="宋体"/>
                <w:color w:val="000000"/>
                <w:sz w:val="24"/>
              </w:rPr>
            </w:pPr>
            <w:r>
              <w:rPr>
                <w:rFonts w:hint="eastAsia" w:ascii="宋体" w:hAnsi="宋体" w:cs="宋体"/>
                <w:color w:val="000000"/>
                <w:sz w:val="24"/>
              </w:rPr>
              <w:t>中华民族视觉形象工程</w:t>
            </w:r>
          </w:p>
        </w:tc>
        <w:tc>
          <w:tcPr>
            <w:tcW w:w="3593" w:type="dxa"/>
            <w:vAlign w:val="center"/>
          </w:tcPr>
          <w:p w14:paraId="45CB0F0C">
            <w:pPr>
              <w:widowControl w:val="0"/>
              <w:spacing w:line="300" w:lineRule="exact"/>
              <w:jc w:val="both"/>
              <w:rPr>
                <w:rFonts w:ascii="宋体" w:hAnsi="宋体" w:cs="宋体"/>
                <w:color w:val="000000"/>
                <w:sz w:val="24"/>
              </w:rPr>
            </w:pPr>
            <w:r>
              <w:rPr>
                <w:rFonts w:hint="eastAsia" w:ascii="宋体" w:hAnsi="宋体" w:cs="宋体"/>
                <w:color w:val="000000"/>
                <w:spacing w:val="-17"/>
                <w:sz w:val="24"/>
              </w:rPr>
              <w:t>县委宣传部，县民族宗教局、县文化和旅游局、县融媒体中心</w:t>
            </w:r>
          </w:p>
        </w:tc>
      </w:tr>
      <w:tr w14:paraId="3199D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2291EA91">
            <w:pPr>
              <w:widowControl w:val="0"/>
              <w:spacing w:line="300" w:lineRule="exact"/>
              <w:jc w:val="center"/>
              <w:rPr>
                <w:rFonts w:ascii="宋体" w:hAnsi="宋体" w:cs="宋体"/>
                <w:color w:val="000000"/>
                <w:sz w:val="24"/>
              </w:rPr>
            </w:pPr>
            <w:r>
              <w:rPr>
                <w:rFonts w:hint="eastAsia" w:ascii="宋体" w:hAnsi="宋体" w:cs="宋体"/>
                <w:color w:val="000000"/>
                <w:sz w:val="24"/>
              </w:rPr>
              <w:t>4</w:t>
            </w:r>
          </w:p>
        </w:tc>
        <w:tc>
          <w:tcPr>
            <w:tcW w:w="4800" w:type="dxa"/>
            <w:vAlign w:val="center"/>
          </w:tcPr>
          <w:p w14:paraId="02E5D3AF">
            <w:pPr>
              <w:widowControl w:val="0"/>
              <w:spacing w:line="300" w:lineRule="exact"/>
              <w:jc w:val="both"/>
              <w:rPr>
                <w:rFonts w:ascii="宋体" w:hAnsi="宋体" w:cs="宋体"/>
                <w:color w:val="000000"/>
                <w:sz w:val="24"/>
              </w:rPr>
            </w:pPr>
            <w:r>
              <w:rPr>
                <w:rFonts w:hint="eastAsia" w:ascii="宋体" w:hAnsi="宋体" w:cs="宋体"/>
                <w:color w:val="000000"/>
                <w:sz w:val="24"/>
              </w:rPr>
              <w:t>“民族团结进步+红色基因传承”工程</w:t>
            </w:r>
          </w:p>
        </w:tc>
        <w:tc>
          <w:tcPr>
            <w:tcW w:w="3593" w:type="dxa"/>
            <w:vAlign w:val="center"/>
          </w:tcPr>
          <w:p w14:paraId="7583343C">
            <w:pPr>
              <w:widowControl w:val="0"/>
              <w:spacing w:line="300" w:lineRule="exact"/>
              <w:jc w:val="both"/>
              <w:rPr>
                <w:rFonts w:ascii="宋体" w:hAnsi="宋体" w:cs="宋体"/>
                <w:color w:val="000000"/>
                <w:sz w:val="24"/>
              </w:rPr>
            </w:pPr>
            <w:r>
              <w:rPr>
                <w:rFonts w:hint="eastAsia" w:ascii="宋体" w:hAnsi="宋体" w:cs="宋体"/>
                <w:color w:val="000000"/>
                <w:spacing w:val="-11"/>
                <w:sz w:val="24"/>
              </w:rPr>
              <w:t>县民族宗教局、</w:t>
            </w:r>
            <w:r>
              <w:rPr>
                <w:rFonts w:hint="eastAsia" w:ascii="宋体" w:hAnsi="宋体" w:cs="宋体"/>
                <w:color w:val="000000"/>
                <w:spacing w:val="-17"/>
                <w:sz w:val="24"/>
              </w:rPr>
              <w:t>县文化和旅游局、县红办</w:t>
            </w:r>
          </w:p>
        </w:tc>
      </w:tr>
      <w:tr w14:paraId="29CED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1B4B5B3E">
            <w:pPr>
              <w:widowControl w:val="0"/>
              <w:spacing w:line="300" w:lineRule="exact"/>
              <w:jc w:val="center"/>
              <w:rPr>
                <w:rFonts w:ascii="宋体" w:hAnsi="宋体" w:cs="宋体"/>
                <w:color w:val="000000"/>
                <w:sz w:val="24"/>
              </w:rPr>
            </w:pPr>
            <w:r>
              <w:rPr>
                <w:rFonts w:hint="eastAsia" w:ascii="宋体" w:hAnsi="宋体" w:cs="宋体"/>
                <w:color w:val="000000"/>
                <w:sz w:val="24"/>
              </w:rPr>
              <w:t>5</w:t>
            </w:r>
          </w:p>
        </w:tc>
        <w:tc>
          <w:tcPr>
            <w:tcW w:w="4800" w:type="dxa"/>
            <w:vAlign w:val="center"/>
          </w:tcPr>
          <w:p w14:paraId="39507000">
            <w:pPr>
              <w:widowControl w:val="0"/>
              <w:spacing w:line="300" w:lineRule="exact"/>
              <w:jc w:val="both"/>
              <w:rPr>
                <w:rFonts w:ascii="宋体" w:hAnsi="宋体" w:cs="宋体"/>
                <w:color w:val="000000"/>
                <w:sz w:val="24"/>
              </w:rPr>
            </w:pPr>
            <w:r>
              <w:rPr>
                <w:rFonts w:hint="eastAsia" w:ascii="宋体" w:hAnsi="宋体" w:cs="宋体"/>
                <w:color w:val="000000"/>
                <w:sz w:val="24"/>
              </w:rPr>
              <w:t>少数民族优秀文化保护传承工程</w:t>
            </w:r>
          </w:p>
        </w:tc>
        <w:tc>
          <w:tcPr>
            <w:tcW w:w="3593" w:type="dxa"/>
            <w:vAlign w:val="center"/>
          </w:tcPr>
          <w:p w14:paraId="1157635A">
            <w:pPr>
              <w:widowControl w:val="0"/>
              <w:spacing w:line="300" w:lineRule="exact"/>
              <w:jc w:val="both"/>
              <w:rPr>
                <w:rFonts w:ascii="宋体" w:hAnsi="宋体" w:cs="宋体"/>
                <w:color w:val="000000"/>
                <w:sz w:val="24"/>
              </w:rPr>
            </w:pPr>
            <w:r>
              <w:rPr>
                <w:rFonts w:hint="eastAsia" w:ascii="宋体" w:hAnsi="宋体" w:cs="宋体"/>
                <w:color w:val="000000"/>
                <w:spacing w:val="-17"/>
                <w:sz w:val="24"/>
              </w:rPr>
              <w:t>县文化和旅游局、</w:t>
            </w:r>
            <w:r>
              <w:rPr>
                <w:rFonts w:hint="eastAsia" w:ascii="宋体" w:hAnsi="宋体" w:cs="宋体"/>
                <w:color w:val="000000"/>
                <w:spacing w:val="-11"/>
                <w:sz w:val="24"/>
              </w:rPr>
              <w:t>县民族宗教局</w:t>
            </w:r>
          </w:p>
        </w:tc>
      </w:tr>
      <w:tr w14:paraId="4FB2B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43B792DA">
            <w:pPr>
              <w:widowControl w:val="0"/>
              <w:spacing w:line="300" w:lineRule="exact"/>
              <w:jc w:val="center"/>
              <w:rPr>
                <w:rFonts w:ascii="宋体" w:hAnsi="宋体" w:cs="宋体"/>
                <w:color w:val="000000"/>
                <w:sz w:val="24"/>
              </w:rPr>
            </w:pPr>
            <w:r>
              <w:rPr>
                <w:rFonts w:hint="eastAsia" w:ascii="宋体" w:hAnsi="宋体" w:cs="宋体"/>
                <w:color w:val="000000"/>
                <w:sz w:val="24"/>
              </w:rPr>
              <w:t>6</w:t>
            </w:r>
          </w:p>
        </w:tc>
        <w:tc>
          <w:tcPr>
            <w:tcW w:w="4800" w:type="dxa"/>
            <w:vAlign w:val="center"/>
          </w:tcPr>
          <w:p w14:paraId="464098C0">
            <w:pPr>
              <w:widowControl w:val="0"/>
              <w:spacing w:line="300" w:lineRule="exact"/>
              <w:jc w:val="both"/>
              <w:rPr>
                <w:rFonts w:ascii="宋体" w:hAnsi="宋体" w:cs="宋体"/>
                <w:color w:val="000000"/>
                <w:sz w:val="24"/>
              </w:rPr>
            </w:pPr>
            <w:r>
              <w:rPr>
                <w:rFonts w:hint="eastAsia" w:ascii="宋体" w:hAnsi="宋体" w:cs="宋体"/>
                <w:color w:val="000000"/>
                <w:sz w:val="24"/>
              </w:rPr>
              <w:t>少数民族文化精品工程</w:t>
            </w:r>
          </w:p>
        </w:tc>
        <w:tc>
          <w:tcPr>
            <w:tcW w:w="3593" w:type="dxa"/>
            <w:vAlign w:val="center"/>
          </w:tcPr>
          <w:p w14:paraId="4A62C471">
            <w:pPr>
              <w:widowControl w:val="0"/>
              <w:spacing w:line="300" w:lineRule="exact"/>
              <w:jc w:val="both"/>
              <w:rPr>
                <w:rFonts w:ascii="宋体" w:hAnsi="宋体" w:cs="宋体"/>
                <w:color w:val="000000"/>
                <w:sz w:val="24"/>
              </w:rPr>
            </w:pPr>
            <w:r>
              <w:rPr>
                <w:rFonts w:hint="eastAsia" w:ascii="宋体" w:hAnsi="宋体" w:cs="宋体"/>
                <w:color w:val="000000"/>
                <w:spacing w:val="-11"/>
                <w:sz w:val="24"/>
              </w:rPr>
              <w:t>县民族宗教局、</w:t>
            </w:r>
            <w:r>
              <w:rPr>
                <w:rFonts w:hint="eastAsia" w:ascii="宋体" w:hAnsi="宋体" w:cs="宋体"/>
                <w:color w:val="000000"/>
                <w:spacing w:val="-17"/>
                <w:sz w:val="24"/>
              </w:rPr>
              <w:t>县文化和旅游局</w:t>
            </w:r>
          </w:p>
        </w:tc>
      </w:tr>
      <w:tr w14:paraId="27214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0ADD3A37">
            <w:pPr>
              <w:widowControl w:val="0"/>
              <w:spacing w:line="300" w:lineRule="exact"/>
              <w:jc w:val="center"/>
              <w:rPr>
                <w:rFonts w:ascii="宋体" w:hAnsi="宋体" w:cs="宋体"/>
                <w:color w:val="000000"/>
                <w:sz w:val="24"/>
              </w:rPr>
            </w:pPr>
            <w:r>
              <w:rPr>
                <w:rFonts w:hint="eastAsia" w:ascii="宋体" w:hAnsi="宋体" w:cs="宋体"/>
                <w:color w:val="000000"/>
                <w:sz w:val="24"/>
              </w:rPr>
              <w:t>7</w:t>
            </w:r>
          </w:p>
        </w:tc>
        <w:tc>
          <w:tcPr>
            <w:tcW w:w="4800" w:type="dxa"/>
            <w:vAlign w:val="center"/>
          </w:tcPr>
          <w:p w14:paraId="156030A3">
            <w:pPr>
              <w:widowControl w:val="0"/>
              <w:spacing w:line="300" w:lineRule="exact"/>
              <w:jc w:val="both"/>
              <w:rPr>
                <w:rFonts w:ascii="宋体" w:hAnsi="宋体" w:cs="宋体"/>
                <w:color w:val="000000"/>
                <w:sz w:val="24"/>
              </w:rPr>
            </w:pPr>
            <w:r>
              <w:rPr>
                <w:rFonts w:hint="eastAsia" w:ascii="宋体" w:hAnsi="宋体" w:cs="宋体"/>
                <w:color w:val="000000"/>
                <w:sz w:val="24"/>
              </w:rPr>
              <w:t>非遗保护重点工程</w:t>
            </w:r>
          </w:p>
        </w:tc>
        <w:tc>
          <w:tcPr>
            <w:tcW w:w="3593" w:type="dxa"/>
            <w:vAlign w:val="center"/>
          </w:tcPr>
          <w:p w14:paraId="762B87DA">
            <w:pPr>
              <w:widowControl w:val="0"/>
              <w:spacing w:line="300" w:lineRule="exact"/>
              <w:jc w:val="both"/>
              <w:rPr>
                <w:rFonts w:ascii="宋体" w:hAnsi="宋体" w:cs="宋体"/>
                <w:color w:val="000000"/>
                <w:sz w:val="24"/>
              </w:rPr>
            </w:pPr>
            <w:r>
              <w:rPr>
                <w:rFonts w:hint="eastAsia" w:ascii="宋体" w:hAnsi="宋体" w:cs="宋体"/>
                <w:color w:val="000000"/>
                <w:spacing w:val="-17"/>
                <w:sz w:val="24"/>
              </w:rPr>
              <w:t>县文化和旅游局</w:t>
            </w:r>
          </w:p>
        </w:tc>
      </w:tr>
      <w:tr w14:paraId="7A782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1E4AB299">
            <w:pPr>
              <w:widowControl w:val="0"/>
              <w:spacing w:line="300" w:lineRule="exact"/>
              <w:jc w:val="center"/>
              <w:rPr>
                <w:rFonts w:ascii="宋体" w:hAnsi="宋体" w:cs="宋体"/>
                <w:color w:val="000000"/>
                <w:sz w:val="24"/>
              </w:rPr>
            </w:pPr>
            <w:r>
              <w:rPr>
                <w:rFonts w:hint="eastAsia" w:ascii="宋体" w:hAnsi="宋体" w:cs="宋体"/>
                <w:color w:val="000000"/>
                <w:sz w:val="24"/>
              </w:rPr>
              <w:t>8</w:t>
            </w:r>
          </w:p>
        </w:tc>
        <w:tc>
          <w:tcPr>
            <w:tcW w:w="4800" w:type="dxa"/>
            <w:vAlign w:val="center"/>
          </w:tcPr>
          <w:p w14:paraId="442ADA62">
            <w:pPr>
              <w:widowControl w:val="0"/>
              <w:spacing w:line="300" w:lineRule="exact"/>
              <w:jc w:val="both"/>
              <w:rPr>
                <w:rFonts w:ascii="宋体" w:hAnsi="宋体" w:cs="宋体"/>
                <w:color w:val="000000"/>
                <w:sz w:val="24"/>
              </w:rPr>
            </w:pPr>
            <w:r>
              <w:rPr>
                <w:rFonts w:hint="eastAsia" w:ascii="宋体" w:hAnsi="宋体" w:cs="宋体"/>
                <w:color w:val="000000"/>
                <w:sz w:val="24"/>
              </w:rPr>
              <w:t>历史文化名城（镇村街区）和传统村落保护工程</w:t>
            </w:r>
          </w:p>
        </w:tc>
        <w:tc>
          <w:tcPr>
            <w:tcW w:w="3593" w:type="dxa"/>
            <w:vAlign w:val="center"/>
          </w:tcPr>
          <w:p w14:paraId="0EFC0AA6">
            <w:pPr>
              <w:widowControl w:val="0"/>
              <w:spacing w:line="300" w:lineRule="exact"/>
              <w:jc w:val="both"/>
              <w:rPr>
                <w:rFonts w:ascii="宋体" w:hAnsi="宋体" w:cs="宋体"/>
                <w:color w:val="000000"/>
                <w:sz w:val="24"/>
              </w:rPr>
            </w:pPr>
            <w:r>
              <w:rPr>
                <w:rFonts w:hint="eastAsia" w:ascii="宋体" w:hAnsi="宋体" w:cs="宋体"/>
                <w:color w:val="000000"/>
                <w:spacing w:val="-11"/>
                <w:sz w:val="24"/>
              </w:rPr>
              <w:t>县住房和城乡建设局、县文物管理所</w:t>
            </w:r>
          </w:p>
        </w:tc>
      </w:tr>
      <w:tr w14:paraId="1D961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50FD97F8">
            <w:pPr>
              <w:widowControl w:val="0"/>
              <w:spacing w:line="300" w:lineRule="exact"/>
              <w:jc w:val="center"/>
              <w:rPr>
                <w:rFonts w:ascii="宋体" w:hAnsi="宋体" w:cs="宋体"/>
                <w:color w:val="000000"/>
                <w:sz w:val="24"/>
              </w:rPr>
            </w:pPr>
            <w:r>
              <w:rPr>
                <w:rFonts w:hint="eastAsia" w:ascii="宋体" w:hAnsi="宋体" w:cs="宋体"/>
                <w:color w:val="000000"/>
                <w:sz w:val="24"/>
              </w:rPr>
              <w:t>9</w:t>
            </w:r>
          </w:p>
        </w:tc>
        <w:tc>
          <w:tcPr>
            <w:tcW w:w="4800" w:type="dxa"/>
            <w:vAlign w:val="center"/>
          </w:tcPr>
          <w:p w14:paraId="68842219">
            <w:pPr>
              <w:widowControl w:val="0"/>
              <w:spacing w:line="300" w:lineRule="exact"/>
              <w:jc w:val="both"/>
              <w:rPr>
                <w:rFonts w:ascii="宋体" w:hAnsi="宋体" w:cs="宋体"/>
                <w:color w:val="000000"/>
                <w:sz w:val="24"/>
              </w:rPr>
            </w:pPr>
            <w:r>
              <w:rPr>
                <w:rFonts w:hint="eastAsia" w:ascii="宋体" w:hAnsi="宋体" w:cs="宋体"/>
                <w:color w:val="000000"/>
                <w:sz w:val="24"/>
              </w:rPr>
              <w:t>文物保护工程</w:t>
            </w:r>
          </w:p>
        </w:tc>
        <w:tc>
          <w:tcPr>
            <w:tcW w:w="3593" w:type="dxa"/>
            <w:vAlign w:val="center"/>
          </w:tcPr>
          <w:p w14:paraId="1678FB94">
            <w:pPr>
              <w:widowControl w:val="0"/>
              <w:spacing w:line="300" w:lineRule="exact"/>
              <w:jc w:val="both"/>
              <w:rPr>
                <w:rFonts w:ascii="宋体" w:hAnsi="宋体" w:cs="宋体"/>
                <w:color w:val="000000"/>
                <w:sz w:val="24"/>
              </w:rPr>
            </w:pPr>
            <w:r>
              <w:rPr>
                <w:rFonts w:hint="eastAsia" w:ascii="宋体" w:hAnsi="宋体" w:cs="宋体"/>
                <w:color w:val="000000"/>
                <w:spacing w:val="-17"/>
                <w:sz w:val="24"/>
              </w:rPr>
              <w:t>县文化和旅游局</w:t>
            </w:r>
          </w:p>
        </w:tc>
      </w:tr>
      <w:tr w14:paraId="699E0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5EC03A78">
            <w:pPr>
              <w:widowControl w:val="0"/>
              <w:spacing w:line="300" w:lineRule="exact"/>
              <w:jc w:val="center"/>
              <w:rPr>
                <w:rFonts w:ascii="宋体" w:hAnsi="宋体" w:cs="宋体"/>
                <w:color w:val="000000"/>
                <w:sz w:val="24"/>
              </w:rPr>
            </w:pPr>
            <w:r>
              <w:rPr>
                <w:rFonts w:hint="eastAsia" w:ascii="宋体" w:hAnsi="宋体" w:cs="宋体"/>
                <w:color w:val="000000"/>
                <w:sz w:val="24"/>
              </w:rPr>
              <w:t>10</w:t>
            </w:r>
          </w:p>
        </w:tc>
        <w:tc>
          <w:tcPr>
            <w:tcW w:w="4800" w:type="dxa"/>
            <w:vAlign w:val="center"/>
          </w:tcPr>
          <w:p w14:paraId="0B4EF1B2">
            <w:pPr>
              <w:widowControl w:val="0"/>
              <w:spacing w:line="300" w:lineRule="exact"/>
              <w:jc w:val="both"/>
              <w:rPr>
                <w:rFonts w:ascii="宋体" w:hAnsi="宋体" w:cs="宋体"/>
                <w:color w:val="000000"/>
                <w:sz w:val="24"/>
              </w:rPr>
            </w:pPr>
            <w:r>
              <w:rPr>
                <w:rFonts w:hint="eastAsia" w:ascii="宋体" w:hAnsi="宋体" w:cs="宋体"/>
                <w:color w:val="000000"/>
                <w:sz w:val="24"/>
              </w:rPr>
              <w:t>“学前学会普通话”行动</w:t>
            </w:r>
          </w:p>
        </w:tc>
        <w:tc>
          <w:tcPr>
            <w:tcW w:w="3593" w:type="dxa"/>
            <w:vAlign w:val="center"/>
          </w:tcPr>
          <w:p w14:paraId="541CA0D7">
            <w:pPr>
              <w:widowControl w:val="0"/>
              <w:spacing w:line="300" w:lineRule="exact"/>
              <w:jc w:val="both"/>
              <w:rPr>
                <w:rFonts w:ascii="宋体" w:hAnsi="宋体" w:cs="宋体"/>
                <w:color w:val="000000"/>
                <w:sz w:val="24"/>
              </w:rPr>
            </w:pPr>
            <w:r>
              <w:rPr>
                <w:rFonts w:hint="eastAsia" w:ascii="宋体" w:hAnsi="宋体" w:cs="宋体"/>
                <w:color w:val="000000"/>
                <w:spacing w:val="-11"/>
                <w:sz w:val="24"/>
              </w:rPr>
              <w:t>县教育体育局</w:t>
            </w:r>
          </w:p>
        </w:tc>
      </w:tr>
      <w:tr w14:paraId="78B88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2AE13805">
            <w:pPr>
              <w:widowControl w:val="0"/>
              <w:spacing w:line="300" w:lineRule="exact"/>
              <w:jc w:val="center"/>
              <w:rPr>
                <w:rFonts w:ascii="宋体" w:hAnsi="宋体" w:cs="宋体"/>
                <w:color w:val="000000"/>
                <w:sz w:val="24"/>
              </w:rPr>
            </w:pPr>
            <w:r>
              <w:rPr>
                <w:rFonts w:hint="eastAsia" w:ascii="宋体" w:hAnsi="宋体" w:cs="宋体"/>
                <w:color w:val="000000"/>
                <w:sz w:val="24"/>
              </w:rPr>
              <w:t>11</w:t>
            </w:r>
          </w:p>
        </w:tc>
        <w:tc>
          <w:tcPr>
            <w:tcW w:w="4800" w:type="dxa"/>
            <w:vAlign w:val="center"/>
          </w:tcPr>
          <w:p w14:paraId="79450ADE">
            <w:pPr>
              <w:widowControl w:val="0"/>
              <w:spacing w:line="300" w:lineRule="exact"/>
              <w:jc w:val="both"/>
              <w:rPr>
                <w:rFonts w:ascii="宋体" w:hAnsi="宋体" w:cs="宋体"/>
                <w:color w:val="000000"/>
                <w:sz w:val="24"/>
              </w:rPr>
            </w:pPr>
            <w:r>
              <w:rPr>
                <w:rFonts w:hint="eastAsia" w:ascii="宋体" w:hAnsi="宋体" w:cs="宋体"/>
                <w:color w:val="000000"/>
                <w:sz w:val="24"/>
              </w:rPr>
              <w:t>民族团结进步“十县百乡千村万户”示范引领建设工程</w:t>
            </w:r>
          </w:p>
        </w:tc>
        <w:tc>
          <w:tcPr>
            <w:tcW w:w="3593" w:type="dxa"/>
            <w:vAlign w:val="center"/>
          </w:tcPr>
          <w:p w14:paraId="0073908C">
            <w:pPr>
              <w:widowControl w:val="0"/>
              <w:spacing w:line="300" w:lineRule="exact"/>
              <w:jc w:val="both"/>
              <w:rPr>
                <w:rFonts w:ascii="宋体" w:hAnsi="宋体" w:cs="宋体"/>
                <w:color w:val="000000"/>
                <w:spacing w:val="-11"/>
                <w:sz w:val="24"/>
              </w:rPr>
            </w:pPr>
            <w:r>
              <w:rPr>
                <w:rFonts w:hint="eastAsia" w:ascii="宋体" w:hAnsi="宋体" w:cs="宋体"/>
                <w:color w:val="000000"/>
                <w:spacing w:val="-11"/>
                <w:sz w:val="24"/>
              </w:rPr>
              <w:t>县民族宗教局</w:t>
            </w:r>
          </w:p>
        </w:tc>
      </w:tr>
      <w:tr w14:paraId="3B5CE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1B996313">
            <w:pPr>
              <w:widowControl w:val="0"/>
              <w:spacing w:line="300" w:lineRule="exact"/>
              <w:jc w:val="center"/>
              <w:rPr>
                <w:rFonts w:ascii="宋体" w:hAnsi="宋体" w:cs="宋体"/>
                <w:color w:val="000000"/>
                <w:sz w:val="24"/>
              </w:rPr>
            </w:pPr>
            <w:r>
              <w:rPr>
                <w:rFonts w:hint="eastAsia" w:ascii="宋体" w:hAnsi="宋体" w:cs="宋体"/>
                <w:color w:val="000000"/>
                <w:sz w:val="24"/>
              </w:rPr>
              <w:t>12</w:t>
            </w:r>
          </w:p>
        </w:tc>
        <w:tc>
          <w:tcPr>
            <w:tcW w:w="4800" w:type="dxa"/>
            <w:vAlign w:val="center"/>
          </w:tcPr>
          <w:p w14:paraId="712B19E6">
            <w:pPr>
              <w:widowControl w:val="0"/>
              <w:spacing w:line="300" w:lineRule="exact"/>
              <w:jc w:val="both"/>
              <w:rPr>
                <w:rFonts w:ascii="宋体" w:hAnsi="宋体" w:cs="宋体"/>
                <w:color w:val="000000"/>
                <w:sz w:val="24"/>
              </w:rPr>
            </w:pPr>
            <w:r>
              <w:rPr>
                <w:rFonts w:hint="eastAsia" w:ascii="宋体" w:hAnsi="宋体" w:cs="宋体"/>
                <w:color w:val="000000"/>
                <w:sz w:val="24"/>
              </w:rPr>
              <w:t>民族特色村镇建设</w:t>
            </w:r>
          </w:p>
        </w:tc>
        <w:tc>
          <w:tcPr>
            <w:tcW w:w="3593" w:type="dxa"/>
            <w:vAlign w:val="center"/>
          </w:tcPr>
          <w:p w14:paraId="554BBFB6">
            <w:pPr>
              <w:widowControl w:val="0"/>
              <w:spacing w:line="300" w:lineRule="exact"/>
              <w:jc w:val="both"/>
              <w:rPr>
                <w:rFonts w:ascii="宋体" w:hAnsi="宋体" w:cs="宋体"/>
                <w:color w:val="000000"/>
                <w:spacing w:val="-11"/>
                <w:sz w:val="24"/>
              </w:rPr>
            </w:pPr>
            <w:r>
              <w:rPr>
                <w:rFonts w:hint="eastAsia" w:ascii="宋体" w:hAnsi="宋体" w:cs="宋体"/>
                <w:color w:val="000000"/>
                <w:spacing w:val="-6"/>
                <w:sz w:val="24"/>
              </w:rPr>
              <w:t>县</w:t>
            </w:r>
            <w:r>
              <w:rPr>
                <w:rFonts w:hint="eastAsia"/>
                <w:color w:val="000000"/>
                <w:spacing w:val="-6"/>
                <w:sz w:val="24"/>
              </w:rPr>
              <w:t>民族宗教局、</w:t>
            </w:r>
            <w:r>
              <w:rPr>
                <w:rFonts w:hint="eastAsia" w:ascii="宋体" w:hAnsi="宋体" w:cs="宋体"/>
                <w:color w:val="000000"/>
                <w:spacing w:val="-11"/>
                <w:sz w:val="24"/>
              </w:rPr>
              <w:t>县住房和城乡建设局、</w:t>
            </w:r>
            <w:r>
              <w:rPr>
                <w:rFonts w:hint="eastAsia" w:ascii="宋体" w:hAnsi="宋体" w:cs="宋体"/>
                <w:color w:val="000000"/>
                <w:spacing w:val="-17"/>
                <w:sz w:val="24"/>
              </w:rPr>
              <w:t>县文化和旅游局</w:t>
            </w:r>
          </w:p>
        </w:tc>
      </w:tr>
      <w:tr w14:paraId="3039D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32EC0DBD">
            <w:pPr>
              <w:widowControl w:val="0"/>
              <w:spacing w:line="300" w:lineRule="exact"/>
              <w:jc w:val="center"/>
              <w:rPr>
                <w:rFonts w:ascii="宋体" w:hAnsi="宋体" w:cs="宋体"/>
                <w:color w:val="000000"/>
                <w:sz w:val="24"/>
              </w:rPr>
            </w:pPr>
            <w:r>
              <w:rPr>
                <w:rFonts w:hint="eastAsia" w:ascii="宋体" w:hAnsi="宋体" w:cs="宋体"/>
                <w:color w:val="000000"/>
                <w:sz w:val="24"/>
              </w:rPr>
              <w:t>13</w:t>
            </w:r>
          </w:p>
        </w:tc>
        <w:tc>
          <w:tcPr>
            <w:tcW w:w="4800" w:type="dxa"/>
            <w:vAlign w:val="center"/>
          </w:tcPr>
          <w:p w14:paraId="7B317BC9">
            <w:pPr>
              <w:widowControl w:val="0"/>
              <w:spacing w:line="300" w:lineRule="exact"/>
              <w:jc w:val="both"/>
              <w:rPr>
                <w:rFonts w:ascii="宋体" w:hAnsi="宋体" w:cs="宋体"/>
                <w:color w:val="000000"/>
                <w:sz w:val="24"/>
              </w:rPr>
            </w:pPr>
            <w:r>
              <w:rPr>
                <w:rFonts w:hint="eastAsia" w:ascii="宋体" w:hAnsi="宋体" w:cs="宋体"/>
                <w:color w:val="000000"/>
                <w:sz w:val="24"/>
              </w:rPr>
              <w:t>“融荣与共实践中心”建设</w:t>
            </w:r>
          </w:p>
        </w:tc>
        <w:tc>
          <w:tcPr>
            <w:tcW w:w="3593" w:type="dxa"/>
            <w:vAlign w:val="center"/>
          </w:tcPr>
          <w:p w14:paraId="1E0FEB75">
            <w:pPr>
              <w:widowControl w:val="0"/>
              <w:spacing w:line="300" w:lineRule="exact"/>
              <w:jc w:val="both"/>
              <w:rPr>
                <w:rFonts w:ascii="宋体" w:hAnsi="宋体" w:cs="宋体"/>
                <w:color w:val="000000"/>
                <w:sz w:val="24"/>
              </w:rPr>
            </w:pPr>
            <w:r>
              <w:rPr>
                <w:rFonts w:hint="eastAsia" w:ascii="宋体" w:hAnsi="宋体" w:cs="宋体"/>
                <w:color w:val="000000"/>
                <w:spacing w:val="-11"/>
                <w:sz w:val="24"/>
              </w:rPr>
              <w:t>县民族宗教局</w:t>
            </w:r>
          </w:p>
        </w:tc>
      </w:tr>
      <w:tr w14:paraId="192EC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4E21D511">
            <w:pPr>
              <w:widowControl w:val="0"/>
              <w:spacing w:line="300" w:lineRule="exact"/>
              <w:jc w:val="center"/>
              <w:rPr>
                <w:rFonts w:ascii="宋体" w:hAnsi="宋体" w:cs="宋体"/>
                <w:color w:val="000000"/>
                <w:sz w:val="24"/>
              </w:rPr>
            </w:pPr>
            <w:r>
              <w:rPr>
                <w:rFonts w:hint="eastAsia" w:ascii="宋体" w:hAnsi="宋体" w:cs="宋体"/>
                <w:color w:val="000000"/>
                <w:sz w:val="24"/>
              </w:rPr>
              <w:t>14</w:t>
            </w:r>
          </w:p>
        </w:tc>
        <w:tc>
          <w:tcPr>
            <w:tcW w:w="4800" w:type="dxa"/>
            <w:vAlign w:val="center"/>
          </w:tcPr>
          <w:p w14:paraId="2753DCFF">
            <w:pPr>
              <w:widowControl w:val="0"/>
              <w:spacing w:line="300" w:lineRule="exact"/>
              <w:jc w:val="both"/>
              <w:rPr>
                <w:rFonts w:ascii="宋体" w:hAnsi="宋体" w:cs="宋体"/>
                <w:color w:val="000000"/>
                <w:sz w:val="24"/>
              </w:rPr>
            </w:pPr>
            <w:r>
              <w:rPr>
                <w:rFonts w:hint="eastAsia" w:ascii="宋体" w:hAnsi="宋体" w:cs="宋体"/>
                <w:color w:val="000000"/>
                <w:sz w:val="24"/>
              </w:rPr>
              <w:t>“团结之家”示范点建设</w:t>
            </w:r>
          </w:p>
        </w:tc>
        <w:tc>
          <w:tcPr>
            <w:tcW w:w="3593" w:type="dxa"/>
          </w:tcPr>
          <w:p w14:paraId="1F3652F3">
            <w:pPr>
              <w:widowControl w:val="0"/>
              <w:spacing w:line="300" w:lineRule="exact"/>
              <w:jc w:val="left"/>
              <w:rPr>
                <w:rFonts w:ascii="宋体" w:hAnsi="宋体" w:cs="宋体"/>
                <w:color w:val="000000"/>
                <w:sz w:val="24"/>
              </w:rPr>
            </w:pPr>
            <w:r>
              <w:rPr>
                <w:rFonts w:hint="eastAsia" w:ascii="宋体" w:hAnsi="宋体" w:cs="宋体"/>
                <w:color w:val="000000"/>
                <w:spacing w:val="-11"/>
                <w:sz w:val="24"/>
              </w:rPr>
              <w:t>县民族宗教局</w:t>
            </w:r>
          </w:p>
        </w:tc>
      </w:tr>
      <w:tr w14:paraId="0AD44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7FB7A51A">
            <w:pPr>
              <w:widowControl w:val="0"/>
              <w:spacing w:line="300" w:lineRule="exact"/>
              <w:jc w:val="center"/>
              <w:rPr>
                <w:rFonts w:ascii="宋体" w:hAnsi="宋体" w:cs="宋体"/>
                <w:color w:val="000000"/>
                <w:sz w:val="24"/>
              </w:rPr>
            </w:pPr>
            <w:r>
              <w:rPr>
                <w:rFonts w:hint="eastAsia" w:ascii="宋体" w:hAnsi="宋体" w:cs="宋体"/>
                <w:color w:val="000000"/>
                <w:sz w:val="24"/>
              </w:rPr>
              <w:t>15</w:t>
            </w:r>
          </w:p>
        </w:tc>
        <w:tc>
          <w:tcPr>
            <w:tcW w:w="4800" w:type="dxa"/>
            <w:vAlign w:val="center"/>
          </w:tcPr>
          <w:p w14:paraId="77359524">
            <w:pPr>
              <w:widowControl w:val="0"/>
              <w:spacing w:line="300" w:lineRule="exact"/>
              <w:jc w:val="both"/>
              <w:rPr>
                <w:rFonts w:ascii="宋体" w:hAnsi="宋体" w:cs="宋体"/>
                <w:color w:val="000000"/>
                <w:sz w:val="24"/>
              </w:rPr>
            </w:pPr>
            <w:r>
              <w:rPr>
                <w:rFonts w:hint="eastAsia" w:ascii="宋体" w:hAnsi="宋体" w:cs="宋体"/>
                <w:color w:val="000000"/>
                <w:sz w:val="24"/>
              </w:rPr>
              <w:t>乡村振兴试点（含试点乡镇、试点村）工程</w:t>
            </w:r>
          </w:p>
        </w:tc>
        <w:tc>
          <w:tcPr>
            <w:tcW w:w="3593" w:type="dxa"/>
          </w:tcPr>
          <w:p w14:paraId="04D508C2">
            <w:pPr>
              <w:widowControl w:val="0"/>
              <w:spacing w:line="300" w:lineRule="exact"/>
              <w:jc w:val="left"/>
              <w:rPr>
                <w:rFonts w:ascii="宋体" w:hAnsi="宋体" w:cs="宋体"/>
                <w:color w:val="000000"/>
                <w:sz w:val="24"/>
              </w:rPr>
            </w:pPr>
            <w:r>
              <w:rPr>
                <w:rFonts w:hint="eastAsia" w:ascii="宋体" w:hAnsi="宋体" w:cs="宋体"/>
                <w:color w:val="000000"/>
                <w:spacing w:val="-23"/>
                <w:sz w:val="24"/>
              </w:rPr>
              <w:t>县乡村振兴局、</w:t>
            </w:r>
            <w:r>
              <w:rPr>
                <w:rFonts w:hint="eastAsia" w:ascii="宋体" w:hAnsi="宋体" w:cs="宋体"/>
                <w:color w:val="000000"/>
                <w:spacing w:val="-11"/>
                <w:sz w:val="24"/>
              </w:rPr>
              <w:t>县民族宗教局</w:t>
            </w:r>
          </w:p>
        </w:tc>
      </w:tr>
      <w:tr w14:paraId="14A0C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332D9A89">
            <w:pPr>
              <w:widowControl w:val="0"/>
              <w:spacing w:line="300" w:lineRule="exact"/>
              <w:jc w:val="center"/>
              <w:rPr>
                <w:rFonts w:ascii="宋体" w:hAnsi="宋体" w:cs="宋体"/>
                <w:color w:val="000000"/>
                <w:sz w:val="24"/>
              </w:rPr>
            </w:pPr>
            <w:r>
              <w:rPr>
                <w:rFonts w:hint="eastAsia" w:ascii="宋体" w:hAnsi="宋体" w:cs="宋体"/>
                <w:color w:val="000000"/>
                <w:sz w:val="24"/>
              </w:rPr>
              <w:t>16</w:t>
            </w:r>
          </w:p>
        </w:tc>
        <w:tc>
          <w:tcPr>
            <w:tcW w:w="4800" w:type="dxa"/>
            <w:vAlign w:val="center"/>
          </w:tcPr>
          <w:p w14:paraId="765FB75E">
            <w:pPr>
              <w:widowControl w:val="0"/>
              <w:spacing w:line="300" w:lineRule="exact"/>
              <w:jc w:val="both"/>
              <w:rPr>
                <w:rFonts w:ascii="宋体" w:hAnsi="宋体" w:cs="宋体"/>
                <w:color w:val="000000"/>
                <w:sz w:val="24"/>
              </w:rPr>
            </w:pPr>
            <w:r>
              <w:rPr>
                <w:rFonts w:hint="eastAsia" w:ascii="宋体" w:hAnsi="宋体" w:cs="宋体"/>
                <w:color w:val="000000"/>
                <w:sz w:val="24"/>
              </w:rPr>
              <w:t>民族地区生态文明创建工程</w:t>
            </w:r>
          </w:p>
        </w:tc>
        <w:tc>
          <w:tcPr>
            <w:tcW w:w="3593" w:type="dxa"/>
          </w:tcPr>
          <w:p w14:paraId="3C5570E3">
            <w:pPr>
              <w:widowControl w:val="0"/>
              <w:spacing w:line="300" w:lineRule="exact"/>
              <w:jc w:val="left"/>
              <w:rPr>
                <w:rFonts w:ascii="宋体" w:hAnsi="宋体" w:cs="宋体"/>
                <w:color w:val="000000"/>
                <w:sz w:val="24"/>
              </w:rPr>
            </w:pPr>
            <w:r>
              <w:rPr>
                <w:rFonts w:hint="eastAsia" w:ascii="宋体" w:hAnsi="宋体" w:cs="宋体"/>
                <w:color w:val="000000"/>
                <w:spacing w:val="-23"/>
                <w:sz w:val="24"/>
              </w:rPr>
              <w:t>市</w:t>
            </w:r>
            <w:r>
              <w:rPr>
                <w:rFonts w:hint="eastAsia" w:ascii="宋体" w:hAnsi="宋体" w:cs="宋体"/>
                <w:color w:val="000000"/>
                <w:spacing w:val="-11"/>
                <w:sz w:val="24"/>
              </w:rPr>
              <w:t>生态环境局石林分局</w:t>
            </w:r>
          </w:p>
        </w:tc>
      </w:tr>
      <w:tr w14:paraId="45647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7CD49951">
            <w:pPr>
              <w:widowControl w:val="0"/>
              <w:spacing w:line="300" w:lineRule="exact"/>
              <w:jc w:val="center"/>
              <w:rPr>
                <w:rFonts w:ascii="宋体" w:hAnsi="宋体" w:cs="宋体"/>
                <w:color w:val="000000"/>
                <w:sz w:val="24"/>
              </w:rPr>
            </w:pPr>
            <w:r>
              <w:rPr>
                <w:rFonts w:hint="eastAsia" w:ascii="宋体" w:hAnsi="宋体" w:cs="宋体"/>
                <w:color w:val="000000"/>
                <w:sz w:val="24"/>
              </w:rPr>
              <w:t>17</w:t>
            </w:r>
          </w:p>
        </w:tc>
        <w:tc>
          <w:tcPr>
            <w:tcW w:w="4800" w:type="dxa"/>
            <w:vAlign w:val="center"/>
          </w:tcPr>
          <w:p w14:paraId="4B06DFB0">
            <w:pPr>
              <w:widowControl w:val="0"/>
              <w:spacing w:line="300" w:lineRule="exact"/>
              <w:jc w:val="both"/>
              <w:rPr>
                <w:rFonts w:ascii="宋体" w:hAnsi="宋体" w:cs="宋体"/>
                <w:color w:val="000000"/>
                <w:sz w:val="24"/>
              </w:rPr>
            </w:pPr>
            <w:r>
              <w:rPr>
                <w:rFonts w:hint="eastAsia" w:ascii="宋体" w:hAnsi="宋体" w:cs="宋体"/>
                <w:color w:val="000000"/>
                <w:sz w:val="24"/>
              </w:rPr>
              <w:t>民族团结进步创建“十进”工作</w:t>
            </w:r>
          </w:p>
        </w:tc>
        <w:tc>
          <w:tcPr>
            <w:tcW w:w="3593" w:type="dxa"/>
            <w:vAlign w:val="center"/>
          </w:tcPr>
          <w:p w14:paraId="3C7BBD74">
            <w:pPr>
              <w:widowControl w:val="0"/>
              <w:spacing w:line="300" w:lineRule="exact"/>
              <w:jc w:val="both"/>
              <w:rPr>
                <w:rFonts w:ascii="宋体" w:hAnsi="宋体" w:cs="宋体"/>
                <w:color w:val="000000"/>
                <w:sz w:val="24"/>
              </w:rPr>
            </w:pPr>
            <w:r>
              <w:rPr>
                <w:rFonts w:hint="eastAsia" w:ascii="宋体" w:hAnsi="宋体" w:cs="宋体"/>
                <w:color w:val="000000"/>
                <w:spacing w:val="-6"/>
                <w:sz w:val="24"/>
              </w:rPr>
              <w:t>县</w:t>
            </w:r>
            <w:r>
              <w:rPr>
                <w:rFonts w:hint="eastAsia"/>
                <w:color w:val="000000"/>
                <w:spacing w:val="-6"/>
                <w:sz w:val="24"/>
              </w:rPr>
              <w:t>民族宗教局</w:t>
            </w:r>
          </w:p>
        </w:tc>
      </w:tr>
      <w:tr w14:paraId="5F95F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5B50A45A">
            <w:pPr>
              <w:widowControl w:val="0"/>
              <w:spacing w:line="300" w:lineRule="exact"/>
              <w:jc w:val="center"/>
              <w:rPr>
                <w:rFonts w:ascii="宋体" w:hAnsi="宋体" w:cs="宋体"/>
                <w:color w:val="000000"/>
                <w:sz w:val="24"/>
              </w:rPr>
            </w:pPr>
            <w:r>
              <w:rPr>
                <w:rFonts w:hint="eastAsia" w:ascii="宋体" w:hAnsi="宋体" w:cs="宋体"/>
                <w:color w:val="000000"/>
                <w:sz w:val="24"/>
              </w:rPr>
              <w:t>18</w:t>
            </w:r>
          </w:p>
        </w:tc>
        <w:tc>
          <w:tcPr>
            <w:tcW w:w="4800" w:type="dxa"/>
            <w:vAlign w:val="center"/>
          </w:tcPr>
          <w:p w14:paraId="5212C111">
            <w:pPr>
              <w:widowControl w:val="0"/>
              <w:spacing w:line="300" w:lineRule="exact"/>
              <w:jc w:val="both"/>
              <w:rPr>
                <w:rFonts w:ascii="宋体" w:hAnsi="宋体" w:cs="宋体"/>
                <w:color w:val="000000"/>
                <w:sz w:val="24"/>
              </w:rPr>
            </w:pPr>
            <w:r>
              <w:rPr>
                <w:rFonts w:hint="eastAsia" w:ascii="宋体" w:hAnsi="宋体" w:cs="宋体"/>
                <w:color w:val="000000"/>
                <w:spacing w:val="-6"/>
                <w:sz w:val="24"/>
              </w:rPr>
              <w:t>铸牢中华民族共同体意识教育示范学校创建</w:t>
            </w:r>
          </w:p>
        </w:tc>
        <w:tc>
          <w:tcPr>
            <w:tcW w:w="3593" w:type="dxa"/>
            <w:vAlign w:val="center"/>
          </w:tcPr>
          <w:p w14:paraId="2C0E1B04">
            <w:pPr>
              <w:widowControl w:val="0"/>
              <w:spacing w:line="300" w:lineRule="exact"/>
              <w:jc w:val="both"/>
              <w:rPr>
                <w:rFonts w:ascii="宋体" w:hAnsi="宋体" w:cs="宋体"/>
                <w:color w:val="000000"/>
                <w:sz w:val="24"/>
              </w:rPr>
            </w:pPr>
            <w:r>
              <w:rPr>
                <w:rFonts w:hint="eastAsia"/>
                <w:color w:val="000000"/>
                <w:spacing w:val="-6"/>
                <w:sz w:val="24"/>
              </w:rPr>
              <w:t>县教育体育局、</w:t>
            </w:r>
            <w:r>
              <w:rPr>
                <w:rFonts w:hint="eastAsia" w:ascii="宋体" w:hAnsi="宋体" w:cs="宋体"/>
                <w:color w:val="000000"/>
                <w:spacing w:val="-6"/>
                <w:sz w:val="24"/>
              </w:rPr>
              <w:t>县</w:t>
            </w:r>
            <w:r>
              <w:rPr>
                <w:rFonts w:hint="eastAsia"/>
                <w:color w:val="000000"/>
                <w:spacing w:val="-6"/>
                <w:sz w:val="24"/>
              </w:rPr>
              <w:t>民族宗教局</w:t>
            </w:r>
          </w:p>
        </w:tc>
      </w:tr>
      <w:tr w14:paraId="0168F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41B8DAF7">
            <w:pPr>
              <w:widowControl w:val="0"/>
              <w:spacing w:line="300" w:lineRule="exact"/>
              <w:jc w:val="center"/>
              <w:rPr>
                <w:rFonts w:ascii="宋体" w:hAnsi="宋体" w:cs="宋体"/>
                <w:color w:val="000000"/>
                <w:sz w:val="24"/>
              </w:rPr>
            </w:pPr>
            <w:r>
              <w:rPr>
                <w:rFonts w:hint="eastAsia" w:ascii="宋体" w:hAnsi="宋体" w:cs="宋体"/>
                <w:color w:val="000000"/>
                <w:sz w:val="24"/>
              </w:rPr>
              <w:t>19</w:t>
            </w:r>
          </w:p>
        </w:tc>
        <w:tc>
          <w:tcPr>
            <w:tcW w:w="4800" w:type="dxa"/>
            <w:vAlign w:val="center"/>
          </w:tcPr>
          <w:p w14:paraId="783DC5CA">
            <w:pPr>
              <w:widowControl w:val="0"/>
              <w:spacing w:line="300" w:lineRule="exact"/>
              <w:jc w:val="both"/>
              <w:rPr>
                <w:rFonts w:ascii="宋体" w:hAnsi="宋体" w:cs="宋体"/>
                <w:color w:val="000000"/>
                <w:spacing w:val="-6"/>
                <w:sz w:val="24"/>
              </w:rPr>
            </w:pPr>
            <w:r>
              <w:rPr>
                <w:rFonts w:hint="eastAsia" w:ascii="宋体" w:hAnsi="宋体" w:cs="宋体"/>
                <w:color w:val="000000"/>
                <w:spacing w:val="-6"/>
                <w:sz w:val="24"/>
              </w:rPr>
              <w:t>铸牢中华民族共同体意识教育实践基地创建</w:t>
            </w:r>
          </w:p>
        </w:tc>
        <w:tc>
          <w:tcPr>
            <w:tcW w:w="3593" w:type="dxa"/>
            <w:vAlign w:val="center"/>
          </w:tcPr>
          <w:p w14:paraId="6C11FC3E">
            <w:pPr>
              <w:widowControl w:val="0"/>
              <w:spacing w:line="300" w:lineRule="exact"/>
              <w:jc w:val="both"/>
              <w:rPr>
                <w:rFonts w:ascii="宋体" w:hAnsi="宋体" w:cs="宋体"/>
                <w:color w:val="000000"/>
                <w:spacing w:val="-6"/>
                <w:sz w:val="24"/>
              </w:rPr>
            </w:pPr>
            <w:r>
              <w:rPr>
                <w:rFonts w:hint="eastAsia" w:ascii="宋体" w:hAnsi="宋体" w:cs="宋体"/>
                <w:color w:val="000000"/>
                <w:spacing w:val="-6"/>
                <w:sz w:val="24"/>
              </w:rPr>
              <w:t>县委宣传部、县</w:t>
            </w:r>
            <w:r>
              <w:rPr>
                <w:rFonts w:hint="eastAsia"/>
                <w:color w:val="000000"/>
                <w:spacing w:val="-6"/>
                <w:sz w:val="24"/>
              </w:rPr>
              <w:t>民族宗教局</w:t>
            </w:r>
          </w:p>
        </w:tc>
      </w:tr>
      <w:tr w14:paraId="5A90F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215213F6">
            <w:pPr>
              <w:widowControl w:val="0"/>
              <w:spacing w:line="300" w:lineRule="exact"/>
              <w:jc w:val="center"/>
              <w:rPr>
                <w:rFonts w:ascii="宋体" w:hAnsi="宋体" w:cs="宋体"/>
                <w:color w:val="000000"/>
                <w:sz w:val="24"/>
              </w:rPr>
            </w:pPr>
            <w:r>
              <w:rPr>
                <w:rFonts w:hint="eastAsia" w:ascii="宋体" w:hAnsi="宋体" w:cs="宋体"/>
                <w:color w:val="000000"/>
                <w:sz w:val="24"/>
              </w:rPr>
              <w:t>20</w:t>
            </w:r>
          </w:p>
        </w:tc>
        <w:tc>
          <w:tcPr>
            <w:tcW w:w="4800" w:type="dxa"/>
            <w:vAlign w:val="center"/>
          </w:tcPr>
          <w:p w14:paraId="7926AB14">
            <w:pPr>
              <w:widowControl w:val="0"/>
              <w:spacing w:line="300" w:lineRule="exact"/>
              <w:jc w:val="both"/>
              <w:rPr>
                <w:rFonts w:ascii="宋体" w:hAnsi="宋体" w:cs="宋体"/>
                <w:color w:val="000000"/>
                <w:sz w:val="24"/>
              </w:rPr>
            </w:pPr>
            <w:r>
              <w:rPr>
                <w:rFonts w:hint="eastAsia" w:ascii="宋体" w:hAnsi="宋体" w:cs="宋体"/>
                <w:color w:val="000000"/>
                <w:sz w:val="24"/>
              </w:rPr>
              <w:t>少数民族流动人口服务管理工作示范工程</w:t>
            </w:r>
          </w:p>
        </w:tc>
        <w:tc>
          <w:tcPr>
            <w:tcW w:w="3593" w:type="dxa"/>
          </w:tcPr>
          <w:p w14:paraId="03D605A8">
            <w:pPr>
              <w:widowControl w:val="0"/>
              <w:spacing w:line="300" w:lineRule="exact"/>
              <w:jc w:val="left"/>
              <w:rPr>
                <w:rFonts w:ascii="宋体" w:hAnsi="宋体" w:cs="宋体"/>
                <w:color w:val="000000"/>
                <w:sz w:val="24"/>
              </w:rPr>
            </w:pPr>
            <w:r>
              <w:rPr>
                <w:rFonts w:hint="eastAsia" w:ascii="宋体" w:hAnsi="宋体" w:cs="宋体"/>
                <w:color w:val="000000"/>
                <w:spacing w:val="-11"/>
                <w:sz w:val="24"/>
              </w:rPr>
              <w:t>县民族宗教局</w:t>
            </w:r>
          </w:p>
        </w:tc>
      </w:tr>
      <w:tr w14:paraId="09981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1F5FB43E">
            <w:pPr>
              <w:widowControl w:val="0"/>
              <w:spacing w:line="300" w:lineRule="exact"/>
              <w:jc w:val="center"/>
              <w:rPr>
                <w:rFonts w:ascii="宋体" w:hAnsi="宋体" w:cs="宋体"/>
                <w:color w:val="000000"/>
                <w:sz w:val="24"/>
              </w:rPr>
            </w:pPr>
            <w:r>
              <w:rPr>
                <w:rFonts w:hint="eastAsia" w:ascii="宋体" w:hAnsi="宋体" w:cs="宋体"/>
                <w:color w:val="000000"/>
                <w:sz w:val="24"/>
              </w:rPr>
              <w:t>21</w:t>
            </w:r>
          </w:p>
        </w:tc>
        <w:tc>
          <w:tcPr>
            <w:tcW w:w="4800" w:type="dxa"/>
            <w:vAlign w:val="center"/>
          </w:tcPr>
          <w:p w14:paraId="31AE584A">
            <w:pPr>
              <w:widowControl w:val="0"/>
              <w:spacing w:line="300" w:lineRule="exact"/>
              <w:jc w:val="both"/>
              <w:rPr>
                <w:rFonts w:ascii="宋体" w:hAnsi="宋体" w:cs="宋体"/>
                <w:color w:val="000000"/>
                <w:sz w:val="24"/>
              </w:rPr>
            </w:pPr>
            <w:r>
              <w:rPr>
                <w:rFonts w:hint="eastAsia" w:ascii="宋体" w:hAnsi="宋体" w:cs="宋体"/>
                <w:color w:val="000000"/>
                <w:sz w:val="24"/>
              </w:rPr>
              <w:t>民族团结进步示范社区创建</w:t>
            </w:r>
          </w:p>
        </w:tc>
        <w:tc>
          <w:tcPr>
            <w:tcW w:w="3593" w:type="dxa"/>
            <w:vAlign w:val="center"/>
          </w:tcPr>
          <w:p w14:paraId="6AE0236A">
            <w:pPr>
              <w:widowControl w:val="0"/>
              <w:spacing w:line="300" w:lineRule="exact"/>
              <w:jc w:val="both"/>
              <w:rPr>
                <w:rFonts w:ascii="宋体" w:hAnsi="宋体" w:cs="宋体"/>
                <w:color w:val="000000"/>
                <w:sz w:val="24"/>
              </w:rPr>
            </w:pPr>
            <w:r>
              <w:rPr>
                <w:rFonts w:hint="eastAsia" w:ascii="宋体" w:hAnsi="宋体" w:cs="宋体"/>
                <w:color w:val="000000"/>
                <w:spacing w:val="-11"/>
                <w:sz w:val="24"/>
              </w:rPr>
              <w:t>县民族宗教局</w:t>
            </w:r>
          </w:p>
        </w:tc>
      </w:tr>
      <w:tr w14:paraId="73ACE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3158C95A">
            <w:pPr>
              <w:widowControl w:val="0"/>
              <w:spacing w:line="300" w:lineRule="exact"/>
              <w:jc w:val="center"/>
              <w:rPr>
                <w:rFonts w:ascii="宋体" w:hAnsi="宋体" w:cs="宋体"/>
                <w:color w:val="000000"/>
                <w:sz w:val="24"/>
              </w:rPr>
            </w:pPr>
            <w:r>
              <w:rPr>
                <w:rFonts w:hint="eastAsia" w:ascii="宋体" w:hAnsi="宋体" w:cs="宋体"/>
                <w:color w:val="000000"/>
                <w:sz w:val="24"/>
              </w:rPr>
              <w:t>22</w:t>
            </w:r>
          </w:p>
        </w:tc>
        <w:tc>
          <w:tcPr>
            <w:tcW w:w="4800" w:type="dxa"/>
            <w:vAlign w:val="center"/>
          </w:tcPr>
          <w:p w14:paraId="4042B0C5">
            <w:pPr>
              <w:widowControl w:val="0"/>
              <w:tabs>
                <w:tab w:val="left" w:pos="1500"/>
              </w:tabs>
              <w:spacing w:line="300" w:lineRule="exact"/>
              <w:jc w:val="both"/>
              <w:rPr>
                <w:rFonts w:ascii="宋体" w:hAnsi="宋体" w:cs="宋体"/>
                <w:color w:val="000000"/>
                <w:sz w:val="24"/>
              </w:rPr>
            </w:pPr>
            <w:r>
              <w:rPr>
                <w:rFonts w:hint="eastAsia" w:ascii="宋体" w:hAnsi="宋体" w:cs="宋体"/>
                <w:color w:val="000000"/>
                <w:sz w:val="24"/>
              </w:rPr>
              <w:t>社区“一家亲”工作站建设工程</w:t>
            </w:r>
          </w:p>
        </w:tc>
        <w:tc>
          <w:tcPr>
            <w:tcW w:w="3593" w:type="dxa"/>
            <w:vAlign w:val="center"/>
          </w:tcPr>
          <w:p w14:paraId="259AD632">
            <w:pPr>
              <w:widowControl w:val="0"/>
              <w:spacing w:line="300" w:lineRule="exact"/>
              <w:jc w:val="both"/>
              <w:rPr>
                <w:rFonts w:ascii="宋体" w:hAnsi="宋体" w:cs="宋体"/>
                <w:color w:val="000000"/>
                <w:sz w:val="24"/>
              </w:rPr>
            </w:pPr>
            <w:r>
              <w:rPr>
                <w:rFonts w:hint="eastAsia" w:ascii="宋体" w:hAnsi="宋体" w:cs="宋体"/>
                <w:color w:val="000000"/>
                <w:spacing w:val="-11"/>
                <w:sz w:val="24"/>
              </w:rPr>
              <w:t>县民族宗教局</w:t>
            </w:r>
          </w:p>
        </w:tc>
      </w:tr>
      <w:tr w14:paraId="39EF9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3E70AD07">
            <w:pPr>
              <w:widowControl w:val="0"/>
              <w:spacing w:line="300" w:lineRule="exact"/>
              <w:jc w:val="center"/>
              <w:rPr>
                <w:rFonts w:ascii="宋体" w:hAnsi="宋体" w:cs="宋体"/>
                <w:color w:val="000000"/>
                <w:sz w:val="24"/>
              </w:rPr>
            </w:pPr>
            <w:r>
              <w:rPr>
                <w:rFonts w:hint="eastAsia" w:ascii="宋体" w:hAnsi="宋体" w:cs="宋体"/>
                <w:color w:val="000000"/>
                <w:sz w:val="24"/>
              </w:rPr>
              <w:t>23</w:t>
            </w:r>
          </w:p>
        </w:tc>
        <w:tc>
          <w:tcPr>
            <w:tcW w:w="4800" w:type="dxa"/>
            <w:vAlign w:val="center"/>
          </w:tcPr>
          <w:p w14:paraId="2CA3101D">
            <w:pPr>
              <w:widowControl w:val="0"/>
              <w:spacing w:line="300" w:lineRule="exact"/>
              <w:jc w:val="both"/>
              <w:rPr>
                <w:rFonts w:ascii="宋体" w:hAnsi="宋体" w:cs="宋体"/>
                <w:color w:val="000000"/>
                <w:sz w:val="24"/>
              </w:rPr>
            </w:pPr>
            <w:r>
              <w:rPr>
                <w:rFonts w:hint="eastAsia" w:ascii="宋体" w:hAnsi="宋体" w:cs="宋体"/>
                <w:color w:val="000000"/>
                <w:sz w:val="24"/>
              </w:rPr>
              <w:t>民族地区农村劳动力转移工程</w:t>
            </w:r>
          </w:p>
        </w:tc>
        <w:tc>
          <w:tcPr>
            <w:tcW w:w="3593" w:type="dxa"/>
          </w:tcPr>
          <w:p w14:paraId="4259CCE4">
            <w:pPr>
              <w:widowControl w:val="0"/>
              <w:spacing w:line="300" w:lineRule="exact"/>
              <w:jc w:val="left"/>
              <w:rPr>
                <w:rFonts w:ascii="宋体" w:hAnsi="宋体" w:cs="宋体"/>
                <w:color w:val="000000"/>
                <w:sz w:val="24"/>
              </w:rPr>
            </w:pPr>
            <w:r>
              <w:rPr>
                <w:rFonts w:hint="eastAsia" w:ascii="宋体" w:hAnsi="宋体" w:cs="宋体"/>
                <w:color w:val="000000"/>
                <w:sz w:val="24"/>
              </w:rPr>
              <w:t>县人力资源和社会保障局</w:t>
            </w:r>
          </w:p>
        </w:tc>
      </w:tr>
      <w:tr w14:paraId="295F5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79FA55D6">
            <w:pPr>
              <w:widowControl w:val="0"/>
              <w:spacing w:line="300" w:lineRule="exact"/>
              <w:jc w:val="center"/>
              <w:rPr>
                <w:rFonts w:ascii="宋体" w:hAnsi="宋体" w:cs="宋体"/>
                <w:color w:val="000000"/>
                <w:sz w:val="24"/>
              </w:rPr>
            </w:pPr>
            <w:r>
              <w:rPr>
                <w:rFonts w:hint="eastAsia" w:ascii="宋体" w:hAnsi="宋体" w:cs="宋体"/>
                <w:color w:val="000000"/>
                <w:sz w:val="24"/>
              </w:rPr>
              <w:t>24</w:t>
            </w:r>
          </w:p>
        </w:tc>
        <w:tc>
          <w:tcPr>
            <w:tcW w:w="4800" w:type="dxa"/>
            <w:vAlign w:val="center"/>
          </w:tcPr>
          <w:p w14:paraId="0B9D3CB5">
            <w:pPr>
              <w:widowControl w:val="0"/>
              <w:spacing w:line="300" w:lineRule="exact"/>
              <w:jc w:val="both"/>
              <w:rPr>
                <w:rFonts w:ascii="宋体" w:hAnsi="宋体" w:cs="宋体"/>
                <w:color w:val="000000"/>
                <w:sz w:val="24"/>
              </w:rPr>
            </w:pPr>
            <w:r>
              <w:rPr>
                <w:rFonts w:hint="eastAsia" w:ascii="宋体" w:hAnsi="宋体" w:cs="宋体"/>
                <w:color w:val="000000"/>
                <w:sz w:val="24"/>
              </w:rPr>
              <w:t>民族团结进步示范班计划</w:t>
            </w:r>
          </w:p>
        </w:tc>
        <w:tc>
          <w:tcPr>
            <w:tcW w:w="3593" w:type="dxa"/>
            <w:vAlign w:val="center"/>
          </w:tcPr>
          <w:p w14:paraId="4D34F490">
            <w:pPr>
              <w:widowControl w:val="0"/>
              <w:spacing w:line="300" w:lineRule="exact"/>
              <w:jc w:val="both"/>
              <w:rPr>
                <w:rFonts w:ascii="宋体" w:hAnsi="宋体" w:cs="宋体"/>
                <w:color w:val="000000"/>
                <w:sz w:val="24"/>
              </w:rPr>
            </w:pPr>
            <w:r>
              <w:rPr>
                <w:rFonts w:hint="eastAsia" w:ascii="宋体" w:hAnsi="宋体" w:cs="宋体"/>
                <w:color w:val="000000"/>
                <w:spacing w:val="-11"/>
                <w:sz w:val="24"/>
              </w:rPr>
              <w:t>县民族宗教局、</w:t>
            </w:r>
            <w:r>
              <w:rPr>
                <w:rFonts w:hint="eastAsia" w:ascii="宋体" w:hAnsi="宋体" w:cs="宋体"/>
                <w:color w:val="000000"/>
                <w:sz w:val="24"/>
              </w:rPr>
              <w:t>县教育体育局</w:t>
            </w:r>
          </w:p>
        </w:tc>
      </w:tr>
      <w:tr w14:paraId="5B8D0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1A5B0C0B">
            <w:pPr>
              <w:widowControl w:val="0"/>
              <w:spacing w:line="300" w:lineRule="exact"/>
              <w:jc w:val="center"/>
              <w:rPr>
                <w:rFonts w:ascii="宋体" w:hAnsi="宋体" w:cs="宋体"/>
                <w:color w:val="000000"/>
                <w:sz w:val="24"/>
              </w:rPr>
            </w:pPr>
            <w:r>
              <w:rPr>
                <w:rFonts w:hint="eastAsia" w:ascii="宋体" w:hAnsi="宋体" w:cs="宋体"/>
                <w:color w:val="000000"/>
                <w:sz w:val="24"/>
              </w:rPr>
              <w:t>25</w:t>
            </w:r>
          </w:p>
        </w:tc>
        <w:tc>
          <w:tcPr>
            <w:tcW w:w="4800" w:type="dxa"/>
            <w:vAlign w:val="center"/>
          </w:tcPr>
          <w:p w14:paraId="2293C909">
            <w:pPr>
              <w:widowControl w:val="0"/>
              <w:spacing w:line="300" w:lineRule="exact"/>
              <w:jc w:val="both"/>
              <w:rPr>
                <w:rFonts w:ascii="宋体" w:hAnsi="宋体" w:cs="宋体"/>
                <w:color w:val="000000"/>
                <w:sz w:val="24"/>
              </w:rPr>
            </w:pPr>
            <w:r>
              <w:rPr>
                <w:rFonts w:hint="eastAsia" w:ascii="宋体" w:hAnsi="宋体" w:cs="宋体"/>
                <w:color w:val="000000"/>
                <w:sz w:val="24"/>
              </w:rPr>
              <w:t>民族医医疗机构建设</w:t>
            </w:r>
          </w:p>
        </w:tc>
        <w:tc>
          <w:tcPr>
            <w:tcW w:w="3593" w:type="dxa"/>
          </w:tcPr>
          <w:p w14:paraId="2BF0E01F">
            <w:pPr>
              <w:widowControl w:val="0"/>
              <w:spacing w:line="300" w:lineRule="exact"/>
              <w:jc w:val="left"/>
              <w:rPr>
                <w:rFonts w:ascii="宋体" w:hAnsi="宋体" w:cs="宋体"/>
                <w:color w:val="000000"/>
                <w:sz w:val="24"/>
              </w:rPr>
            </w:pPr>
            <w:r>
              <w:rPr>
                <w:rFonts w:hint="eastAsia" w:ascii="宋体" w:hAnsi="宋体" w:cs="宋体"/>
                <w:color w:val="000000"/>
                <w:sz w:val="24"/>
              </w:rPr>
              <w:t>县卫生健康局</w:t>
            </w:r>
          </w:p>
        </w:tc>
      </w:tr>
      <w:tr w14:paraId="55C61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5B3E2381">
            <w:pPr>
              <w:widowControl w:val="0"/>
              <w:spacing w:line="300" w:lineRule="exact"/>
              <w:jc w:val="center"/>
              <w:rPr>
                <w:rFonts w:ascii="宋体" w:hAnsi="宋体" w:cs="宋体"/>
                <w:color w:val="000000"/>
                <w:sz w:val="24"/>
              </w:rPr>
            </w:pPr>
            <w:r>
              <w:rPr>
                <w:rFonts w:hint="eastAsia" w:ascii="宋体" w:hAnsi="宋体" w:cs="宋体"/>
                <w:color w:val="000000"/>
                <w:sz w:val="24"/>
              </w:rPr>
              <w:t>26</w:t>
            </w:r>
          </w:p>
        </w:tc>
        <w:tc>
          <w:tcPr>
            <w:tcW w:w="4800" w:type="dxa"/>
            <w:vAlign w:val="center"/>
          </w:tcPr>
          <w:p w14:paraId="47667919">
            <w:pPr>
              <w:widowControl w:val="0"/>
              <w:spacing w:line="300" w:lineRule="exact"/>
              <w:jc w:val="both"/>
              <w:rPr>
                <w:rFonts w:ascii="宋体" w:hAnsi="宋体" w:cs="宋体"/>
                <w:color w:val="000000"/>
                <w:sz w:val="24"/>
              </w:rPr>
            </w:pPr>
            <w:r>
              <w:rPr>
                <w:rFonts w:hint="eastAsia" w:ascii="宋体" w:hAnsi="宋体" w:cs="宋体"/>
                <w:color w:val="000000"/>
                <w:sz w:val="24"/>
              </w:rPr>
              <w:t>矛盾纠纷排查和调处机制建设工程</w:t>
            </w:r>
          </w:p>
        </w:tc>
        <w:tc>
          <w:tcPr>
            <w:tcW w:w="3593" w:type="dxa"/>
            <w:vAlign w:val="center"/>
          </w:tcPr>
          <w:p w14:paraId="73A4C422">
            <w:pPr>
              <w:widowControl w:val="0"/>
              <w:spacing w:line="300" w:lineRule="exact"/>
              <w:jc w:val="both"/>
              <w:rPr>
                <w:rFonts w:ascii="宋体" w:hAnsi="宋体" w:cs="宋体"/>
                <w:color w:val="000000"/>
                <w:sz w:val="24"/>
              </w:rPr>
            </w:pPr>
            <w:r>
              <w:rPr>
                <w:rFonts w:hint="eastAsia" w:ascii="宋体" w:hAnsi="宋体" w:cs="宋体"/>
                <w:color w:val="000000"/>
                <w:spacing w:val="-11"/>
                <w:sz w:val="24"/>
              </w:rPr>
              <w:t>县民族宗教局</w:t>
            </w:r>
          </w:p>
        </w:tc>
      </w:tr>
      <w:tr w14:paraId="6A6B6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327707D6">
            <w:pPr>
              <w:widowControl w:val="0"/>
              <w:spacing w:line="300" w:lineRule="exact"/>
              <w:jc w:val="center"/>
              <w:rPr>
                <w:rFonts w:ascii="宋体" w:hAnsi="宋体" w:cs="宋体"/>
                <w:color w:val="000000"/>
                <w:sz w:val="24"/>
              </w:rPr>
            </w:pPr>
            <w:r>
              <w:rPr>
                <w:rFonts w:hint="eastAsia" w:ascii="宋体" w:hAnsi="宋体" w:cs="宋体"/>
                <w:color w:val="000000"/>
                <w:sz w:val="24"/>
              </w:rPr>
              <w:t>27</w:t>
            </w:r>
          </w:p>
        </w:tc>
        <w:tc>
          <w:tcPr>
            <w:tcW w:w="4800" w:type="dxa"/>
            <w:vAlign w:val="center"/>
          </w:tcPr>
          <w:p w14:paraId="15594E2F">
            <w:pPr>
              <w:widowControl w:val="0"/>
              <w:spacing w:line="300" w:lineRule="exact"/>
              <w:jc w:val="both"/>
              <w:rPr>
                <w:rFonts w:ascii="宋体" w:hAnsi="宋体" w:cs="宋体"/>
                <w:color w:val="000000"/>
                <w:sz w:val="24"/>
              </w:rPr>
            </w:pPr>
            <w:r>
              <w:rPr>
                <w:rFonts w:hint="eastAsia" w:ascii="宋体" w:hAnsi="宋体" w:cs="宋体"/>
                <w:color w:val="000000"/>
                <w:sz w:val="24"/>
              </w:rPr>
              <w:t>和谐宗教创建计划</w:t>
            </w:r>
          </w:p>
        </w:tc>
        <w:tc>
          <w:tcPr>
            <w:tcW w:w="3593" w:type="dxa"/>
            <w:vAlign w:val="center"/>
          </w:tcPr>
          <w:p w14:paraId="7A9F55B9">
            <w:pPr>
              <w:widowControl w:val="0"/>
              <w:spacing w:line="300" w:lineRule="exact"/>
              <w:jc w:val="both"/>
              <w:rPr>
                <w:rFonts w:ascii="宋体" w:hAnsi="宋体" w:cs="宋体"/>
                <w:color w:val="000000"/>
                <w:spacing w:val="-11"/>
                <w:sz w:val="24"/>
              </w:rPr>
            </w:pPr>
            <w:r>
              <w:rPr>
                <w:rFonts w:hint="eastAsia" w:ascii="宋体" w:hAnsi="宋体" w:cs="宋体"/>
                <w:color w:val="000000"/>
                <w:spacing w:val="-11"/>
                <w:sz w:val="24"/>
              </w:rPr>
              <w:t>县民族宗教局</w:t>
            </w:r>
          </w:p>
        </w:tc>
      </w:tr>
      <w:tr w14:paraId="441E7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14:paraId="4EBED888">
            <w:pPr>
              <w:widowControl w:val="0"/>
              <w:spacing w:line="300" w:lineRule="exact"/>
              <w:jc w:val="center"/>
              <w:rPr>
                <w:rFonts w:ascii="宋体" w:hAnsi="宋体" w:cs="宋体"/>
                <w:color w:val="000000"/>
                <w:sz w:val="24"/>
              </w:rPr>
            </w:pPr>
            <w:r>
              <w:rPr>
                <w:rFonts w:hint="eastAsia" w:ascii="宋体" w:hAnsi="宋体" w:cs="宋体"/>
                <w:color w:val="000000"/>
                <w:sz w:val="24"/>
              </w:rPr>
              <w:t>28</w:t>
            </w:r>
          </w:p>
        </w:tc>
        <w:tc>
          <w:tcPr>
            <w:tcW w:w="4800" w:type="dxa"/>
            <w:vAlign w:val="center"/>
          </w:tcPr>
          <w:p w14:paraId="07C43CE3">
            <w:pPr>
              <w:widowControl w:val="0"/>
              <w:spacing w:line="300" w:lineRule="exact"/>
              <w:jc w:val="both"/>
              <w:rPr>
                <w:rFonts w:ascii="宋体" w:hAnsi="宋体" w:cs="宋体"/>
                <w:color w:val="000000"/>
                <w:sz w:val="24"/>
              </w:rPr>
            </w:pPr>
            <w:r>
              <w:rPr>
                <w:rFonts w:hint="eastAsia" w:ascii="宋体" w:hAnsi="宋体" w:cs="宋体"/>
                <w:color w:val="000000"/>
                <w:sz w:val="24"/>
              </w:rPr>
              <w:t>民族宗教工作信息化建设工程</w:t>
            </w:r>
          </w:p>
        </w:tc>
        <w:tc>
          <w:tcPr>
            <w:tcW w:w="3593" w:type="dxa"/>
            <w:vAlign w:val="center"/>
          </w:tcPr>
          <w:p w14:paraId="6E299C05">
            <w:pPr>
              <w:widowControl w:val="0"/>
              <w:spacing w:line="300" w:lineRule="exact"/>
              <w:jc w:val="both"/>
              <w:rPr>
                <w:rFonts w:ascii="宋体" w:hAnsi="宋体" w:cs="宋体"/>
                <w:color w:val="000000"/>
                <w:sz w:val="24"/>
              </w:rPr>
            </w:pPr>
            <w:r>
              <w:rPr>
                <w:rFonts w:hint="eastAsia" w:ascii="宋体" w:hAnsi="宋体" w:cs="宋体"/>
                <w:color w:val="000000"/>
                <w:spacing w:val="-11"/>
                <w:sz w:val="24"/>
              </w:rPr>
              <w:t>县民族宗教局</w:t>
            </w:r>
          </w:p>
        </w:tc>
      </w:tr>
    </w:tbl>
    <w:p w14:paraId="20E72DE2">
      <w:pPr>
        <w:pStyle w:val="2"/>
        <w:ind w:firstLine="0"/>
        <w:rPr>
          <w:color w:val="000000"/>
        </w:rPr>
      </w:pPr>
    </w:p>
    <w:p w14:paraId="4216BA02">
      <w:pPr>
        <w:pStyle w:val="2"/>
        <w:ind w:firstLine="640"/>
        <w:rPr>
          <w:rFonts w:ascii="方正仿宋_GB2312" w:hAnsi="方正仿宋_GB2312" w:eastAsia="方正仿宋_GB2312" w:cs="方正仿宋_GB2312"/>
          <w:color w:val="000000"/>
          <w:sz w:val="32"/>
          <w:szCs w:val="32"/>
          <w:lang w:val="zh-CN"/>
        </w:rPr>
      </w:pPr>
    </w:p>
    <w:sectPr>
      <w:footerReference r:id="rId5" w:type="default"/>
      <w:pgSz w:w="11906" w:h="16838"/>
      <w:pgMar w:top="2098" w:right="1417" w:bottom="2098" w:left="1531" w:header="567" w:footer="567"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大标宋_GBK">
    <w:altName w:val="微软雅黑"/>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2312">
    <w:altName w:val="仿宋"/>
    <w:panose1 w:val="00000000000000000000"/>
    <w:charset w:val="00"/>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7C5E97">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3D525">
    <w:pPr>
      <w:pStyle w:val="1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D5E2C4">
                          <w:pPr>
                            <w:pStyle w:val="1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- 13 -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x02M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VG+TR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nHTYzAEAAJwDAAAOAAAAAAAAAAEAIAAAAB4BAABkcnMvZTJv&#10;RG9jLnhtbFBLBQYAAAAABgAGAFkBAABcBQAAAAA=&#10;">
              <v:fill on="f" focussize="0,0"/>
              <v:stroke on="f"/>
              <v:imagedata o:title=""/>
              <o:lock v:ext="edit" aspectratio="f"/>
              <v:textbox inset="0mm,0mm,0mm,0mm" style="mso-fit-shape-to-text:t;">
                <w:txbxContent>
                  <w:p w14:paraId="6DD5E2C4">
                    <w:pPr>
                      <w:pStyle w:val="1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- 13 -</w:t>
                    </w:r>
                    <w:r>
                      <w:rPr>
                        <w:rFonts w:hint="eastAsia" w:ascii="宋体" w:hAnsi="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93C3F">
    <w:pPr>
      <w:pStyle w:val="1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BA14C0">
                          <w:pPr>
                            <w:pStyle w:val="1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- 47 -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eMqNjLAQAAnAMAAA4AAAAAAAAAAQAgAAAAHgEAAGRycy9lMm9E&#10;b2MueG1sUEsFBgAAAAAGAAYAWQEAAFsFAAAAAA==&#10;">
              <v:fill on="f" focussize="0,0"/>
              <v:stroke on="f"/>
              <v:imagedata o:title=""/>
              <o:lock v:ext="edit" aspectratio="f"/>
              <v:textbox inset="0mm,0mm,0mm,0mm" style="mso-fit-shape-to-text:t;">
                <w:txbxContent>
                  <w:p w14:paraId="0FBA14C0">
                    <w:pPr>
                      <w:pStyle w:val="1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- 47 -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577BE"/>
    <w:multiLevelType w:val="singleLevel"/>
    <w:tmpl w:val="84A577BE"/>
    <w:lvl w:ilvl="0" w:tentative="0">
      <w:start w:val="4"/>
      <w:numFmt w:val="chineseCounting"/>
      <w:suff w:val="nothing"/>
      <w:lvlText w:val="%1、"/>
      <w:lvlJc w:val="left"/>
      <w:rPr>
        <w:rFonts w:hint="eastAsia" w:ascii="楷体" w:hAnsi="楷体" w:eastAsia="楷体"/>
      </w:rPr>
    </w:lvl>
  </w:abstractNum>
  <w:abstractNum w:abstractNumId="1">
    <w:nsid w:val="DA7C235E"/>
    <w:multiLevelType w:val="singleLevel"/>
    <w:tmpl w:val="DA7C235E"/>
    <w:lvl w:ilvl="0" w:tentative="0">
      <w:start w:val="2"/>
      <w:numFmt w:val="chineseCounting"/>
      <w:suff w:val="space"/>
      <w:lvlText w:val="第%1章"/>
      <w:lvlJc w:val="left"/>
      <w:rPr>
        <w:rFonts w:hint="eastAsia"/>
      </w:rPr>
    </w:lvl>
  </w:abstractNum>
  <w:abstractNum w:abstractNumId="2">
    <w:nsid w:val="212B7DB5"/>
    <w:multiLevelType w:val="singleLevel"/>
    <w:tmpl w:val="212B7DB5"/>
    <w:lvl w:ilvl="0" w:tentative="0">
      <w:start w:val="5"/>
      <w:numFmt w:val="chineseCounting"/>
      <w:suff w:val="space"/>
      <w:lvlText w:val="第%1章"/>
      <w:lvlJc w:val="left"/>
      <w:rPr>
        <w:rFonts w:hint="eastAsia"/>
      </w:rPr>
    </w:lvl>
  </w:abstractNum>
  <w:abstractNum w:abstractNumId="3">
    <w:nsid w:val="3A3A7040"/>
    <w:multiLevelType w:val="multilevel"/>
    <w:tmpl w:val="3A3A7040"/>
    <w:lvl w:ilvl="0" w:tentative="0">
      <w:start w:val="1"/>
      <w:numFmt w:val="japaneseCounting"/>
      <w:lvlText w:val="第%1章"/>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4FDBC037"/>
    <w:multiLevelType w:val="singleLevel"/>
    <w:tmpl w:val="4FDBC037"/>
    <w:lvl w:ilvl="0" w:tentative="0">
      <w:start w:val="5"/>
      <w:numFmt w:val="chineseCounting"/>
      <w:suff w:val="nothing"/>
      <w:lvlText w:val="%1、"/>
      <w:lvlJc w:val="left"/>
      <w:rPr>
        <w:rFonts w:hint="eastAsia" w:ascii="黑体" w:hAnsi="黑体" w:eastAsia="黑体" w:cs="黑体"/>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56A"/>
    <w:rsid w:val="00003AA8"/>
    <w:rsid w:val="0001172E"/>
    <w:rsid w:val="00020D62"/>
    <w:rsid w:val="0002125C"/>
    <w:rsid w:val="00030055"/>
    <w:rsid w:val="00036844"/>
    <w:rsid w:val="00066B7C"/>
    <w:rsid w:val="00076605"/>
    <w:rsid w:val="000801E3"/>
    <w:rsid w:val="00087BC8"/>
    <w:rsid w:val="000B5A2A"/>
    <w:rsid w:val="000B78A0"/>
    <w:rsid w:val="000C46EA"/>
    <w:rsid w:val="000D0694"/>
    <w:rsid w:val="000D702F"/>
    <w:rsid w:val="000E1F43"/>
    <w:rsid w:val="000F7897"/>
    <w:rsid w:val="001272D2"/>
    <w:rsid w:val="001277B1"/>
    <w:rsid w:val="00131A6E"/>
    <w:rsid w:val="00142CF5"/>
    <w:rsid w:val="0014700A"/>
    <w:rsid w:val="00147326"/>
    <w:rsid w:val="00151C30"/>
    <w:rsid w:val="00151EE5"/>
    <w:rsid w:val="001527E3"/>
    <w:rsid w:val="00162661"/>
    <w:rsid w:val="00182E23"/>
    <w:rsid w:val="00185C3F"/>
    <w:rsid w:val="001900CD"/>
    <w:rsid w:val="001921DF"/>
    <w:rsid w:val="001A625C"/>
    <w:rsid w:val="001C400E"/>
    <w:rsid w:val="001D722F"/>
    <w:rsid w:val="001E5DB3"/>
    <w:rsid w:val="001E7116"/>
    <w:rsid w:val="001E7CB7"/>
    <w:rsid w:val="00233A84"/>
    <w:rsid w:val="002722FB"/>
    <w:rsid w:val="00293042"/>
    <w:rsid w:val="002D7A96"/>
    <w:rsid w:val="003318F9"/>
    <w:rsid w:val="00332C58"/>
    <w:rsid w:val="0034561B"/>
    <w:rsid w:val="00346CA2"/>
    <w:rsid w:val="00351CF6"/>
    <w:rsid w:val="0038614E"/>
    <w:rsid w:val="00386345"/>
    <w:rsid w:val="003C063D"/>
    <w:rsid w:val="003D6E72"/>
    <w:rsid w:val="003D7743"/>
    <w:rsid w:val="003F044B"/>
    <w:rsid w:val="004054F4"/>
    <w:rsid w:val="00413729"/>
    <w:rsid w:val="004166FF"/>
    <w:rsid w:val="00420C48"/>
    <w:rsid w:val="00425E4C"/>
    <w:rsid w:val="0042755D"/>
    <w:rsid w:val="00431637"/>
    <w:rsid w:val="0043611A"/>
    <w:rsid w:val="00436560"/>
    <w:rsid w:val="00443C15"/>
    <w:rsid w:val="004474E1"/>
    <w:rsid w:val="0045726B"/>
    <w:rsid w:val="00484B20"/>
    <w:rsid w:val="004B7730"/>
    <w:rsid w:val="004C7A78"/>
    <w:rsid w:val="004D2D51"/>
    <w:rsid w:val="004E42B8"/>
    <w:rsid w:val="00544581"/>
    <w:rsid w:val="005744B5"/>
    <w:rsid w:val="00582AD6"/>
    <w:rsid w:val="00592413"/>
    <w:rsid w:val="005949A1"/>
    <w:rsid w:val="005C31C2"/>
    <w:rsid w:val="005D7F97"/>
    <w:rsid w:val="00604CD5"/>
    <w:rsid w:val="006105B4"/>
    <w:rsid w:val="00635340"/>
    <w:rsid w:val="00640743"/>
    <w:rsid w:val="006674EB"/>
    <w:rsid w:val="006724FE"/>
    <w:rsid w:val="00675D2A"/>
    <w:rsid w:val="00681F56"/>
    <w:rsid w:val="00685217"/>
    <w:rsid w:val="0069586A"/>
    <w:rsid w:val="006B3C59"/>
    <w:rsid w:val="006B67C9"/>
    <w:rsid w:val="006C48CA"/>
    <w:rsid w:val="006E1F47"/>
    <w:rsid w:val="006F14E0"/>
    <w:rsid w:val="00726A0E"/>
    <w:rsid w:val="00741BB8"/>
    <w:rsid w:val="00763446"/>
    <w:rsid w:val="00771567"/>
    <w:rsid w:val="00771742"/>
    <w:rsid w:val="00773712"/>
    <w:rsid w:val="00787D51"/>
    <w:rsid w:val="00795B7F"/>
    <w:rsid w:val="007A7B3C"/>
    <w:rsid w:val="007B1843"/>
    <w:rsid w:val="007B36AD"/>
    <w:rsid w:val="007C32F2"/>
    <w:rsid w:val="007E279F"/>
    <w:rsid w:val="007F2A59"/>
    <w:rsid w:val="007F7D04"/>
    <w:rsid w:val="00830074"/>
    <w:rsid w:val="0084351F"/>
    <w:rsid w:val="0084501C"/>
    <w:rsid w:val="008561FB"/>
    <w:rsid w:val="008709A1"/>
    <w:rsid w:val="00870A87"/>
    <w:rsid w:val="00873CA0"/>
    <w:rsid w:val="00897C7E"/>
    <w:rsid w:val="008B732A"/>
    <w:rsid w:val="008B7482"/>
    <w:rsid w:val="008B7C5C"/>
    <w:rsid w:val="008C1EA4"/>
    <w:rsid w:val="008E3BCF"/>
    <w:rsid w:val="00904C55"/>
    <w:rsid w:val="00910F53"/>
    <w:rsid w:val="009206C7"/>
    <w:rsid w:val="00920E88"/>
    <w:rsid w:val="00941408"/>
    <w:rsid w:val="00947EEA"/>
    <w:rsid w:val="009703D4"/>
    <w:rsid w:val="009748BF"/>
    <w:rsid w:val="009857E3"/>
    <w:rsid w:val="009B21A5"/>
    <w:rsid w:val="009C57E1"/>
    <w:rsid w:val="009D5157"/>
    <w:rsid w:val="009E369B"/>
    <w:rsid w:val="00A1144F"/>
    <w:rsid w:val="00A16BD4"/>
    <w:rsid w:val="00A16DA7"/>
    <w:rsid w:val="00A40F81"/>
    <w:rsid w:val="00A4397D"/>
    <w:rsid w:val="00AB4BC9"/>
    <w:rsid w:val="00AC2735"/>
    <w:rsid w:val="00AC77AE"/>
    <w:rsid w:val="00AD0472"/>
    <w:rsid w:val="00AD1CB4"/>
    <w:rsid w:val="00AE06AC"/>
    <w:rsid w:val="00B016A7"/>
    <w:rsid w:val="00B0256A"/>
    <w:rsid w:val="00B048EE"/>
    <w:rsid w:val="00B10286"/>
    <w:rsid w:val="00B22207"/>
    <w:rsid w:val="00B27482"/>
    <w:rsid w:val="00B33E52"/>
    <w:rsid w:val="00B7137B"/>
    <w:rsid w:val="00B74167"/>
    <w:rsid w:val="00B779C2"/>
    <w:rsid w:val="00B82826"/>
    <w:rsid w:val="00BA5378"/>
    <w:rsid w:val="00BA6B65"/>
    <w:rsid w:val="00BB7910"/>
    <w:rsid w:val="00BC798A"/>
    <w:rsid w:val="00BD6131"/>
    <w:rsid w:val="00BD6817"/>
    <w:rsid w:val="00BE26B9"/>
    <w:rsid w:val="00BE3EEE"/>
    <w:rsid w:val="00BE56E4"/>
    <w:rsid w:val="00BE5A18"/>
    <w:rsid w:val="00BF1371"/>
    <w:rsid w:val="00BF31C3"/>
    <w:rsid w:val="00C053BE"/>
    <w:rsid w:val="00C06989"/>
    <w:rsid w:val="00C07386"/>
    <w:rsid w:val="00C07560"/>
    <w:rsid w:val="00C10827"/>
    <w:rsid w:val="00C115D6"/>
    <w:rsid w:val="00C14CC6"/>
    <w:rsid w:val="00C22114"/>
    <w:rsid w:val="00C24333"/>
    <w:rsid w:val="00C72E5E"/>
    <w:rsid w:val="00C74CED"/>
    <w:rsid w:val="00C84987"/>
    <w:rsid w:val="00C874D5"/>
    <w:rsid w:val="00C91DC9"/>
    <w:rsid w:val="00C942A4"/>
    <w:rsid w:val="00CC10ED"/>
    <w:rsid w:val="00CD235C"/>
    <w:rsid w:val="00CE341A"/>
    <w:rsid w:val="00CF148F"/>
    <w:rsid w:val="00D06528"/>
    <w:rsid w:val="00D147B2"/>
    <w:rsid w:val="00D162BC"/>
    <w:rsid w:val="00D37D34"/>
    <w:rsid w:val="00D50069"/>
    <w:rsid w:val="00D92A16"/>
    <w:rsid w:val="00DA49EA"/>
    <w:rsid w:val="00DB2026"/>
    <w:rsid w:val="00DE064D"/>
    <w:rsid w:val="00DE099E"/>
    <w:rsid w:val="00DE1107"/>
    <w:rsid w:val="00DE17A6"/>
    <w:rsid w:val="00DE3CB8"/>
    <w:rsid w:val="00E079B8"/>
    <w:rsid w:val="00E12F51"/>
    <w:rsid w:val="00E242CE"/>
    <w:rsid w:val="00E4574A"/>
    <w:rsid w:val="00E73489"/>
    <w:rsid w:val="00E8643B"/>
    <w:rsid w:val="00E944AC"/>
    <w:rsid w:val="00E96781"/>
    <w:rsid w:val="00EA6905"/>
    <w:rsid w:val="00ED0D30"/>
    <w:rsid w:val="00EF0FAD"/>
    <w:rsid w:val="00EF5E5D"/>
    <w:rsid w:val="00F26C31"/>
    <w:rsid w:val="00F465D1"/>
    <w:rsid w:val="00F50ED7"/>
    <w:rsid w:val="00F531B1"/>
    <w:rsid w:val="00F54F7D"/>
    <w:rsid w:val="00F558F3"/>
    <w:rsid w:val="00F652FF"/>
    <w:rsid w:val="00F94D93"/>
    <w:rsid w:val="00FA1729"/>
    <w:rsid w:val="00FA4AAD"/>
    <w:rsid w:val="00FA59B9"/>
    <w:rsid w:val="00FA6636"/>
    <w:rsid w:val="00FB2982"/>
    <w:rsid w:val="00FC35C6"/>
    <w:rsid w:val="00FC54DD"/>
    <w:rsid w:val="00FD4098"/>
    <w:rsid w:val="00FD7D8E"/>
    <w:rsid w:val="00FE488F"/>
    <w:rsid w:val="00FF1052"/>
    <w:rsid w:val="00FF3C05"/>
    <w:rsid w:val="00FF6290"/>
    <w:rsid w:val="00FF7A8C"/>
    <w:rsid w:val="018C282E"/>
    <w:rsid w:val="01F21FF9"/>
    <w:rsid w:val="021773BE"/>
    <w:rsid w:val="02D544F0"/>
    <w:rsid w:val="03EB207C"/>
    <w:rsid w:val="03F8051E"/>
    <w:rsid w:val="045B10BE"/>
    <w:rsid w:val="05A93007"/>
    <w:rsid w:val="060749DE"/>
    <w:rsid w:val="065C4CD9"/>
    <w:rsid w:val="0752210D"/>
    <w:rsid w:val="0782691F"/>
    <w:rsid w:val="07E600A5"/>
    <w:rsid w:val="08AE5F92"/>
    <w:rsid w:val="0945474A"/>
    <w:rsid w:val="096B66B8"/>
    <w:rsid w:val="09867F6B"/>
    <w:rsid w:val="0AAF0335"/>
    <w:rsid w:val="0AC57ED5"/>
    <w:rsid w:val="0AD514EF"/>
    <w:rsid w:val="0B1F45EE"/>
    <w:rsid w:val="0B9F2594"/>
    <w:rsid w:val="0C8978BA"/>
    <w:rsid w:val="0C986CA1"/>
    <w:rsid w:val="0D3224FD"/>
    <w:rsid w:val="0D75768E"/>
    <w:rsid w:val="0F8B2D96"/>
    <w:rsid w:val="0FB95BEF"/>
    <w:rsid w:val="11132DF4"/>
    <w:rsid w:val="11761CE6"/>
    <w:rsid w:val="123005D4"/>
    <w:rsid w:val="129521DB"/>
    <w:rsid w:val="1433775D"/>
    <w:rsid w:val="144A23A4"/>
    <w:rsid w:val="1494087F"/>
    <w:rsid w:val="169E7B0C"/>
    <w:rsid w:val="16F709C4"/>
    <w:rsid w:val="17B37A98"/>
    <w:rsid w:val="18444C44"/>
    <w:rsid w:val="19A46F3E"/>
    <w:rsid w:val="19ED0635"/>
    <w:rsid w:val="19FF3E1C"/>
    <w:rsid w:val="1A7E5AC0"/>
    <w:rsid w:val="1AE62203"/>
    <w:rsid w:val="1CFD0101"/>
    <w:rsid w:val="1EBB114B"/>
    <w:rsid w:val="1ECF55DF"/>
    <w:rsid w:val="1F817831"/>
    <w:rsid w:val="1F845E89"/>
    <w:rsid w:val="1FF2777E"/>
    <w:rsid w:val="204A7DC4"/>
    <w:rsid w:val="209E2581"/>
    <w:rsid w:val="20B00071"/>
    <w:rsid w:val="21B94810"/>
    <w:rsid w:val="22A01FAE"/>
    <w:rsid w:val="25813766"/>
    <w:rsid w:val="267B50B4"/>
    <w:rsid w:val="27482541"/>
    <w:rsid w:val="276F0ADD"/>
    <w:rsid w:val="29763C09"/>
    <w:rsid w:val="29EA4F37"/>
    <w:rsid w:val="2CD46CE1"/>
    <w:rsid w:val="2D2B6EB9"/>
    <w:rsid w:val="2DC371DE"/>
    <w:rsid w:val="2F4C61FE"/>
    <w:rsid w:val="30146C7C"/>
    <w:rsid w:val="312A7BB5"/>
    <w:rsid w:val="312D4CDF"/>
    <w:rsid w:val="319A5503"/>
    <w:rsid w:val="31C94250"/>
    <w:rsid w:val="31F61DD6"/>
    <w:rsid w:val="333C6FF0"/>
    <w:rsid w:val="3364643E"/>
    <w:rsid w:val="344E2269"/>
    <w:rsid w:val="359744CF"/>
    <w:rsid w:val="367D2D2D"/>
    <w:rsid w:val="37380E78"/>
    <w:rsid w:val="37E77B95"/>
    <w:rsid w:val="37EB2139"/>
    <w:rsid w:val="37F164D6"/>
    <w:rsid w:val="38070BF9"/>
    <w:rsid w:val="39510DE4"/>
    <w:rsid w:val="3A45715F"/>
    <w:rsid w:val="3A621442"/>
    <w:rsid w:val="3AAD3B03"/>
    <w:rsid w:val="3AD05AA1"/>
    <w:rsid w:val="3B8B4FBA"/>
    <w:rsid w:val="3CE969FE"/>
    <w:rsid w:val="3DC12EBE"/>
    <w:rsid w:val="3E435D5A"/>
    <w:rsid w:val="407748C9"/>
    <w:rsid w:val="42BE2291"/>
    <w:rsid w:val="42EA0442"/>
    <w:rsid w:val="43001927"/>
    <w:rsid w:val="43097541"/>
    <w:rsid w:val="44CF0886"/>
    <w:rsid w:val="45546ADF"/>
    <w:rsid w:val="47763AD0"/>
    <w:rsid w:val="477D32DB"/>
    <w:rsid w:val="47843284"/>
    <w:rsid w:val="482163C9"/>
    <w:rsid w:val="4834136E"/>
    <w:rsid w:val="49AA6428"/>
    <w:rsid w:val="4BFC6EB9"/>
    <w:rsid w:val="4D3F0A52"/>
    <w:rsid w:val="4DDB1A70"/>
    <w:rsid w:val="4DF954B1"/>
    <w:rsid w:val="4E112A66"/>
    <w:rsid w:val="4F9931DC"/>
    <w:rsid w:val="4FCE08CE"/>
    <w:rsid w:val="506664C7"/>
    <w:rsid w:val="512503EC"/>
    <w:rsid w:val="5132430A"/>
    <w:rsid w:val="51663E40"/>
    <w:rsid w:val="517E1F1E"/>
    <w:rsid w:val="51D3623D"/>
    <w:rsid w:val="52BD4762"/>
    <w:rsid w:val="531708C1"/>
    <w:rsid w:val="574D5D4C"/>
    <w:rsid w:val="579D7627"/>
    <w:rsid w:val="58FF1448"/>
    <w:rsid w:val="59085DF5"/>
    <w:rsid w:val="595379D2"/>
    <w:rsid w:val="59CF2C05"/>
    <w:rsid w:val="59FC1A0C"/>
    <w:rsid w:val="5A3A3C50"/>
    <w:rsid w:val="5AAA2364"/>
    <w:rsid w:val="5DF42F0F"/>
    <w:rsid w:val="5E0F4E15"/>
    <w:rsid w:val="61634FE6"/>
    <w:rsid w:val="61F438C9"/>
    <w:rsid w:val="6213094D"/>
    <w:rsid w:val="62DD0079"/>
    <w:rsid w:val="631A3825"/>
    <w:rsid w:val="645E03C7"/>
    <w:rsid w:val="649E3067"/>
    <w:rsid w:val="64FF41D9"/>
    <w:rsid w:val="6577452E"/>
    <w:rsid w:val="6579051F"/>
    <w:rsid w:val="670B371C"/>
    <w:rsid w:val="67420CED"/>
    <w:rsid w:val="697216B7"/>
    <w:rsid w:val="6B5607AC"/>
    <w:rsid w:val="6B5B4191"/>
    <w:rsid w:val="6B794984"/>
    <w:rsid w:val="6E7D44E4"/>
    <w:rsid w:val="6EE67C19"/>
    <w:rsid w:val="6FBE6A5D"/>
    <w:rsid w:val="6FD75750"/>
    <w:rsid w:val="714517FA"/>
    <w:rsid w:val="72446B1E"/>
    <w:rsid w:val="733D4114"/>
    <w:rsid w:val="73570ABB"/>
    <w:rsid w:val="739A1C23"/>
    <w:rsid w:val="74CC2409"/>
    <w:rsid w:val="75372990"/>
    <w:rsid w:val="75C124C6"/>
    <w:rsid w:val="76476348"/>
    <w:rsid w:val="773F65D4"/>
    <w:rsid w:val="7747781C"/>
    <w:rsid w:val="785C12BD"/>
    <w:rsid w:val="78B77E76"/>
    <w:rsid w:val="79974C69"/>
    <w:rsid w:val="79E83B62"/>
    <w:rsid w:val="7A281ECE"/>
    <w:rsid w:val="7A337BFA"/>
    <w:rsid w:val="7A6B723D"/>
    <w:rsid w:val="7AFD0177"/>
    <w:rsid w:val="7B5C2594"/>
    <w:rsid w:val="7BC14ED6"/>
    <w:rsid w:val="7C671217"/>
    <w:rsid w:val="7C930D5D"/>
    <w:rsid w:val="7DCF55BB"/>
    <w:rsid w:val="7EBD5042"/>
    <w:rsid w:val="7EFE328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rPr>
  </w:style>
  <w:style w:type="paragraph" w:styleId="3">
    <w:name w:val="heading 1"/>
    <w:basedOn w:val="1"/>
    <w:next w:val="1"/>
    <w:link w:val="25"/>
    <w:uiPriority w:val="0"/>
    <w:pPr>
      <w:spacing w:before="480"/>
    </w:pPr>
    <w:rPr>
      <w:b/>
      <w:color w:val="345A8A"/>
      <w:sz w:val="32"/>
    </w:rPr>
  </w:style>
  <w:style w:type="paragraph" w:styleId="4">
    <w:name w:val="heading 2"/>
    <w:basedOn w:val="1"/>
    <w:next w:val="1"/>
    <w:uiPriority w:val="0"/>
    <w:pPr>
      <w:spacing w:before="200"/>
    </w:pPr>
    <w:rPr>
      <w:b/>
      <w:color w:val="4F81BD"/>
      <w:sz w:val="26"/>
    </w:rPr>
  </w:style>
  <w:style w:type="paragraph" w:styleId="5">
    <w:name w:val="heading 3"/>
    <w:basedOn w:val="1"/>
    <w:next w:val="1"/>
    <w:link w:val="35"/>
    <w:uiPriority w:val="0"/>
    <w:pPr>
      <w:spacing w:before="200"/>
    </w:pPr>
    <w:rPr>
      <w:b/>
      <w:color w:val="4F81BD"/>
      <w:sz w:val="24"/>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customStyle="1" w:styleId="2">
    <w:name w:val="Normal Indent1"/>
    <w:basedOn w:val="1"/>
    <w:qFormat/>
    <w:uiPriority w:val="0"/>
    <w:pPr>
      <w:ind w:firstLine="420"/>
    </w:pPr>
    <w:rPr>
      <w:rFonts w:cs="宋体"/>
      <w:szCs w:val="21"/>
    </w:rPr>
  </w:style>
  <w:style w:type="paragraph" w:styleId="6">
    <w:name w:val="Normal Indent"/>
    <w:basedOn w:val="1"/>
    <w:next w:val="1"/>
    <w:qFormat/>
    <w:uiPriority w:val="0"/>
    <w:pPr>
      <w:ind w:firstLine="420"/>
    </w:pPr>
    <w:rPr>
      <w:rFonts w:ascii="Times New Roman" w:hAnsi="Times New Roman"/>
      <w:szCs w:val="21"/>
    </w:rPr>
  </w:style>
  <w:style w:type="paragraph" w:styleId="7">
    <w:name w:val="Body Text"/>
    <w:basedOn w:val="1"/>
    <w:next w:val="8"/>
    <w:qFormat/>
    <w:uiPriority w:val="0"/>
    <w:pPr>
      <w:spacing w:line="200" w:lineRule="exact"/>
    </w:pPr>
  </w:style>
  <w:style w:type="paragraph" w:styleId="8">
    <w:name w:val="toc 5"/>
    <w:basedOn w:val="1"/>
    <w:next w:val="1"/>
    <w:qFormat/>
    <w:uiPriority w:val="0"/>
    <w:pPr>
      <w:ind w:left="1680" w:firstLine="688"/>
    </w:pPr>
    <w:rPr>
      <w:szCs w:val="22"/>
    </w:rPr>
  </w:style>
  <w:style w:type="paragraph" w:styleId="9">
    <w:name w:val="Balloon Text"/>
    <w:basedOn w:val="1"/>
    <w:link w:val="26"/>
    <w:qFormat/>
    <w:uiPriority w:val="0"/>
    <w:rPr>
      <w:sz w:val="18"/>
      <w:szCs w:val="18"/>
    </w:rPr>
  </w:style>
  <w:style w:type="paragraph" w:styleId="10">
    <w:name w:val="footer"/>
    <w:basedOn w:val="1"/>
    <w:link w:val="27"/>
    <w:unhideWhenUsed/>
    <w:qFormat/>
    <w:uiPriority w:val="99"/>
    <w:pPr>
      <w:tabs>
        <w:tab w:val="center" w:pos="4153"/>
        <w:tab w:val="right" w:pos="8306"/>
      </w:tabs>
      <w:snapToGrid w:val="0"/>
      <w:jc w:val="left"/>
    </w:pPr>
    <w:rPr>
      <w:sz w:val="18"/>
      <w:szCs w:val="18"/>
    </w:rPr>
  </w:style>
  <w:style w:type="paragraph" w:styleId="11">
    <w:name w:val="header"/>
    <w:basedOn w:val="1"/>
    <w:link w:val="36"/>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Subtitle"/>
    <w:basedOn w:val="1"/>
    <w:qFormat/>
    <w:uiPriority w:val="0"/>
    <w:rPr>
      <w:i/>
      <w:color w:val="4F81BD"/>
      <w:sz w:val="24"/>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4">
    <w:name w:val="Title"/>
    <w:basedOn w:val="1"/>
    <w:next w:val="1"/>
    <w:link w:val="24"/>
    <w:qFormat/>
    <w:uiPriority w:val="0"/>
    <w:pPr>
      <w:spacing w:after="300"/>
    </w:pPr>
    <w:rPr>
      <w:color w:val="17365D"/>
      <w:sz w:val="52"/>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qFormat/>
    <w:uiPriority w:val="0"/>
    <w:rPr>
      <w:rFonts w:ascii="Times New Roman" w:hAnsi="Times New Roman" w:eastAsia="宋体" w:cs="Times New Roman"/>
    </w:rPr>
  </w:style>
  <w:style w:type="character" w:styleId="19">
    <w:name w:val="FollowedHyperlink"/>
    <w:qFormat/>
    <w:uiPriority w:val="0"/>
    <w:rPr>
      <w:rFonts w:ascii="Times New Roman" w:hAnsi="Times New Roman" w:eastAsia="宋体" w:cs="Times New Roman"/>
      <w:color w:val="800080"/>
      <w:u w:val="none"/>
    </w:rPr>
  </w:style>
  <w:style w:type="character" w:styleId="20">
    <w:name w:val="Emphasis"/>
    <w:qFormat/>
    <w:uiPriority w:val="0"/>
    <w:rPr>
      <w:rFonts w:ascii="Times New Roman" w:hAnsi="Times New Roman" w:eastAsia="宋体" w:cs="Times New Roman"/>
      <w:i/>
      <w:iCs/>
    </w:rPr>
  </w:style>
  <w:style w:type="character" w:styleId="21">
    <w:name w:val="Hyperlink"/>
    <w:qFormat/>
    <w:uiPriority w:val="0"/>
    <w:rPr>
      <w:rFonts w:ascii="Times New Roman" w:hAnsi="Times New Roman" w:eastAsia="宋体" w:cs="Times New Roman"/>
      <w:color w:val="0000FF"/>
      <w:u w:val="none"/>
    </w:rPr>
  </w:style>
  <w:style w:type="character" w:customStyle="1" w:styleId="22">
    <w:name w:val="公文发出日期"/>
    <w:basedOn w:val="17"/>
    <w:qFormat/>
    <w:uiPriority w:val="0"/>
    <w:rPr>
      <w:rFonts w:ascii="仿宋_GB2312" w:hAnsi="Times New Roman" w:eastAsia="宋体" w:cs="Times New Roman"/>
      <w:sz w:val="28"/>
    </w:rPr>
  </w:style>
  <w:style w:type="character" w:customStyle="1" w:styleId="23">
    <w:name w:val="办文拟办意见"/>
    <w:basedOn w:val="17"/>
    <w:qFormat/>
    <w:uiPriority w:val="0"/>
    <w:rPr>
      <w:rFonts w:hint="default" w:ascii="Times New Roman" w:hAnsi="Times New Roman" w:eastAsia="仿宋_GB2312" w:cs="Times New Roman"/>
      <w:snapToGrid w:val="0"/>
      <w:color w:val="000000"/>
      <w:spacing w:val="0"/>
      <w:w w:val="100"/>
      <w:kern w:val="0"/>
      <w:sz w:val="24"/>
      <w:szCs w:val="24"/>
      <w:u w:val="none" w:color="000000"/>
      <w:lang w:val="en-US" w:eastAsia="zh-CN"/>
    </w:rPr>
  </w:style>
  <w:style w:type="character" w:customStyle="1" w:styleId="24">
    <w:name w:val="标题 Char"/>
    <w:link w:val="14"/>
    <w:qFormat/>
    <w:uiPriority w:val="0"/>
    <w:rPr>
      <w:rFonts w:ascii="Calibri Light" w:hAnsi="Calibri Light" w:eastAsia="宋体" w:cs="Calibri Light"/>
      <w:b/>
      <w:bCs/>
      <w:kern w:val="2"/>
      <w:sz w:val="32"/>
      <w:szCs w:val="32"/>
    </w:rPr>
  </w:style>
  <w:style w:type="character" w:customStyle="1" w:styleId="25">
    <w:name w:val="标题 1 Char"/>
    <w:link w:val="3"/>
    <w:qFormat/>
    <w:uiPriority w:val="0"/>
    <w:rPr>
      <w:rFonts w:ascii="Calibri" w:hAnsi="Calibri" w:eastAsia="宋体" w:cs="Calibri"/>
      <w:b/>
      <w:bCs/>
      <w:kern w:val="44"/>
      <w:sz w:val="44"/>
      <w:szCs w:val="44"/>
    </w:rPr>
  </w:style>
  <w:style w:type="character" w:customStyle="1" w:styleId="26">
    <w:name w:val="批注框文本 Char"/>
    <w:link w:val="9"/>
    <w:qFormat/>
    <w:uiPriority w:val="0"/>
    <w:rPr>
      <w:rFonts w:ascii="Calibri" w:hAnsi="Calibri" w:eastAsia="宋体" w:cs="Calibri"/>
      <w:kern w:val="2"/>
      <w:sz w:val="18"/>
      <w:szCs w:val="18"/>
    </w:rPr>
  </w:style>
  <w:style w:type="character" w:customStyle="1" w:styleId="27">
    <w:name w:val="页脚 Char"/>
    <w:link w:val="10"/>
    <w:qFormat/>
    <w:uiPriority w:val="0"/>
    <w:rPr>
      <w:rFonts w:ascii="Calibri" w:hAnsi="Calibri" w:eastAsia="宋体" w:cs="Calibri"/>
      <w:kern w:val="2"/>
      <w:sz w:val="18"/>
      <w:szCs w:val="18"/>
    </w:rPr>
  </w:style>
  <w:style w:type="character" w:customStyle="1" w:styleId="28">
    <w:name w:val="10"/>
    <w:basedOn w:val="17"/>
    <w:qFormat/>
    <w:uiPriority w:val="0"/>
    <w:rPr>
      <w:rFonts w:hint="default" w:ascii="Times New Roman" w:hAnsi="Times New Roman" w:eastAsia="宋体" w:cs="Times New Roman"/>
    </w:rPr>
  </w:style>
  <w:style w:type="character" w:customStyle="1" w:styleId="29">
    <w:name w:val="办文文件名称"/>
    <w:qFormat/>
    <w:uiPriority w:val="0"/>
    <w:rPr>
      <w:rFonts w:hint="eastAsia" w:ascii="宋体" w:hAnsi="宋体" w:eastAsia="仿宋_GB2312" w:cs="Times New Roman"/>
      <w:sz w:val="24"/>
    </w:rPr>
  </w:style>
  <w:style w:type="character" w:customStyle="1" w:styleId="30">
    <w:name w:val="s1"/>
    <w:qFormat/>
    <w:uiPriority w:val="0"/>
    <w:rPr>
      <w:rFonts w:ascii="Helvetica" w:hAnsi="Helvetica" w:eastAsia="宋体" w:cs="Helvetica"/>
      <w:sz w:val="24"/>
      <w:szCs w:val="24"/>
    </w:rPr>
  </w:style>
  <w:style w:type="character" w:customStyle="1" w:styleId="31">
    <w:name w:val="15"/>
    <w:basedOn w:val="17"/>
    <w:qFormat/>
    <w:uiPriority w:val="0"/>
    <w:rPr>
      <w:rFonts w:hint="default" w:ascii="Times New Roman" w:hAnsi="Times New Roman" w:eastAsia="宋体" w:cs="Times New Roman"/>
    </w:rPr>
  </w:style>
  <w:style w:type="character" w:customStyle="1" w:styleId="32">
    <w:name w:val="办文经办人"/>
    <w:basedOn w:val="17"/>
    <w:qFormat/>
    <w:uiPriority w:val="0"/>
    <w:rPr>
      <w:rFonts w:hint="default" w:ascii="Verdana" w:hAnsi="Verdana" w:eastAsia="仿宋_GB2312" w:cs="Verdana"/>
      <w:snapToGrid w:val="0"/>
      <w:kern w:val="0"/>
      <w:sz w:val="24"/>
      <w:szCs w:val="21"/>
      <w:lang w:eastAsia="en-US"/>
    </w:rPr>
  </w:style>
  <w:style w:type="character" w:customStyle="1" w:styleId="33">
    <w:name w:val="办文收文时间"/>
    <w:qFormat/>
    <w:uiPriority w:val="0"/>
    <w:rPr>
      <w:rFonts w:hint="eastAsia" w:ascii="宋体" w:hAnsi="宋体" w:eastAsia="仿宋_GB2312" w:cs="Times New Roman"/>
      <w:sz w:val="24"/>
    </w:rPr>
  </w:style>
  <w:style w:type="character" w:customStyle="1" w:styleId="34">
    <w:name w:val="办文政府领导批示"/>
    <w:basedOn w:val="17"/>
    <w:qFormat/>
    <w:uiPriority w:val="0"/>
    <w:rPr>
      <w:rFonts w:hint="default" w:ascii="Times New Roman" w:hAnsi="Times New Roman" w:eastAsia="仿宋_GB2312" w:cs="Times New Roman"/>
      <w:snapToGrid w:val="0"/>
      <w:color w:val="000000"/>
      <w:spacing w:val="0"/>
      <w:w w:val="100"/>
      <w:kern w:val="0"/>
      <w:sz w:val="24"/>
      <w:szCs w:val="24"/>
      <w:u w:val="none" w:color="000000"/>
      <w:lang w:val="en-US" w:eastAsia="zh-CN"/>
    </w:rPr>
  </w:style>
  <w:style w:type="character" w:customStyle="1" w:styleId="35">
    <w:name w:val="标题 3 Char"/>
    <w:link w:val="5"/>
    <w:semiHidden/>
    <w:qFormat/>
    <w:uiPriority w:val="0"/>
    <w:rPr>
      <w:rFonts w:ascii="Calibri" w:hAnsi="Calibri" w:eastAsia="宋体" w:cs="Calibri"/>
      <w:b/>
      <w:bCs/>
      <w:sz w:val="32"/>
      <w:szCs w:val="32"/>
    </w:rPr>
  </w:style>
  <w:style w:type="character" w:customStyle="1" w:styleId="36">
    <w:name w:val="页眉 Char"/>
    <w:link w:val="11"/>
    <w:qFormat/>
    <w:uiPriority w:val="0"/>
    <w:rPr>
      <w:rFonts w:ascii="Calibri" w:hAnsi="Calibri" w:eastAsia="宋体" w:cs="Calibri"/>
      <w:kern w:val="2"/>
      <w:sz w:val="18"/>
      <w:szCs w:val="18"/>
    </w:rPr>
  </w:style>
  <w:style w:type="paragraph" w:customStyle="1" w:styleId="37">
    <w:name w:val="p0"/>
    <w:basedOn w:val="1"/>
    <w:qFormat/>
    <w:uiPriority w:val="99"/>
    <w:pPr>
      <w:widowControl/>
    </w:pPr>
    <w:rPr>
      <w:kern w:val="0"/>
    </w:rPr>
  </w:style>
  <w:style w:type="paragraph" w:customStyle="1" w:styleId="38">
    <w:name w:val="正文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9">
    <w:name w:val="Default"/>
    <w:unhideWhenUsed/>
    <w:qFormat/>
    <w:uiPriority w:val="99"/>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paragraph" w:customStyle="1" w:styleId="40">
    <w:name w:val="WPSOffice手动目录 1"/>
    <w:qFormat/>
    <w:uiPriority w:val="0"/>
    <w:rPr>
      <w:rFonts w:ascii="Times New Roman" w:hAnsi="Times New Roman" w:eastAsia="宋体" w:cs="Times New Roman"/>
      <w:lang w:val="en-US" w:eastAsia="zh-CN" w:bidi="ar-SA"/>
    </w:rPr>
  </w:style>
  <w:style w:type="paragraph" w:customStyle="1" w:styleId="41">
    <w:name w:val="p1"/>
    <w:basedOn w:val="1"/>
    <w:qFormat/>
    <w:uiPriority w:val="0"/>
    <w:pPr>
      <w:jc w:val="left"/>
    </w:pPr>
    <w:rPr>
      <w:rFonts w:cs="Calibri"/>
      <w:kern w:val="0"/>
      <w:szCs w:val="21"/>
    </w:rPr>
  </w:style>
  <w:style w:type="paragraph" w:customStyle="1" w:styleId="42">
    <w:name w:val="实施方案正文"/>
    <w:basedOn w:val="1"/>
    <w:qFormat/>
    <w:uiPriority w:val="0"/>
    <w:pPr>
      <w:ind w:firstLine="566"/>
    </w:pPr>
    <w:rPr>
      <w:rFonts w:cs="Calibri"/>
      <w:szCs w:val="21"/>
    </w:rPr>
  </w:style>
  <w:style w:type="paragraph" w:customStyle="1" w:styleId="43">
    <w:name w:val="默认段落字体 Para Char Char Char Char Char Char Char"/>
    <w:basedOn w:val="1"/>
    <w:qFormat/>
    <w:uiPriority w:val="0"/>
    <w:rPr>
      <w:rFonts w:ascii="Times New Roman" w:hAnsi="Times New Roman" w:eastAsia="仿宋_GB2312"/>
      <w:sz w:val="32"/>
      <w:szCs w:val="32"/>
    </w:rPr>
  </w:style>
  <w:style w:type="paragraph" w:customStyle="1" w:styleId="44">
    <w:name w:val="WPSOffice手动目录 2"/>
    <w:qFormat/>
    <w:uiPriority w:val="0"/>
    <w:pPr>
      <w:ind w:left="200"/>
    </w:pPr>
    <w:rPr>
      <w:rFonts w:ascii="Times New Roman" w:hAnsi="Times New Roman" w:eastAsia="宋体" w:cs="Times New Roman"/>
      <w:lang w:val="en-US" w:eastAsia="zh-CN" w:bidi="ar-SA"/>
    </w:rPr>
  </w:style>
  <w:style w:type="paragraph" w:customStyle="1" w:styleId="45">
    <w:name w:val="Char Char Char Char Char Char Char Char Char Char Char Char Char Char Char Char Char Char Char Char Char Char Char Char Char Char Char Char Char Char Char Char Char"/>
    <w:basedOn w:val="1"/>
    <w:qFormat/>
    <w:uiPriority w:val="0"/>
    <w:pPr>
      <w:widowControl/>
      <w:snapToGrid w:val="0"/>
      <w:spacing w:after="160" w:line="240" w:lineRule="exact"/>
      <w:jc w:val="left"/>
    </w:pPr>
    <w:rPr>
      <w:rFonts w:ascii="Verdana" w:hAnsi="Verdana" w:eastAsia="仿宋_GB2312" w:cs="Verdana"/>
      <w:kern w:val="0"/>
      <w:sz w:val="24"/>
      <w:lang w:eastAsia="en-US"/>
    </w:rPr>
  </w:style>
  <w:style w:type="paragraph" w:customStyle="1" w:styleId="46">
    <w:name w:val="纯文本1"/>
    <w:basedOn w:val="1"/>
    <w:qFormat/>
    <w:uiPriority w:val="0"/>
    <w:rPr>
      <w:rFonts w:ascii="Times New Roman" w:hAnsi="Times New Roman"/>
    </w:rPr>
  </w:style>
  <w:style w:type="paragraph" w:customStyle="1" w:styleId="47">
    <w:name w:val="p2"/>
    <w:basedOn w:val="1"/>
    <w:qFormat/>
    <w:uiPriority w:val="0"/>
    <w:pPr>
      <w:jc w:val="left"/>
    </w:pPr>
    <w:rPr>
      <w:rFonts w:cs="Calibri"/>
      <w:kern w:val="0"/>
      <w:szCs w:val="21"/>
    </w:rPr>
  </w:style>
  <w:style w:type="paragraph" w:customStyle="1" w:styleId="48">
    <w:name w:val="014公文标题"/>
    <w:qFormat/>
    <w:uiPriority w:val="0"/>
    <w:pPr>
      <w:adjustRightInd w:val="0"/>
      <w:snapToGrid w:val="0"/>
      <w:jc w:val="center"/>
    </w:pPr>
    <w:rPr>
      <w:rFonts w:ascii="Arial" w:hAnsi="Arial" w:eastAsia="方正小标宋_GBK" w:cs="Times New Roman"/>
      <w:kern w:val="2"/>
      <w:sz w:val="4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50</Pages>
  <Words>4771</Words>
  <Characters>27195</Characters>
  <Lines>226</Lines>
  <Paragraphs>63</Paragraphs>
  <TotalTime>3</TotalTime>
  <ScaleCrop>false</ScaleCrop>
  <LinksUpToDate>false</LinksUpToDate>
  <CharactersWithSpaces>31903</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2021-12-05T02:42:00Z</dcterms:created>
  <dc:creator>Administrator</dc:creator>
  <cp:lastModifiedBy>Administrator</cp:lastModifiedBy>
  <cp:lastPrinted>2021-12-07T03:40:00Z</cp:lastPrinted>
  <dcterms:modified xsi:type="dcterms:W3CDTF">2025-04-09T07:13:20Z</dcterms:modified>
  <dc:title>石林彝族自治县</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C5DCF37D40424F369875813CD1053482_13</vt:lpwstr>
  </property>
</Properties>
</file>