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石林县烟草专卖局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第4季度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烟草专卖零售许可证新办业务公告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云南省石林彝族自治县烟草专卖局烟草制品零售点合理布局规划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结合石林县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辖区内人口数量、交通状况、经济发展水平、消费能力、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烟草制品供给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每季度将动态调整石林县辖区内最小单元网格的零售点的合理容量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采取“集中摇号”的方式受理新办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第4季度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烟草专卖零售许可证新办业务有关事项公告如下：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一、本期受理新办网格及相关要求</w:t>
      </w:r>
    </w:p>
    <w:tbl>
      <w:tblPr>
        <w:tblStyle w:val="5"/>
        <w:tblpPr w:leftFromText="180" w:rightFromText="180" w:vertAnchor="text" w:horzAnchor="page" w:tblpX="1545" w:tblpY="54"/>
        <w:tblOverlap w:val="never"/>
        <w:tblW w:w="87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007"/>
        <w:gridCol w:w="1317"/>
        <w:gridCol w:w="1088"/>
        <w:gridCol w:w="1166"/>
        <w:gridCol w:w="806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单元网格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区域描述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与最近中小学、幼儿园间距标准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（米）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零售点间距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（米）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（个）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实际数（个）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鹿阜街道城网4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凯旋丽景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（详见网格示意图）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鹿阜街道城网5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翡翠台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（详见网格示意图）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鹿阜街道城网12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桃源水乡、香醍西岸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（详见网格示意图）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鹿阜街道城网19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（详见网格示意图）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铺兵村委会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铺兵村委会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黄家庄村委会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黄家庄村委会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大叠水村委会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大叠水村委会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中龙村委会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中龙村委会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长夸村委会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长夸村委会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二、集中摇号报名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（一）报名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17日至2024年10月31日(工作日)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上午9:00-11:30，下午13:30-17:00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（二）报名地点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石林彝族自治县政务服务中心（鹿阜街道沙地巷3号县政务服务中心A9-A10“烟草专卖零售许可”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（四）咨询方式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现场咨询、电话咨询（0871-67798129）。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三、报名相关事项告知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申请人在报名前，应当详细了解《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云南省石林彝族自治县烟草专卖局烟草制品零售点合理布局规划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》及相关附件内容，初步确认是否符合办证要求：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1.商铺所处的网格是否有新办名额；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2.商铺是否已经正常营业；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3.商铺的经营业态是否符合合理布局规划要求；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4.商铺与最近的零售点间距是否满足要求；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5.商铺与最近的中小学、幼儿园是否满足距离限制条件；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6.其它条件是否符合合理布局规划要求。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若满足上述条件的申请人，请对照商铺的“工商营业执照”、“法人身份证”填写《集中摇号申请表》（附件1），在报名地点递交申请。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四、监督举报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为切实保障烟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草专卖零售许可工作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有序推进，始终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坚持公平、公正、公开原则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欢迎广大群众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对我们工作进行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监督举报电话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：0871—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67712313（局长经理热线）。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以上未尽事宜，由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云南省石林彝族自治县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云南省石林彝族自治县烟草专卖局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集中摇号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附件2.本期受理新办网格示意图（城网）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附件3.《云南省石林彝族自治县烟草专卖局烟草制品零售点合理布局规划》（石烟局〔2024〕7号）二维码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云南省石林彝族自治县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spacing w:line="360" w:lineRule="auto"/>
        <w:ind w:left="40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云南省石林彝族自治县烟草专卖局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烟草制品零售点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集中摇号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申请表</w:t>
      </w:r>
    </w:p>
    <w:tbl>
      <w:tblPr>
        <w:tblStyle w:val="5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546"/>
        <w:gridCol w:w="866"/>
        <w:gridCol w:w="2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申请人基本信息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申请人姓名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提交时间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月   日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点   分   秒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（该项由工作人员填写）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营业执照基本信息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统一社会信用代码</w:t>
            </w:r>
          </w:p>
        </w:tc>
        <w:tc>
          <w:tcPr>
            <w:tcW w:w="6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企业名称</w:t>
            </w:r>
          </w:p>
        </w:tc>
        <w:tc>
          <w:tcPr>
            <w:tcW w:w="6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企业类型</w:t>
            </w:r>
          </w:p>
        </w:tc>
        <w:tc>
          <w:tcPr>
            <w:tcW w:w="6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经营地址</w:t>
            </w:r>
          </w:p>
        </w:tc>
        <w:tc>
          <w:tcPr>
            <w:tcW w:w="6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经营场所归属网格</w:t>
            </w:r>
          </w:p>
        </w:tc>
        <w:tc>
          <w:tcPr>
            <w:tcW w:w="62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申请人承诺：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1.以上信息经申请人核对，确认无误。申请人所提交的信息以及文件、证件、有关材料全部真实有效，复印件与原件一致。如申请人在申请过程中存在弄虚作假、欺骗等行为的，申请人愿意承担由此引起的一切法律责任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2.申请人所提交的信息确保与到号办理时提交的办证信息一致，若不一致的，</w:t>
            </w:r>
            <w:r>
              <w:rPr>
                <w:rStyle w:val="7"/>
                <w:rFonts w:hint="eastAsia" w:eastAsia="宋体"/>
                <w:b w:val="0"/>
                <w:bCs w:val="0"/>
                <w:color w:val="auto"/>
                <w:highlight w:val="none"/>
                <w:lang w:val="en-US" w:eastAsia="zh-CN" w:bidi="ar"/>
              </w:rPr>
              <w:t>取消集中摇号</w:t>
            </w:r>
            <w:r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3.申请人应当在</w:t>
            </w:r>
            <w:r>
              <w:rPr>
                <w:rStyle w:val="7"/>
                <w:rFonts w:hint="eastAsia" w:eastAsia="宋体"/>
                <w:b w:val="0"/>
                <w:bCs w:val="0"/>
                <w:color w:val="auto"/>
                <w:highlight w:val="none"/>
                <w:lang w:val="en-US" w:eastAsia="zh-CN" w:bidi="ar"/>
              </w:rPr>
              <w:t>接到</w:t>
            </w:r>
            <w:r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通知之日起三</w:t>
            </w:r>
            <w:r>
              <w:rPr>
                <w:rStyle w:val="7"/>
                <w:rFonts w:hint="eastAsia"/>
                <w:b w:val="0"/>
                <w:bCs w:val="0"/>
                <w:color w:val="auto"/>
                <w:highlight w:val="none"/>
                <w:lang w:val="en-US" w:eastAsia="zh-CN" w:bidi="ar"/>
              </w:rPr>
              <w:t>个工作</w:t>
            </w:r>
            <w:r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日内提交办证申请材料，逾期未提交的，视同申请人自愿放弃</w:t>
            </w:r>
            <w:r>
              <w:rPr>
                <w:rStyle w:val="7"/>
                <w:rFonts w:hint="eastAsia" w:eastAsia="宋体"/>
                <w:b w:val="0"/>
                <w:bCs w:val="0"/>
                <w:color w:val="auto"/>
                <w:highlight w:val="none"/>
                <w:lang w:val="en-US" w:eastAsia="zh-CN" w:bidi="ar"/>
              </w:rPr>
              <w:t>本次集中摇号</w:t>
            </w:r>
            <w:r>
              <w:rPr>
                <w:rStyle w:val="7"/>
                <w:rFonts w:hint="eastAsia"/>
                <w:b w:val="0"/>
                <w:bCs w:val="0"/>
                <w:color w:val="auto"/>
                <w:highlight w:val="none"/>
                <w:lang w:val="en-US" w:eastAsia="zh-CN" w:bidi="ar"/>
              </w:rPr>
              <w:t>结果</w:t>
            </w:r>
            <w:r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；因申请人填报地址、联系方式等不正确，导致发证机关在三个工作日内无法与申请人取得联系的，视同申请人自愿放弃本次</w:t>
            </w:r>
            <w:r>
              <w:rPr>
                <w:rStyle w:val="7"/>
                <w:rFonts w:hint="eastAsia" w:eastAsia="宋体"/>
                <w:b w:val="0"/>
                <w:bCs w:val="0"/>
                <w:color w:val="auto"/>
                <w:highlight w:val="none"/>
                <w:lang w:val="en-US" w:eastAsia="zh-CN" w:bidi="ar"/>
              </w:rPr>
              <w:t>集中摇号</w:t>
            </w:r>
            <w:r>
              <w:rPr>
                <w:rStyle w:val="7"/>
                <w:rFonts w:hint="eastAsia"/>
                <w:b w:val="0"/>
                <w:bCs w:val="0"/>
                <w:color w:val="auto"/>
                <w:highlight w:val="none"/>
                <w:lang w:val="en-US" w:eastAsia="zh-CN" w:bidi="ar"/>
              </w:rPr>
              <w:t>结果</w:t>
            </w:r>
            <w:r>
              <w:rPr>
                <w:rStyle w:val="7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申请人（签名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、手印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）：</w:t>
            </w:r>
            <w:r>
              <w:rPr>
                <w:rStyle w:val="7"/>
                <w:rFonts w:hint="eastAsia"/>
                <w:color w:val="auto"/>
                <w:highlight w:val="none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集中摇号结果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顺序号</w:t>
            </w:r>
          </w:p>
        </w:tc>
        <w:tc>
          <w:tcPr>
            <w:tcW w:w="6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7"/>
                <w:rFonts w:hint="default" w:eastAsia="宋体"/>
                <w:color w:val="auto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Style w:val="7"/>
                <w:rFonts w:hint="default" w:eastAsia="宋体"/>
                <w:color w:val="auto"/>
                <w:highlight w:val="none"/>
                <w:lang w:val="en-US" w:eastAsia="zh-CN" w:bidi="ar"/>
              </w:rPr>
            </w:pPr>
          </w:p>
          <w:p>
            <w:pPr>
              <w:pStyle w:val="3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申请人（签名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、手印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）：</w:t>
            </w:r>
            <w:r>
              <w:rPr>
                <w:rStyle w:val="8"/>
                <w:rFonts w:hint="default"/>
                <w:color w:val="auto"/>
                <w:highlight w:val="none"/>
                <w:lang w:bidi="ar"/>
              </w:rPr>
              <w:t xml:space="preserve">     </w:t>
            </w: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8"/>
                <w:rFonts w:hint="default"/>
                <w:color w:val="auto"/>
                <w:highlight w:val="none"/>
                <w:lang w:bidi="ar"/>
              </w:rPr>
              <w:t xml:space="preserve">  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 xml:space="preserve"> </w:t>
            </w:r>
          </w:p>
        </w:tc>
      </w:tr>
    </w:tbl>
    <w:p>
      <w:pPr>
        <w:pStyle w:val="3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 本期受理新办网格示意图（城网）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20" w:lineRule="atLeast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8664575" cy="5723890"/>
            <wp:effectExtent l="0" t="0" r="3175" b="10160"/>
            <wp:docPr id="53" name="图片 53" descr="石林县鹿阜街道城网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石林县鹿阜街道城网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4575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t>鹿阜街道城网4（凯旋丽景小区）</w:t>
      </w:r>
    </w:p>
    <w:p>
      <w:pPr>
        <w:pStyle w:val="9"/>
        <w:jc w:val="center"/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9260205" cy="6120130"/>
            <wp:effectExtent l="0" t="0" r="17145" b="13970"/>
            <wp:docPr id="54" name="图片 54" descr="石林县鹿阜街道城网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石林县鹿阜街道城网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020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t>鹿阜街道城网5（远达翡翠台小区）</w:t>
      </w:r>
    </w:p>
    <w:p>
      <w:pPr>
        <w:pStyle w:val="9"/>
        <w:jc w:val="center"/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9280525" cy="6120130"/>
            <wp:effectExtent l="0" t="0" r="15875" b="13970"/>
            <wp:docPr id="61" name="图片 61" descr="石林县鹿阜街道城网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石林县鹿阜街道城网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8052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t>鹿阜街道城网12（桃源水乡、香醍西岸小区）</w:t>
      </w:r>
    </w:p>
    <w:p>
      <w:pPr>
        <w:pStyle w:val="9"/>
        <w:jc w:val="center"/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9229090" cy="6120130"/>
            <wp:effectExtent l="0" t="0" r="10160" b="13970"/>
            <wp:docPr id="68" name="图片 68" descr="石林县鹿阜街道城网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石林县鹿阜街道城网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909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  <w:t>鹿阜街道城网19（云南林业职业技术学院）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《云南省石林彝族自治县烟草专卖局烟草制品零售点合理布局规划》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（石烟局〔2024〕7号）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微信图片_2024101416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141656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方正小标宋简体" w:hAnsi="方正小标宋简体" w:eastAsia="方正小标宋简体" w:cs="方正小标宋简体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请用微信“扫一扫”功能扫此二维码查看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469C"/>
    <w:rsid w:val="084B7A75"/>
    <w:rsid w:val="0E181E81"/>
    <w:rsid w:val="10C7469C"/>
    <w:rsid w:val="11E51FA7"/>
    <w:rsid w:val="17053AA8"/>
    <w:rsid w:val="18262FE7"/>
    <w:rsid w:val="25672D0D"/>
    <w:rsid w:val="2679532E"/>
    <w:rsid w:val="26EA2B37"/>
    <w:rsid w:val="3E7F13AE"/>
    <w:rsid w:val="41C355C0"/>
    <w:rsid w:val="467904FF"/>
    <w:rsid w:val="48464EE1"/>
    <w:rsid w:val="4AD10554"/>
    <w:rsid w:val="53072F92"/>
    <w:rsid w:val="7369175C"/>
    <w:rsid w:val="7A843AC5"/>
    <w:rsid w:val="7B03427B"/>
    <w:rsid w:val="7E34267C"/>
    <w:rsid w:val="7EB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2024-10-09T01:53:00Z</dcterms:created>
  <dc:creator>孙鹏</dc:creator>
  <cp:lastModifiedBy>Administrator</cp:lastModifiedBy>
  <cp:lastPrinted>2024-10-17T03:27:00Z</cp:lastPrinted>
  <dcterms:modified xsi:type="dcterms:W3CDTF">2024-10-17T07:45:58Z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