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石林彝族自治县财政局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年“双随机、一公开”部门联合抽查工作实施方案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2023年度石林县市场监管领域部门“双随机、一公开”抽查计划和部门联合“双随机、一公开”抽查计划的通知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》（石市监办发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，为进一步提高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监管效能，规范监督检查行为，坚持依法监管，创新监管方式，按照全县市场监管领域全面推行部门联合开展“双随机、一公开”监管工作要求，决定开展跨部门“双随机、一公开”联合抽查工作，为做好此项工作，特制定本工作实施方案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一、抽查时间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联合抽查时间为：202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日前。 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二、抽查对象及范围</w:t>
      </w:r>
    </w:p>
    <w:p>
      <w:pPr>
        <w:ind w:firstLine="640" w:firstLineChars="200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抽查对象为石林县范围内登记注册、取得“代理记账许可证书”（含分支机构）的代理记账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，抽查对象比例为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15户的35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%（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户）。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</w:rPr>
        <w:t>抽查依据</w:t>
      </w:r>
    </w:p>
    <w:p>
      <w:pPr>
        <w:ind w:firstLine="640" w:firstLineChars="200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《代理记账管理办法》（财政部令第98号）、《云南省代理记账管理实施办法》（云财规〔2020〕1号）、《企业公示信息抽查暂行办法》。</w:t>
      </w:r>
    </w:p>
    <w:p>
      <w:pPr>
        <w:ind w:firstLine="643" w:firstLineChars="200"/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执法人员的抽取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执法检查人员根据实际需要</w:t>
      </w:r>
      <w:r>
        <w:rPr>
          <w:rFonts w:hint="eastAsia" w:ascii="仿宋_GB2312" w:eastAsia="仿宋_GB2312"/>
          <w:sz w:val="32"/>
          <w:szCs w:val="32"/>
        </w:rPr>
        <w:t>通过“国家企业信用信息公示系统（云南）”，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从联合抽查牵头单位和成员单位执法检查人员名录库中随机抽取。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五、联合抽查部门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此次联合抽查由石林县财政局牵头，石林县市场监管局、石林县税务局联合进行。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六、被抽查对象名单确定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本次抽查对象通过“国家企业信用信息公示系统（云南）”，采取系统随机抽取的方式，从抽查对象名录库中确定被检查对象，分派到联合抽查</w:t>
      </w:r>
      <w:r>
        <w:rPr>
          <w:rFonts w:hint="eastAsia" w:ascii="仿宋_GB2312" w:eastAsia="仿宋_GB2312"/>
          <w:sz w:val="32"/>
          <w:szCs w:val="32"/>
          <w:lang w:eastAsia="zh-CN"/>
        </w:rPr>
        <w:t>参与</w:t>
      </w:r>
      <w:r>
        <w:rPr>
          <w:rFonts w:hint="eastAsia" w:ascii="仿宋_GB2312" w:eastAsia="仿宋_GB2312"/>
          <w:sz w:val="32"/>
          <w:szCs w:val="32"/>
        </w:rPr>
        <w:t>部门，由联合抽查部门完成抽查对象名单确认，确认无异议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sz w:val="32"/>
          <w:szCs w:val="32"/>
        </w:rPr>
        <w:t>检查。。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七、完善组织机构，明确职责分工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（一）成立抽查专门领导小组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成立由县财政局牵头的石林县代理记账行业跨部门“双随机、一公开”联合抽查工作领导小组，组长由县财政局分管领导担任，石林县市场监管局、石林县税务局分管领导为副组长,成员从</w:t>
      </w:r>
      <w:r>
        <w:rPr>
          <w:rFonts w:hint="eastAsia" w:ascii="仿宋_GB2312" w:eastAsia="仿宋_GB2312"/>
          <w:sz w:val="32"/>
          <w:szCs w:val="32"/>
          <w:lang w:eastAsia="zh-CN"/>
        </w:rPr>
        <w:t>联合单位</w:t>
      </w:r>
      <w:r>
        <w:rPr>
          <w:rFonts w:hint="eastAsia" w:ascii="仿宋_GB2312" w:eastAsia="仿宋_GB2312"/>
          <w:sz w:val="32"/>
          <w:szCs w:val="32"/>
        </w:rPr>
        <w:t>“国家企业信用信息公示系统（云南）”</w:t>
      </w:r>
      <w:r>
        <w:rPr>
          <w:rFonts w:hint="eastAsia" w:ascii="仿宋_GB2312" w:eastAsia="仿宋_GB2312"/>
          <w:sz w:val="32"/>
          <w:szCs w:val="32"/>
          <w:lang w:eastAsia="zh-CN"/>
        </w:rPr>
        <w:t>中本单位</w:t>
      </w:r>
      <w:r>
        <w:rPr>
          <w:rFonts w:hint="eastAsia" w:ascii="仿宋_GB2312" w:eastAsia="仿宋_GB2312"/>
          <w:sz w:val="32"/>
          <w:szCs w:val="32"/>
        </w:rPr>
        <w:t>名录库中</w:t>
      </w:r>
      <w:r>
        <w:rPr>
          <w:rFonts w:hint="eastAsia" w:ascii="仿宋_GB2312" w:eastAsia="仿宋_GB2312"/>
          <w:sz w:val="32"/>
          <w:szCs w:val="32"/>
          <w:lang w:eastAsia="zh-CN"/>
        </w:rPr>
        <w:t>抽取</w:t>
      </w:r>
      <w:r>
        <w:rPr>
          <w:rFonts w:hint="eastAsia" w:ascii="仿宋_GB2312" w:eastAsia="仿宋_GB2312"/>
          <w:sz w:val="32"/>
          <w:szCs w:val="32"/>
        </w:rPr>
        <w:t>确定</w:t>
      </w:r>
      <w:r>
        <w:rPr>
          <w:rFonts w:hint="eastAsia" w:ascii="仿宋_GB2312" w:eastAsia="仿宋_GB2312"/>
          <w:sz w:val="32"/>
          <w:szCs w:val="32"/>
          <w:lang w:eastAsia="zh-CN"/>
        </w:rPr>
        <w:t>，或选派其他持有行政执法证人员、或熟悉财会业务的人员参与。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（二）职责分工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抽查事项和内容：主要是</w:t>
      </w:r>
      <w:r>
        <w:rPr>
          <w:rFonts w:hint="eastAsia" w:ascii="仿宋_GB2312" w:eastAsia="仿宋_GB2312"/>
          <w:sz w:val="32"/>
          <w:szCs w:val="32"/>
        </w:rPr>
        <w:t>代理记账机构的基本情况、执业质量、工商登记事项、工商公示信息、</w:t>
      </w:r>
      <w:r>
        <w:rPr>
          <w:rFonts w:hint="eastAsia" w:ascii="仿宋_GB2312" w:eastAsia="仿宋_GB2312"/>
          <w:sz w:val="32"/>
          <w:szCs w:val="32"/>
          <w:lang w:eastAsia="zh-CN"/>
        </w:rPr>
        <w:t>违规税务代理、</w:t>
      </w:r>
      <w:r>
        <w:rPr>
          <w:rFonts w:hint="eastAsia" w:ascii="仿宋_GB2312" w:eastAsia="仿宋_GB2312"/>
          <w:sz w:val="32"/>
          <w:szCs w:val="32"/>
        </w:rPr>
        <w:t>报税人员和</w:t>
      </w:r>
      <w:r>
        <w:rPr>
          <w:rFonts w:hint="eastAsia" w:ascii="仿宋_GB2312" w:eastAsia="仿宋_GB2312"/>
          <w:sz w:val="32"/>
          <w:szCs w:val="32"/>
          <w:lang w:eastAsia="zh-CN"/>
        </w:rPr>
        <w:t>零申报</w:t>
      </w:r>
      <w:r>
        <w:rPr>
          <w:rFonts w:hint="eastAsia" w:ascii="仿宋_GB2312" w:eastAsia="仿宋_GB2312"/>
          <w:sz w:val="32"/>
          <w:szCs w:val="32"/>
        </w:rPr>
        <w:t>执行国家税收政策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1.财政部门：负责组织、沟通、协调本次跨部门“双随机、一公开”联合抽查工作；按照云南省财政厅《代理记账机构检查手册》，结合石林县财政局《代理记账机构检查内容》，由工作组综合择项开展检查，</w:t>
      </w:r>
      <w:r>
        <w:rPr>
          <w:rFonts w:hint="eastAsia" w:ascii="仿宋_GB2312" w:eastAsia="仿宋_GB2312"/>
          <w:sz w:val="32"/>
          <w:szCs w:val="32"/>
          <w:lang w:eastAsia="zh-CN"/>
        </w:rPr>
        <w:t>负责对代理记账机构的基本情况和执业质量实施监督检查，</w:t>
      </w:r>
      <w:r>
        <w:rPr>
          <w:rFonts w:hint="eastAsia" w:ascii="仿宋_GB2312" w:eastAsia="仿宋_GB2312"/>
          <w:sz w:val="32"/>
          <w:szCs w:val="32"/>
        </w:rPr>
        <w:t>并形成检查报告。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2.市场监管部门：依法对抽查对象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对应的《云南省市场监管局随机抽查事项清单（第一版）》中“登记事项检查”和“公示信息检查”2个大类，包括营业执照规范使用情况检查、名称规范使用情况检查、经营期限的检查、经营范围中无需审批的经营项目的检查、住所和驻在场所的检查、</w:t>
      </w:r>
      <w:r>
        <w:rPr>
          <w:rFonts w:hint="eastAsia" w:ascii="仿宋_GB2312" w:eastAsia="仿宋_GB2312"/>
          <w:sz w:val="32"/>
          <w:szCs w:val="32"/>
        </w:rPr>
        <w:t>进行检查。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3.税务部门：</w:t>
      </w:r>
      <w:r>
        <w:rPr>
          <w:rFonts w:hint="eastAsia" w:ascii="仿宋_GB2312" w:eastAsia="仿宋_GB2312"/>
          <w:sz w:val="32"/>
          <w:szCs w:val="32"/>
          <w:lang w:eastAsia="zh-CN"/>
        </w:rPr>
        <w:t>重点对违规税务代理、代理记账机构</w:t>
      </w:r>
      <w:r>
        <w:rPr>
          <w:rFonts w:hint="eastAsia" w:ascii="仿宋_GB2312" w:eastAsia="仿宋_GB2312"/>
          <w:sz w:val="32"/>
          <w:szCs w:val="32"/>
        </w:rPr>
        <w:t>报税人员和</w:t>
      </w:r>
      <w:r>
        <w:rPr>
          <w:rFonts w:hint="eastAsia" w:ascii="仿宋_GB2312" w:eastAsia="仿宋_GB2312"/>
          <w:sz w:val="32"/>
          <w:szCs w:val="32"/>
          <w:lang w:eastAsia="zh-CN"/>
        </w:rPr>
        <w:t>零申报</w:t>
      </w:r>
      <w:r>
        <w:rPr>
          <w:rFonts w:hint="eastAsia" w:ascii="仿宋_GB2312" w:eastAsia="仿宋_GB2312"/>
          <w:sz w:val="32"/>
          <w:szCs w:val="32"/>
        </w:rPr>
        <w:t>执行国家税收政策</w:t>
      </w:r>
      <w:r>
        <w:rPr>
          <w:rFonts w:hint="eastAsia" w:ascii="仿宋_GB2312" w:eastAsia="仿宋_GB2312"/>
          <w:sz w:val="32"/>
          <w:szCs w:val="32"/>
          <w:lang w:eastAsia="zh-CN"/>
        </w:rPr>
        <w:t>进行税收执法检查。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八、具体工作内容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（一）抽查人员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在全县代理记账机构负有监管职责的执法人员中进行抽查。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（二）检查方式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检查实行联合检查，采取书面检查、</w:t>
      </w:r>
      <w:r>
        <w:rPr>
          <w:rFonts w:hint="eastAsia" w:ascii="仿宋_GB2312" w:eastAsia="仿宋_GB2312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sz w:val="32"/>
          <w:szCs w:val="32"/>
        </w:rPr>
        <w:t>核查等方式一次性完成同一市场主体的多个检查事项。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检查组人员全部参加现场检查，并出示执法证件。执法检查人员依据检查事项清单实施检查，填写检查记录表，检查完成后由被检查企业法定代表人或负责人签字盖章确认；被检查对象拒绝签字的，应当在检查记录表上如实记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检查人员无法独立完成检查事项的，可由所属单位选派其他专业人员协助完成。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（三）抽查结果的处理和公示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人员在检查过程中，对发现检查对象有违反法律法规规章的违法行为的，要书面通知被检查单位，并要求被检查单位在规定时限内整改完善，对问题整改不及时和拒不配合检查的，应当依法进行处理。发现违反其他有关部门法律法规规章的违法行为或涉嫌犯罪的，依法向有关部门移送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检查人员自完成跨部门“双随机、一公开”联合抽查工作后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5个工作日内，按照“谁检查、谁录入</w:t>
      </w:r>
      <w:r>
        <w:rPr>
          <w:rFonts w:hint="eastAsia" w:ascii="仿宋_GB2312" w:eastAsia="仿宋_GB2312"/>
          <w:sz w:val="32"/>
          <w:szCs w:val="32"/>
          <w:lang w:eastAsia="zh-CN"/>
        </w:rPr>
        <w:t>、谁公开</w:t>
      </w:r>
      <w:r>
        <w:rPr>
          <w:rFonts w:hint="eastAsia" w:ascii="仿宋_GB2312" w:eastAsia="仿宋_GB2312"/>
          <w:sz w:val="32"/>
          <w:szCs w:val="32"/>
        </w:rPr>
        <w:t>”的原则，将检查结果录入“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国家企业信用信息公示系统（云南）</w:t>
      </w:r>
      <w:r>
        <w:rPr>
          <w:rFonts w:hint="eastAsia" w:ascii="仿宋_GB2312" w:eastAsia="仿宋_GB2312"/>
          <w:sz w:val="32"/>
          <w:szCs w:val="32"/>
        </w:rPr>
        <w:t>”向社会公示。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九、工作要求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（一）提高思想认识。</w:t>
      </w:r>
      <w:r>
        <w:rPr>
          <w:rFonts w:hint="eastAsia" w:ascii="仿宋_GB2312" w:eastAsia="仿宋_GB2312"/>
          <w:sz w:val="32"/>
          <w:szCs w:val="32"/>
        </w:rPr>
        <w:t>各相关单位应当积极筹划，精心组织，按照要求完成各项检查工作。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（二）密切协调配合。</w:t>
      </w:r>
      <w:r>
        <w:rPr>
          <w:rFonts w:hint="eastAsia" w:ascii="仿宋_GB2312" w:eastAsia="仿宋_GB2312"/>
          <w:sz w:val="32"/>
          <w:szCs w:val="32"/>
        </w:rPr>
        <w:t xml:space="preserve">各有关单位应当按照联合抽查的工作安排，密切协作，配合联合抽查工作组做好联合抽查工作。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（三）统一监管服务。</w:t>
      </w:r>
      <w:r>
        <w:rPr>
          <w:rFonts w:hint="eastAsia" w:ascii="仿宋_GB2312" w:eastAsia="仿宋_GB2312"/>
          <w:sz w:val="32"/>
          <w:szCs w:val="32"/>
        </w:rPr>
        <w:t>在联合抽查工作中，各单位要注重服务与监管相统一。检查人员要依法行政，廉洁执法，增强检查的集约性、简便性、有效性，避免增加企业负担。同时要增强服务意识，把上门检查与上门服务有机结合起来，为企业解疑答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（四）抓好宣传。</w:t>
      </w:r>
      <w:r>
        <w:rPr>
          <w:rFonts w:hint="eastAsia" w:ascii="仿宋_GB2312" w:eastAsia="仿宋_GB2312"/>
          <w:sz w:val="32"/>
          <w:szCs w:val="32"/>
        </w:rPr>
        <w:t>联合抽查工作组成员单位要</w:t>
      </w:r>
      <w:r>
        <w:rPr>
          <w:rFonts w:hint="eastAsia" w:ascii="仿宋_GB2312" w:eastAsia="仿宋_GB2312"/>
          <w:sz w:val="32"/>
          <w:szCs w:val="32"/>
          <w:lang w:eastAsia="zh-CN"/>
        </w:rPr>
        <w:t>强化</w:t>
      </w:r>
      <w:r>
        <w:rPr>
          <w:rFonts w:hint="eastAsia" w:ascii="仿宋_GB2312" w:eastAsia="仿宋_GB2312"/>
          <w:sz w:val="32"/>
          <w:szCs w:val="32"/>
        </w:rPr>
        <w:t>宣传</w:t>
      </w:r>
      <w:r>
        <w:rPr>
          <w:rFonts w:hint="eastAsia" w:ascii="仿宋_GB2312" w:eastAsia="仿宋_GB2312"/>
          <w:sz w:val="32"/>
          <w:szCs w:val="32"/>
          <w:lang w:eastAsia="zh-CN"/>
        </w:rPr>
        <w:t>措施</w:t>
      </w:r>
      <w:r>
        <w:rPr>
          <w:rFonts w:hint="eastAsia" w:ascii="仿宋_GB2312" w:eastAsia="仿宋_GB2312"/>
          <w:sz w:val="32"/>
          <w:szCs w:val="32"/>
        </w:rPr>
        <w:t>，扩大抽查工作的社会影响力，使广大企业知晓配合抽查的义务和相关权利，使社会公众了解并主动参与</w:t>
      </w:r>
      <w:r>
        <w:rPr>
          <w:rFonts w:hint="eastAsia" w:ascii="仿宋_GB2312" w:eastAsia="仿宋_GB2312"/>
          <w:sz w:val="32"/>
          <w:szCs w:val="32"/>
          <w:lang w:eastAsia="zh-CN"/>
        </w:rPr>
        <w:t>社会监督</w:t>
      </w:r>
      <w:r>
        <w:rPr>
          <w:rFonts w:hint="eastAsia" w:ascii="仿宋_GB2312" w:eastAsia="仿宋_GB2312"/>
          <w:sz w:val="32"/>
          <w:szCs w:val="32"/>
        </w:rPr>
        <w:t>，积极举报企业违法经营行为。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3830" w:leftChars="1824" w:firstLine="960" w:firstLineChars="3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石林彝族自治县财政局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5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E1DA7"/>
    <w:rsid w:val="000379BD"/>
    <w:rsid w:val="000537C3"/>
    <w:rsid w:val="000953A0"/>
    <w:rsid w:val="000C19E3"/>
    <w:rsid w:val="000E3FDB"/>
    <w:rsid w:val="00194689"/>
    <w:rsid w:val="00246CEA"/>
    <w:rsid w:val="002B7250"/>
    <w:rsid w:val="0036528E"/>
    <w:rsid w:val="003C316B"/>
    <w:rsid w:val="0040118E"/>
    <w:rsid w:val="00493F0E"/>
    <w:rsid w:val="004C715A"/>
    <w:rsid w:val="004D3FBE"/>
    <w:rsid w:val="0054046D"/>
    <w:rsid w:val="0056068A"/>
    <w:rsid w:val="005D47FB"/>
    <w:rsid w:val="00603036"/>
    <w:rsid w:val="0061033D"/>
    <w:rsid w:val="00611CB9"/>
    <w:rsid w:val="00650587"/>
    <w:rsid w:val="00691A21"/>
    <w:rsid w:val="00845E90"/>
    <w:rsid w:val="008926DF"/>
    <w:rsid w:val="00901149"/>
    <w:rsid w:val="009421BD"/>
    <w:rsid w:val="009B1794"/>
    <w:rsid w:val="00A0233B"/>
    <w:rsid w:val="00A4207D"/>
    <w:rsid w:val="00A74FA4"/>
    <w:rsid w:val="00AB6D8C"/>
    <w:rsid w:val="00AE5E89"/>
    <w:rsid w:val="00B5403F"/>
    <w:rsid w:val="00BE15D1"/>
    <w:rsid w:val="00C60799"/>
    <w:rsid w:val="00CA773F"/>
    <w:rsid w:val="00D362C6"/>
    <w:rsid w:val="00E6444D"/>
    <w:rsid w:val="00E67010"/>
    <w:rsid w:val="00EC412F"/>
    <w:rsid w:val="00EE1DA7"/>
    <w:rsid w:val="00F30062"/>
    <w:rsid w:val="00F44105"/>
    <w:rsid w:val="00FA688B"/>
    <w:rsid w:val="068E6B81"/>
    <w:rsid w:val="08A70700"/>
    <w:rsid w:val="08BE1DC4"/>
    <w:rsid w:val="1270075B"/>
    <w:rsid w:val="130A5337"/>
    <w:rsid w:val="229E46B9"/>
    <w:rsid w:val="259C6C37"/>
    <w:rsid w:val="25D539FA"/>
    <w:rsid w:val="299961C2"/>
    <w:rsid w:val="2C9312D7"/>
    <w:rsid w:val="366110BA"/>
    <w:rsid w:val="3F2557A2"/>
    <w:rsid w:val="3FD762EF"/>
    <w:rsid w:val="43093FB3"/>
    <w:rsid w:val="478521F2"/>
    <w:rsid w:val="4E56708B"/>
    <w:rsid w:val="4FC247F3"/>
    <w:rsid w:val="5110228E"/>
    <w:rsid w:val="52D76764"/>
    <w:rsid w:val="55A16BF7"/>
    <w:rsid w:val="57942340"/>
    <w:rsid w:val="5A7245E7"/>
    <w:rsid w:val="5CA0217A"/>
    <w:rsid w:val="605C7DA2"/>
    <w:rsid w:val="657B24DE"/>
    <w:rsid w:val="65CC4885"/>
    <w:rsid w:val="67B457B3"/>
    <w:rsid w:val="6AC219C0"/>
    <w:rsid w:val="6BBF34FE"/>
    <w:rsid w:val="6E534D32"/>
    <w:rsid w:val="70F017DF"/>
    <w:rsid w:val="734A7861"/>
    <w:rsid w:val="78841260"/>
    <w:rsid w:val="79831C41"/>
    <w:rsid w:val="7EA5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42E0-2BE4-4065-98B7-337A8448D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281</Words>
  <Characters>1603</Characters>
  <Lines>13</Lines>
  <Paragraphs>3</Paragraphs>
  <TotalTime>12</TotalTime>
  <ScaleCrop>false</ScaleCrop>
  <LinksUpToDate>false</LinksUpToDate>
  <CharactersWithSpaces>1881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2021-08-06T01:13:00Z</dcterms:created>
  <dc:creator>dell</dc:creator>
  <cp:lastModifiedBy>slcz</cp:lastModifiedBy>
  <cp:lastPrinted>2020-04-28T06:28:00Z</cp:lastPrinted>
  <dcterms:modified xsi:type="dcterms:W3CDTF">2023-12-25T02:58:04Z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451753C7EADD4D60BD0B9643529E8C71</vt:lpwstr>
  </property>
</Properties>
</file>