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城市建设填堵水域、废除围堤审批（县级权限）</w:t>
      </w:r>
    </w:p>
    <w:bookmarkEnd w:id="0"/>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【00011911600301】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城市建设填堵水域、废除围堤审批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00011911600Y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城市建设填堵水域、废除围堤审批（县级权限）【000119116003】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城市建设填堵水域、废除围堤审批（县级权限）(00011911600301)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（1）《中华人民共和国防洪法》第34条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（1）《中华人民共和国防洪法》第60条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石林彝族自治县人民政府（由石林彝族自治县水务局承办）</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城市建设填堵水域、废除围堤审核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（1）所申请填堵水域、废除的原有防洪围堤许可审批权限属于县级人民政府管理权限范围。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（2）不存在以下情形的：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①不符合江河流域综合规划和有关的国土及区域发展规划，对规划实施有影响；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②不符合有关防洪标准和技术要求；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③对河势稳定、水流形态、水质、冲淤变化有不利影响；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④影响第三人合法的水事权益；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⑤对堤防、护岸和其它水工程安全有影响；</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⑥妨碍防汛抢险；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⑦建设项目防御洪涝的设防标准与措施不适当，妨碍行洪、降低河道泄洪能力；</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⑧未征求建设项目所在城市水利部门意见。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（1）《中华人民共和国行政许可法》第29条、第30条、第31条、第32条、第34条、第36条、第37条、第38条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dstrike w:val="0"/>
          <w:color w:val="auto"/>
          <w:sz w:val="28"/>
          <w:szCs w:val="28"/>
          <w:lang w:val="en-US" w:eastAsia="zh-CN"/>
        </w:rPr>
        <w:t>优</w:t>
      </w:r>
      <w:r>
        <w:rPr>
          <w:rFonts w:hint="eastAsia" w:ascii="宋体" w:hAnsi="宋体" w:eastAsia="方正仿宋_GBK" w:cs="方正仿宋_GBK"/>
          <w:b w:val="0"/>
          <w:bCs w:val="0"/>
          <w:strike w:val="0"/>
          <w:dstrike w:val="0"/>
          <w:color w:val="auto"/>
          <w:sz w:val="28"/>
          <w:szCs w:val="28"/>
          <w:lang w:val="en-US" w:eastAsia="zh-CN"/>
        </w:rPr>
        <w:t>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highlight w:val="yellow"/>
          <w:lang w:val="en-US" w:eastAsia="zh-CN"/>
        </w:rPr>
        <w:t>审批时限由20个工作日压减至</w:t>
      </w:r>
      <w:r>
        <w:rPr>
          <w:rFonts w:hint="eastAsia" w:ascii="宋体" w:hAnsi="宋体" w:eastAsia="方正仿宋_GBK" w:cs="方正仿宋_GBK"/>
          <w:b w:val="0"/>
          <w:bCs w:val="0"/>
          <w:strike w:val="0"/>
          <w:dstrike w:val="0"/>
          <w:color w:val="auto"/>
          <w:sz w:val="28"/>
          <w:szCs w:val="28"/>
          <w:highlight w:val="yellow"/>
          <w:lang w:val="en-US" w:eastAsia="zh-CN"/>
        </w:rPr>
        <w:t>5</w:t>
      </w:r>
      <w:r>
        <w:rPr>
          <w:rFonts w:hint="default" w:ascii="宋体" w:hAnsi="宋体" w:eastAsia="方正仿宋_GBK" w:cs="方正仿宋_GBK"/>
          <w:b w:val="0"/>
          <w:bCs w:val="0"/>
          <w:strike w:val="0"/>
          <w:dstrike w:val="0"/>
          <w:color w:val="auto"/>
          <w:sz w:val="28"/>
          <w:szCs w:val="28"/>
          <w:highlight w:val="yellow"/>
          <w:lang w:val="en-US" w:eastAsia="zh-CN"/>
        </w:rPr>
        <w:t>个工作日</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。在国家审批时限压减至18个工作日的基础上，进一步将承诺审批时限压减至5个工作日。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开展“四不两直”暗访检查，加强对城市建设填堵水域、废除围堤许可、实施阶段的监督检查。2.建立河湖日常监管巡查制度，开展对城市建设填堵水域、废除围堤的巡查检查。3.利用大数据、卫星遥感、航空遥感、视频监控等技术手段进行动态监控。4.严肃查处投诉举报。5.明确监管责任主体。相关部门按照“谁审批、谁监管”要求，明确监管责任单位和责任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（1）城市建设填堵水域、废除围堤审批申请表；</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（2）城市建设的项目法人法定身份证明文件；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（3）城市建设填堵水域、废除围堤审批论证报告、防洪评价报告书（表）；</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（4）涉及第三者利害关系时，应当附具第三者的承诺书或有关协调意见书；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（5）城市建设项目的可行性研究报告；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（6）城市建设填堵水域、废除围堤的补偿措施实施方案。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（1）《中华人民共和国行政许可法》第29条、第30条、第31条、第32条、第34条第29条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（1）申请；（2）受理；（3）审查；（4）专家评审；（5）决定；（6）送达。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《中华人民共和国行政许可法》第29条、第30条、第31条、第32条、第34条、第36条、第37条、第38条第29条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依法进行专家评审另需时间不超过30个工作日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r>
        <w:rPr>
          <w:rFonts w:hint="eastAsia" w:ascii="宋体" w:hAnsi="宋体"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石林彝族自治县人民政府（由石林彝族自治县水务局承办）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C3395"/>
    <w:rsid w:val="78FC3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2023-12-20T07:38:00Z</dcterms:created>
  <dc:creator>我是谁？</dc:creator>
  <cp:lastModifiedBy>我是谁？</cp:lastModifiedBy>
  <dcterms:modified xsi:type="dcterms:W3CDTF">2023-12-20T07:40:10Z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