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基本要素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）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一、行政许可事项名称：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/>
        </w:rPr>
        <w:t>河道采砂许可</w:t>
      </w: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/>
        </w:rPr>
        <w:t>00011910500Y</w:t>
      </w: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  <w:t>】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二、主管部门：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石林彝族自治县水务局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三、实施机关：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石林彝族自治县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水务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四、设定依据：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  <w:t>《中华人民共和国水法》第39条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实施依据：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  <w:t>（1）《中华人民共和国水法》第39条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  <w:t>（2）《中华人民共和国长江保护法》第28条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  <w:t>（3）《中华人民共和国河道管理条例》第25条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  <w:t>（4）《长江河道采砂管理条例》第9条、第10条、第12条、第15条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六、子项：</w:t>
      </w:r>
    </w:p>
    <w:p>
      <w:pPr>
        <w:spacing w:line="360" w:lineRule="auto"/>
        <w:ind w:firstLine="560" w:firstLineChars="200"/>
        <w:rPr>
          <w:rFonts w:hint="default" w:ascii="宋体" w:hAnsi="宋体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/>
        </w:rPr>
        <w:t>除长江宜宾以下干流外的河道采砂许可（县级权限）【000119105006】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七、业务办理项</w:t>
      </w:r>
    </w:p>
    <w:p>
      <w:pPr>
        <w:spacing w:line="360" w:lineRule="auto"/>
        <w:ind w:firstLine="560" w:firstLineChars="200"/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  <w:t>1.除长江宜宾以下干流外的河道采砂许可（县级权限）（初始申请）(00011910500601)</w:t>
      </w:r>
    </w:p>
    <w:p>
      <w:pPr>
        <w:spacing w:line="360" w:lineRule="auto"/>
        <w:ind w:firstLine="560" w:firstLineChars="200"/>
      </w:pP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  <w:t>2.除长江宜宾以下干流外的河道采砂许可（县级权限）（变更）(00011910500602)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7D54"/>
    <w:multiLevelType w:val="singleLevel"/>
    <w:tmpl w:val="41667D5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10F66"/>
    <w:rsid w:val="532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2"/>
    <w:next w:val="1"/>
    <w:unhideWhenUsed/>
    <w:qFormat/>
    <w:uiPriority w:val="99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2023-12-20T07:03:00Z</dcterms:created>
  <dc:creator>我是谁？</dc:creator>
  <cp:lastModifiedBy>我是谁？</cp:lastModifiedBy>
  <dcterms:modified xsi:type="dcterms:W3CDTF">2023-12-20T07:05:49Z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