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河道管理范围内建设项目工程建设方案审批（县级权限）</w:t>
      </w:r>
      <w:bookmarkEnd w:id="0"/>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河道管理范围内建设项目工程建设方案审批（县级权限）【000119103014】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1.河道管理范围内建设项目工程建设方案审批（县级权限）（首次申请）(00011910301401)</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2.河道管理范围内建设项目工程建设方案审批（县级权限）（变更申请）(00011910301402)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（1）《中华人民共和国防洪法》第21条、第27条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（4）《河道管理范围内建设项目管理的有关规定》（水政〔1992〕7号，2017年修正）第3条、第5条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（1）《中华人民共和国行政许可法》第60条、第61条、第62条、第63条、第64条、第65条、第66条、第67条、第68条、第69条、第70条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河道管理范围内建设项目工程建设方案审批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在河湖管理范围内兴建跨河、穿河、穿堤、临河的桥梁、码头、道路、渡口、管道、缆线、取水、排水等建设项目的单位和个人。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所申请的河道管理范围内建设项目工程建设方案审批权限属于相关县级水行政主管部门管理权限范围。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项目申请报送程序符合规定，申请材料齐全完整，符合法定形式。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不存在以下情形的：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①不遵循确有必要、无法避让、确保安全原则的涉河建设项目。②不符合江河流域综合规划、防洪规划、河道治理规划、岸线保护与开发利用规划等规划要求。③不符合防洪标准和有关技术要求。④对河道泄洪能力、河势稳定、河道冲淤变化、堤防护岸和其它水工程安全、防汛抢险、供水、水环境安全、第三人合法水事权益存在不利影响，或有不利影响采取相应补救措施不能消除或减轻至可接受范围。⑤建设项目防御洪涝的设防标准与措施不适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highlight w:val="yellow"/>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建设跨河、穿河、穿堤、临河的桥梁、码头、道路、渡口、管道、缆线等工程设施，要依法依规履行涉河建设项目许可手续。严格管控各类水域岸线利用行为，不得超审查权限，不得随意扩大项目类别。禁止在河湖管理范围内建设妨碍行洪的建筑物、构筑物，倾倒、弃置渣土。禁止围垦湖泊，禁止违法围垦河道。严禁以风雨廊桥等名义在河湖管理范围内开发建设房屋。城市建设和发展不得占用河道滩地。光伏电站、风力发电等项目不得在河道、湖泊、水库内建设。在湖泊周边、水库库建设光伏、风电项目的，要科学论证，严格管控，不得布设在具有防洪、供水功能和水生态、水环境保护需求的区域，不得妨碍行洪通畅，不得危害水库大坝和提防等水利工程设施安全，不得影响河势稳定和航运安全。</w:t>
      </w:r>
      <w:r>
        <w:rPr>
          <w:rFonts w:hint="eastAsia" w:ascii="宋体" w:hAnsi="宋体" w:eastAsia="方正仿宋_GBK" w:cs="方正仿宋_GBK"/>
          <w:b w:val="0"/>
          <w:bCs w:val="0"/>
          <w:strike w:val="0"/>
          <w:dstrike w:val="0"/>
          <w:color w:val="auto"/>
          <w:sz w:val="28"/>
          <w:szCs w:val="28"/>
          <w:highlight w:val="yellow"/>
          <w:lang w:val="en-US" w:eastAsia="zh-CN"/>
        </w:rPr>
        <w:t>在国家审批时限压减至14个工作日的基础上，进一步将承诺审批时限压减至5个工作日。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开展“四不两直”暗访检查，加强对涉河建设项目许可、建设阶段的监督检查。2.建立河湖日常监管巡查制度，结合水利工程巡查管护、防汛检查等工作，开展涉河建设项目巡查检查。3.利用大数据、卫星遥感、航空遥感、视频监控等技术手段进行动态监控。4.畅通公众举报渠道，严肃查处未批先建、越权审批、批建不符的涉河建设项目。5.落实涉河建设项目安全度汛方案，加强对防洪补救措施实施情况的监督检查，确保防洪补救措施与涉河建设项目主体工程同步实施，同步验收，同步投入使用。6.明确监管责任主体。各流域管理机构、地方各级水行政主管部门要按照“谁审批、谁监管”要求，明确涉河建设项目监管责任单位和责任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河道管理范围内建设项目申请书；</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建设项目所依据的文件；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建设单位或者个人的法定身份证明文件；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建设项目涉及河道与防洪部分的方案；</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防洪评价报告；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与有显著利害关系的第三方达成的协议或该第三方的承诺函。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控制点位坐标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河道管理范围内建设项目管理的有关规定》（水政〔1992〕7号）第5条建设单位编制立项文件时必须按照河道管理权限，向河道主管机关提出申请，申请时应提供以下文件：（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对于重要的建设项目，建设单位还应编制更详尽的防洪评价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专家评审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29条、第30条、第31条、第32条、第33条、第34条、第35条、第36条、第37条、第38条、第39条、第40条、第41条、第42条、第43条、第44条、第45条、第46条、第47条、第48条、第49条、第50条、第51条、第52条、第56条、第57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第四章</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行政许可的实施程序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第一节申请与受理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行政机关及其工作人员不得以转让技术作为取得行政许可的条件;不得在实施行政许可的过程中，直接或者间接地要求转让技术。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第二节审查与决定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第39条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行政机关作出准予行政许可的决定，需要颁发行政许可证件的，应当向申请人颁发加盖本行政机关印章的下列行政许可证件：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(一)许可证、执照或者其他许可证书;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(二)资格证、资质证或者其他合格证书;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(三)行政机关的批准文件或者证明文件;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(四)法律、法规规定的其他行政许可证件。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行政机关实施检验、检测、检疫的，可以在检验、检测、检疫合格的设备、设施、产品、物品上加贴标签或者加盖检验、检测、检疫印章。</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第40条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行政机关作出的准予行政许可决定，应当予以公开，公众有权查阅。</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第41条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法律、行政法规设定的行政许可，其适用范围没有地域限制的，申请人取得的行政许可在全国范围内有效。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第三节期限</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第43条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第44条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行政机关作出准予行政许可的决定，应当自作出决定之日起十日内向申请人颁发、送达行政许可证件，或者加贴标签、加盖检验、检测、检疫印章。</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第45条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行政机关作出行政许可决定，依法需要听证、招标、拍卖、检验、检测、检疫、鉴定和专家评审的，所需时间不计算在本节规定的期限内。行政机关应当将所需时间书面告知申请人。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第四节听证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第46条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法律、法规、规章规定实施行政许可应当听证的事项，或者行政机关认为需要听证的其他涉及公共利益的重大行政许可事项，行政机关应当向社会公告，并举行听证。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第47条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申请人、利害关系人不承担行政机关组织听证的费用。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第48条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听证按照下列程序进行：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(一)行政机关应当于举行听证的七日前将举行听证的时间、地点通知申请人、利害关系人，必要时予以公告;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(二)听证应当公开举行;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(三)行政机关应当指定审查该行政许可申请的工作人员以外的人员为听证主持人，申请人、利害关系人认为主持人与该行政许可事项有直接利害关系的，有权申请回避;</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(四)举行听证时，审查该行政许可申请的工作人员应当提供审查意见的证据、理由，申请人、利害关系人可以提出证据，并进行申辩和质证;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(五)听证应当制作笔录，听证笔录应当交听证参加人确认无误后签字或者盖章。</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行政机关应当根据听证笔录，作出行政许可决定。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第五节</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变更与延续</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第49条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被许可人要求变更行政许可事项的，应当向作出行政许可决定的行政机关提出申请;符合法定条件、标准的，行政机关应当依法办理变更手续。</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第50</w:t>
      </w:r>
      <w:r>
        <w:rPr>
          <w:rFonts w:hint="eastAsia" w:ascii="宋体" w:hAnsi="宋体" w:eastAsia="方正仿宋_GBK" w:cs="方正仿宋_GBK"/>
          <w:b w:val="0"/>
          <w:bCs w:val="0"/>
          <w:strike w:val="0"/>
          <w:dstrike w:val="0"/>
          <w:color w:val="auto"/>
          <w:sz w:val="28"/>
          <w:szCs w:val="28"/>
          <w:lang w:val="en-US" w:eastAsia="zh-CN"/>
        </w:rPr>
        <w:t xml:space="preserve">条 </w:t>
      </w:r>
      <w:r>
        <w:rPr>
          <w:rFonts w:hint="default" w:ascii="宋体" w:hAnsi="宋体" w:eastAsia="方正仿宋_GBK" w:cs="方正仿宋_GBK"/>
          <w:b w:val="0"/>
          <w:bCs w:val="0"/>
          <w:strike w:val="0"/>
          <w:dstrike w:val="0"/>
          <w:color w:val="auto"/>
          <w:sz w:val="28"/>
          <w:szCs w:val="28"/>
          <w:lang w:val="en-US" w:eastAsia="zh-CN"/>
        </w:rPr>
        <w:t>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行政机关应当根据被许可人的申请，在该行政许可有效期届满前作出是否准予延续的决定;逾期未作决定的，视为准予延续。</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第六节</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特别规定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第51条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实施行政许可的程序，本节有规定的，适用本节规定;本节没有规定的，适用本章其他有关规定。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第52条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国务院实施行政许可的程序，适用有关法律、行政法规的规定。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第56条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第57条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有数量限制的行政许可，两个或者两个以上申请人的申请均符合法定条件、标准的，行政机关应当根据受理行政许可申请的先后顺序作出准予行政许可的决定。但是，法律、行政法规另有规定的，依照其规定。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河道管理范围内建设项目管理的有关规定》（水政〔1992〕7号）第5条、第6条、第7条、第8条、第9条、第10条、第11条、第12条、第13条第5条：建设单位编制立项文件时必须按照河道管理权限，向河道主管机关提出申请。申请时应提供以下文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(l)申请书；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(2)建设项目所依据的文件；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(3)建设项目涉及河道与防洪部分的初步方案；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(4)占用河道管理范围内土地情况及该建设项目防御洪涝的设防标准与措施；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(5)说明建设项目对河势变化、堤防安全、河道行洪、河水水质的影响以及拟采取的补救措施。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对于重要的建设项目，建设单位还应编制更详尽的防洪评价报告。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第6条：河道主管机关接到申请后，应及时进行审查，审查主要内容为：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(l)是否符合江河流域综合规划和有关的国土及区域发展规划， 对规划实施有何影响；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(2)是否符合防洪标准和有关技术要求；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(3)对河势稳定、水流形态、水质、冲淤变化有无不利影响；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(4)是否妨碍行洪、降低河道泄洪能力；</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(5)对堤防、护岸和其它水工程安全的影响；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(6)是否妨碍防汛抢险；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(7)建设项目防御洪涝的设防标准与措施是否适当：</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(8)是否影响第三人合法的水事权益；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(9)是否符合其它有关规定和协议。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流域机构在对重大建设项目进行审查时，还应征求有关省、 自治区、直辖市的意见。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7条：河道主管机关应在法定期限内将审查意见书面通知申请单位，同意兴建的，应发给审查同意书，并抄知上级水行政主管部门和建设单位的上级主管部门。建设单位在取得河道主管机关的审查同意书后，方可开工建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审查同意书可以对建设项目设计、施工和管理提出有关要求。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8条：河道主管机关对建设单位的申请进行审查后，作出不同意建设的决定，或者要求就有关问题进一步修改补充后再行审查的，应当在批复中说明理由和依据。建设单位对批复持有异议的，可依法提出行政复议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第9条：计划主管部门在审批建设项目时，如对建设项目的性质、规模、地点作较大变动时，应事先征得河道主管机关的同意。建设单位应重新办理审查同意书。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第10条：建设项目开工前，建设单位应当将施工安排送河道主管机关备案。施工安排应包括施工占用河道管理范围内土地的情况和施工期防汛措施。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11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钞报上级水行政主管部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第12条：河道管理范围内的建筑物和设施竣工后，迎经河道主管机关检验合格后方可启用。建设单位应在竣工验收6个月内向河道主管机关报送有关竣工资料。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第13条：河道主管机关应定期对河道管理范围内的建筑物和设施进行检查，凡不符合工程安全要求的，应提出限期改建的要求，有关单位和个人应当服从河道主管机关的安全管理。</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第33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14个工作日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50条被许可人需要延续依法取得的行政许可的有效期的，应当在该行政许可有效期届满三十日前向作出行政许可决定的行政机关提出申请。但是，法律、法规、规章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（2）《水行政许可实施办法》（水利部令第23号）第37条、第40条第37条:水行政许可有期限的，《准予水行政许可决定书》或者水行政许可证件、证书上应当注明其有效期限。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40条：被许可人需要延续依法取得的水行政许可的有效期限的，应当在该水行政许可有效期届满30日前向作出水行政许可决定的水行政许可实施机关提出申请。但是，法律、法规、规章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行政许可实施机关对延续申请进行审查后，应当作出决定。仍符合取得水行政许可的条件的，准予延续，制作《准予延续水行政许可决定书》；不再符合取得水行政许可的条件的，不予延续，制作《不予延续水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工程建设如有变更应在行政许可有效期内提出申请，在征得审批单位同意后方可施工。若建设项目的性质、地点、规模、设计方案、补救措施等发生较大变更,应重新编制防洪评价报告,并重新申请办理许可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r>
        <w:rPr>
          <w:rFonts w:hint="eastAsia" w:ascii="宋体" w:hAnsi="宋体" w:eastAsia="方正仿宋_GBK" w:cs="方正仿宋_GBK"/>
          <w:b w:val="0"/>
          <w:bCs w:val="0"/>
          <w:strike w:val="0"/>
          <w:dstrike w:val="0"/>
          <w:color w:val="auto"/>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r>
        <w:rPr>
          <w:rFonts w:hint="eastAsia" w:ascii="宋体" w:hAnsi="宋体" w:eastAsia="方正仿宋_GBK" w:cs="方正仿宋_GBK"/>
          <w:b w:val="0"/>
          <w:bCs w:val="0"/>
          <w:strike w:val="0"/>
          <w:dstrike w:val="0"/>
          <w:color w:val="auto"/>
          <w:sz w:val="28"/>
          <w:szCs w:val="28"/>
          <w:lang w:val="en-US" w:eastAsia="zh-CN"/>
        </w:rPr>
        <w:t>无规定审批结果有效地域范围的依据。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37E42"/>
    <w:rsid w:val="61437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2023-12-20T02:59:00Z</dcterms:created>
  <dc:creator>我是谁？</dc:creator>
  <cp:lastModifiedBy>我是谁？</cp:lastModifiedBy>
  <dcterms:modified xsi:type="dcterms:W3CDTF">2023-12-20T03:01:26Z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