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水工程建设规划同意书审核（县级权限）</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水工程建设规划同意书审核（县级权限）【000119103013】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水工程建设规划同意书审核（县级权限）(00011910301301)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（1）《中华人民共和国水法》第19条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（1）《中华人民共和国水法》第19条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（3）《水工程建设规划同意书制度管理办法（试行）》(水利部令第31号发布，水利部令第49号修改)第5条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（1）《中华人民共和国水法》第65条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（2）《中华人民共和国防洪法》第17条、第53条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（3）《国务院办公厅关于全面实行行政许可事项清单管理的通知》（国办发〔2022〕2号）第10条、第11条、第12条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（4）《水工程建设规划同意书制度管理办法（试行）》（水利部令第31号发布，水利部令第49号修改）第14条、第15条、第16条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（5）《水利部办公厅关于印发加强和规范水利部本级、流域管理机构监管事项管理工作方案的通知》（办政法〔2021〕278号）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水工程建设规划同意书审核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审查签署机关对受理的水工程建设规划同意书申请，应当依据有关法律、法规以及流域综合规划和防洪规划进行审查；对符合下列条件的，作出批准的决定，并签署水工程建设规划同意书：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19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（2）《中华人民共和国防洪法》第17条在江河、湖泊上建设防洪工程和其他水工程、水电站等,应当符合防洪规划的要求;水库应当按照防洪规划的要求留足防洪库容。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前款规定的防洪工程和其他水工程、水电站未取得有关水行政主管部门签署的符合防洪规划要求的规划同意书的，建设单位不得开工建设。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（3）《水工程建设规划同意书制度管理办法（试行）》(水利部令第31号)第8条（一）水工程建设规模、任务符合流域综合规划和防洪规划的总体要求；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强化与其他水行政审批优化整合。</w:t>
      </w:r>
      <w:r>
        <w:rPr>
          <w:rFonts w:hint="eastAsia" w:ascii="宋体" w:hAnsi="宋体" w:eastAsia="方正仿宋_GBK" w:cs="方正仿宋_GBK"/>
          <w:b w:val="0"/>
          <w:bCs w:val="0"/>
          <w:strike w:val="0"/>
          <w:dstrike w:val="0"/>
          <w:color w:val="auto"/>
          <w:sz w:val="28"/>
          <w:szCs w:val="28"/>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1.按照“谁审批谁监管”的原则，落实监管责任，制定监管方案。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2.按照“双随机、一公开”或者“重点监管”的原则，确定监管人员和监管对象。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3.采取明察和“四不两直”暗访相结合的方式开展监管。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4.对多个监管事项涉及同一监管对象的，开展联合监管，避免重复检查。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5.充分发挥河湖长制作用，以及卫星遥感、视频监控、无人机等手段进行动态监管，及时发现未取得许可决定而擅自开工建设的水工程。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（一）水工程建设规划同意书申请表（必要材料）；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（二）与第三者利害关系的协议书或情况说明（必要材料）；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（三）拟报批（或核准、备案）水工程的（预）可行性研究报告或初步设计报告（项目申请报告、备案材料）及审查意见（必要材料）；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水工程建设规划同意书论证报告（水工程所在江河、湖泊的流域综合规划或者防洪规划尚未编制或者批复的，建设单位应当就水工程是否符合流域治理、开发、保护的要求或者防洪的要求编制专题论证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说明：水工程建设规划同意书论证报告按照《水工程建设规划同意书论证报告编制导则（试行）》（SL/Z 719-2015）进行编制。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工程建设规划同意书制度管理办法（试行）第6条水工程建设单位（以下简称建设单位）应当向有水工程建设规划同意书审查签署权限的流域管理机构或者县级以上地方人民政府水行政主管部门（以下简称审查签署机关）提出水工程建设规划同意书申请，并提交下列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（一）水工程建设规划同意书申请表；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（二）拟报批水工程的（预）可行性研究报告（项目申请报告、备案材料）；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（三）与第三者利害关系的相关说明；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（四）审查签署机关要求的其他材料。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工程建设规划同意书制度管理办法（试行）第9条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审查签署机关应当组织专家对专题论证报告进行审查，水工程符合流域治理、开发、保护和防洪要求的，作出批准的决定，并签署水工程建设规划同意书。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2审批机构受理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3专家评审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4审批机构审查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《水工程建设规划同意书制度管理办法（试行）》（水利部令第31号）第6条、第7条、第8条、第9条、第10条、第11条、第12条第6条 水工程建设单位（以下简称建设单位）应当向有水工程建设规划同意书审查签署权限的流域管理机构或者县级以上地方人民政府水行政主管部门（以下简称审查签署机关）提出水工程建设规划同意书申请，并提交下列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（一）水工程建设规划同意书申请表；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（二）拟报批水工程的（预）可行性研究报告（项目申请报告、备案材料）；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（三）与第三者利害关系的相关说明；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（四）审查签署机关要求的其他材料。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 审查签署机关应当自收到申请之日起5个工作日内对申请材料进行审查，并根据下列情况分别作出处理：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（一）属于本机关受理范围，申请材料齐全、符合法定形式的，应当予以受理，并出具书面受理凭证；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（二）申请材料不齐全或者不符合法定形式的，应当一次告知建设单位予以补正；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（三）不属于本机关受理范围的，应当作出不予受理的决定，并告知建设单位向有受理权限的机关提出申请。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 审查签署机关对受理的水工程建设规划同意书申请，应当依据有关法律、法规以及流域综合规划和防洪规划进行审查；对符合下列条件的，作出批准的决定，并签署水工程建设规划同意书：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水工程建设不符合前款规定条件之一的，审查签署机关应当作出不予批准的决定，并下达水工程建设规划同意书不予签署通知书。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水工程建设规划同意书可以对水工程的设计方案和管理措施提出有关要求。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签署的水工程建设规划同意书，应当抄送与水工程有关的下一级水行政主管部门。流域管理机构签署的水工程建设规划同意书，应当抄送与水工程有关的省、自治区、直辖市人民政府水行政主管部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审查签署机关应当组织专家对专题论证报告进行审查，水工程符合流域治理、开发、保护和防洪要求的，作出批准的决定，并签署水工程建设规划同意书。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 审查签署机关在审查过程中，必要时应当征求与水工程有关的下一级水行政主管部门的意见。流域管理机构在审查过程中，必要时应当征求与水工程有关的省、自治区、直辖市人民政府水行政主管部门的意见。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 审查签署机关应当自受理水工程建设规划同意书申请之日起20个工作日内作出决定。20个工作日内不能作出决定的，经本机关负责人批准，可以延长10个工作日，并应当将延长期限的理由告知建设单位。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执行本办法第9条规定所需的时间不计算在前款规定的审查期限内，但审查签署机关应当将所需时间告知建设单位。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水工程建设规划同意书签署后，水工程的（预）可行性研究报告（项目申请报告、备案材料）未获得审批（核准、备案）需要重新编制的，建设单位应当重新申请水工程建设规划同意书。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（1）《水工程建设规划同意书制度管理办法（试行）》第7条、第9条、第11条第7条 审查签署机关应当自收到申请之日起5个工作日内对申请材料进行审查，并根据下列情况分别作出处理：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（一）属于本机关受理范围，申请材料齐全、符合法定形式的，应当予以受理，并出具书面受理凭证；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（二）申请材料不齐全或者不符合法定形式的，应当一次告知建设单位予以补正；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（三）不属于本机关受理范围的，应当作出不予受理的决定，并告知建设单位向有受理权限的机关提出申请。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 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审查签署机关应当组织专家对专题论证报告进行审查，水工程符合流域治理、开发、保护和防洪要求的，作出批准的决定，并签署水工程建设规划同意书。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 审查签署机关应当自受理水工程建设规划同意书申请之日起20个工作日内作出决定。20个工作日内不能作出决定的，经本机关负责人批准，可以延长10个工作日，并应当将延长期限的理由告知建设单位。</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执行本办法第九条规定所需的时间不计算在前款规定的审查期限内，但审查签署机关应当将所需时间告知建设单位。</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依法进行听证、专家评审或者技术评估另需时间不计算在该时限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r>
        <w:rPr>
          <w:rFonts w:hint="eastAsia" w:ascii="宋体" w:hAnsi="宋体" w:eastAsia="方正仿宋_GBK" w:cs="方正仿宋_GBK"/>
          <w:b w:val="0"/>
          <w:bCs w:val="0"/>
          <w:strike w:val="0"/>
          <w:dstrike w:val="0"/>
          <w:color w:val="auto"/>
          <w:sz w:val="28"/>
          <w:szCs w:val="28"/>
          <w:lang w:val="en-US" w:eastAsia="zh-CN"/>
        </w:rPr>
        <w:t>暂无相关依据规定期限。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（1）《水工程建设规划同意书制度管理办法（试行）》（水利部令第31号发布，水利部令第49号修改）第5条下列水工程建设规划同意书，由流域管理机构负责审查并签署：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（一）长江、黄河、淮河、海河、珠江、松花江、辽河的干流及其主要一级支流和太湖以及其他跨省、自治区、直辖市的重要江河上建设的水工程；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（二）省际边界河流（河段）、湖泊上建设的水工程；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（三）国际河流（含跨界、边界河流和湖泊）及其主要支流上建设的水工程；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（四）流域管理机构直接管理的河流（河段）、湖泊上建设的水工程。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本条第一款规定以外的其他水工程建设规划同意书，由县级以上地方人民政府水行政主管部门按照省、自治区、直辖市人民政府水行政主管部门规定的管理权限负责审查并签署。</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96295"/>
    <w:rsid w:val="4079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2023-12-20T02:57:00Z</dcterms:created>
  <dc:creator>我是谁？</dc:creator>
  <cp:lastModifiedBy>我是谁？</cp:lastModifiedBy>
  <dcterms:modified xsi:type="dcterms:W3CDTF">2023-12-20T02:58:12Z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