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1.举办健身气功活动审批（县级权限）(00013310100501)(审核通过)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石林县教育体育局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部分要素全国统一</w:t>
      </w:r>
    </w:p>
    <w:p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(八)法律法规规定的其他条件。</w:t>
      </w:r>
    </w:p>
    <w:p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四、</w:t>
      </w:r>
      <w:r>
        <w:rPr>
          <w:rFonts w:ascii="Times New Roman" w:hAnsi="Times New Roman" w:eastAsia="黑体"/>
          <w:color w:val="auto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2.是否为涉企许可事项：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5.改革方式：优化审批服务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6.具体改革举措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1.推广全程网上办理，推进体育领域信息数据共享应用。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审批时限由20个工作日压减至17个工作日。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>
      <w:pPr>
        <w:spacing w:line="540" w:lineRule="exact"/>
        <w:ind w:firstLine="560" w:firstLineChars="200"/>
        <w:rPr>
          <w:rFonts w:hint="default" w:ascii="方正仿宋_GBK" w:hAnsi="方正仿宋_GBK" w:eastAsia="仿宋GB2312" w:cs="方正仿宋_GBK"/>
          <w:color w:val="auto"/>
          <w:sz w:val="28"/>
          <w:szCs w:val="28"/>
          <w:lang w:val="en-US" w:eastAsia="zh-CN"/>
        </w:rPr>
      </w:pP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，一公开”的监管工作机制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eastAsia="zh-CN"/>
        </w:rPr>
        <w:t>资金</w:t>
      </w:r>
      <w:bookmarkStart w:id="0" w:name="_GoBack"/>
      <w:bookmarkEnd w:id="0"/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鉴定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2.法定审批时限：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color w:val="auto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color w:val="auto"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color w:val="auto"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十四、监管主体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石林县教育体育局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color w:val="auto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28"/>
          <w:szCs w:val="28"/>
        </w:rPr>
        <w:t>十五、备注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BAB25"/>
    <w:multiLevelType w:val="singleLevel"/>
    <w:tmpl w:val="D99BAB25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4A66"/>
    <w:rsid w:val="30497CCA"/>
    <w:rsid w:val="5A973C7F"/>
    <w:rsid w:val="7A01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oc 1"/>
    <w:basedOn w:val="1"/>
    <w:next w:val="1"/>
    <w:uiPriority w:val="0"/>
    <w:pPr>
      <w:numPr>
        <w:ilvl w:val="0"/>
        <w:numId w:val="1"/>
      </w:numPr>
    </w:pPr>
    <w:rPr>
      <w:rFonts w:ascii="Calibri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2023-10-07T11:25:00Z</dcterms:created>
  <dc:creator>lenovo</dc:creator>
  <cp:lastModifiedBy>Administrator</cp:lastModifiedBy>
  <dcterms:modified xsi:type="dcterms:W3CDTF">2023-12-29T07:03:16Z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C384695238594799ABB371AD146A19FB</vt:lpwstr>
  </property>
</Properties>
</file>