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举办健身气功活动审批（县级权限）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【00013310100501】</w:t>
      </w:r>
    </w:p>
    <w:p>
      <w:pPr>
        <w:numPr>
          <w:ilvl w:val="0"/>
          <w:numId w:val="2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及编码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举办健身气功活动审批（县级权限）(00013310100501)(审核通过)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（2）《健身气功管理办法》（2006年11月国家体育总局令第9号发布）第十一条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第十三条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第二十七条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石林县教育体育局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</w:t>
      </w:r>
    </w:p>
    <w:p>
      <w:pPr>
        <w:numPr>
          <w:ilvl w:val="0"/>
          <w:numId w:val="2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条件型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(八)法律法规规定的其他条件。</w:t>
      </w:r>
    </w:p>
    <w:p>
      <w:pPr>
        <w:numPr>
          <w:ilvl w:val="0"/>
          <w:numId w:val="2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5.改革方式：优化审批服务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1.推广全程网上办理，推进体育领域信息数据共享应用。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审批时限由20个工作日压减至17个工作日。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，一公开”的监管工作机制。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(五)社会体育指导员和管理人员的资格证明。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资金</w:t>
      </w:r>
      <w:bookmarkStart w:id="0" w:name="_GoBack"/>
      <w:bookmarkEnd w:id="0"/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鉴定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个工作日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（1）《行政许可法》41法律、行政法规设定的行政许可，其适用范围没有地域限制的，申请人取得的行政许可在全国范围内有效。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numPr>
          <w:ilvl w:val="0"/>
          <w:numId w:val="2"/>
        </w:num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numPr>
          <w:ilvl w:val="0"/>
          <w:numId w:val="2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numPr>
          <w:ilvl w:val="0"/>
          <w:numId w:val="2"/>
        </w:num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监管主体</w:t>
      </w:r>
    </w:p>
    <w:p>
      <w:pPr>
        <w:spacing w:line="600" w:lineRule="exact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石林县教育体育局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30B91"/>
    <w:multiLevelType w:val="singleLevel"/>
    <w:tmpl w:val="EFF30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1327CF"/>
    <w:multiLevelType w:val="singleLevel"/>
    <w:tmpl w:val="771327CF"/>
    <w:lvl w:ilvl="0" w:tentative="0">
      <w:start w:val="1"/>
      <w:numFmt w:val="decimal"/>
      <w:pStyle w:val="4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15B9"/>
    <w:rsid w:val="085915B9"/>
    <w:rsid w:val="103C5B90"/>
    <w:rsid w:val="27A76ADA"/>
    <w:rsid w:val="5CCC7836"/>
    <w:rsid w:val="714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  <w:pPr>
      <w:numPr>
        <w:ilvl w:val="0"/>
        <w:numId w:val="1"/>
      </w:numPr>
      <w:spacing w:line="440" w:lineRule="exact"/>
      <w:ind w:left="-403" w:firstLine="0"/>
    </w:pPr>
    <w:rPr>
      <w:rFonts w:ascii="Calibri" w:hAnsi="Calibr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2023-12-29T06:54:00Z</dcterms:created>
  <dc:creator>韩继峰</dc:creator>
  <cp:lastModifiedBy>Administrator</cp:lastModifiedBy>
  <dcterms:modified xsi:type="dcterms:W3CDTF">2023-12-29T07:03:58Z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34B506B6E2F14FC395E6833034034992</vt:lpwstr>
  </property>
</Properties>
</file>