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_GBK" w:hAnsi="方正小标宋_GBK" w:eastAsia="方正小标宋_GBK" w:cs="方正小标宋_GBK"/>
          <w:sz w:val="44"/>
          <w:szCs w:val="44"/>
        </w:rPr>
      </w:pP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农村村民住宅建设规划许可（乡镇权限）</w:t>
      </w: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一、基本要素</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乡村建设规划许可【0001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400Y】</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农村村民住宅建设规划许可（乡镇权限）【0001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4007】</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农村村民住宅建设规划许可（乡镇权限）【0001</w:t>
      </w:r>
      <w:r>
        <w:rPr>
          <w:rFonts w:hint="eastAsia" w:ascii="仿宋_GB2312" w:hAnsi="仿宋_GB2312" w:eastAsia="仿宋_GB2312" w:cs="仿宋_GB2312"/>
          <w:sz w:val="32"/>
          <w:szCs w:val="32"/>
          <w:lang w:val="en-US" w:eastAsia="zh-CN"/>
        </w:rPr>
        <w:t>****</w:t>
      </w:r>
      <w:bookmarkStart w:id="1" w:name="_GoBack"/>
      <w:bookmarkEnd w:id="1"/>
      <w:r>
        <w:rPr>
          <w:rFonts w:hint="eastAsia" w:ascii="仿宋_GB2312" w:hAnsi="仿宋_GB2312" w:eastAsia="仿宋_GB2312" w:cs="仿宋_GB2312"/>
          <w:sz w:val="32"/>
          <w:szCs w:val="32"/>
        </w:rPr>
        <w:t>4007】</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（1）《中华人民共和国城乡规划法》第四十一条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（2）《中华人民共和国土地管理法》第十八条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（3）《中华人民共和国土地管理法实施条例》第二条</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（1）《中华人民共和国城乡规划法》第四十一条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（2）《中华人民共和国土地管理法》第十八条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（3）《中华人民共和国土地管理法》第六十二条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（4）《中华人民共和国长江保护法》第二十条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（5）《中华人民共和国黄河保护法》第二十五条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（6）《中华人民共和国土地管理法实施条例》第二条</w:t>
      </w:r>
    </w:p>
    <w:p>
      <w:pPr>
        <w:spacing w:line="600" w:lineRule="exact"/>
        <w:ind w:firstLine="640" w:firstLineChars="200"/>
        <w:outlineLvl w:val="2"/>
      </w:pPr>
      <w:r>
        <w:rPr>
          <w:rFonts w:hint="eastAsia" w:ascii="仿宋_GB2312" w:hAnsi="仿宋_GB2312" w:eastAsia="仿宋_GB2312" w:cs="仿宋_GB2312"/>
          <w:sz w:val="32"/>
          <w:szCs w:val="32"/>
        </w:rPr>
        <w:t>（7）《中共中央 国务院关于建立国土空间规划体系并监督实施的若干意见》</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（1）《中华人民共和国城乡规划法》第五十一条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（2）《中华人民共和国城乡规划法》第五十三条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（3）《中华人民共和国城乡规划法》第六十五条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乡级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乡级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乡级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乡村建设规划许可证核发</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15.要素统一情况：</w:t>
      </w:r>
      <w:r>
        <w:rPr>
          <w:rFonts w:hint="eastAsia" w:ascii="仿宋_GB2312" w:hAnsi="仿宋_GB2312" w:eastAsia="仿宋_GB2312" w:cs="仿宋_GB2312"/>
          <w:sz w:val="32"/>
          <w:szCs w:val="32"/>
        </w:rPr>
        <w:t>全省要素统一</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二、行政许可事项类型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条件型</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三、行政许可条件</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（1）在乡、其他镇和村庄规划区内进行农村住房建设的；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（2）符合国土空间规划；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（3）土地界址、地类、面积属实且清晰，权属无争议。</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建设单位或者个人在取得乡村建设规划许可证后，方可办理用地审批手续。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乡、镇人民政府应当在受理申请后20日内作出决定。符合条件和标准的，由乡、镇人民政府核发乡村建设规划许可证；不符合条件和标准的，书面告知申请人并说明不予许可的理由。</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行政许可服务对象类型</w:t>
      </w:r>
      <w:r>
        <w:rPr>
          <w:rFonts w:hint="eastAsia" w:ascii="Times New Roman" w:hAnsi="Times New Roman" w:eastAsia="黑体"/>
          <w:sz w:val="32"/>
          <w:szCs w:val="32"/>
        </w:rPr>
        <w:t>与改革举措</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自然人</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将承诺审批时限由20个工作日压缩至8个工作日。</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五、申请材料</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（2）房屋用地四至图及房屋设计方案或简要设计说明;</w:t>
      </w:r>
    </w:p>
    <w:p>
      <w:pPr>
        <w:spacing w:line="600" w:lineRule="exact"/>
        <w:ind w:firstLine="640" w:firstLineChars="200"/>
        <w:rPr>
          <w:rFonts w:ascii="仿宋_GB2312" w:hAnsi="仿宋_GB2312" w:eastAsia="仿宋_GB2312" w:cs="仿宋_GB2312"/>
          <w:sz w:val="32"/>
          <w:szCs w:val="32"/>
        </w:rPr>
      </w:pPr>
      <w:bookmarkStart w:id="0" w:name="_Toc26320"/>
      <w:r>
        <w:rPr>
          <w:rFonts w:hint="eastAsia" w:ascii="仿宋_GB2312" w:hAnsi="仿宋_GB2312" w:eastAsia="仿宋_GB2312" w:cs="仿宋_GB2312"/>
          <w:sz w:val="32"/>
          <w:szCs w:val="32"/>
        </w:rPr>
        <w:t>（3）申请人身份证、户口簿复印件;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（4）经村民会议讨论同意、村委会签署的意见。</w:t>
      </w:r>
      <w:bookmarkEnd w:id="0"/>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在乡、村庄规划区内使用原有宅基地进行农村村民住宅建设的规划管理办法，由省、自治区、直辖市制定。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建设单位或者个人在取得乡村建设规划许可证后，方可办理用地审批手续。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乡、镇人民政府应当在受理申请后20日内作出决定。符合条件和标准的，由乡、镇人民政府核发乡村建设规划许可证；不符合条件和标准的，书面告知申请人并说明不予许可的理由。</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六、中介服务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七、审批程序</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（2）审批机构受理/不予受理。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（3）审批机构审查。涉及需进行现场勘查、专家评审、听证、委托服务机构开展技术性服务的，按有关规定组织实施。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（4）决定核发许可证/不予核发许可证。</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是</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部分情况下开展</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八、受理和审批时限</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8个工作日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依法进行听证、专家评审等另需时间不计算在该时限内</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九、收费</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pPr>
        <w:spacing w:line="600" w:lineRule="exact"/>
        <w:ind w:firstLine="643" w:firstLineChars="200"/>
        <w:outlineLvl w:val="2"/>
        <w:rPr>
          <w:rFonts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十、行政许可证件</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乡村建设规划许可证</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2年</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hint="eastAsia" w:ascii="仿宋_GB2312" w:hAnsi="仿宋_GB2312" w:eastAsia="仿宋_GB2312" w:cs="仿宋_GB2312"/>
          <w:sz w:val="32"/>
          <w:szCs w:val="32"/>
        </w:rPr>
        <w:t>《云南省城乡规划条例》</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确需延长的，应当在期限届满之日的30日前，向发证的城乡规划主管部门申请办理延续手续。</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  法律、行政法规设定的行政许可，其适用范围没有地域限制的，申请人取得的行政许可在全国范围内有效。</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十一、行政许可数量限制</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十二、行政许可后年检</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十三、行政许可后年报</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十四、监管主体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石林县自然资源局</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十五、备注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1.按照“放管服”改革精神，地方自然资源主管部门可结合实际推行告知承诺制，制定免于许可或豁免许可清单。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2.按照用地审批与规划许可融合管理要求，依据《自然资源部 国家发展改革委 农业农村部关于保障和规范农村一二三产业融合发展用地的通知》（自然资发〔2021〕16号）规定，可合并办理乡村建设规划许可和建设用地批准手续；依据《农业农村部 自然资源部关于规范农村宅基地审批管理的通知》（农经发〔2019〕6号）规定，完善宅基地审批和建房规划许可联审联办制度。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3.审批程序中的向社会公示特指批前公示。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B0300000000000000"/>
    <w:charset w:val="86"/>
    <w:family w:val="auto"/>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4NjNjNmU2NmNmOTRmM2FjMWI4NDQ3MmQ4NDA5NTAifQ=="/>
  </w:docVars>
  <w:rsids>
    <w:rsidRoot w:val="4A1947CF"/>
    <w:rsid w:val="008D74D9"/>
    <w:rsid w:val="00E44F5C"/>
    <w:rsid w:val="00F94A10"/>
    <w:rsid w:val="09D121EF"/>
    <w:rsid w:val="0B3D78BE"/>
    <w:rsid w:val="0BFA041A"/>
    <w:rsid w:val="188E6F10"/>
    <w:rsid w:val="2315484B"/>
    <w:rsid w:val="259C22C1"/>
    <w:rsid w:val="29E0467D"/>
    <w:rsid w:val="42C66F1E"/>
    <w:rsid w:val="491008FE"/>
    <w:rsid w:val="4A1947CF"/>
    <w:rsid w:val="4E075625"/>
    <w:rsid w:val="5BF537D5"/>
    <w:rsid w:val="61AD1AC4"/>
    <w:rsid w:val="6BBDDF19"/>
    <w:rsid w:val="73083B53"/>
    <w:rsid w:val="730E07EC"/>
    <w:rsid w:val="779F8A40"/>
    <w:rsid w:val="79EA42FE"/>
    <w:rsid w:val="BD4F4B7C"/>
    <w:rsid w:val="BFFF7595"/>
    <w:rsid w:val="F5F92EAF"/>
    <w:rsid w:val="F72FA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qFormat/>
    <w:uiPriority w:val="0"/>
    <w:pPr>
      <w:snapToGrid w:val="0"/>
      <w:jc w:val="left"/>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713</Words>
  <Characters>4070</Characters>
  <Lines>33</Lines>
  <Paragraphs>9</Paragraphs>
  <TotalTime>0</TotalTime>
  <ScaleCrop>false</ScaleCrop>
  <LinksUpToDate>false</LinksUpToDate>
  <CharactersWithSpaces>4774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dell</cp:lastModifiedBy>
  <cp:lastPrinted>2023-08-03T07:33:00Z</cp:lastPrinted>
  <dcterms:modified xsi:type="dcterms:W3CDTF">2023-12-28T03:00:35Z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135A3FCBE9B04412BC00F85A6F881D88_12</vt:lpwstr>
  </property>
</Properties>
</file>