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val="0"/>
          <w:strike w:val="0"/>
          <w:dstrike w:val="0"/>
          <w:color w:val="000000" w:themeColor="text1"/>
          <w:sz w:val="30"/>
          <w:szCs w:val="30"/>
          <w:lang w:eastAsia="zh-CN"/>
          <w14:textFill>
            <w14:solidFill>
              <w14:schemeClr w14:val="tx1"/>
            </w14:solidFill>
          </w14:textFill>
        </w:rPr>
      </w:pPr>
      <w:bookmarkStart w:id="0" w:name="_GoBack"/>
      <w:bookmarkEnd w:id="0"/>
      <w:r>
        <w:rPr>
          <w:rFonts w:hint="eastAsia" w:ascii="宋体" w:hAnsi="宋体" w:eastAsia="方正小标宋_GBK" w:cs="方正小标宋_GBK"/>
          <w:i w:val="0"/>
          <w:color w:val="000000" w:themeColor="text1"/>
          <w:kern w:val="0"/>
          <w:sz w:val="40"/>
          <w:szCs w:val="40"/>
          <w:highlight w:val="none"/>
          <w:u w:val="none"/>
          <w:shd w:val="clear" w:color="auto" w:fill="auto"/>
          <w:lang w:val="en-US" w:eastAsia="zh-CN" w:bidi="ar"/>
          <w14:textFill>
            <w14:solidFill>
              <w14:schemeClr w14:val="tx1"/>
            </w14:solidFill>
          </w14:textFill>
        </w:rPr>
        <w:t>行政许可事项实施规范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宋体" w:hAnsi="宋体" w:eastAsia="宋体" w:cs="宋体"/>
          <w:b w:val="0"/>
          <w:bCs w:val="0"/>
          <w:strike w:val="0"/>
          <w:dstrike w:val="0"/>
          <w:color w:val="000000" w:themeColor="text1"/>
          <w:sz w:val="30"/>
          <w:szCs w:val="30"/>
          <w:lang w:eastAsia="zh-CN"/>
          <w14:textFill>
            <w14:solidFill>
              <w14:schemeClr w14:val="tx1"/>
            </w14:solidFill>
          </w14:textFill>
        </w:rPr>
      </w:pPr>
      <w:r>
        <w:rPr>
          <w:rFonts w:hint="eastAsia" w:ascii="方正楷体_GBK" w:hAnsi="方正楷体_GBK" w:eastAsia="方正楷体_GBK" w:cs="方正楷体_GBK"/>
          <w:b w:val="0"/>
          <w:bCs w:val="0"/>
          <w:strike w:val="0"/>
          <w:dstrike w:val="0"/>
          <w:color w:val="000000" w:themeColor="text1"/>
          <w:sz w:val="30"/>
          <w:szCs w:val="30"/>
          <w:lang w:eastAsia="zh-CN"/>
          <w14:textFill>
            <w14:solidFill>
              <w14:schemeClr w14:val="tx1"/>
            </w14:solidFill>
          </w14:textFill>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中医</w:t>
      </w:r>
      <w:r>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t>医疗机构执业登记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石林彝族自治县卫生健康局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石林彝族自治县卫生健康局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t>《中华人民共和国中医药法</w:t>
      </w: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w:t>
      </w:r>
      <w:r>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t>医疗机构管理条例</w:t>
      </w: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w:t>
      </w:r>
      <w:r>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t>云南省中医药条例》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五、子项：</w:t>
      </w:r>
    </w:p>
    <w:p>
      <w:pPr>
        <w:pStyle w:val="3"/>
        <w:keepNext/>
        <w:keepLines/>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方正仿宋_GBK"/>
          <w:b w:val="0"/>
          <w:bCs w:val="0"/>
          <w:color w:val="000000" w:themeColor="text1"/>
          <w:spacing w:val="0"/>
          <w:kern w:val="2"/>
          <w:sz w:val="28"/>
          <w:szCs w:val="28"/>
          <w:lang w:val="en-US" w:eastAsia="zh-CN" w:bidi="ar-SA"/>
          <w14:textFill>
            <w14:solidFill>
              <w14:schemeClr w14:val="tx1"/>
            </w14:solidFill>
          </w14:textFill>
        </w:rPr>
      </w:pPr>
      <w:r>
        <w:rPr>
          <w:rFonts w:hint="eastAsia" w:ascii="Times New Roman" w:hAnsi="Times New Roman" w:eastAsia="方正仿宋_GBK" w:cs="方正仿宋_GBK"/>
          <w:b w:val="0"/>
          <w:bCs w:val="0"/>
          <w:color w:val="000000" w:themeColor="text1"/>
          <w:spacing w:val="0"/>
          <w:kern w:val="2"/>
          <w:sz w:val="28"/>
          <w:szCs w:val="28"/>
          <w:lang w:val="en-US" w:eastAsia="zh-CN" w:bidi="ar-SA"/>
          <w14:textFill>
            <w14:solidFill>
              <w14:schemeClr w14:val="tx1"/>
            </w14:solidFill>
          </w14:textFill>
        </w:rPr>
        <w:t>无</w:t>
      </w:r>
    </w:p>
    <w:p>
      <w:pPr>
        <w:pageBreakBefore w:val="0"/>
        <w:widowControl w:val="0"/>
        <w:kinsoku/>
        <w:wordWrap/>
        <w:overflowPunct/>
        <w:topLinePunct w:val="0"/>
        <w:autoSpaceDE/>
        <w:autoSpaceDN/>
        <w:bidi w:val="0"/>
        <w:adjustRightInd/>
        <w:spacing w:line="560" w:lineRule="exact"/>
        <w:textAlignment w:val="auto"/>
        <w:rPr>
          <w:rFonts w:hint="eastAsia"/>
          <w:color w:val="000000" w:themeColor="text1"/>
          <w:sz w:val="28"/>
          <w:szCs w:val="28"/>
          <w:lang w:eastAsia="zh-CN"/>
          <w14:textFill>
            <w14:solidFill>
              <w14:schemeClr w14:val="tx1"/>
            </w14:solidFill>
          </w14:textFill>
        </w:rPr>
      </w:pPr>
    </w:p>
    <w:p>
      <w:pPr>
        <w:pageBreakBefore w:val="0"/>
        <w:widowControl w:val="0"/>
        <w:kinsoku/>
        <w:wordWrap/>
        <w:overflowPunct/>
        <w:topLinePunct w:val="0"/>
        <w:autoSpaceDE/>
        <w:autoSpaceDN/>
        <w:bidi w:val="0"/>
        <w:adjustRightInd/>
        <w:spacing w:line="560" w:lineRule="exact"/>
        <w:textAlignment w:val="auto"/>
        <w:rPr>
          <w:rFonts w:hint="eastAsia"/>
          <w:color w:val="000000" w:themeColor="text1"/>
          <w:sz w:val="28"/>
          <w:szCs w:val="28"/>
          <w:lang w:eastAsia="zh-CN"/>
          <w14:textFill>
            <w14:solidFill>
              <w14:schemeClr w14:val="tx1"/>
            </w14:solidFill>
          </w14:textFill>
        </w:rPr>
      </w:pPr>
    </w:p>
    <w:p>
      <w:pPr>
        <w:pageBreakBefore w:val="0"/>
        <w:widowControl w:val="0"/>
        <w:kinsoku/>
        <w:wordWrap/>
        <w:overflowPunct/>
        <w:topLinePunct w:val="0"/>
        <w:autoSpaceDE/>
        <w:autoSpaceDN/>
        <w:bidi w:val="0"/>
        <w:adjustRightInd/>
        <w:spacing w:line="560" w:lineRule="exact"/>
        <w:textAlignment w:val="auto"/>
        <w:rPr>
          <w:rFonts w:hint="eastAsia"/>
          <w:color w:val="000000" w:themeColor="text1"/>
          <w:sz w:val="28"/>
          <w:szCs w:val="28"/>
          <w:lang w:eastAsia="zh-CN"/>
          <w14:textFill>
            <w14:solidFill>
              <w14:schemeClr w14:val="tx1"/>
            </w14:solidFill>
          </w14:textFill>
        </w:rPr>
      </w:pPr>
    </w:p>
    <w:p>
      <w:pPr>
        <w:pageBreakBefore w:val="0"/>
        <w:widowControl w:val="0"/>
        <w:kinsoku/>
        <w:wordWrap/>
        <w:overflowPunct/>
        <w:topLinePunct w:val="0"/>
        <w:autoSpaceDE/>
        <w:autoSpaceDN/>
        <w:bidi w:val="0"/>
        <w:adjustRightInd/>
        <w:spacing w:line="560" w:lineRule="exact"/>
        <w:textAlignment w:val="auto"/>
        <w:rPr>
          <w:rFonts w:hint="eastAsia"/>
          <w:color w:val="000000" w:themeColor="text1"/>
          <w:sz w:val="28"/>
          <w:szCs w:val="28"/>
          <w:lang w:eastAsia="zh-CN"/>
          <w14:textFill>
            <w14:solidFill>
              <w14:schemeClr w14:val="tx1"/>
            </w14:solidFill>
          </w14:textFill>
        </w:rPr>
      </w:pPr>
    </w:p>
    <w:p>
      <w:pPr>
        <w:pageBreakBefore w:val="0"/>
        <w:widowControl w:val="0"/>
        <w:kinsoku/>
        <w:wordWrap/>
        <w:overflowPunct/>
        <w:topLinePunct w:val="0"/>
        <w:autoSpaceDE/>
        <w:autoSpaceDN/>
        <w:bidi w:val="0"/>
        <w:adjustRightInd/>
        <w:spacing w:line="560" w:lineRule="exact"/>
        <w:textAlignment w:val="auto"/>
        <w:rPr>
          <w:rFonts w:hint="eastAsia"/>
          <w:color w:val="000000" w:themeColor="text1"/>
          <w:sz w:val="28"/>
          <w:szCs w:val="28"/>
          <w:lang w:eastAsia="zh-CN"/>
          <w14:textFill>
            <w14:solidFill>
              <w14:schemeClr w14:val="tx1"/>
            </w14:solidFill>
          </w14:textFill>
        </w:rPr>
      </w:pPr>
    </w:p>
    <w:p>
      <w:pPr>
        <w:pageBreakBefore w:val="0"/>
        <w:widowControl w:val="0"/>
        <w:kinsoku/>
        <w:wordWrap/>
        <w:overflowPunct/>
        <w:topLinePunct w:val="0"/>
        <w:autoSpaceDE/>
        <w:autoSpaceDN/>
        <w:bidi w:val="0"/>
        <w:adjustRightInd/>
        <w:spacing w:line="560" w:lineRule="exact"/>
        <w:textAlignment w:val="auto"/>
        <w:rPr>
          <w:rFonts w:hint="eastAsia"/>
          <w:color w:val="000000" w:themeColor="text1"/>
          <w:sz w:val="28"/>
          <w:szCs w:val="28"/>
          <w:lang w:eastAsia="zh-CN"/>
          <w14:textFill>
            <w14:solidFill>
              <w14:schemeClr w14:val="tx1"/>
            </w14:solidFill>
          </w14:textFill>
        </w:rPr>
      </w:pPr>
    </w:p>
    <w:p>
      <w:pPr>
        <w:pageBreakBefore w:val="0"/>
        <w:widowControl w:val="0"/>
        <w:kinsoku/>
        <w:wordWrap/>
        <w:overflowPunct/>
        <w:topLinePunct w:val="0"/>
        <w:autoSpaceDE/>
        <w:autoSpaceDN/>
        <w:bidi w:val="0"/>
        <w:adjustRightInd/>
        <w:spacing w:line="560" w:lineRule="exact"/>
        <w:textAlignment w:val="auto"/>
        <w:rPr>
          <w:rFonts w:hint="eastAsia"/>
          <w:color w:val="000000" w:themeColor="text1"/>
          <w:sz w:val="28"/>
          <w:szCs w:val="28"/>
          <w:lang w:eastAsia="zh-CN"/>
          <w14:textFill>
            <w14:solidFill>
              <w14:schemeClr w14:val="tx1"/>
            </w14:solidFill>
          </w14:textFill>
        </w:rPr>
      </w:pPr>
    </w:p>
    <w:p>
      <w:pPr>
        <w:pageBreakBefore w:val="0"/>
        <w:widowControl w:val="0"/>
        <w:kinsoku/>
        <w:wordWrap/>
        <w:overflowPunct/>
        <w:topLinePunct w:val="0"/>
        <w:autoSpaceDE/>
        <w:autoSpaceDN/>
        <w:bidi w:val="0"/>
        <w:adjustRightInd/>
        <w:spacing w:line="560" w:lineRule="exact"/>
        <w:textAlignment w:val="auto"/>
        <w:rPr>
          <w:rFonts w:hint="eastAsia"/>
          <w:color w:val="000000" w:themeColor="text1"/>
          <w:sz w:val="28"/>
          <w:szCs w:val="28"/>
          <w:lang w:eastAsia="zh-CN"/>
          <w14:textFill>
            <w14:solidFill>
              <w14:schemeClr w14:val="tx1"/>
            </w14:solidFill>
          </w14:textFill>
        </w:rPr>
      </w:pPr>
    </w:p>
    <w:p>
      <w:pPr>
        <w:spacing w:line="540" w:lineRule="exact"/>
        <w:jc w:val="center"/>
        <w:outlineLvl w:val="1"/>
        <w:rPr>
          <w:rFonts w:hint="eastAsia" w:ascii="宋体" w:hAnsi="宋体" w:eastAsia="方正小标宋_GBK" w:cs="方正小标宋_GBK"/>
          <w:sz w:val="40"/>
          <w:szCs w:val="40"/>
          <w:lang w:val="en-US" w:eastAsia="zh-CN"/>
        </w:rPr>
      </w:pPr>
    </w:p>
    <w:p>
      <w:pPr>
        <w:spacing w:line="540" w:lineRule="exact"/>
        <w:jc w:val="center"/>
        <w:outlineLvl w:val="1"/>
        <w:rPr>
          <w:rFonts w:hint="eastAsia" w:ascii="宋体" w:hAnsi="宋体" w:eastAsia="方正小标宋_GBK" w:cs="方正小标宋_GBK"/>
          <w:sz w:val="40"/>
          <w:szCs w:val="40"/>
          <w:lang w:val="en-US" w:eastAsia="zh-CN"/>
        </w:rPr>
      </w:pPr>
    </w:p>
    <w:p>
      <w:pPr>
        <w:spacing w:line="540" w:lineRule="exact"/>
        <w:jc w:val="center"/>
        <w:outlineLvl w:val="1"/>
        <w:rPr>
          <w:rFonts w:hint="eastAsia" w:ascii="宋体" w:hAnsi="宋体" w:eastAsia="方正小标宋_GBK" w:cs="方正小标宋_GBK"/>
          <w:sz w:val="40"/>
          <w:szCs w:val="40"/>
          <w:lang w:val="en-US" w:eastAsia="zh-CN"/>
        </w:rPr>
      </w:pPr>
    </w:p>
    <w:p>
      <w:pPr>
        <w:spacing w:line="540" w:lineRule="exact"/>
        <w:jc w:val="center"/>
        <w:outlineLvl w:val="1"/>
        <w:rPr>
          <w:rFonts w:hint="default" w:ascii="宋体" w:hAnsi="宋体" w:eastAsia="方正小标宋_GBK" w:cs="方正小标宋_GBK"/>
          <w:sz w:val="40"/>
          <w:szCs w:val="40"/>
          <w:lang w:val="en-US" w:eastAsia="zh-CN"/>
        </w:rPr>
      </w:pPr>
      <w:r>
        <w:rPr>
          <w:rFonts w:hint="eastAsia" w:ascii="宋体" w:hAnsi="宋体" w:eastAsia="方正小标宋_GBK" w:cs="方正小标宋_GBK"/>
          <w:sz w:val="40"/>
          <w:szCs w:val="40"/>
          <w:lang w:val="en-US" w:eastAsia="zh-CN"/>
        </w:rPr>
        <w:t>中医医疗机构执业登记</w:t>
      </w:r>
    </w:p>
    <w:p>
      <w:pPr>
        <w:spacing w:line="540" w:lineRule="exact"/>
        <w:jc w:val="center"/>
        <w:outlineLvl w:val="1"/>
        <w:rPr>
          <w:rFonts w:hint="eastAsia" w:ascii="宋体" w:hAnsi="宋体" w:eastAsia="方正小标宋_GBK" w:cs="方正小标宋_GBK"/>
          <w:sz w:val="40"/>
          <w:szCs w:val="40"/>
          <w:lang w:val="en-US" w:eastAsia="zh-CN"/>
        </w:rPr>
      </w:pPr>
      <w:r>
        <w:rPr>
          <w:rFonts w:hint="eastAsia" w:ascii="宋体" w:hAnsi="宋体" w:eastAsia="方正小标宋_GBK" w:cs="方正小标宋_GBK"/>
          <w:sz w:val="40"/>
          <w:szCs w:val="40"/>
          <w:lang w:val="en-US" w:eastAsia="zh-CN"/>
        </w:rPr>
        <w:t>【530123017W00】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b w:val="0"/>
          <w:bCs w:val="0"/>
          <w:strike w:val="0"/>
          <w:dstrike w:val="0"/>
          <w:color w:val="000000" w:themeColor="text1"/>
          <w:sz w:val="28"/>
          <w:szCs w:val="28"/>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ascii="Times New Roman" w:hAnsi="Times New Roman" w:eastAsia="黑体"/>
          <w:b w:val="0"/>
          <w:bCs w:val="0"/>
          <w:strike w:val="0"/>
          <w:dstrike w:val="0"/>
          <w:color w:val="000000" w:themeColor="text1"/>
          <w:sz w:val="28"/>
          <w:szCs w:val="28"/>
          <w14:textFill>
            <w14:solidFill>
              <w14:schemeClr w14:val="tx1"/>
            </w14:solidFill>
          </w14:textFill>
        </w:rPr>
      </w:pPr>
      <w:r>
        <w:rPr>
          <w:rFonts w:hint="eastAsia" w:ascii="Times New Roman" w:hAnsi="Times New Roman" w:eastAsia="黑体"/>
          <w:b w:val="0"/>
          <w:bCs w:val="0"/>
          <w:strike w:val="0"/>
          <w:dstrike w:val="0"/>
          <w:color w:val="000000" w:themeColor="text1"/>
          <w:sz w:val="28"/>
          <w:szCs w:val="28"/>
          <w:lang w:val="en-US" w:eastAsia="zh-CN"/>
          <w14:textFill>
            <w14:solidFill>
              <w14:schemeClr w14:val="tx1"/>
            </w14:solidFill>
          </w14:textFill>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1.</w:t>
      </w:r>
      <w:r>
        <w:rPr>
          <w:rFonts w:hint="default" w:ascii="Times New Roman" w:hAnsi="Times New Roman" w:eastAsia="仿宋GB2312" w:cs="Times New Roman"/>
          <w:b/>
          <w:bCs/>
          <w:strike w:val="0"/>
          <w:dstrike w:val="0"/>
          <w:color w:val="000000" w:themeColor="text1"/>
          <w:sz w:val="28"/>
          <w:szCs w:val="28"/>
          <w:lang w:val="en-US"/>
          <w14:textFill>
            <w14:solidFill>
              <w14:schemeClr w14:val="tx1"/>
            </w14:solidFill>
          </w14:textFill>
        </w:rPr>
        <w:t>行政许可事项名称</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及编码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中医医疗机构执业登记【530123017W00】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2.</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行政许可</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事项子项名称及编码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3.行政许可事项业务办理项名称及编码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（1）中医医疗机构执业登记（新办）【530123017W0001】</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（2）中医医疗机构执业登记（校验）【530123017W0002】</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（3）中医医疗机构执业登记（注销）【530123017W0003】</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（4 ）中医医疗机构执业登记（变更）【530123017W0004】</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4.设定依据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（1）《医疗机构管理条例》第十五条、第十七条、第二十条、第二十一条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（2）</w:t>
      </w:r>
      <w:r>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t>《国家卫生健康委员会 国家中医药管理局关于印发互联网诊疗管理办法（试行）等3个文件的通知》（国卫医发〔2018〕25号）《互联网医院管理办法（试行）》第九条</w:t>
      </w: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w:t>
      </w:r>
      <w:r>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t>第十条</w:t>
      </w: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w:t>
      </w:r>
      <w:r>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t>第十一条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（3）《云南省医疗机构管理条例》第十四条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（4）《云南省医疗机构审批管理暂行办法》第十九条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5.实施依据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（1）《医疗机构管理条例》第十七条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（2）</w:t>
      </w:r>
      <w:r>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t>《国家卫生健康委员会 国家中医药管理局关于印发互联网诊疗管理办法（试行）等3个文件的通知》（国卫医发〔2018〕25号）《互联网医院管理办法（试行）》第九条</w:t>
      </w: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w:t>
      </w:r>
      <w:r>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t>第十条</w:t>
      </w: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w:t>
      </w:r>
      <w:r>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t>第十一条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（3）《云南省医疗机构管理条例》第十四条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（4）《云南省医疗机构审批管理暂行办法》第十九条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6.监管依据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（1）《医疗机构管理条例》第三十九条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（2）</w:t>
      </w:r>
      <w:r>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t>《云南省医疗机构审批管理暂行办法》</w:t>
      </w: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第四十条、第四十一条、第四十二条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（3）《云南省医疗机构管理条例》第四条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（4）《中华人民共和国基本医疗卫生与健康促进法》第九十九条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7.</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实施机关</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石林彝族自治县卫生健康局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8.</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审批层级</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9.行使</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层级</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县级</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10.</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是否由审批机关受理</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是</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11.</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受理层级</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县级</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12.</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是否存在初审环节</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13.</w:t>
      </w:r>
      <w:r>
        <w:rPr>
          <w:rFonts w:hint="default"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初审层级</w:t>
      </w:r>
      <w:r>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14.</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对应政务服务事项国家级基本目录名称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医疗机构执业许可</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15.要素统一情况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全部要素全省统一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二、行政许可事项类型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1.准予行政许可的条件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（1）有设置医疗机构批准书（仅三级医院、三级妇幼保健院、急救中心、急救站、临床检验中心、中外合资合作医疗机构、港澳台独资医疗机构）；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default"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（2）</w:t>
      </w:r>
      <w:r>
        <w:rPr>
          <w:rFonts w:hint="default"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符合医疗机构的基本标准；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default"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（3）</w:t>
      </w:r>
      <w:r>
        <w:rPr>
          <w:rFonts w:hint="default"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有适合的名称、组织机构和场所；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（4）</w:t>
      </w:r>
      <w:r>
        <w:rPr>
          <w:rFonts w:hint="default"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有与其开展的业务相适应的经费、设施、设备和专业卫生技术人员</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default"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（5）</w:t>
      </w:r>
      <w:r>
        <w:rPr>
          <w:rFonts w:hint="default"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有相应的规章制度；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（6）</w:t>
      </w:r>
      <w:r>
        <w:rPr>
          <w:rFonts w:hint="default"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能够独立承担民事责任。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2.</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规定行政许可条件的依据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default"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《医疗机构管理条例》第十五条、第十六条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000000" w:themeColor="text1"/>
          <w:sz w:val="28"/>
          <w:szCs w:val="28"/>
          <w:highlight w:val="none"/>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highlight w:val="none"/>
          <w:lang w:val="en-US" w:eastAsia="zh-CN"/>
          <w14:textFill>
            <w14:solidFill>
              <w14:schemeClr w14:val="tx1"/>
            </w14:solidFill>
          </w14:textFill>
        </w:rPr>
        <w:t>四、</w:t>
      </w:r>
      <w:r>
        <w:rPr>
          <w:rFonts w:hint="default" w:ascii="Times New Roman" w:hAnsi="Times New Roman" w:eastAsia="黑体" w:cs="Times New Roman"/>
          <w:b w:val="0"/>
          <w:bCs w:val="0"/>
          <w:strike w:val="0"/>
          <w:dstrike w:val="0"/>
          <w:color w:val="000000" w:themeColor="text1"/>
          <w:sz w:val="28"/>
          <w:szCs w:val="28"/>
          <w:highlight w:val="none"/>
          <w:lang w:val="en-US" w:eastAsia="zh-CN"/>
          <w14:textFill>
            <w14:solidFill>
              <w14:schemeClr w14:val="tx1"/>
            </w14:solidFill>
          </w14:textFill>
        </w:rPr>
        <w:t>行政许可服务对象类型</w:t>
      </w:r>
      <w:r>
        <w:rPr>
          <w:rFonts w:hint="eastAsia" w:ascii="Times New Roman" w:hAnsi="Times New Roman" w:eastAsia="黑体" w:cs="Times New Roman"/>
          <w:b w:val="0"/>
          <w:bCs w:val="0"/>
          <w:strike w:val="0"/>
          <w:dstrike w:val="0"/>
          <w:color w:val="000000" w:themeColor="text1"/>
          <w:sz w:val="28"/>
          <w:szCs w:val="28"/>
          <w:highlight w:val="none"/>
          <w:lang w:val="en-US" w:eastAsia="zh-CN"/>
          <w14:textFill>
            <w14:solidFill>
              <w14:schemeClr w14:val="tx1"/>
            </w14:solidFill>
          </w14:textFill>
        </w:rPr>
        <w:t>与改革举措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1.服务对象类型：</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自然人、企业法人，事业单位法人，社会组织法人，非法人企业，行政机关，其他组织</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2.是否为涉企许可事项：</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default"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3.涉企经营许可事项名称：</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医疗机构执业许可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default"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4.许可证件名称：</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医疗机构执业许可证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default"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5.改革方式：</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6.具体改革举措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（1）二级及以下医疗机构设置审批与执业登记‘两证合一’（取消二级以下医疗机构设置审批。）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（2）</w:t>
      </w:r>
      <w:r>
        <w:rPr>
          <w:rFonts w:ascii="宋体" w:hAnsi="宋体" w:eastAsia="方正仿宋_GBK" w:cs="方正仿宋_GBK"/>
          <w:color w:val="000000" w:themeColor="text1"/>
          <w:sz w:val="28"/>
          <w:szCs w:val="28"/>
          <w14:textFill>
            <w14:solidFill>
              <w14:schemeClr w14:val="tx1"/>
            </w14:solidFill>
          </w14:textFill>
        </w:rPr>
        <w:t>取消对诊所执业的许可准入管理，改为</w:t>
      </w:r>
      <w:r>
        <w:rPr>
          <w:rFonts w:hint="eastAsia" w:ascii="宋体" w:hAnsi="宋体" w:eastAsia="方正仿宋_GBK" w:cs="方正仿宋_GBK"/>
          <w:color w:val="000000" w:themeColor="text1"/>
          <w:sz w:val="28"/>
          <w:szCs w:val="28"/>
          <w:lang w:val="en-US" w:eastAsia="zh-CN"/>
          <w14:textFill>
            <w14:solidFill>
              <w14:schemeClr w14:val="tx1"/>
            </w14:solidFill>
          </w14:textFill>
        </w:rPr>
        <w:t>实行备案管理。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（3）已逐步推行网上办理，申请人可选择网上提交申请材料。</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7.加强事中事后监管措施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color w:val="000000" w:themeColor="text1"/>
          <w:sz w:val="28"/>
          <w:szCs w:val="28"/>
          <w14:textFill>
            <w14:solidFill>
              <w14:schemeClr w14:val="tx1"/>
            </w14:solidFill>
          </w14:textFill>
        </w:rPr>
      </w:pPr>
      <w:r>
        <w:rPr>
          <w:rFonts w:ascii="宋体" w:hAnsi="宋体" w:eastAsia="方正仿宋_GBK" w:cs="方正仿宋_GBK"/>
          <w:color w:val="000000" w:themeColor="text1"/>
          <w:sz w:val="28"/>
          <w:szCs w:val="28"/>
          <w14:textFill>
            <w14:solidFill>
              <w14:schemeClr w14:val="tx1"/>
            </w14:solidFill>
          </w14:textFill>
        </w:rPr>
        <w:t>（1）开展“双随机、一公开”监管，动态更新被许可人、检查人员和专家名录库；对风险等级高、投诉举报多的</w:t>
      </w:r>
      <w:r>
        <w:rPr>
          <w:rFonts w:hint="eastAsia" w:ascii="宋体" w:hAnsi="宋体" w:eastAsia="方正仿宋_GBK" w:cs="方正仿宋_GBK"/>
          <w:color w:val="000000" w:themeColor="text1"/>
          <w:sz w:val="28"/>
          <w:szCs w:val="28"/>
          <w:lang w:val="en-US" w:eastAsia="zh-CN"/>
          <w14:textFill>
            <w14:solidFill>
              <w14:schemeClr w14:val="tx1"/>
            </w14:solidFill>
          </w14:textFill>
        </w:rPr>
        <w:t>场所</w:t>
      </w:r>
      <w:r>
        <w:rPr>
          <w:rFonts w:ascii="宋体" w:hAnsi="宋体" w:eastAsia="方正仿宋_GBK" w:cs="方正仿宋_GBK"/>
          <w:color w:val="000000" w:themeColor="text1"/>
          <w:sz w:val="28"/>
          <w:szCs w:val="28"/>
          <w14:textFill>
            <w14:solidFill>
              <w14:schemeClr w14:val="tx1"/>
            </w14:solidFill>
          </w14:textFill>
        </w:rPr>
        <w:t>实施重点监管。检查结束后及时将结果反馈被许可人并向社会公开检查结果。对存在问题的，要求及时整改并依法处理。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color w:val="000000" w:themeColor="text1"/>
          <w:sz w:val="28"/>
          <w:szCs w:val="28"/>
          <w14:textFill>
            <w14:solidFill>
              <w14:schemeClr w14:val="tx1"/>
            </w14:solidFill>
          </w14:textFill>
        </w:rPr>
      </w:pPr>
      <w:r>
        <w:rPr>
          <w:rFonts w:ascii="宋体" w:hAnsi="宋体" w:eastAsia="方正仿宋_GBK" w:cs="方正仿宋_GBK"/>
          <w:color w:val="000000" w:themeColor="text1"/>
          <w:sz w:val="28"/>
          <w:szCs w:val="28"/>
          <w14:textFill>
            <w14:solidFill>
              <w14:schemeClr w14:val="tx1"/>
            </w14:solidFill>
          </w14:textFill>
        </w:rPr>
        <w:t>（2）加强信用监管，建立企业信用记录并依法向社会公开，依法依规对失信主体开展失信惩戒。</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color w:val="000000" w:themeColor="text1"/>
          <w:sz w:val="28"/>
          <w:szCs w:val="28"/>
          <w14:textFill>
            <w14:solidFill>
              <w14:schemeClr w14:val="tx1"/>
            </w14:solidFill>
          </w14:textFill>
        </w:rPr>
      </w:pPr>
      <w:r>
        <w:rPr>
          <w:rFonts w:ascii="宋体" w:hAnsi="宋体" w:eastAsia="方正仿宋_GBK" w:cs="方正仿宋_GBK"/>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3</w:t>
      </w:r>
      <w:r>
        <w:rPr>
          <w:rFonts w:ascii="宋体" w:hAnsi="宋体" w:eastAsia="方正仿宋_GBK" w:cs="方正仿宋_GBK"/>
          <w:color w:val="000000" w:themeColor="text1"/>
          <w:sz w:val="28"/>
          <w:szCs w:val="28"/>
          <w14:textFill>
            <w14:solidFill>
              <w14:schemeClr w14:val="tx1"/>
            </w14:solidFill>
          </w14:textFill>
        </w:rPr>
        <w:t>）向社会公布该审批事项的办理条件、办理流程、办理时限等具体内容，接受社会公众的监督。</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color w:val="000000" w:themeColor="text1"/>
          <w:sz w:val="28"/>
          <w:szCs w:val="28"/>
          <w14:textFill>
            <w14:solidFill>
              <w14:schemeClr w14:val="tx1"/>
            </w14:solidFill>
          </w14:textFill>
        </w:rPr>
      </w:pPr>
      <w:r>
        <w:rPr>
          <w:rFonts w:ascii="宋体" w:hAnsi="宋体" w:eastAsia="方正仿宋_GBK" w:cs="方正仿宋_GBK"/>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4</w:t>
      </w:r>
      <w:r>
        <w:rPr>
          <w:rFonts w:ascii="宋体" w:hAnsi="宋体" w:eastAsia="方正仿宋_GBK" w:cs="方正仿宋_GBK"/>
          <w:color w:val="000000" w:themeColor="text1"/>
          <w:sz w:val="28"/>
          <w:szCs w:val="28"/>
          <w14:textFill>
            <w14:solidFill>
              <w14:schemeClr w14:val="tx1"/>
            </w14:solidFill>
          </w14:textFill>
        </w:rPr>
        <w:t>）组织开展宣传和培训，提高依法从业意识。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ascii="宋体" w:hAnsi="宋体" w:eastAsia="方正仿宋_GBK" w:cs="方正仿宋_GBK"/>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5</w:t>
      </w:r>
      <w:r>
        <w:rPr>
          <w:rFonts w:ascii="宋体" w:hAnsi="宋体" w:eastAsia="方正仿宋_GBK" w:cs="方正仿宋_GBK"/>
          <w:color w:val="000000" w:themeColor="text1"/>
          <w:sz w:val="28"/>
          <w:szCs w:val="28"/>
          <w14:textFill>
            <w14:solidFill>
              <w14:schemeClr w14:val="tx1"/>
            </w14:solidFill>
          </w14:textFill>
        </w:rPr>
        <w:t>）强化社会监督，公布举报电话，依法及时处理投诉举报。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五、申请材料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1</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医疗机构申请执业登记注册书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2</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设置医疗机构批准书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3</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规章制度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4</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工商营业执照或民办非企业单位登记证书或事业单位法人证书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5</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与开展业务相适应的专业卫生技术人员一览表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6</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新建、改建或者扩建的建筑设施竣工验收报告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7</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卫生技术人员资格证书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8</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卫生技术人员执业证书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9</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卫生技术人员聘用合同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10</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医疗机构执业登记申请书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11</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选址报告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12</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租房协议、房产证（无房产证的提供建筑规划许可证、土地证）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13</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内部布局图</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14</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法人承诺书（承诺无《医疗机构管理条例实施细则》第十二条情形）</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15</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法人（主要负责人）身份证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16</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法人（主要负责人）资格证书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17</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法人（主要负责人）学历证明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18</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法人（主要负责人）职称证书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b/>
          <w:bCs/>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2.</w:t>
      </w:r>
      <w:r>
        <w:rPr>
          <w:rFonts w:ascii="宋体" w:hAnsi="宋体" w:eastAsia="仿宋GB2312"/>
          <w:b/>
          <w:bCs/>
          <w:color w:val="000000" w:themeColor="text1"/>
          <w:sz w:val="28"/>
          <w:szCs w:val="28"/>
          <w14:textFill>
            <w14:solidFill>
              <w14:schemeClr w14:val="tx1"/>
            </w14:solidFill>
          </w14:textFill>
        </w:rPr>
        <w:t>规定申请材料的依据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（1）《医疗机构管理条例实施细则》第二十五条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（2）《云南省医疗机构管理条例》</w:t>
      </w:r>
      <w:r>
        <w:rPr>
          <w:rFonts w:hint="default" w:ascii="宋体" w:hAnsi="宋体" w:eastAsia="方正仿宋_GBK" w:cs="方正仿宋_GBK"/>
          <w:color w:val="000000" w:themeColor="text1"/>
          <w:sz w:val="28"/>
          <w:szCs w:val="28"/>
          <w:lang w:val="en-US" w:eastAsia="zh-CN"/>
          <w14:textFill>
            <w14:solidFill>
              <w14:schemeClr w14:val="tx1"/>
            </w14:solidFill>
          </w14:textFill>
        </w:rPr>
        <w:t>第十</w:t>
      </w:r>
      <w:r>
        <w:rPr>
          <w:rFonts w:hint="eastAsia" w:ascii="宋体" w:hAnsi="宋体" w:eastAsia="方正仿宋_GBK" w:cs="方正仿宋_GBK"/>
          <w:color w:val="000000" w:themeColor="text1"/>
          <w:sz w:val="28"/>
          <w:szCs w:val="28"/>
          <w:lang w:val="en-US" w:eastAsia="zh-CN"/>
          <w14:textFill>
            <w14:solidFill>
              <w14:schemeClr w14:val="tx1"/>
            </w14:solidFill>
          </w14:textFill>
        </w:rPr>
        <w:t>四</w:t>
      </w:r>
      <w:r>
        <w:rPr>
          <w:rFonts w:hint="default" w:ascii="宋体" w:hAnsi="宋体" w:eastAsia="方正仿宋_GBK" w:cs="方正仿宋_GBK"/>
          <w:color w:val="000000" w:themeColor="text1"/>
          <w:sz w:val="28"/>
          <w:szCs w:val="28"/>
          <w:lang w:val="en-US" w:eastAsia="zh-CN"/>
          <w14:textFill>
            <w14:solidFill>
              <w14:schemeClr w14:val="tx1"/>
            </w14:solidFill>
          </w14:textFill>
        </w:rPr>
        <w:t>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（3）《</w:t>
      </w:r>
      <w:r>
        <w:rPr>
          <w:rFonts w:hint="default" w:ascii="宋体" w:hAnsi="宋体" w:eastAsia="方正仿宋_GBK" w:cs="方正仿宋_GBK"/>
          <w:color w:val="000000" w:themeColor="text1"/>
          <w:sz w:val="28"/>
          <w:szCs w:val="28"/>
          <w:lang w:val="en-US" w:eastAsia="zh-CN"/>
          <w14:textFill>
            <w14:solidFill>
              <w14:schemeClr w14:val="tx1"/>
            </w14:solidFill>
          </w14:textFill>
        </w:rPr>
        <w:t>云南省医疗机构审批管理暂行办法</w:t>
      </w:r>
      <w:r>
        <w:rPr>
          <w:rFonts w:hint="eastAsia" w:ascii="宋体" w:hAnsi="宋体" w:eastAsia="方正仿宋_GBK" w:cs="方正仿宋_GBK"/>
          <w:color w:val="000000" w:themeColor="text1"/>
          <w:sz w:val="28"/>
          <w:szCs w:val="28"/>
          <w:lang w:val="en-US" w:eastAsia="zh-CN"/>
          <w14:textFill>
            <w14:solidFill>
              <w14:schemeClr w14:val="tx1"/>
            </w14:solidFill>
          </w14:textFill>
        </w:rPr>
        <w:t>》第二十五条、第二十七条、第二十八条、第二十九条、第三十条、第三十一条、第三十二条、第三十三条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六、中介服务</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1.有无法定中介服务事项：</w:t>
      </w:r>
      <w:r>
        <w:rPr>
          <w:rFonts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2.</w:t>
      </w:r>
      <w:r>
        <w:rPr>
          <w:rFonts w:ascii="宋体" w:hAnsi="宋体" w:eastAsia="仿宋GB2312"/>
          <w:b/>
          <w:bCs/>
          <w:color w:val="000000" w:themeColor="text1"/>
          <w:sz w:val="28"/>
          <w:szCs w:val="28"/>
          <w14:textFill>
            <w14:solidFill>
              <w14:schemeClr w14:val="tx1"/>
            </w14:solidFill>
          </w14:textFill>
        </w:rPr>
        <w:t>中介服务事项名称</w:t>
      </w:r>
      <w:r>
        <w:rPr>
          <w:rFonts w:hint="eastAsia" w:ascii="宋体" w:hAnsi="宋体" w:eastAsia="仿宋GB2312"/>
          <w:b/>
          <w:bCs/>
          <w:color w:val="000000" w:themeColor="text1"/>
          <w:sz w:val="28"/>
          <w:szCs w:val="28"/>
          <w14:textFill>
            <w14:solidFill>
              <w14:schemeClr w14:val="tx1"/>
            </w14:solidFill>
          </w14:textFill>
        </w:rPr>
        <w:t>：</w:t>
      </w:r>
      <w:r>
        <w:rPr>
          <w:rFonts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3.</w:t>
      </w:r>
      <w:r>
        <w:rPr>
          <w:rFonts w:ascii="宋体" w:hAnsi="宋体" w:eastAsia="仿宋GB2312"/>
          <w:b/>
          <w:bCs/>
          <w:color w:val="000000" w:themeColor="text1"/>
          <w:sz w:val="28"/>
          <w:szCs w:val="28"/>
          <w14:textFill>
            <w14:solidFill>
              <w14:schemeClr w14:val="tx1"/>
            </w14:solidFill>
          </w14:textFill>
        </w:rPr>
        <w:t>设定中介服务事项的依据：</w:t>
      </w:r>
      <w:r>
        <w:rPr>
          <w:rFonts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4.</w:t>
      </w:r>
      <w:r>
        <w:rPr>
          <w:rFonts w:ascii="宋体" w:hAnsi="宋体" w:eastAsia="仿宋GB2312"/>
          <w:b/>
          <w:bCs/>
          <w:color w:val="000000" w:themeColor="text1"/>
          <w:sz w:val="28"/>
          <w:szCs w:val="28"/>
          <w14:textFill>
            <w14:solidFill>
              <w14:schemeClr w14:val="tx1"/>
            </w14:solidFill>
          </w14:textFill>
        </w:rPr>
        <w:t>提供中介服务的机构</w:t>
      </w:r>
      <w:r>
        <w:rPr>
          <w:rFonts w:hint="eastAsia" w:ascii="宋体" w:hAnsi="宋体" w:eastAsia="仿宋GB2312"/>
          <w:b/>
          <w:bCs/>
          <w:color w:val="000000" w:themeColor="text1"/>
          <w:sz w:val="28"/>
          <w:szCs w:val="28"/>
          <w14:textFill>
            <w14:solidFill>
              <w14:schemeClr w14:val="tx1"/>
            </w14:solidFill>
          </w14:textFill>
        </w:rPr>
        <w:t>：</w:t>
      </w:r>
      <w:r>
        <w:rPr>
          <w:rFonts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5.</w:t>
      </w:r>
      <w:r>
        <w:rPr>
          <w:rFonts w:ascii="宋体" w:hAnsi="宋体" w:eastAsia="仿宋GB2312"/>
          <w:b/>
          <w:bCs/>
          <w:color w:val="000000" w:themeColor="text1"/>
          <w:sz w:val="28"/>
          <w:szCs w:val="28"/>
          <w14:textFill>
            <w14:solidFill>
              <w14:schemeClr w14:val="tx1"/>
            </w14:solidFill>
          </w14:textFill>
        </w:rPr>
        <w:t>中介服务事项的收费性质</w:t>
      </w:r>
      <w:r>
        <w:rPr>
          <w:rFonts w:hint="eastAsia" w:ascii="宋体" w:hAnsi="宋体" w:eastAsia="仿宋GB2312"/>
          <w:b/>
          <w:bCs/>
          <w:color w:val="000000" w:themeColor="text1"/>
          <w:sz w:val="28"/>
          <w:szCs w:val="28"/>
          <w14:textFill>
            <w14:solidFill>
              <w14:schemeClr w14:val="tx1"/>
            </w14:solidFill>
          </w14:textFill>
        </w:rPr>
        <w:t>：</w:t>
      </w:r>
      <w:r>
        <w:rPr>
          <w:rFonts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七、审批程序</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b/>
          <w:bCs/>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1.办理行政许可的程序环节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（1）</w:t>
      </w:r>
      <w:r>
        <w:rPr>
          <w:rFonts w:hint="default" w:ascii="宋体" w:hAnsi="宋体" w:eastAsia="方正仿宋_GBK" w:cs="方正仿宋_GBK"/>
          <w:color w:val="000000" w:themeColor="text1"/>
          <w:sz w:val="28"/>
          <w:szCs w:val="28"/>
          <w:lang w:val="en-US" w:eastAsia="zh-CN"/>
          <w14:textFill>
            <w14:solidFill>
              <w14:schemeClr w14:val="tx1"/>
            </w14:solidFill>
          </w14:textFill>
        </w:rPr>
        <w:t>申请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（2）</w:t>
      </w:r>
      <w:r>
        <w:rPr>
          <w:rFonts w:ascii="宋体" w:hAnsi="宋体" w:eastAsia="方正仿宋_GBK" w:cs="方正仿宋_GBK"/>
          <w:color w:val="000000" w:themeColor="text1"/>
          <w:sz w:val="28"/>
          <w:szCs w:val="28"/>
          <w14:textFill>
            <w14:solidFill>
              <w14:schemeClr w14:val="tx1"/>
            </w14:solidFill>
          </w14:textFill>
        </w:rPr>
        <w:t>受理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Helvetica" w:hAnsi="Helvetica" w:eastAsia="方正仿宋_GBK" w:cs="Helvetica"/>
          <w:b w:val="0"/>
          <w:i w:val="0"/>
          <w:caps w:val="0"/>
          <w:color w:val="000000" w:themeColor="text1"/>
          <w:spacing w:val="0"/>
          <w:sz w:val="28"/>
          <w:szCs w:val="28"/>
          <w:shd w:val="clear" w:fill="FFFFFF"/>
          <w:lang w:eastAsia="zh-CN"/>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（3）</w:t>
      </w:r>
      <w:r>
        <w:rPr>
          <w:rFonts w:ascii="宋体" w:hAnsi="宋体" w:eastAsia="方正仿宋_GBK" w:cs="方正仿宋_GBK"/>
          <w:color w:val="000000" w:themeColor="text1"/>
          <w:sz w:val="28"/>
          <w:szCs w:val="28"/>
          <w14:textFill>
            <w14:solidFill>
              <w14:schemeClr w14:val="tx1"/>
            </w14:solidFill>
          </w14:textFill>
        </w:rPr>
        <w:t>审查（对申请材料进行审查</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ascii="宋体" w:hAnsi="宋体" w:eastAsia="方正仿宋_GBK" w:cs="方正仿宋_GBK"/>
          <w:color w:val="000000" w:themeColor="text1"/>
          <w:sz w:val="28"/>
          <w:szCs w:val="28"/>
          <w14:textFill>
            <w14:solidFill>
              <w14:schemeClr w14:val="tx1"/>
            </w14:solidFill>
          </w14:textFill>
        </w:rPr>
        <w:t>视情形需要，组织进行现场审核和专家评审</w:t>
      </w:r>
      <w:r>
        <w:rPr>
          <w:rFonts w:hint="eastAsia" w:ascii="宋体" w:hAnsi="宋体" w:eastAsia="方正仿宋_GBK" w:cs="方正仿宋_GBK"/>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（4）</w:t>
      </w:r>
      <w:r>
        <w:rPr>
          <w:rFonts w:ascii="宋体" w:hAnsi="宋体" w:eastAsia="方正仿宋_GBK" w:cs="方正仿宋_GBK"/>
          <w:color w:val="000000" w:themeColor="text1"/>
          <w:sz w:val="28"/>
          <w:szCs w:val="28"/>
          <w14:textFill>
            <w14:solidFill>
              <w14:schemeClr w14:val="tx1"/>
            </w14:solidFill>
          </w14:textFill>
        </w:rPr>
        <w:t>决定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（5）</w:t>
      </w:r>
      <w:r>
        <w:rPr>
          <w:rFonts w:ascii="宋体" w:hAnsi="宋体" w:eastAsia="方正仿宋_GBK" w:cs="方正仿宋_GBK"/>
          <w:color w:val="000000" w:themeColor="text1"/>
          <w:sz w:val="28"/>
          <w:szCs w:val="28"/>
          <w14:textFill>
            <w14:solidFill>
              <w14:schemeClr w14:val="tx1"/>
            </w14:solidFill>
          </w14:textFill>
        </w:rPr>
        <w:t>送达</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b/>
          <w:bCs/>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2.规定行政许可程序的依据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1</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中华人民共和国行政许可法</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第一节、第二节</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仿宋GB2312"/>
          <w:b/>
          <w:bCs/>
          <w:color w:val="000000" w:themeColor="text1"/>
          <w:sz w:val="28"/>
          <w:szCs w:val="28"/>
          <w:lang w:val="en-US" w:eastAsia="zh-CN"/>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2</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《医疗机构管理条例》第二十六条</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lang w:eastAsia="zh-CN"/>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3.</w:t>
      </w:r>
      <w:r>
        <w:rPr>
          <w:rFonts w:ascii="宋体" w:hAnsi="宋体" w:eastAsia="仿宋GB2312"/>
          <w:b/>
          <w:bCs/>
          <w:color w:val="000000" w:themeColor="text1"/>
          <w:sz w:val="28"/>
          <w:szCs w:val="28"/>
          <w14:textFill>
            <w14:solidFill>
              <w14:schemeClr w14:val="tx1"/>
            </w14:solidFill>
          </w14:textFill>
        </w:rPr>
        <w:t>是否需要现场勘验</w:t>
      </w:r>
      <w:r>
        <w:rPr>
          <w:rFonts w:hint="eastAsia" w:ascii="宋体" w:hAnsi="宋体" w:eastAsia="仿宋GB2312"/>
          <w:b/>
          <w:bCs/>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是</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4.</w:t>
      </w:r>
      <w:r>
        <w:rPr>
          <w:rFonts w:ascii="宋体" w:hAnsi="宋体" w:eastAsia="仿宋GB2312"/>
          <w:b/>
          <w:bCs/>
          <w:color w:val="000000" w:themeColor="text1"/>
          <w:sz w:val="28"/>
          <w:szCs w:val="28"/>
          <w14:textFill>
            <w14:solidFill>
              <w14:schemeClr w14:val="tx1"/>
            </w14:solidFill>
          </w14:textFill>
        </w:rPr>
        <w:t>是否需要组织听证</w:t>
      </w:r>
      <w:r>
        <w:rPr>
          <w:rFonts w:hint="eastAsia" w:ascii="宋体" w:hAnsi="宋体" w:eastAsia="仿宋GB2312"/>
          <w:b/>
          <w:bCs/>
          <w:color w:val="000000" w:themeColor="text1"/>
          <w:sz w:val="28"/>
          <w:szCs w:val="28"/>
          <w14:textFill>
            <w14:solidFill>
              <w14:schemeClr w14:val="tx1"/>
            </w14:solidFill>
          </w14:textFill>
        </w:rPr>
        <w:t>：</w:t>
      </w:r>
      <w:r>
        <w:rPr>
          <w:rFonts w:ascii="宋体" w:hAnsi="宋体" w:eastAsia="方正仿宋_GBK" w:cs="方正仿宋_GBK"/>
          <w:color w:val="000000" w:themeColor="text1"/>
          <w:sz w:val="28"/>
          <w:szCs w:val="28"/>
          <w14:textFill>
            <w14:solidFill>
              <w14:schemeClr w14:val="tx1"/>
            </w14:solidFill>
          </w14:textFill>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5.</w:t>
      </w:r>
      <w:r>
        <w:rPr>
          <w:rFonts w:ascii="宋体" w:hAnsi="宋体" w:eastAsia="仿宋GB2312"/>
          <w:b/>
          <w:bCs/>
          <w:color w:val="000000" w:themeColor="text1"/>
          <w:sz w:val="28"/>
          <w:szCs w:val="28"/>
          <w14:textFill>
            <w14:solidFill>
              <w14:schemeClr w14:val="tx1"/>
            </w14:solidFill>
          </w14:textFill>
        </w:rPr>
        <w:t>是否需要招标、拍卖、挂牌交易</w:t>
      </w:r>
      <w:r>
        <w:rPr>
          <w:rFonts w:hint="eastAsia" w:ascii="宋体" w:hAnsi="宋体" w:eastAsia="仿宋GB2312"/>
          <w:b/>
          <w:bCs/>
          <w:color w:val="000000" w:themeColor="text1"/>
          <w:sz w:val="28"/>
          <w:szCs w:val="28"/>
          <w14:textFill>
            <w14:solidFill>
              <w14:schemeClr w14:val="tx1"/>
            </w14:solidFill>
          </w14:textFill>
        </w:rPr>
        <w:t>：</w:t>
      </w:r>
      <w:r>
        <w:rPr>
          <w:rFonts w:ascii="宋体" w:hAnsi="宋体" w:eastAsia="方正仿宋_GBK" w:cs="方正仿宋_GBK"/>
          <w:color w:val="000000" w:themeColor="text1"/>
          <w:sz w:val="28"/>
          <w:szCs w:val="28"/>
          <w14:textFill>
            <w14:solidFill>
              <w14:schemeClr w14:val="tx1"/>
            </w14:solidFill>
          </w14:textFill>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6.</w:t>
      </w:r>
      <w:r>
        <w:rPr>
          <w:rFonts w:ascii="宋体" w:hAnsi="宋体" w:eastAsia="仿宋GB2312"/>
          <w:b/>
          <w:bCs/>
          <w:color w:val="000000" w:themeColor="text1"/>
          <w:sz w:val="28"/>
          <w:szCs w:val="28"/>
          <w14:textFill>
            <w14:solidFill>
              <w14:schemeClr w14:val="tx1"/>
            </w14:solidFill>
          </w14:textFill>
        </w:rPr>
        <w:t>是否需要检验、检测、检疫</w:t>
      </w:r>
      <w:r>
        <w:rPr>
          <w:rFonts w:hint="eastAsia" w:ascii="宋体" w:hAnsi="宋体" w:eastAsia="仿宋GB2312"/>
          <w:b/>
          <w:bCs/>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7.</w:t>
      </w:r>
      <w:r>
        <w:rPr>
          <w:rFonts w:ascii="宋体" w:hAnsi="宋体" w:eastAsia="仿宋GB2312"/>
          <w:b/>
          <w:bCs/>
          <w:color w:val="000000" w:themeColor="text1"/>
          <w:sz w:val="28"/>
          <w:szCs w:val="28"/>
          <w14:textFill>
            <w14:solidFill>
              <w14:schemeClr w14:val="tx1"/>
            </w14:solidFill>
          </w14:textFill>
        </w:rPr>
        <w:t>是否需要鉴定</w:t>
      </w:r>
      <w:r>
        <w:rPr>
          <w:rFonts w:hint="eastAsia" w:ascii="宋体" w:hAnsi="宋体" w:eastAsia="仿宋GB2312"/>
          <w:b/>
          <w:bCs/>
          <w:color w:val="000000" w:themeColor="text1"/>
          <w:sz w:val="28"/>
          <w:szCs w:val="28"/>
          <w14:textFill>
            <w14:solidFill>
              <w14:schemeClr w14:val="tx1"/>
            </w14:solidFill>
          </w14:textFill>
        </w:rPr>
        <w:t>：</w:t>
      </w:r>
      <w:r>
        <w:rPr>
          <w:rFonts w:ascii="宋体" w:hAnsi="宋体" w:eastAsia="方正仿宋_GBK" w:cs="方正仿宋_GBK"/>
          <w:color w:val="000000" w:themeColor="text1"/>
          <w:sz w:val="28"/>
          <w:szCs w:val="28"/>
          <w14:textFill>
            <w14:solidFill>
              <w14:schemeClr w14:val="tx1"/>
            </w14:solidFill>
          </w14:textFill>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8.</w:t>
      </w:r>
      <w:r>
        <w:rPr>
          <w:rFonts w:ascii="宋体" w:hAnsi="宋体" w:eastAsia="仿宋GB2312"/>
          <w:b/>
          <w:bCs/>
          <w:color w:val="000000" w:themeColor="text1"/>
          <w:sz w:val="28"/>
          <w:szCs w:val="28"/>
          <w14:textFill>
            <w14:solidFill>
              <w14:schemeClr w14:val="tx1"/>
            </w14:solidFill>
          </w14:textFill>
        </w:rPr>
        <w:t>是否需要专家评审</w:t>
      </w:r>
      <w:r>
        <w:rPr>
          <w:rFonts w:hint="eastAsia" w:ascii="宋体" w:hAnsi="宋体" w:eastAsia="仿宋GB2312"/>
          <w:b/>
          <w:bCs/>
          <w:color w:val="000000" w:themeColor="text1"/>
          <w:sz w:val="28"/>
          <w:szCs w:val="28"/>
          <w14:textFill>
            <w14:solidFill>
              <w14:schemeClr w14:val="tx1"/>
            </w14:solidFill>
          </w14:textFill>
        </w:rPr>
        <w:t>：</w:t>
      </w:r>
      <w:r>
        <w:rPr>
          <w:rFonts w:ascii="宋体" w:hAnsi="宋体" w:eastAsia="方正仿宋_GBK" w:cs="方正仿宋_GBK"/>
          <w:color w:val="000000" w:themeColor="text1"/>
          <w:sz w:val="28"/>
          <w:szCs w:val="28"/>
          <w14:textFill>
            <w14:solidFill>
              <w14:schemeClr w14:val="tx1"/>
            </w14:solidFill>
          </w14:textFill>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9.</w:t>
      </w:r>
      <w:r>
        <w:rPr>
          <w:rFonts w:ascii="宋体" w:hAnsi="宋体" w:eastAsia="仿宋GB2312"/>
          <w:b/>
          <w:bCs/>
          <w:color w:val="000000" w:themeColor="text1"/>
          <w:sz w:val="28"/>
          <w:szCs w:val="28"/>
          <w14:textFill>
            <w14:solidFill>
              <w14:schemeClr w14:val="tx1"/>
            </w14:solidFill>
          </w14:textFill>
        </w:rPr>
        <w:t>是否需要向社会公示</w:t>
      </w:r>
      <w:r>
        <w:rPr>
          <w:rFonts w:hint="eastAsia" w:ascii="宋体" w:hAnsi="宋体" w:eastAsia="仿宋GB2312"/>
          <w:b/>
          <w:bCs/>
          <w:color w:val="000000" w:themeColor="text1"/>
          <w:sz w:val="28"/>
          <w:szCs w:val="28"/>
          <w14:textFill>
            <w14:solidFill>
              <w14:schemeClr w14:val="tx1"/>
            </w14:solidFill>
          </w14:textFill>
        </w:rPr>
        <w:t>：</w:t>
      </w:r>
      <w:r>
        <w:rPr>
          <w:rFonts w:ascii="宋体" w:hAnsi="宋体" w:eastAsia="方正仿宋_GBK" w:cs="方正仿宋_GBK"/>
          <w:color w:val="000000" w:themeColor="text1"/>
          <w:sz w:val="28"/>
          <w:szCs w:val="28"/>
          <w14:textFill>
            <w14:solidFill>
              <w14:schemeClr w14:val="tx1"/>
            </w14:solidFill>
          </w14:textFill>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10.</w:t>
      </w:r>
      <w:r>
        <w:rPr>
          <w:rFonts w:ascii="宋体" w:hAnsi="宋体" w:eastAsia="仿宋GB2312"/>
          <w:b/>
          <w:bCs/>
          <w:color w:val="000000" w:themeColor="text1"/>
          <w:sz w:val="28"/>
          <w:szCs w:val="28"/>
          <w14:textFill>
            <w14:solidFill>
              <w14:schemeClr w14:val="tx1"/>
            </w14:solidFill>
          </w14:textFill>
        </w:rPr>
        <w:t>是否实行告知承诺办理</w:t>
      </w:r>
      <w:r>
        <w:rPr>
          <w:rFonts w:hint="eastAsia" w:ascii="宋体" w:hAnsi="宋体" w:eastAsia="仿宋GB2312"/>
          <w:b/>
          <w:bCs/>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11.审批机关是否委托服务机构开展技术性服务：</w:t>
      </w:r>
      <w:r>
        <w:rPr>
          <w:rFonts w:hint="eastAsia" w:ascii="宋体" w:hAnsi="宋体" w:eastAsia="方正仿宋_GBK" w:cs="方正仿宋_GBK"/>
          <w:color w:val="000000" w:themeColor="text1"/>
          <w:sz w:val="28"/>
          <w:szCs w:val="28"/>
          <w14:textFill>
            <w14:solidFill>
              <w14:schemeClr w14:val="tx1"/>
            </w14:solidFill>
          </w14:textFill>
        </w:rPr>
        <w:t>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八、受理和审批时限</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宋体" w:hAnsi="宋体" w:eastAsia="仿宋GB2312"/>
          <w:color w:val="000000" w:themeColor="text1"/>
          <w:sz w:val="28"/>
          <w:szCs w:val="28"/>
          <w:lang w:val="en-US" w:eastAsia="zh-CN"/>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1.承诺</w:t>
      </w:r>
      <w:r>
        <w:rPr>
          <w:rFonts w:hint="eastAsia" w:ascii="宋体" w:hAnsi="宋体" w:eastAsia="仿宋GB2312"/>
          <w:b/>
          <w:bCs/>
          <w:color w:val="000000" w:themeColor="text1"/>
          <w:sz w:val="28"/>
          <w:szCs w:val="28"/>
          <w:lang w:val="en-US" w:eastAsia="zh-CN"/>
          <w14:textFill>
            <w14:solidFill>
              <w14:schemeClr w14:val="tx1"/>
            </w14:solidFill>
          </w14:textFill>
        </w:rPr>
        <w:t>受理</w:t>
      </w:r>
      <w:r>
        <w:rPr>
          <w:rFonts w:hint="eastAsia" w:ascii="宋体" w:hAnsi="宋体" w:eastAsia="仿宋GB2312"/>
          <w:b/>
          <w:bCs/>
          <w:color w:val="000000" w:themeColor="text1"/>
          <w:sz w:val="28"/>
          <w:szCs w:val="28"/>
          <w14:textFill>
            <w14:solidFill>
              <w14:schemeClr w14:val="tx1"/>
            </w14:solidFill>
          </w14:textFill>
        </w:rPr>
        <w:t>时限：</w:t>
      </w:r>
      <w:r>
        <w:rPr>
          <w:rFonts w:hint="eastAsia" w:ascii="宋体" w:hAnsi="宋体" w:eastAsia="方正仿宋_GBK" w:cs="方正仿宋_GBK"/>
          <w:color w:val="000000" w:themeColor="text1"/>
          <w:sz w:val="28"/>
          <w:szCs w:val="28"/>
          <w:lang w:val="en-US" w:eastAsia="zh-CN"/>
          <w14:textFill>
            <w14:solidFill>
              <w14:schemeClr w14:val="tx1"/>
            </w14:solidFill>
          </w14:textFill>
        </w:rPr>
        <w:t>当场受理</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2.法定审批时限：</w:t>
      </w:r>
      <w:r>
        <w:rPr>
          <w:rFonts w:hint="eastAsia" w:ascii="宋体" w:hAnsi="宋体" w:eastAsia="方正仿宋_GBK" w:cs="方正仿宋_GBK"/>
          <w:color w:val="000000" w:themeColor="text1"/>
          <w:sz w:val="28"/>
          <w:szCs w:val="28"/>
          <w:lang w:val="en-US" w:eastAsia="zh-CN"/>
          <w14:textFill>
            <w14:solidFill>
              <w14:schemeClr w14:val="tx1"/>
            </w14:solidFill>
          </w14:textFill>
        </w:rPr>
        <w:t>45</w:t>
      </w:r>
      <w:r>
        <w:rPr>
          <w:rFonts w:hint="eastAsia" w:ascii="宋体" w:hAnsi="宋体" w:eastAsia="方正仿宋_GBK" w:cs="方正仿宋_GBK"/>
          <w:color w:val="000000" w:themeColor="text1"/>
          <w:sz w:val="28"/>
          <w:szCs w:val="28"/>
          <w14:textFill>
            <w14:solidFill>
              <w14:schemeClr w14:val="tx1"/>
            </w14:solidFill>
          </w14:textFill>
        </w:rPr>
        <w:t>个工作日</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b/>
          <w:bCs/>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3.规定法定审批时限依据</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outlineLvl w:val="2"/>
        <w:rPr>
          <w:rFonts w:hint="default"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（1）《医疗机构管理条例》第十八条：</w:t>
      </w:r>
      <w:r>
        <w:rPr>
          <w:rFonts w:hint="default" w:ascii="宋体" w:hAnsi="宋体" w:eastAsia="方正仿宋_GBK" w:cs="方正仿宋_GBK"/>
          <w:color w:val="000000" w:themeColor="text1"/>
          <w:sz w:val="28"/>
          <w:szCs w:val="28"/>
          <w:lang w:val="en-US" w:eastAsia="zh-CN"/>
          <w14:textFill>
            <w14:solidFill>
              <w14:schemeClr w14:val="tx1"/>
            </w14:solidFill>
          </w14:textFill>
        </w:rPr>
        <w:t>县级以上地方人民政府卫生行政部门自受理执业登记申请之日起45日内，根据本条例和医疗机构基本标准进行审核。审核合格的，予以登记，发给《医疗机构执业许可证》；审核不合格的，将审核结果以书面形式通知申请人</w:t>
      </w:r>
      <w:r>
        <w:rPr>
          <w:rFonts w:hint="eastAsia" w:ascii="宋体" w:hAnsi="宋体" w:eastAsia="方正仿宋_GBK" w:cs="方正仿宋_GBK"/>
          <w:color w:val="000000" w:themeColor="text1"/>
          <w:sz w:val="28"/>
          <w:szCs w:val="28"/>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outlineLvl w:val="2"/>
        <w:rPr>
          <w:rFonts w:hint="default"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（2）《医疗机构管理条例实施细则》第二十六条：</w:t>
      </w:r>
      <w:r>
        <w:rPr>
          <w:rFonts w:hint="default" w:ascii="宋体" w:hAnsi="宋体" w:eastAsia="方正仿宋_GBK" w:cs="方正仿宋_GBK"/>
          <w:color w:val="000000" w:themeColor="text1"/>
          <w:sz w:val="28"/>
          <w:szCs w:val="28"/>
          <w:lang w:val="en-US" w:eastAsia="zh-CN"/>
          <w14:textFill>
            <w14:solidFill>
              <w14:schemeClr w14:val="tx1"/>
            </w14:solidFill>
          </w14:textFill>
        </w:rPr>
        <w:t>登记机关在受理医疗机构执业登记申请后，应当按照条例第十六条规定的条件和条例第十九条规定的时限进行审查和实地考察、核实，并对有关执业人员进行消毒、隔离和无菌操作等基本知识和技能的现场抽查考核。经审核合格的，发给《医疗机构执业许可证》；审核不合格的，将审核结果和不予批准的理由以书面形式通知申请人。《医疗机构执业许可证》及其副本由国家卫生计生委统一印制。条例第十九条规定的执业登记申请的受理时间，自申请人提供条例和本细则规定的全部材料之日算起。</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outlineLvl w:val="2"/>
        <w:rPr>
          <w:rFonts w:hint="eastAsia"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（3）《云南省医疗机构管理条例》</w:t>
      </w:r>
      <w:r>
        <w:rPr>
          <w:rFonts w:hint="default" w:ascii="宋体" w:hAnsi="宋体" w:eastAsia="方正仿宋_GBK" w:cs="方正仿宋_GBK"/>
          <w:color w:val="000000" w:themeColor="text1"/>
          <w:sz w:val="28"/>
          <w:szCs w:val="28"/>
          <w:lang w:val="en-US" w:eastAsia="zh-CN"/>
          <w14:textFill>
            <w14:solidFill>
              <w14:schemeClr w14:val="tx1"/>
            </w14:solidFill>
          </w14:textFill>
        </w:rPr>
        <w:t>第十五条</w:t>
      </w:r>
      <w:r>
        <w:rPr>
          <w:rFonts w:hint="eastAsia" w:ascii="宋体" w:hAnsi="宋体" w:eastAsia="方正仿宋_GBK" w:cs="方正仿宋_GBK"/>
          <w:color w:val="000000" w:themeColor="text1"/>
          <w:sz w:val="28"/>
          <w:szCs w:val="28"/>
          <w:lang w:val="en-US" w:eastAsia="zh-CN"/>
          <w14:textFill>
            <w14:solidFill>
              <w14:schemeClr w14:val="tx1"/>
            </w14:solidFill>
          </w14:textFill>
        </w:rPr>
        <w:t>：</w:t>
      </w:r>
      <w:r>
        <w:rPr>
          <w:rFonts w:hint="default" w:ascii="宋体" w:hAnsi="宋体" w:eastAsia="方正仿宋_GBK" w:cs="方正仿宋_GBK"/>
          <w:color w:val="000000" w:themeColor="text1"/>
          <w:sz w:val="28"/>
          <w:szCs w:val="28"/>
          <w:lang w:val="en-US" w:eastAsia="zh-CN"/>
          <w14:textFill>
            <w14:solidFill>
              <w14:schemeClr w14:val="tx1"/>
            </w14:solidFill>
          </w14:textFill>
        </w:rPr>
        <w:t>卫生行政部门应当自收到医疗机构执业登记材料之日起20日内进行审查。符合条件的，予以登记并发给《医疗机构执业许可证》；不符合条件的，应当书面告知申请人。</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宋体" w:hAnsi="宋体" w:eastAsia="仿宋GB2312"/>
          <w:color w:val="000000" w:themeColor="text1"/>
          <w:sz w:val="28"/>
          <w:szCs w:val="28"/>
          <w:lang w:val="en-US" w:eastAsia="zh-CN"/>
          <w14:textFill>
            <w14:solidFill>
              <w14:schemeClr w14:val="tx1"/>
            </w14:solidFill>
          </w14:textFill>
        </w:rPr>
      </w:pPr>
      <w:r>
        <w:rPr>
          <w:rFonts w:hint="eastAsia" w:ascii="宋体" w:hAnsi="宋体" w:eastAsia="仿宋GB2312"/>
          <w:b/>
          <w:bCs/>
          <w:color w:val="000000" w:themeColor="text1"/>
          <w:sz w:val="28"/>
          <w:szCs w:val="28"/>
          <w:lang w:val="en-US" w:eastAsia="zh-CN"/>
          <w14:textFill>
            <w14:solidFill>
              <w14:schemeClr w14:val="tx1"/>
            </w14:solidFill>
          </w14:textFill>
        </w:rPr>
        <w:t>4.承诺审批时限：</w:t>
      </w:r>
      <w:r>
        <w:rPr>
          <w:rFonts w:hint="eastAsia" w:ascii="宋体" w:hAnsi="宋体" w:eastAsia="方正仿宋_GBK" w:cs="方正仿宋_GBK"/>
          <w:color w:val="000000" w:themeColor="text1"/>
          <w:kern w:val="2"/>
          <w:sz w:val="28"/>
          <w:szCs w:val="28"/>
          <w:lang w:val="en-US" w:eastAsia="zh-CN" w:bidi="ar-SA"/>
          <w14:textFill>
            <w14:solidFill>
              <w14:schemeClr w14:val="tx1"/>
            </w14:solidFill>
          </w14:textFill>
        </w:rPr>
        <w:t>11个工作日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九、收费</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1.办理行政许可是否收费：</w:t>
      </w:r>
      <w:r>
        <w:rPr>
          <w:rFonts w:hint="eastAsia" w:ascii="宋体" w:hAnsi="宋体" w:eastAsia="方正仿宋_GBK" w:cs="方正仿宋_GBK"/>
          <w:color w:val="000000" w:themeColor="text1"/>
          <w:sz w:val="28"/>
          <w:szCs w:val="28"/>
          <w14:textFill>
            <w14:solidFill>
              <w14:schemeClr w14:val="tx1"/>
            </w14:solidFill>
          </w14:textFill>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方正仿宋_GBK" w:cs="方正仿宋_GBK"/>
          <w:b/>
          <w:bCs/>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2.收费项目的名称、收费项目的标准、设定收费项目的依据、规定收费标准的依据</w:t>
      </w:r>
      <w:r>
        <w:rPr>
          <w:rFonts w:ascii="宋体" w:hAnsi="宋体" w:eastAsia="仿宋GB2312"/>
          <w:b/>
          <w:bCs/>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十、行政许可证件</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1.审批结果类型：</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证照</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2.审批结果名称：</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医疗机构执业许可证</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3.审批结果的有效期限：</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default"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4.规定审批结果有效期限的依据</w:t>
      </w:r>
      <w:r>
        <w:rPr>
          <w:rFonts w:hint="eastAsia" w:ascii="宋体" w:hAnsi="宋体" w:eastAsia="仿宋GB2312"/>
          <w:b/>
          <w:bCs/>
          <w:color w:val="000000" w:themeColor="text1"/>
          <w:sz w:val="28"/>
          <w:szCs w:val="28"/>
          <w:lang w:eastAsia="zh-CN"/>
          <w14:textFill>
            <w14:solidFill>
              <w14:schemeClr w14:val="tx1"/>
            </w14:solidFill>
          </w14:textFill>
        </w:rPr>
        <w:t>：</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5.是否需要办理审批结果变更手续：</w:t>
      </w:r>
      <w:r>
        <w:rPr>
          <w:rFonts w:ascii="宋体" w:hAnsi="宋体" w:eastAsia="方正仿宋_GBK" w:cs="方正仿宋_GBK"/>
          <w:color w:val="000000" w:themeColor="text1"/>
          <w:sz w:val="28"/>
          <w:szCs w:val="28"/>
          <w14:textFill>
            <w14:solidFill>
              <w14:schemeClr w14:val="tx1"/>
            </w14:solidFill>
          </w14:textFill>
        </w:rPr>
        <w:t>是</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b/>
          <w:bCs/>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6.办理审批结果变更手续的要求</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仿宋GB2312"/>
          <w:b/>
          <w:bCs/>
          <w:color w:val="000000" w:themeColor="text1"/>
          <w:sz w:val="28"/>
          <w:szCs w:val="28"/>
          <w14:textFill>
            <w14:solidFill>
              <w14:schemeClr w14:val="tx1"/>
            </w14:solidFill>
          </w14:textFill>
        </w:rPr>
      </w:pPr>
      <w:r>
        <w:rPr>
          <w:rFonts w:hint="eastAsia" w:ascii="宋体" w:hAnsi="宋体" w:eastAsia="方正仿宋_GBK" w:cs="方正仿宋_GBK"/>
          <w:sz w:val="28"/>
          <w:szCs w:val="28"/>
        </w:rPr>
        <w:t>该许可证注明事项发生变更之日起30日内提出变更申请。</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lang w:eastAsia="zh-CN"/>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7.是否需要办理审批结果延续手续：</w:t>
      </w:r>
      <w:r>
        <w:rPr>
          <w:rFonts w:hint="eastAsia" w:ascii="宋体" w:hAnsi="宋体" w:eastAsia="方正仿宋_GBK" w:cs="方正仿宋_GBK"/>
          <w:color w:val="000000" w:themeColor="text1"/>
          <w:sz w:val="28"/>
          <w:szCs w:val="28"/>
          <w:lang w:val="en-US" w:eastAsia="zh-CN"/>
          <w14:textFill>
            <w14:solidFill>
              <w14:schemeClr w14:val="tx1"/>
            </w14:solidFill>
          </w14:textFill>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default"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8.办理审批结果延续手续的要求</w:t>
      </w:r>
      <w:r>
        <w:rPr>
          <w:rFonts w:hint="eastAsia" w:ascii="宋体" w:hAnsi="宋体" w:eastAsia="仿宋GB2312"/>
          <w:b/>
          <w:bCs/>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9.审批结果的有效地域范围</w:t>
      </w:r>
      <w:r>
        <w:rPr>
          <w:rFonts w:hint="eastAsia" w:ascii="宋体" w:hAnsi="宋体" w:eastAsia="仿宋GB2312"/>
          <w:b/>
          <w:bCs/>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本县</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b/>
          <w:bCs/>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10.规定审批结果有效地域范围的依据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（1）《医疗机构管理条例实施细则》第六十六条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（2）</w:t>
      </w:r>
      <w:r>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t>《云南省医疗机构审批管理暂行办法》第五条 </w:t>
      </w: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w:t>
      </w:r>
      <w:r>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t>第六条 </w:t>
      </w: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w:t>
      </w:r>
      <w:r>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t>第七条</w:t>
      </w: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w:t>
      </w:r>
      <w:r>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t>第八条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十一、行政许可数量限制</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1.有无行政许可数量限制：</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2.公布数量限制的方式：</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3.公布数量限制的周期：</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4.在数量限制条件下实施行政许可的方式：</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jc w:val="left"/>
        <w:textAlignment w:val="auto"/>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5.规定在数量限制条件下实施行政许可方式的依据</w:t>
      </w:r>
      <w:r>
        <w:rPr>
          <w:rFonts w:ascii="宋体" w:hAnsi="宋体" w:eastAsia="仿宋GB2312"/>
          <w:b/>
          <w:bCs/>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十二、行政许可后年检</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lang w:eastAsia="zh-CN"/>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1.有无年检要求：</w:t>
      </w:r>
      <w:r>
        <w:rPr>
          <w:rFonts w:hint="eastAsia" w:ascii="宋体" w:hAnsi="宋体" w:eastAsia="方正仿宋_GBK" w:cs="方正仿宋_GBK"/>
          <w:color w:val="000000" w:themeColor="text1"/>
          <w:sz w:val="28"/>
          <w:szCs w:val="28"/>
          <w:lang w:val="en-US" w:eastAsia="zh-CN"/>
          <w14:textFill>
            <w14:solidFill>
              <w14:schemeClr w14:val="tx1"/>
            </w14:solidFill>
          </w14:textFill>
        </w:rPr>
        <w:t>有</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b/>
          <w:bCs/>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2.设定年检要求的依据</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（1）《医疗机构管理条例》第二十一条：床位不满100张的医疗机构，其《医疗机构执业许可证》每年校验1次；床位在100张以上的医疗机构，其《医疗机构执业许可证》每3年校验1次。校验由原登记机关办理。</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（2）</w:t>
      </w:r>
      <w:r>
        <w:rPr>
          <w:rFonts w:hint="default" w:ascii="宋体" w:hAnsi="宋体" w:eastAsia="方正仿宋_GBK" w:cs="方正仿宋_GBK"/>
          <w:color w:val="000000" w:themeColor="text1"/>
          <w:sz w:val="28"/>
          <w:szCs w:val="28"/>
          <w:lang w:val="en-US" w:eastAsia="zh-CN"/>
          <w14:textFill>
            <w14:solidFill>
              <w14:schemeClr w14:val="tx1"/>
            </w14:solidFill>
          </w14:textFill>
        </w:rPr>
        <w:t>《医疗机构管理条例实施细则》第三十五条</w:t>
      </w:r>
      <w:r>
        <w:rPr>
          <w:rFonts w:hint="eastAsia" w:ascii="宋体" w:hAnsi="宋体" w:eastAsia="方正仿宋_GBK" w:cs="方正仿宋_GBK"/>
          <w:color w:val="000000" w:themeColor="text1"/>
          <w:sz w:val="28"/>
          <w:szCs w:val="28"/>
          <w:lang w:val="en-US" w:eastAsia="zh-CN"/>
          <w14:textFill>
            <w14:solidFill>
              <w14:schemeClr w14:val="tx1"/>
            </w14:solidFill>
          </w14:textFill>
        </w:rPr>
        <w:t>：</w:t>
      </w:r>
      <w:r>
        <w:rPr>
          <w:rFonts w:hint="default" w:ascii="宋体" w:hAnsi="宋体" w:eastAsia="方正仿宋_GBK" w:cs="方正仿宋_GBK"/>
          <w:color w:val="000000" w:themeColor="text1"/>
          <w:sz w:val="28"/>
          <w:szCs w:val="28"/>
          <w:lang w:val="en-US" w:eastAsia="zh-CN"/>
          <w14:textFill>
            <w14:solidFill>
              <w14:schemeClr w14:val="tx1"/>
            </w14:solidFill>
          </w14:textFill>
        </w:rPr>
        <w:t>床位在一百张以上的综合医院、中医医院、中西医结合医院、民族医医院以及专科医院、疗养院、康复医院、妇幼保健院、急救中心、临床检验中心和专科疾病防治机构的校验期为三年；其他医疗机构的校验期为一年。医疗机构应当于校验期满前三个月向登记机关申请办理校验手续。</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default" w:ascii="宋体" w:hAnsi="宋体" w:eastAsia="仿宋GB2312"/>
          <w:color w:val="000000" w:themeColor="text1"/>
          <w:sz w:val="28"/>
          <w:szCs w:val="28"/>
          <w:lang w:val="en-US" w:eastAsia="zh-CN"/>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3.年检周期：</w:t>
      </w:r>
      <w:r>
        <w:rPr>
          <w:rFonts w:hint="eastAsia" w:ascii="宋体" w:hAnsi="宋体" w:eastAsia="方正仿宋_GBK" w:cs="方正仿宋_GBK"/>
          <w:color w:val="000000" w:themeColor="text1"/>
          <w:sz w:val="28"/>
          <w:szCs w:val="28"/>
          <w:lang w:val="en-US" w:eastAsia="zh-CN"/>
          <w14:textFill>
            <w14:solidFill>
              <w14:schemeClr w14:val="tx1"/>
            </w14:solidFill>
          </w14:textFill>
        </w:rPr>
        <w:t>1年或3年</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lang w:eastAsia="zh-CN"/>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4.年检是否要求报送材料：</w:t>
      </w:r>
      <w:r>
        <w:rPr>
          <w:rFonts w:hint="eastAsia" w:ascii="宋体" w:hAnsi="宋体" w:eastAsia="方正仿宋_GBK" w:cs="方正仿宋_GBK"/>
          <w:color w:val="000000" w:themeColor="text1"/>
          <w:sz w:val="28"/>
          <w:szCs w:val="28"/>
          <w:lang w:val="en-US" w:eastAsia="zh-CN"/>
          <w14:textFill>
            <w14:solidFill>
              <w14:schemeClr w14:val="tx1"/>
            </w14:solidFill>
          </w14:textFill>
        </w:rPr>
        <w:t>有</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b/>
          <w:bCs/>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5.年检报送材料名称</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（1）医疗机构校验申请书</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（2）医疗机构执业许可证（副本）</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（3）近3年工作总结</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（4）执业登记项目</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（5）卫生技术人员、业务科室和大型医用设备变更情况</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（6）校验期内接受卫生行政部门检查、指导结果及整改情况</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（7）校验期内发生的医疗民事赔偿（补偿）情况（包括医疗事故）以及卫生技术人员违法违规执业及其处理情况</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（8）特殊医疗技术项目开展情况</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6.年检是否收费：</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7.年检收费项目的名称、年检收费项目的标准、设定年检收费项目的依据、规定年检项目收费标准的依据</w:t>
      </w:r>
      <w:r>
        <w:rPr>
          <w:rFonts w:ascii="宋体" w:hAnsi="宋体" w:eastAsia="仿宋GB2312"/>
          <w:b/>
          <w:bCs/>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8.通过年检的证明或者标志：</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十三、行政许可后年报</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1.</w:t>
      </w:r>
      <w:r>
        <w:rPr>
          <w:rFonts w:ascii="宋体" w:hAnsi="宋体" w:eastAsia="仿宋GB2312"/>
          <w:b/>
          <w:bCs/>
          <w:color w:val="000000" w:themeColor="text1"/>
          <w:sz w:val="28"/>
          <w:szCs w:val="28"/>
          <w14:textFill>
            <w14:solidFill>
              <w14:schemeClr w14:val="tx1"/>
            </w14:solidFill>
          </w14:textFill>
        </w:rPr>
        <w:t>有无年报要求</w:t>
      </w:r>
      <w:r>
        <w:rPr>
          <w:rFonts w:hint="eastAsia" w:ascii="宋体" w:hAnsi="宋体" w:eastAsia="仿宋GB2312"/>
          <w:b/>
          <w:bCs/>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2.</w:t>
      </w:r>
      <w:r>
        <w:rPr>
          <w:rFonts w:ascii="宋体" w:hAnsi="宋体" w:eastAsia="仿宋GB2312"/>
          <w:b/>
          <w:bCs/>
          <w:color w:val="000000" w:themeColor="text1"/>
          <w:sz w:val="28"/>
          <w:szCs w:val="28"/>
          <w14:textFill>
            <w14:solidFill>
              <w14:schemeClr w14:val="tx1"/>
            </w14:solidFill>
          </w14:textFill>
        </w:rPr>
        <w:t>年报报送材料名称</w:t>
      </w:r>
      <w:r>
        <w:rPr>
          <w:rFonts w:hint="eastAsia" w:ascii="宋体" w:hAnsi="宋体" w:eastAsia="仿宋GB2312"/>
          <w:b/>
          <w:bCs/>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3.</w:t>
      </w:r>
      <w:r>
        <w:rPr>
          <w:rFonts w:ascii="宋体" w:hAnsi="宋体" w:eastAsia="仿宋GB2312"/>
          <w:b/>
          <w:bCs/>
          <w:color w:val="000000" w:themeColor="text1"/>
          <w:sz w:val="28"/>
          <w:szCs w:val="28"/>
          <w14:textFill>
            <w14:solidFill>
              <w14:schemeClr w14:val="tx1"/>
            </w14:solidFill>
          </w14:textFill>
        </w:rPr>
        <w:t>设定年报要求的依据：</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4.</w:t>
      </w:r>
      <w:r>
        <w:rPr>
          <w:rFonts w:ascii="宋体" w:hAnsi="宋体" w:eastAsia="仿宋GB2312"/>
          <w:b/>
          <w:bCs/>
          <w:color w:val="000000" w:themeColor="text1"/>
          <w:sz w:val="28"/>
          <w:szCs w:val="28"/>
          <w14:textFill>
            <w14:solidFill>
              <w14:schemeClr w14:val="tx1"/>
            </w14:solidFill>
          </w14:textFill>
        </w:rPr>
        <w:t>年报周期</w:t>
      </w:r>
      <w:r>
        <w:rPr>
          <w:rFonts w:hint="eastAsia" w:ascii="宋体" w:hAnsi="宋体" w:eastAsia="仿宋GB2312"/>
          <w:b/>
          <w:bCs/>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000000" w:themeColor="text1"/>
          <w:sz w:val="28"/>
          <w:szCs w:val="28"/>
          <w:highlight w:val="none"/>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highlight w:val="none"/>
          <w:lang w:val="en-US" w:eastAsia="zh-CN"/>
          <w14:textFill>
            <w14:solidFill>
              <w14:schemeClr w14:val="tx1"/>
            </w14:solidFill>
          </w14:textFill>
        </w:rPr>
        <w:t>十四、监管主体</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国务院卫生健康主管部门，县级以上地方人民政府卫生健康主管部门。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highlight w:val="none"/>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highlight w:val="none"/>
          <w:lang w:val="en-US" w:eastAsia="zh-CN"/>
          <w14:textFill>
            <w14:solidFill>
              <w14:schemeClr w14:val="tx1"/>
            </w14:solidFill>
          </w14:textFill>
        </w:rPr>
        <w:t>十五、备注</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color w:val="000000" w:themeColor="text1"/>
          <w:sz w:val="28"/>
          <w:szCs w:val="28"/>
          <w14:textFill>
            <w14:solidFill>
              <w14:schemeClr w14:val="tx1"/>
            </w14:solidFill>
          </w14:textFill>
        </w:rPr>
      </w:pPr>
      <w:r>
        <w:rPr>
          <w:rFonts w:hint="eastAsia" w:eastAsia="方正仿宋_GBK" w:cs="Times New Roman"/>
          <w:strike w:val="0"/>
          <w:dstrike w:val="0"/>
          <w:color w:val="000000" w:themeColor="text1"/>
          <w:sz w:val="28"/>
          <w:szCs w:val="28"/>
          <w:lang w:val="en-US" w:eastAsia="zh-CN"/>
          <w14:textFill>
            <w14:solidFill>
              <w14:schemeClr w14:val="tx1"/>
            </w14:solidFill>
          </w14:textFill>
        </w:rPr>
        <w:t>无</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4A7B096-BAF8-4C36-A987-523C35C61D9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2" w:fontKey="{D49FCFFF-8986-46D4-B0CC-F5B94B9BB05A}"/>
  </w:font>
  <w:font w:name="方正楷体_GBK">
    <w:altName w:val="微软雅黑"/>
    <w:panose1 w:val="03000509000000000000"/>
    <w:charset w:val="86"/>
    <w:family w:val="script"/>
    <w:pitch w:val="default"/>
    <w:sig w:usb0="00000000" w:usb1="00000000" w:usb2="00000000" w:usb3="00000000" w:csb0="00040000" w:csb1="00000000"/>
    <w:embedRegular r:id="rId3" w:fontKey="{A6A98ED6-86FE-48F3-B6D4-8DDA655D62C8}"/>
  </w:font>
  <w:font w:name="方正仿宋_GBK">
    <w:altName w:val="微软雅黑"/>
    <w:panose1 w:val="03000509000000000000"/>
    <w:charset w:val="86"/>
    <w:family w:val="auto"/>
    <w:pitch w:val="default"/>
    <w:sig w:usb0="00000000" w:usb1="00000000" w:usb2="00000000" w:usb3="00000000" w:csb0="00040000" w:csb1="00000000"/>
    <w:embedRegular r:id="rId4" w:fontKey="{D1BA7AC2-1DD9-4C55-9223-1E4E6068EE0A}"/>
  </w:font>
  <w:font w:name="仿宋GB2312">
    <w:altName w:val="仿宋"/>
    <w:panose1 w:val="00000000000000000000"/>
    <w:charset w:val="00"/>
    <w:family w:val="roman"/>
    <w:pitch w:val="default"/>
    <w:sig w:usb0="00000000" w:usb1="00000000" w:usb2="00000000" w:usb3="00000000" w:csb0="00040001" w:csb1="00000000"/>
    <w:embedRegular r:id="rId5" w:fontKey="{F644A64E-B80E-42AC-9272-893EFEB39AC5}"/>
  </w:font>
  <w:font w:name="Helvetica">
    <w:altName w:val="Arial"/>
    <w:panose1 w:val="020B0604020202020204"/>
    <w:charset w:val="00"/>
    <w:family w:val="auto"/>
    <w:pitch w:val="default"/>
    <w:sig w:usb0="00000000" w:usb1="00000000" w:usb2="00000000" w:usb3="00000000" w:csb0="00000000" w:csb1="00000000"/>
    <w:embedRegular r:id="rId6" w:fontKey="{6A9C9CE0-55E6-4DC0-8A6C-0B651AD656F8}"/>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方正小标宋_GBK" w:hAnsi="方正小标宋_GBK" w:eastAsia="方正小标宋_GBK" w:cs="方正小标宋_GBK"/>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方正小标宋_GBK" w:hAnsi="方正小标宋_GBK" w:eastAsia="方正小标宋_GBK" w:cs="方正小标宋_GBK"/>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5YTU4NmQ4ZDlhMjk1MTNkMjlmNzEwYjc1OTc5ZTcifQ=="/>
  </w:docVars>
  <w:rsids>
    <w:rsidRoot w:val="163A5F6C"/>
    <w:rsid w:val="0F905E85"/>
    <w:rsid w:val="134F78A4"/>
    <w:rsid w:val="163A5F6C"/>
    <w:rsid w:val="1B4E6301"/>
    <w:rsid w:val="1D6B391A"/>
    <w:rsid w:val="222F053D"/>
    <w:rsid w:val="231D178F"/>
    <w:rsid w:val="255E38A7"/>
    <w:rsid w:val="2B0F538C"/>
    <w:rsid w:val="2D27392D"/>
    <w:rsid w:val="2E313412"/>
    <w:rsid w:val="2E775D09"/>
    <w:rsid w:val="362C09DF"/>
    <w:rsid w:val="3A987C62"/>
    <w:rsid w:val="49C23BA5"/>
    <w:rsid w:val="55A837EA"/>
    <w:rsid w:val="576F7E15"/>
    <w:rsid w:val="58626866"/>
    <w:rsid w:val="5A7B1AA0"/>
    <w:rsid w:val="60BF6774"/>
    <w:rsid w:val="6A2C3110"/>
    <w:rsid w:val="6C6C00A6"/>
    <w:rsid w:val="6E4767C2"/>
    <w:rsid w:val="6EC25354"/>
    <w:rsid w:val="702529B9"/>
    <w:rsid w:val="74B939AA"/>
    <w:rsid w:val="7B246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spacing w:line="416" w:lineRule="auto"/>
      <w:outlineLvl w:val="1"/>
    </w:pPr>
    <w:rPr>
      <w:rFonts w:ascii="Calibri Light" w:hAnsi="Calibri Light" w:cs="Calibri Light"/>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0" w:after="0" w:afterAutospacing="0"/>
      <w:ind w:left="0" w:right="0"/>
      <w:jc w:val="left"/>
    </w:pPr>
    <w:rPr>
      <w:kern w:val="0"/>
      <w:sz w:val="24"/>
      <w:lang w:val="en-US" w:eastAsia="zh-CN" w:bidi="ar"/>
    </w:rPr>
  </w:style>
  <w:style w:type="paragraph" w:styleId="8">
    <w:name w:val="Body Text First Indent 2"/>
    <w:basedOn w:val="4"/>
    <w:qFormat/>
    <w:uiPriority w:val="0"/>
    <w:pPr>
      <w:spacing w:after="120" w:line="276" w:lineRule="auto"/>
      <w:ind w:left="420" w:leftChars="200" w:firstLine="420" w:firstLineChars="200"/>
    </w:pPr>
    <w:rPr>
      <w:rFonts w:ascii="Times New Roman" w:hAnsi="Times New Roman" w:cs="Times New Roman"/>
      <w:sz w:val="21"/>
    </w:rPr>
  </w:style>
  <w:style w:type="character" w:styleId="11">
    <w:name w:val="FollowedHyperlink"/>
    <w:basedOn w:val="10"/>
    <w:qFormat/>
    <w:uiPriority w:val="0"/>
    <w:rPr>
      <w:color w:val="005C81"/>
      <w:u w:val="none"/>
    </w:rPr>
  </w:style>
  <w:style w:type="character" w:styleId="12">
    <w:name w:val="Emphasis"/>
    <w:basedOn w:val="10"/>
    <w:qFormat/>
    <w:uiPriority w:val="0"/>
  </w:style>
  <w:style w:type="character" w:styleId="13">
    <w:name w:val="Hyperlink"/>
    <w:basedOn w:val="10"/>
    <w:qFormat/>
    <w:uiPriority w:val="0"/>
    <w:rPr>
      <w:color w:val="005C81"/>
      <w:u w:val="none"/>
    </w:rPr>
  </w:style>
  <w:style w:type="character" w:customStyle="1" w:styleId="14">
    <w:name w:val="fontstyle11"/>
    <w:basedOn w:val="10"/>
    <w:qFormat/>
    <w:uiPriority w:val="0"/>
    <w:rPr>
      <w:rFonts w:hint="eastAsia" w:ascii="仿宋_GB2312" w:eastAsia="仿宋_GB2312"/>
      <w:color w:val="00000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文山州富宁县党政机关单位</Company>
  <Pages>5</Pages>
  <Words>1533</Words>
  <Characters>1577</Characters>
  <Lines>0</Lines>
  <Paragraphs>0</Paragraphs>
  <TotalTime>2</TotalTime>
  <ScaleCrop>false</ScaleCrop>
  <LinksUpToDate>false</LinksUpToDate>
  <CharactersWithSpaces>1589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2023-09-21T06:28:00Z</dcterms:created>
  <dc:creator>流年ミ顏色つ</dc:creator>
  <cp:lastModifiedBy>爱学习的好孩子～</cp:lastModifiedBy>
  <dcterms:modified xsi:type="dcterms:W3CDTF">2023-12-25T07:28:19Z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D33721CC89E24C8291D6FF67AB706B3F_12</vt:lpwstr>
  </property>
</Properties>
</file>