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lang w:eastAsia="zh-CN"/>
        </w:rPr>
      </w:pPr>
      <w:bookmarkStart w:id="0" w:name="_GoBack"/>
      <w:bookmarkEnd w:id="0"/>
      <w:r>
        <w:rPr>
          <w:rFonts w:hint="eastAsia" w:ascii="宋体" w:hAnsi="宋体" w:eastAsia="方正小标宋_GBK" w:cs="方正小标宋_GBK"/>
          <w:i w:val="0"/>
          <w:color w:val="000000"/>
          <w:kern w:val="0"/>
          <w:sz w:val="40"/>
          <w:szCs w:val="40"/>
          <w:highlight w:val="none"/>
          <w:u w:val="none"/>
          <w:shd w:val="clear" w:color="auto" w:fill="auto"/>
          <w:lang w:val="en-US" w:eastAsia="zh-CN" w:bidi="ar"/>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FF0000"/>
          <w:sz w:val="30"/>
          <w:szCs w:val="30"/>
          <w:lang w:eastAsia="zh-CN"/>
        </w:rPr>
      </w:pPr>
      <w:r>
        <w:rPr>
          <w:rFonts w:hint="eastAsia" w:ascii="方正楷体_GBK" w:hAnsi="方正楷体_GBK" w:eastAsia="方正楷体_GBK" w:cs="方正楷体_GBK"/>
          <w:b w:val="0"/>
          <w:bCs w:val="0"/>
          <w:strike w:val="0"/>
          <w:dstrike w:val="0"/>
          <w:color w:val="auto"/>
          <w:sz w:val="30"/>
          <w:szCs w:val="30"/>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母婴保健服务人员资格认定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default" w:ascii="Times New Roman" w:hAnsi="Times New Roman" w:eastAsia="方正仿宋_GBK" w:cs="方正仿宋_GBK"/>
          <w:color w:val="auto"/>
          <w:spacing w:val="0"/>
          <w:sz w:val="28"/>
          <w:szCs w:val="28"/>
          <w:lang w:val="en-US" w:eastAsia="zh-CN"/>
        </w:rPr>
        <w:t>《中华人民共和国母婴保健法</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中华人民共和国母婴保健法实施办法</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母婴保健专项技术服务许可及人员资格管理办法</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国家职业资格目录（2021年版）》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方正小标宋_GBK" w:hAnsi="方正小标宋_GBK" w:eastAsia="方正小标宋_GBK" w:cs="方正小标宋_GBK"/>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1"/>
        <w:rPr>
          <w:rFonts w:hint="eastAsia" w:ascii="宋体" w:hAnsi="宋体" w:eastAsia="方正小标宋_GBK" w:cs="方正小标宋_GBK"/>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母婴保健服务人员资格认定</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eastAsia="黑体"/>
          <w:b w:val="0"/>
          <w:bCs w:val="0"/>
          <w:strike w:val="0"/>
          <w:dstrike w:val="0"/>
          <w:color w:val="auto"/>
          <w:sz w:val="28"/>
          <w:szCs w:val="28"/>
          <w:lang w:val="en-US" w:eastAsia="zh-CN"/>
        </w:rPr>
      </w:pPr>
      <w:r>
        <w:rPr>
          <w:rFonts w:hint="eastAsia" w:ascii="宋体" w:hAnsi="宋体" w:eastAsia="方正小标宋_GBK" w:cs="方正小标宋_GBK"/>
          <w:sz w:val="40"/>
          <w:szCs w:val="40"/>
          <w:lang w:val="en-US" w:eastAsia="zh-CN"/>
        </w:rPr>
        <w:t>【000123002000】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母婴保健服务人员资格认定【000123002000】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（1）《中华人民共和国母婴保健法》第三十三条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《母婴保健专项技术服务许可及人员资格管理办法》第三条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w:t>
      </w:r>
      <w:r>
        <w:rPr>
          <w:rFonts w:hint="default" w:ascii="Times New Roman" w:hAnsi="Times New Roman" w:eastAsia="方正仿宋_GBK" w:cs="方正仿宋_GBK"/>
          <w:color w:val="auto"/>
          <w:spacing w:val="0"/>
          <w:sz w:val="28"/>
          <w:szCs w:val="28"/>
          <w:lang w:val="en-US" w:eastAsia="zh-CN"/>
        </w:rPr>
        <w:t>国家卫生健康委关于修改和废止《母婴保健专项技术服务许可及人员资格管理办法》等3件部门规章的规定（中华人民共和国国家卫生健康委员会令第7号）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w:t>
      </w:r>
      <w:r>
        <w:rPr>
          <w:rFonts w:hint="default" w:ascii="Times New Roman" w:hAnsi="Times New Roman" w:eastAsia="方正仿宋_GBK" w:cs="方正仿宋_GBK"/>
          <w:color w:val="auto"/>
          <w:spacing w:val="0"/>
          <w:sz w:val="28"/>
          <w:szCs w:val="28"/>
          <w:lang w:val="en-US" w:eastAsia="zh-CN"/>
        </w:rPr>
        <w:t>《国家卫生健康委关于印发开展产前筛查技术医疗机构基本标准和开展产前诊断技术医疗机构基本标准的通知》（国卫妇幼函 ﹝2019﹞297号）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（5）《云南省母婴保健条例》第二十五条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（1）《中华人民共和国母婴保健法》第三十三条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《母婴保健专项技术服务许可及人员资格管理办法》第三条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w:t>
      </w:r>
      <w:r>
        <w:rPr>
          <w:rFonts w:hint="default" w:ascii="Times New Roman" w:hAnsi="Times New Roman" w:eastAsia="方正仿宋_GBK" w:cs="方正仿宋_GBK"/>
          <w:color w:val="auto"/>
          <w:spacing w:val="0"/>
          <w:sz w:val="28"/>
          <w:szCs w:val="28"/>
          <w:lang w:val="en-US" w:eastAsia="zh-CN"/>
        </w:rPr>
        <w:t>国家卫生健康委关于修改和废止《母婴保健专项技术服务许可及人员资格管理办法》等3件部门规章的规定（中华人民共和国国家卫生健康委员会令第7号）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w:t>
      </w:r>
      <w:r>
        <w:rPr>
          <w:rFonts w:hint="default" w:ascii="Times New Roman" w:hAnsi="Times New Roman" w:eastAsia="方正仿宋_GBK" w:cs="方正仿宋_GBK"/>
          <w:color w:val="auto"/>
          <w:spacing w:val="0"/>
          <w:sz w:val="28"/>
          <w:szCs w:val="28"/>
          <w:lang w:val="en-US" w:eastAsia="zh-CN"/>
        </w:rPr>
        <w:t>《国家卫生健康委关于印发开展产前筛查技术医疗机构基本标准和开展产前诊断技术医疗机构基本标准的通知》（国卫妇幼函 ﹝2019﹞297号）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《中华人民共和国母婴保健法》第四条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母婴保健服务人员资格认定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凡从事《中华人民共和国母婴保健法》规定的助产、结扎、终止妊娠、婚前医学检查、产前诊断、遗传病诊断技术服务的人员，必须符合《母婴保健专项技术服务许可及人员资格管理办法》和《云南省母婴保健技术服务考核发证管理办法》的有关规定，经考核合格，取得《母婴保健技术考核合格证书》。申请产前诊断技术的人员，还需要符合国家卫生健康委《开展产前诊断技术服务机构基本标准》中关于人员能力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《中华人民共和国医师法》第六条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eastAsia" w:ascii="宋体" w:hAnsi="宋体" w:eastAsia="方正仿宋_GBK" w:cs="方正仿宋_GBK"/>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方正仿宋_GBK" w:hAnsi="方正仿宋_GBK" w:eastAsia="方正仿宋_GBK" w:cs="方正仿宋_GBK"/>
          <w:strike w:val="0"/>
          <w:dstrike w:val="0"/>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（1）开展“双随机、一公开”监管，动态更新被许可人、检查人员和专家名录库；对风险等级高、投诉举报多的</w:t>
      </w:r>
      <w:r>
        <w:rPr>
          <w:rFonts w:hint="eastAsia" w:ascii="宋体" w:hAnsi="宋体" w:eastAsia="方正仿宋_GBK" w:cs="方正仿宋_GBK"/>
          <w:sz w:val="28"/>
          <w:szCs w:val="28"/>
          <w:lang w:val="en-US" w:eastAsia="zh-CN"/>
        </w:rPr>
        <w:t>场所</w:t>
      </w:r>
      <w:r>
        <w:rPr>
          <w:rFonts w:ascii="宋体" w:hAnsi="宋体" w:eastAsia="方正仿宋_GBK" w:cs="方正仿宋_GBK"/>
          <w:sz w:val="28"/>
          <w:szCs w:val="28"/>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云南省医疗保健机构母婴保健技术考核合格证申请表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2</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医师执业证书或护士执业证书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3</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参加卫生行政部门组织的母婴保健技术服务相应专业培训并考核合格的证书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4</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2张小1寸免冠彩色照片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5</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申请人身份证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val="en-US" w:eastAsia="zh-CN"/>
        </w:rPr>
        <w:t>（6）</w:t>
      </w:r>
      <w:r>
        <w:rPr>
          <w:rFonts w:hint="eastAsia" w:ascii="宋体" w:hAnsi="宋体" w:eastAsia="方正仿宋_GBK" w:cs="方正仿宋_GBK"/>
          <w:sz w:val="28"/>
          <w:szCs w:val="28"/>
        </w:rPr>
        <w:t>职称证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7</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最高学历毕业证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sz w:val="28"/>
          <w:szCs w:val="28"/>
        </w:rPr>
      </w:pPr>
      <w:r>
        <w:rPr>
          <w:rFonts w:hint="eastAsia" w:ascii="宋体" w:hAnsi="宋体" w:eastAsia="仿宋GB2312"/>
          <w:b/>
          <w:bCs/>
          <w:sz w:val="28"/>
          <w:szCs w:val="28"/>
        </w:rPr>
        <w:t>2.</w:t>
      </w:r>
      <w:r>
        <w:rPr>
          <w:rFonts w:ascii="宋体" w:hAnsi="宋体" w:eastAsia="仿宋GB2312"/>
          <w:b/>
          <w:bCs/>
          <w:sz w:val="28"/>
          <w:szCs w:val="28"/>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《云南省母婴保健技术服务考核发证管理办法》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1.有无法定中介服务事项：</w:t>
      </w:r>
      <w:r>
        <w:rPr>
          <w:rFonts w:hint="eastAsia" w:ascii="宋体" w:hAnsi="宋体" w:eastAsia="方正仿宋_GBK" w:cs="方正仿宋_GBK"/>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b w:val="0"/>
          <w:bCs w:val="0"/>
          <w:sz w:val="28"/>
          <w:szCs w:val="28"/>
          <w:lang w:val="en-US" w:eastAsia="zh-CN"/>
        </w:rPr>
      </w:pPr>
      <w:r>
        <w:rPr>
          <w:rFonts w:hint="eastAsia" w:ascii="宋体" w:hAnsi="宋体" w:eastAsia="仿宋GB2312"/>
          <w:b/>
          <w:bCs/>
          <w:sz w:val="28"/>
          <w:szCs w:val="28"/>
        </w:rPr>
        <w:t>2.</w:t>
      </w:r>
      <w:r>
        <w:rPr>
          <w:rFonts w:ascii="宋体" w:hAnsi="宋体" w:eastAsia="仿宋GB2312"/>
          <w:b/>
          <w:bCs/>
          <w:sz w:val="28"/>
          <w:szCs w:val="28"/>
        </w:rPr>
        <w:t>中介服务事项名称</w:t>
      </w:r>
      <w:r>
        <w:rPr>
          <w:rFonts w:hint="eastAsia" w:ascii="宋体" w:hAnsi="宋体" w:eastAsia="仿宋GB2312"/>
          <w:b/>
          <w:bCs/>
          <w:sz w:val="28"/>
          <w:szCs w:val="28"/>
          <w:lang w:eastAsia="zh-CN"/>
        </w:rPr>
        <w:t>：</w:t>
      </w:r>
      <w:r>
        <w:rPr>
          <w:rFonts w:hint="eastAsia" w:ascii="宋体" w:hAnsi="宋体" w:eastAsia="仿宋GB2312"/>
          <w:b w:val="0"/>
          <w:bCs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b w:val="0"/>
          <w:bCs w:val="0"/>
          <w:sz w:val="28"/>
          <w:szCs w:val="28"/>
          <w:lang w:val="en-US" w:eastAsia="zh-CN"/>
        </w:rPr>
      </w:pPr>
      <w:r>
        <w:rPr>
          <w:rFonts w:hint="eastAsia" w:ascii="宋体" w:hAnsi="宋体" w:eastAsia="仿宋GB2312"/>
          <w:b/>
          <w:bCs/>
          <w:sz w:val="28"/>
          <w:szCs w:val="28"/>
          <w:lang w:val="en-US" w:eastAsia="zh-CN"/>
        </w:rPr>
        <w:t>3.</w:t>
      </w:r>
      <w:r>
        <w:rPr>
          <w:rFonts w:ascii="宋体" w:hAnsi="宋体" w:eastAsia="仿宋GB2312"/>
          <w:b/>
          <w:bCs/>
          <w:sz w:val="28"/>
          <w:szCs w:val="28"/>
        </w:rPr>
        <w:t>设定中介服务事项的依据</w:t>
      </w:r>
      <w:r>
        <w:rPr>
          <w:rFonts w:hint="eastAsia" w:ascii="宋体" w:hAnsi="宋体" w:eastAsia="仿宋GB2312"/>
          <w:b/>
          <w:bCs/>
          <w:sz w:val="28"/>
          <w:szCs w:val="28"/>
          <w:lang w:eastAsia="zh-CN"/>
        </w:rPr>
        <w:t>：</w:t>
      </w:r>
      <w:r>
        <w:rPr>
          <w:rFonts w:hint="eastAsia" w:ascii="宋体" w:hAnsi="宋体" w:eastAsia="仿宋GB2312"/>
          <w:b w:val="0"/>
          <w:bCs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lang w:val="en-US" w:eastAsia="zh-CN"/>
        </w:rPr>
        <w:t>4.</w:t>
      </w:r>
      <w:r>
        <w:rPr>
          <w:rFonts w:ascii="宋体" w:hAnsi="宋体" w:eastAsia="仿宋GB2312"/>
          <w:b/>
          <w:bCs/>
          <w:sz w:val="28"/>
          <w:szCs w:val="28"/>
        </w:rPr>
        <w:t>提供中介服务的机构</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宋体" w:hAnsi="宋体" w:eastAsia="仿宋GB2312"/>
          <w:b/>
          <w:bCs/>
          <w:sz w:val="28"/>
          <w:szCs w:val="28"/>
          <w:lang w:val="en-US" w:eastAsia="zh-CN"/>
        </w:rPr>
        <w:t>5.</w:t>
      </w:r>
      <w:r>
        <w:rPr>
          <w:rFonts w:ascii="宋体" w:hAnsi="宋体" w:eastAsia="仿宋GB2312"/>
          <w:b/>
          <w:bCs/>
          <w:sz w:val="28"/>
          <w:szCs w:val="28"/>
        </w:rPr>
        <w:t>中介服务事项的收费性质</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（1）</w:t>
      </w:r>
      <w:r>
        <w:rPr>
          <w:rFonts w:hint="default" w:ascii="宋体" w:hAnsi="宋体" w:eastAsia="方正仿宋_GBK" w:cs="方正仿宋_GBK"/>
          <w:sz w:val="28"/>
          <w:szCs w:val="28"/>
          <w:lang w:val="en-US"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（2）</w:t>
      </w:r>
      <w:r>
        <w:rPr>
          <w:rFonts w:ascii="宋体" w:hAnsi="宋体" w:eastAsia="方正仿宋_GBK" w:cs="方正仿宋_GBK"/>
          <w:sz w:val="28"/>
          <w:szCs w:val="28"/>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333333"/>
          <w:spacing w:val="0"/>
          <w:sz w:val="28"/>
          <w:szCs w:val="28"/>
          <w:shd w:val="clear" w:fill="FFFFFF"/>
          <w:lang w:eastAsia="zh-CN"/>
        </w:rPr>
      </w:pP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审查（对申请材料进行审查</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视情形需要，组织进行现场审核和专家评审</w:t>
      </w:r>
      <w:r>
        <w:rPr>
          <w:rFonts w:hint="eastAsia" w:ascii="宋体" w:hAnsi="宋体"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中华人民共和国行政许可法</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第一节、第二节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rPr>
        <w:t>3.</w:t>
      </w:r>
      <w:r>
        <w:rPr>
          <w:rFonts w:ascii="宋体" w:hAnsi="宋体" w:eastAsia="仿宋GB2312"/>
          <w:b/>
          <w:bCs/>
          <w:sz w:val="28"/>
          <w:szCs w:val="28"/>
        </w:rPr>
        <w:t>是否需要现场勘验</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是否需要组织听证</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是否需要招标、拍卖、挂牌交易</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s="方正仿宋_GBK"/>
          <w:sz w:val="28"/>
          <w:szCs w:val="28"/>
          <w:lang w:val="en-US" w:eastAsia="zh-CN"/>
        </w:rPr>
      </w:pPr>
      <w:r>
        <w:rPr>
          <w:rFonts w:hint="eastAsia" w:ascii="宋体" w:hAnsi="宋体" w:eastAsia="仿宋GB2312"/>
          <w:b/>
          <w:bCs/>
          <w:sz w:val="28"/>
          <w:szCs w:val="28"/>
        </w:rPr>
        <w:t>6.</w:t>
      </w:r>
      <w:r>
        <w:rPr>
          <w:rFonts w:ascii="宋体" w:hAnsi="宋体" w:eastAsia="仿宋GB2312"/>
          <w:b/>
          <w:bCs/>
          <w:sz w:val="28"/>
          <w:szCs w:val="28"/>
        </w:rPr>
        <w:t>是否需要检验、检测、检疫</w:t>
      </w:r>
      <w:r>
        <w:rPr>
          <w:rFonts w:hint="eastAsia" w:ascii="宋体" w:hAnsi="宋体" w:eastAsia="仿宋GB2312"/>
          <w:b/>
          <w:bCs/>
          <w:sz w:val="28"/>
          <w:szCs w:val="28"/>
        </w:rPr>
        <w:t>：</w:t>
      </w:r>
      <w:r>
        <w:rPr>
          <w:rFonts w:hint="eastAsia" w:ascii="宋体" w:hAnsi="宋体" w:eastAsia="仿宋GB2312"/>
          <w:b/>
          <w:bCs/>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7.</w:t>
      </w:r>
      <w:r>
        <w:rPr>
          <w:rFonts w:ascii="宋体" w:hAnsi="宋体" w:eastAsia="仿宋GB2312"/>
          <w:b/>
          <w:bCs/>
          <w:sz w:val="28"/>
          <w:szCs w:val="28"/>
        </w:rPr>
        <w:t>是否需要鉴定</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8.</w:t>
      </w:r>
      <w:r>
        <w:rPr>
          <w:rFonts w:ascii="宋体" w:hAnsi="宋体" w:eastAsia="仿宋GB2312"/>
          <w:b/>
          <w:bCs/>
          <w:sz w:val="28"/>
          <w:szCs w:val="28"/>
        </w:rPr>
        <w:t>是否需要专家评审</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9.</w:t>
      </w:r>
      <w:r>
        <w:rPr>
          <w:rFonts w:ascii="宋体" w:hAnsi="宋体" w:eastAsia="仿宋GB2312"/>
          <w:b/>
          <w:bCs/>
          <w:sz w:val="28"/>
          <w:szCs w:val="28"/>
        </w:rPr>
        <w:t>是否需要向社会公示</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10.</w:t>
      </w:r>
      <w:r>
        <w:rPr>
          <w:rFonts w:ascii="宋体" w:hAnsi="宋体" w:eastAsia="仿宋GB2312"/>
          <w:b/>
          <w:bCs/>
          <w:sz w:val="28"/>
          <w:szCs w:val="28"/>
        </w:rPr>
        <w:t>是否实行告知承诺办理</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11.审批机关是否委托服务机构开展技术性服务：</w:t>
      </w:r>
      <w:r>
        <w:rPr>
          <w:rFonts w:hint="eastAsia" w:ascii="宋体" w:hAnsi="宋体" w:eastAsia="方正仿宋_GBK" w:cs="方正仿宋_GBK"/>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1.承诺</w:t>
      </w:r>
      <w:r>
        <w:rPr>
          <w:rFonts w:hint="eastAsia" w:ascii="宋体" w:hAnsi="宋体" w:eastAsia="仿宋GB2312"/>
          <w:b/>
          <w:bCs/>
          <w:sz w:val="28"/>
          <w:szCs w:val="28"/>
          <w:lang w:val="en-US" w:eastAsia="zh-CN"/>
        </w:rPr>
        <w:t>受理</w:t>
      </w:r>
      <w:r>
        <w:rPr>
          <w:rFonts w:hint="eastAsia" w:ascii="宋体" w:hAnsi="宋体" w:eastAsia="仿宋GB2312"/>
          <w:b/>
          <w:bCs/>
          <w:sz w:val="28"/>
          <w:szCs w:val="28"/>
        </w:rPr>
        <w:t>时限：</w:t>
      </w:r>
      <w:r>
        <w:rPr>
          <w:rFonts w:hint="eastAsia" w:ascii="宋体" w:hAnsi="宋体" w:eastAsia="方正仿宋_GBK" w:cs="方正仿宋_GBK"/>
          <w:sz w:val="28"/>
          <w:szCs w:val="28"/>
          <w:lang w:val="en-US" w:eastAsia="zh-CN"/>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2.法定审批时限：</w:t>
      </w:r>
      <w:r>
        <w:rPr>
          <w:rFonts w:hint="eastAsia" w:ascii="宋体" w:hAnsi="宋体" w:eastAsia="方正仿宋_GBK" w:cs="方正仿宋_GBK"/>
          <w:sz w:val="28"/>
          <w:szCs w:val="28"/>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3.规定法定审批时限依据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kern w:val="2"/>
          <w:sz w:val="28"/>
          <w:szCs w:val="28"/>
          <w:lang w:val="en-US" w:eastAsia="zh-CN" w:bidi="ar-SA"/>
        </w:rPr>
      </w:pPr>
      <w:r>
        <w:rPr>
          <w:rFonts w:hint="eastAsia" w:ascii="宋体" w:hAnsi="宋体" w:eastAsia="方正仿宋_GBK" w:cs="方正仿宋_GBK"/>
          <w:kern w:val="2"/>
          <w:sz w:val="28"/>
          <w:szCs w:val="28"/>
          <w:lang w:val="en-US" w:eastAsia="zh-CN" w:bidi="ar-SA"/>
        </w:rPr>
        <w:t>《中华人民共和国行政许可法》</w:t>
      </w:r>
      <w:r>
        <w:rPr>
          <w:rFonts w:ascii="宋体" w:hAnsi="宋体" w:eastAsia="方正仿宋_GBK" w:cs="方正仿宋_GBK"/>
          <w:kern w:val="2"/>
          <w:sz w:val="28"/>
          <w:szCs w:val="28"/>
          <w:lang w:val="en-US" w:eastAsia="zh-CN" w:bidi="ar-SA"/>
        </w:rPr>
        <w:t>第四十二条</w:t>
      </w:r>
      <w:r>
        <w:rPr>
          <w:rFonts w:hint="eastAsia" w:ascii="宋体" w:hAnsi="宋体" w:eastAsia="方正仿宋_GBK" w:cs="方正仿宋_GBK"/>
          <w:kern w:val="2"/>
          <w:sz w:val="28"/>
          <w:szCs w:val="28"/>
          <w:lang w:val="en-US" w:eastAsia="zh-CN" w:bidi="ar-SA"/>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4.承诺审批时限：</w:t>
      </w:r>
      <w:r>
        <w:rPr>
          <w:rFonts w:hint="eastAsia" w:ascii="宋体" w:hAnsi="宋体" w:eastAsia="方正仿宋_GBK" w:cs="方正仿宋_GBK"/>
          <w:sz w:val="28"/>
          <w:szCs w:val="28"/>
          <w:lang w:val="en-US" w:eastAsia="zh-CN"/>
        </w:rPr>
        <w:t>5个工作日</w:t>
      </w:r>
      <w:r>
        <w:rPr>
          <w:rFonts w:hint="eastAsia" w:ascii="宋体" w:hAnsi="宋体" w:eastAsia="方正仿宋_GBK" w:cs="Nimbus Roman No9 L"/>
          <w:color w:val="auto"/>
          <w:spacing w:val="0"/>
          <w:kern w:val="0"/>
          <w:sz w:val="28"/>
          <w:szCs w:val="28"/>
          <w:lang w:val="en-US" w:eastAsia="zh-CN" w:bidi="ar-SA"/>
        </w:rPr>
        <w:t>（不包括法定节假日，依法进行检验、检测、检疫、听证、鉴定、专家评审所需的时间，不计算在办结时限内。）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1.办理行政许可是否收费：</w:t>
      </w:r>
      <w:r>
        <w:rPr>
          <w:rFonts w:hint="eastAsia"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FF0000"/>
          <w:sz w:val="28"/>
          <w:szCs w:val="28"/>
        </w:rPr>
      </w:pPr>
      <w:r>
        <w:rPr>
          <w:rFonts w:hint="eastAsia" w:ascii="宋体" w:hAnsi="宋体" w:eastAsia="仿宋GB2312"/>
          <w:b/>
          <w:bCs/>
          <w:sz w:val="28"/>
          <w:szCs w:val="28"/>
        </w:rPr>
        <w:t>2.收费项目的名称、收费项目的标准、设定收费项目的依据、规定收费标准的依据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ascii="宋体" w:hAnsi="宋体" w:eastAsia="仿宋GB2312"/>
          <w:sz w:val="28"/>
          <w:szCs w:val="28"/>
        </w:rPr>
      </w:pPr>
      <w:r>
        <w:rPr>
          <w:rFonts w:hint="eastAsia" w:ascii="宋体" w:hAnsi="宋体" w:eastAsia="仿宋GB2312"/>
          <w:b/>
          <w:bCs/>
          <w:sz w:val="28"/>
          <w:szCs w:val="28"/>
        </w:rPr>
        <w:t>1.审批结果类型：</w:t>
      </w:r>
      <w:r>
        <w:rPr>
          <w:rFonts w:ascii="宋体" w:hAnsi="宋体" w:eastAsia="方正仿宋_GBK" w:cs="方正仿宋_GBK"/>
          <w:sz w:val="28"/>
          <w:szCs w:val="28"/>
        </w:rPr>
        <w:t>证照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rPr>
      </w:pPr>
      <w:r>
        <w:rPr>
          <w:rFonts w:hint="eastAsia" w:ascii="宋体" w:hAnsi="宋体" w:eastAsia="仿宋GB2312"/>
          <w:b/>
          <w:bCs/>
          <w:sz w:val="28"/>
          <w:szCs w:val="28"/>
        </w:rPr>
        <w:t>2.审批结果名称：</w:t>
      </w:r>
      <w:r>
        <w:rPr>
          <w:rFonts w:ascii="宋体" w:hAnsi="宋体" w:eastAsia="方正仿宋_GBK" w:cs="方正仿宋_GBK"/>
          <w:sz w:val="28"/>
          <w:szCs w:val="28"/>
        </w:rPr>
        <w:t>母婴保健技术考核合格证书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宋体" w:hAnsi="宋体" w:eastAsia="仿宋GB2312"/>
          <w:b/>
          <w:bCs/>
          <w:sz w:val="28"/>
          <w:szCs w:val="28"/>
        </w:rPr>
        <w:t>3.审批结果的有效期限：</w:t>
      </w:r>
      <w:r>
        <w:rPr>
          <w:rFonts w:hint="eastAsia" w:ascii="宋体" w:hAnsi="宋体" w:eastAsia="方正仿宋_GBK" w:cs="方正仿宋_GBK"/>
          <w:sz w:val="28"/>
          <w:szCs w:val="28"/>
          <w:lang w:val="en-US" w:eastAsia="zh-CN"/>
        </w:rPr>
        <w:t>终身有效</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lang w:eastAsia="zh-CN"/>
        </w:rPr>
      </w:pPr>
      <w:r>
        <w:rPr>
          <w:rFonts w:hint="eastAsia" w:ascii="宋体" w:hAnsi="宋体" w:eastAsia="仿宋GB2312"/>
          <w:b/>
          <w:bCs/>
          <w:sz w:val="28"/>
          <w:szCs w:val="28"/>
        </w:rPr>
        <w:t>4.规定审批结果有效期限的依据</w:t>
      </w:r>
      <w:r>
        <w:rPr>
          <w:rFonts w:hint="eastAsia" w:ascii="宋体" w:hAnsi="宋体" w:eastAsia="仿宋GB2312"/>
          <w:b/>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《云南省卫生计生委关于取消母婴保健技术考核合格证有效期的批复》</w:t>
      </w:r>
      <w:r>
        <w:rPr>
          <w:rFonts w:hint="default" w:ascii="Times New Roman" w:hAnsi="Times New Roman" w:eastAsia="方正仿宋_GBK" w:cs="方正仿宋_GBK"/>
          <w:color w:val="auto"/>
          <w:spacing w:val="0"/>
          <w:sz w:val="28"/>
          <w:szCs w:val="28"/>
          <w:lang w:val="en-US" w:eastAsia="zh-CN"/>
        </w:rPr>
        <w:t>（</w:t>
      </w:r>
      <w:r>
        <w:rPr>
          <w:rFonts w:hint="eastAsia" w:ascii="Times New Roman" w:hAnsi="Times New Roman" w:eastAsia="方正仿宋_GBK" w:cs="方正仿宋_GBK"/>
          <w:color w:val="auto"/>
          <w:spacing w:val="0"/>
          <w:sz w:val="28"/>
          <w:szCs w:val="28"/>
          <w:lang w:val="en-US" w:eastAsia="zh-CN"/>
        </w:rPr>
        <w:t>云</w:t>
      </w:r>
      <w:r>
        <w:rPr>
          <w:rFonts w:hint="default" w:ascii="Times New Roman" w:hAnsi="Times New Roman" w:eastAsia="方正仿宋_GBK" w:cs="方正仿宋_GBK"/>
          <w:color w:val="auto"/>
          <w:spacing w:val="0"/>
          <w:sz w:val="28"/>
          <w:szCs w:val="28"/>
          <w:lang w:val="en-US" w:eastAsia="zh-CN"/>
        </w:rPr>
        <w:t>卫妇幼</w:t>
      </w:r>
      <w:r>
        <w:rPr>
          <w:rFonts w:hint="eastAsia" w:ascii="Times New Roman" w:hAnsi="Times New Roman" w:eastAsia="方正仿宋_GBK" w:cs="方正仿宋_GBK"/>
          <w:color w:val="auto"/>
          <w:spacing w:val="0"/>
          <w:sz w:val="28"/>
          <w:szCs w:val="28"/>
          <w:lang w:val="en-US" w:eastAsia="zh-CN"/>
        </w:rPr>
        <w:t>发</w:t>
      </w:r>
      <w:r>
        <w:rPr>
          <w:rFonts w:hint="default" w:ascii="Times New Roman" w:hAnsi="Times New Roman" w:eastAsia="方正仿宋_GBK" w:cs="方正仿宋_GBK"/>
          <w:color w:val="auto"/>
          <w:spacing w:val="0"/>
          <w:sz w:val="28"/>
          <w:szCs w:val="28"/>
          <w:lang w:val="en-US" w:eastAsia="zh-CN"/>
        </w:rPr>
        <w:t xml:space="preserve"> ﹝20</w:t>
      </w:r>
      <w:r>
        <w:rPr>
          <w:rFonts w:hint="eastAsia" w:ascii="Times New Roman" w:hAnsi="Times New Roman" w:eastAsia="方正仿宋_GBK" w:cs="方正仿宋_GBK"/>
          <w:color w:val="auto"/>
          <w:spacing w:val="0"/>
          <w:sz w:val="28"/>
          <w:szCs w:val="28"/>
          <w:lang w:val="en-US" w:eastAsia="zh-CN"/>
        </w:rPr>
        <w:t>18</w:t>
      </w:r>
      <w:r>
        <w:rPr>
          <w:rFonts w:hint="default" w:ascii="Times New Roman" w:hAnsi="Times New Roman" w:eastAsia="方正仿宋_GBK" w:cs="方正仿宋_GBK"/>
          <w:color w:val="auto"/>
          <w:spacing w:val="0"/>
          <w:sz w:val="28"/>
          <w:szCs w:val="28"/>
          <w:lang w:val="en-US" w:eastAsia="zh-CN"/>
        </w:rPr>
        <w:t>﹞</w:t>
      </w:r>
      <w:r>
        <w:rPr>
          <w:rFonts w:hint="eastAsia" w:ascii="Times New Roman" w:hAnsi="Times New Roman" w:eastAsia="方正仿宋_GBK" w:cs="方正仿宋_GBK"/>
          <w:color w:val="auto"/>
          <w:spacing w:val="0"/>
          <w:sz w:val="28"/>
          <w:szCs w:val="28"/>
          <w:lang w:val="en-US" w:eastAsia="zh-CN"/>
        </w:rPr>
        <w:t>6</w:t>
      </w:r>
      <w:r>
        <w:rPr>
          <w:rFonts w:hint="default" w:ascii="Times New Roman" w:hAnsi="Times New Roman" w:eastAsia="方正仿宋_GBK" w:cs="方正仿宋_GBK"/>
          <w:color w:val="auto"/>
          <w:spacing w:val="0"/>
          <w:sz w:val="28"/>
          <w:szCs w:val="28"/>
          <w:lang w:val="en-US" w:eastAsia="zh-CN"/>
        </w:rPr>
        <w:t>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5.是否需要办理审批结果变更手续：</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sz w:val="28"/>
          <w:szCs w:val="28"/>
          <w:lang w:val="en-US" w:eastAsia="zh-CN"/>
        </w:rPr>
      </w:pPr>
      <w:r>
        <w:rPr>
          <w:rFonts w:hint="eastAsia" w:ascii="宋体" w:hAnsi="宋体" w:eastAsia="仿宋GB2312"/>
          <w:b/>
          <w:bCs/>
          <w:sz w:val="28"/>
          <w:szCs w:val="28"/>
        </w:rPr>
        <w:t>6.办理审批结果变更手续的要求</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rPr>
        <w:t>7.是否需要办理审批结果延续手续：</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sz w:val="28"/>
          <w:szCs w:val="28"/>
          <w:lang w:val="en-US" w:eastAsia="zh-CN"/>
        </w:rPr>
      </w:pPr>
      <w:r>
        <w:rPr>
          <w:rFonts w:hint="eastAsia" w:ascii="宋体" w:hAnsi="宋体" w:eastAsia="仿宋GB2312"/>
          <w:b/>
          <w:bCs/>
          <w:sz w:val="28"/>
          <w:szCs w:val="28"/>
        </w:rPr>
        <w:t>8.办理审批结果延续手续的要求</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9.审批结果的有效地域范围</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宋体" w:hAnsi="宋体" w:eastAsia="方正仿宋_GBK" w:cs="方正仿宋_GBK"/>
          <w:sz w:val="28"/>
          <w:szCs w:val="28"/>
          <w:lang w:val="en-US" w:eastAsia="zh-CN"/>
        </w:rPr>
        <w:t>《中华人民共和国医师法》第十四条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1.有无行政许可数量限制：</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2.公布数量限制的方式：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3.公布数量限制的周期：</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4.在数量限制条件下实施行政许可的方式：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sz w:val="28"/>
          <w:szCs w:val="28"/>
        </w:rPr>
      </w:pPr>
      <w:r>
        <w:rPr>
          <w:rFonts w:hint="eastAsia" w:ascii="宋体" w:hAnsi="宋体" w:eastAsia="仿宋GB2312"/>
          <w:b/>
          <w:bCs/>
          <w:sz w:val="28"/>
          <w:szCs w:val="28"/>
        </w:rPr>
        <w:t>5.规定在数量限制条件下实施行政许可方式的依据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1.有无年检要求：</w:t>
      </w:r>
      <w:r>
        <w:rPr>
          <w:rFonts w:hint="eastAsia" w:ascii="宋体" w:hAnsi="宋体" w:eastAsia="方正仿宋_GBK" w:cs="方正仿宋_GBK"/>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sz w:val="28"/>
          <w:szCs w:val="28"/>
          <w:lang w:val="en-US" w:eastAsia="zh-CN"/>
        </w:rPr>
      </w:pPr>
      <w:r>
        <w:rPr>
          <w:rFonts w:hint="eastAsia" w:ascii="宋体" w:hAnsi="宋体" w:eastAsia="仿宋GB2312"/>
          <w:b/>
          <w:bCs/>
          <w:sz w:val="28"/>
          <w:szCs w:val="28"/>
        </w:rPr>
        <w:t>2.设定年检要求的依据</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sz w:val="28"/>
          <w:szCs w:val="28"/>
          <w:lang w:val="en-US" w:eastAsia="zh-CN"/>
        </w:rPr>
      </w:pPr>
      <w:r>
        <w:rPr>
          <w:rFonts w:hint="eastAsia" w:ascii="宋体" w:hAnsi="宋体" w:eastAsia="仿宋GB2312"/>
          <w:b/>
          <w:bCs/>
          <w:sz w:val="28"/>
          <w:szCs w:val="28"/>
        </w:rPr>
        <w:t>3.年检周期：</w:t>
      </w:r>
      <w:r>
        <w:rPr>
          <w:rFonts w:hint="eastAsia" w:ascii="宋体" w:hAnsi="宋体" w:eastAsia="方正仿宋_GBK" w:cs="方正仿宋_GBK"/>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4.年检是否要求报送材料：</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5.年检报送材料名称：</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6.年检是否收费：</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7.年检收费项目的名称、年检收费项目的标准、设定年检收费项目的依据、规定年检项目收费标准的依据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8.通过年检的证明或者标志：</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w:t>
      </w:r>
      <w:r>
        <w:rPr>
          <w:rFonts w:ascii="宋体" w:hAnsi="宋体" w:eastAsia="仿宋GB2312"/>
          <w:b/>
          <w:bCs/>
          <w:sz w:val="28"/>
          <w:szCs w:val="28"/>
        </w:rPr>
        <w:t>有无年报要求</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2.</w:t>
      </w:r>
      <w:r>
        <w:rPr>
          <w:rFonts w:ascii="宋体" w:hAnsi="宋体" w:eastAsia="仿宋GB2312"/>
          <w:b/>
          <w:bCs/>
          <w:sz w:val="28"/>
          <w:szCs w:val="28"/>
        </w:rPr>
        <w:t>年报报送材料名称</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3.</w:t>
      </w:r>
      <w:r>
        <w:rPr>
          <w:rFonts w:ascii="宋体" w:hAnsi="宋体" w:eastAsia="仿宋GB2312"/>
          <w:b/>
          <w:bCs/>
          <w:sz w:val="28"/>
          <w:szCs w:val="28"/>
        </w:rPr>
        <w:t>设定年报要求的依据：</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年报周期</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sz w:val="28"/>
          <w:szCs w:val="28"/>
        </w:rPr>
      </w:pPr>
      <w:r>
        <w:rPr>
          <w:rFonts w:hint="eastAsia" w:eastAsia="方正仿宋_GBK" w:cs="Times New Roman"/>
          <w:strike w:val="0"/>
          <w:dstrike w:val="0"/>
          <w:sz w:val="28"/>
          <w:szCs w:val="28"/>
          <w:lang w:val="en-US" w:eastAsia="zh-CN"/>
        </w:rPr>
        <w:t>无</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eastAsia="方正仿宋_GBK" w:cs="Times New Roman"/>
          <w:strike w:val="0"/>
          <w:dstrike w:val="0"/>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C8F914-B410-412C-A815-2AE85E3081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A066ED0C-202A-42F8-8A08-20FC76A2DA7A}"/>
  </w:font>
  <w:font w:name="方正楷体_GBK">
    <w:altName w:val="微软雅黑"/>
    <w:panose1 w:val="03000509000000000000"/>
    <w:charset w:val="86"/>
    <w:family w:val="script"/>
    <w:pitch w:val="default"/>
    <w:sig w:usb0="00000000" w:usb1="00000000" w:usb2="00000000" w:usb3="00000000" w:csb0="00040000" w:csb1="00000000"/>
    <w:embedRegular r:id="rId3" w:fontKey="{530E31D9-9AA4-4FB0-B795-50DE9F69944C}"/>
  </w:font>
  <w:font w:name="方正仿宋_GBK">
    <w:altName w:val="微软雅黑"/>
    <w:panose1 w:val="03000509000000000000"/>
    <w:charset w:val="86"/>
    <w:family w:val="auto"/>
    <w:pitch w:val="default"/>
    <w:sig w:usb0="00000000" w:usb1="00000000" w:usb2="00000000" w:usb3="00000000" w:csb0="00040000" w:csb1="00000000"/>
    <w:embedRegular r:id="rId4" w:fontKey="{FBFFDFF7-8248-45C5-8B41-6E0F2C4DB0CA}"/>
  </w:font>
  <w:font w:name="仿宋GB2312">
    <w:altName w:val="仿宋"/>
    <w:panose1 w:val="00000000000000000000"/>
    <w:charset w:val="00"/>
    <w:family w:val="roman"/>
    <w:pitch w:val="default"/>
    <w:sig w:usb0="00000000" w:usb1="00000000" w:usb2="00000000" w:usb3="00000000" w:csb0="00040001" w:csb1="00000000"/>
    <w:embedRegular r:id="rId5" w:fontKey="{4A0CA2B6-9846-47CE-BAB7-E5CE3BD239A3}"/>
  </w:font>
  <w:font w:name="Helvetica">
    <w:altName w:val="Arial"/>
    <w:panose1 w:val="020B0604020202020204"/>
    <w:charset w:val="00"/>
    <w:family w:val="auto"/>
    <w:pitch w:val="default"/>
    <w:sig w:usb0="00000000" w:usb1="00000000" w:usb2="00000000" w:usb3="00000000" w:csb0="00000000" w:csb1="00000000"/>
    <w:embedRegular r:id="rId6" w:fontKey="{83036257-54FD-454E-8A7B-0E3124872549}"/>
  </w:font>
  <w:font w:name="Nimbus Roman No9 L">
    <w:altName w:val="微软雅黑"/>
    <w:panose1 w:val="00000000000000000000"/>
    <w:charset w:val="00"/>
    <w:family w:val="auto"/>
    <w:pitch w:val="default"/>
    <w:sig w:usb0="00000000" w:usb1="00000000" w:usb2="00000000" w:usb3="00000000" w:csb0="00040001" w:csb1="00000000"/>
    <w:embedRegular r:id="rId7" w:fontKey="{A6C9224A-70EE-4B90-ADF7-24E68276690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72E5973"/>
    <w:rsid w:val="0F905E85"/>
    <w:rsid w:val="139158BA"/>
    <w:rsid w:val="163A5F6C"/>
    <w:rsid w:val="1B4E6301"/>
    <w:rsid w:val="1B564299"/>
    <w:rsid w:val="1D6B391A"/>
    <w:rsid w:val="255E38A7"/>
    <w:rsid w:val="2B0F538C"/>
    <w:rsid w:val="2B817347"/>
    <w:rsid w:val="2E15250A"/>
    <w:rsid w:val="2F4515CA"/>
    <w:rsid w:val="47F17436"/>
    <w:rsid w:val="48E54D3D"/>
    <w:rsid w:val="4D430A17"/>
    <w:rsid w:val="58626866"/>
    <w:rsid w:val="5A7B1AA0"/>
    <w:rsid w:val="5B783C56"/>
    <w:rsid w:val="5BFA3E56"/>
    <w:rsid w:val="63A12485"/>
    <w:rsid w:val="69634A6E"/>
    <w:rsid w:val="6C6C00A6"/>
    <w:rsid w:val="6EC25354"/>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sz w:val="24"/>
    </w:rPr>
  </w:style>
  <w:style w:type="paragraph" w:styleId="3">
    <w:name w:val="toc 5"/>
    <w:basedOn w:val="1"/>
    <w:next w:val="1"/>
    <w:qFormat/>
    <w:uiPriority w:val="0"/>
    <w:pPr>
      <w:ind w:left="168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6"/>
    <w:qFormat/>
    <w:uiPriority w:val="0"/>
    <w:pPr>
      <w:spacing w:after="120" w:line="276" w:lineRule="auto"/>
      <w:ind w:left="420" w:leftChars="200" w:firstLine="420" w:firstLineChars="200"/>
    </w:pPr>
    <w:rPr>
      <w:rFonts w:ascii="Times New Roman" w:hAnsi="Times New Roman" w:cs="Times New Roman"/>
      <w:sz w:val="21"/>
    </w:rPr>
  </w:style>
  <w:style w:type="character" w:styleId="13">
    <w:name w:val="Strong"/>
    <w:basedOn w:val="12"/>
    <w:qFormat/>
    <w:uiPriority w:val="0"/>
    <w:rPr>
      <w:b/>
    </w:rPr>
  </w:style>
  <w:style w:type="character" w:styleId="14">
    <w:name w:val="FollowedHyperlink"/>
    <w:basedOn w:val="12"/>
    <w:qFormat/>
    <w:uiPriority w:val="0"/>
    <w:rPr>
      <w:color w:val="005C81"/>
      <w:u w:val="none"/>
    </w:rPr>
  </w:style>
  <w:style w:type="character" w:styleId="15">
    <w:name w:val="Emphasis"/>
    <w:basedOn w:val="12"/>
    <w:qFormat/>
    <w:uiPriority w:val="0"/>
  </w:style>
  <w:style w:type="character" w:styleId="16">
    <w:name w:val="Hyperlink"/>
    <w:basedOn w:val="12"/>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2</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