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bookmarkStart w:id="0" w:name="_GoBack"/>
      <w:bookmarkEnd w:id="0"/>
      <w:r>
        <w:rPr>
          <w:rFonts w:hint="eastAsia" w:ascii="宋体" w:hAnsi="宋体" w:eastAsia="方正小标宋_GBK" w:cs="方正小标宋_GBK"/>
          <w:i w:val="0"/>
          <w:color w:val="000000" w:themeColor="text1"/>
          <w:kern w:val="0"/>
          <w:sz w:val="40"/>
          <w:szCs w:val="40"/>
          <w:highlight w:val="none"/>
          <w:u w:val="none"/>
          <w:shd w:val="clear" w:color="auto" w:fill="auto"/>
          <w:lang w:val="en-US" w:eastAsia="zh-CN" w:bidi="ar"/>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0"/>
          <w:szCs w:val="30"/>
          <w:lang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母婴保健技术服务机构执业许可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《中华人民共和国母婴保健法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中华人民共和国母婴保健法实施办法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国务院关于深化“证照分离”改革进一步激发市场主体发展活力的通知》（国发〔2021〕7号）</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《母婴保健专项技术服务许可及人员资格管理办法》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五、子项：</w:t>
      </w:r>
    </w:p>
    <w:p>
      <w:pPr>
        <w:pStyle w:val="5"/>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t>无</w:t>
      </w: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rPr>
      </w:pPr>
      <w:r>
        <w:rPr>
          <w:rFonts w:hint="eastAsia" w:ascii="宋体" w:hAnsi="宋体" w:eastAsia="方正小标宋_GBK" w:cs="方正小标宋_GBK"/>
          <w:sz w:val="40"/>
          <w:szCs w:val="40"/>
        </w:rPr>
        <w:t>母婴保健技术服务机构执业许可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rPr>
        <w:t>【000123001000】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母婴保健技术服务机构执业许可【000123001000】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（1）母婴保健技术服务机构执业许可（校验）【00012300100007】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（2）母婴保健技术服务机构执业许可（许可）【00012300100008】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（3）母婴保健技术服务机构执业许可（变更）【00012300100009】</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（1）《中华人民共和国母婴保健法》第三十二条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（2）《计划生育技术服务管理条例》第二十二条、第二十四条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（3）《母婴保健专项技术服务许可及人员资格管理办法》第二条、第三条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（4）《中华人民共和国母婴保健法实施办法》第三十五条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（5）《国务院关于第六批取消和调整行政审批项目的决定》（国发〔2012〕52号）附件2（一）第50项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（6）《国家卫生健康委办公厅关于做好妇幼健康领域“证照分离”改革工作的通知》（国卫办妇幼发 ﹝2021﹞4号）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（1）《中华人民共和国母婴保健法》第三十二条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（2）《计划生育技术服务管理条例》第二十二条、第二十四条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（3）《母婴保健专项技术服务许可及人员资格管理办法》第二条、第三条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（4）《中华人民共和国母婴保健法实施办法》第三十五条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（5）《国务院关于第六批取消和调整行政审批项目的决定》（国发〔2012〕52号）附件2（一）第50项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（6）《国家卫生健康委办公厅关于做好妇幼健康领域“证照分离”改革工作的通知》（国卫办妇幼发 ﹝2021﹞4号）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（1）《中华人民共和国母婴保健法》第四条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（2）《计划生育技术服务管理条例》第四条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lang w:val="en-US" w:eastAsia="zh-CN"/>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（3）《中华人民共和国母婴保健法实施办法》第三十四条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母婴保健技术服务机构执业许可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（一） 符合当地医疗保健机构设置规划；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（二） 取得《医疗机构执业许可证》；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（三） 符合母婴保健专项技术服务基本标准；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（四） 法律法规规章规定的其他条件。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lang w:val="en-US" w:eastAsia="zh-CN"/>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《中华人民共和国母婴保健法实施办法》第四条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ascii="宋体" w:hAnsi="宋体" w:eastAsia="方正仿宋_GBK" w:cs="方正仿宋_GBK"/>
          <w:color w:val="000000" w:themeColor="text1"/>
          <w:sz w:val="28"/>
          <w:szCs w:val="28"/>
          <w14:textFill>
            <w14:solidFill>
              <w14:schemeClr w14:val="tx1"/>
            </w14:solidFill>
          </w14:textFill>
        </w:rPr>
        <w:t>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母婴保健技术服务机构执业许可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母婴保健技术服务执业许可证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取消“计划生育技术服务机构设立许可”，纳入“母婴保健专项技术服务许可”进行统一审批管理，原计划生育技术服务项目中的结扎手术和终止妊娠手术统一纳入“母婴保健专项技术服务”进行许可</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ascii="宋体" w:hAnsi="宋体" w:eastAsia="方正仿宋_GBK" w:cs="方正仿宋_GBK"/>
          <w:color w:val="000000" w:themeColor="text1"/>
          <w:sz w:val="28"/>
          <w:szCs w:val="28"/>
          <w14:textFill>
            <w14:solidFill>
              <w14:schemeClr w14:val="tx1"/>
            </w14:solidFill>
          </w14:textFill>
        </w:rPr>
        <w:t>）申请人实际生产经营条件与承诺内容不符时，根据具体情况要求其限期整改或者依法撤销许可证。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母婴保健技术服务执业许可申请登记书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医疗机构执业许可证（正副本）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与所申请的母婴保健技术服务项目相对应的场所设置布局平面图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与拟开展母婴保健专项技术相应的设备条件及人员配备情况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母婴保健技术服务人员的《母婴保健技术考核合格证书》或加注母婴保健技术考核合格及技术类别的《医师执业证书》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母婴保健技术服务人员的《医师执业证书》或《护士执业证书》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申请开展相应母婴保健技术的规章制度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母婴保健技术服务人员的《职称证》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9</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可行性报告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10</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被委托人身份证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母婴保健伦理委员会名单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《中华人民共和国母婴保健法实施办法》第五条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《中华人民共和国母婴保健法实施办法》第六条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45</w:t>
      </w:r>
      <w:r>
        <w:rPr>
          <w:rFonts w:hint="eastAsia" w:ascii="宋体" w:hAnsi="宋体" w:eastAsia="方正仿宋_GBK" w:cs="方正仿宋_GBK"/>
          <w:color w:val="000000" w:themeColor="text1"/>
          <w:sz w:val="28"/>
          <w:szCs w:val="28"/>
          <w14:textFill>
            <w14:solidFill>
              <w14:schemeClr w14:val="tx1"/>
            </w14:solidFill>
          </w14:textFill>
        </w:rPr>
        <w:t>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（1）《中华人民共和国行政许可法》</w:t>
      </w:r>
      <w:r>
        <w:rPr>
          <w:rFonts w:ascii="宋体" w:hAnsi="宋体" w:eastAsia="方正仿宋_GBK" w:cs="方正仿宋_GBK"/>
          <w:color w:val="000000" w:themeColor="text1"/>
          <w:kern w:val="2"/>
          <w:sz w:val="28"/>
          <w:szCs w:val="28"/>
          <w:lang w:val="en-US" w:eastAsia="zh-CN" w:bidi="ar-SA"/>
          <w14:textFill>
            <w14:solidFill>
              <w14:schemeClr w14:val="tx1"/>
            </w14:solidFill>
          </w14:textFill>
        </w:rPr>
        <w:t>第四十二条</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2）《中华人民共和国母婴保健法实施办法》第六条：审批机关受理申请后，应当在45日内，按照本办法规定的条件及母婴保健专项技术服务基本标准进行审查和核实。经审核合格的，发给《母婴保健技术服务执业许可证》；审核不合格的，将审核结果和理由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11个工作日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ascii="宋体" w:hAnsi="宋体" w:eastAsia="方正仿宋_GBK" w:cs="方正仿宋_GBK"/>
          <w:color w:val="000000" w:themeColor="text1"/>
          <w:sz w:val="28"/>
          <w:szCs w:val="28"/>
          <w14:textFill>
            <w14:solidFill>
              <w14:schemeClr w14:val="tx1"/>
            </w14:solidFill>
          </w14:textFill>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母婴保健技术服务执业许可证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3.审批结果的有效期限：</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4.规定审批结果有效期限的依据</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ascii="宋体" w:hAnsi="宋体" w:eastAsia="方正仿宋_GBK" w:cs="方正仿宋_GBK"/>
          <w:color w:val="000000" w:themeColor="text1"/>
          <w:sz w:val="28"/>
          <w:szCs w:val="28"/>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该许可证注明事项发生变更之日起30日内提出变更申请。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拟变更实际地址和许可项目，需按照新</w:t>
      </w:r>
      <w:r>
        <w:rPr>
          <w:rFonts w:hint="eastAsia" w:ascii="宋体" w:hAnsi="宋体" w:eastAsia="方正仿宋_GBK" w:cs="方正仿宋_GBK"/>
          <w:color w:val="000000" w:themeColor="text1"/>
          <w:sz w:val="28"/>
          <w:szCs w:val="28"/>
          <w:lang w:eastAsia="zh-CN"/>
          <w14:textFill>
            <w14:solidFill>
              <w14:schemeClr w14:val="tx1"/>
            </w14:solidFill>
          </w14:textFill>
        </w:rPr>
        <w:t>办法</w:t>
      </w:r>
      <w:r>
        <w:rPr>
          <w:rFonts w:hint="eastAsia" w:ascii="宋体" w:hAnsi="宋体" w:eastAsia="方正仿宋_GBK" w:cs="方正仿宋_GBK"/>
          <w:color w:val="000000" w:themeColor="text1"/>
          <w:sz w:val="28"/>
          <w:szCs w:val="28"/>
          <w14:textFill>
            <w14:solidFill>
              <w14:schemeClr w14:val="tx1"/>
            </w14:solidFill>
          </w14:textFill>
        </w:rPr>
        <w:t>重新申请。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仿宋GB2312"/>
          <w:b w:val="0"/>
          <w:bCs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《母婴保健专项技术服务许可及人员资格管理办法》第三条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仿宋GB2312" w:cstheme="minorBidi"/>
          <w:b w:val="0"/>
          <w:bCs w:val="0"/>
          <w:color w:val="000000" w:themeColor="text1"/>
          <w:kern w:val="2"/>
          <w:sz w:val="28"/>
          <w:szCs w:val="28"/>
          <w:lang w:val="en-US" w:eastAsia="zh-CN" w:bidi="ar-SA"/>
          <w14:textFill>
            <w14:solidFill>
              <w14:schemeClr w14:val="tx1"/>
            </w14:solidFill>
          </w14:textFill>
        </w:rPr>
      </w:pPr>
      <w:r>
        <w:rPr>
          <w:rFonts w:hint="eastAsia" w:ascii="宋体" w:hAnsi="宋体" w:eastAsia="仿宋GB2312" w:cstheme="minorBidi"/>
          <w:b w:val="0"/>
          <w:bCs w:val="0"/>
          <w:color w:val="000000" w:themeColor="text1"/>
          <w:kern w:val="2"/>
          <w:sz w:val="28"/>
          <w:szCs w:val="28"/>
          <w:lang w:val="en-US" w:eastAsia="zh-CN" w:bidi="ar-SA"/>
          <w14:textFill>
            <w14:solidFill>
              <w14:schemeClr w14:val="tx1"/>
            </w14:solidFill>
          </w14:textFill>
        </w:rPr>
        <w:t>《母婴保健专项技术服务许可及人员资格管理办法》第七条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lang w:val="en-US" w:eastAsia="zh-CN"/>
          <w14:textFill>
            <w14:solidFill>
              <w14:schemeClr w14:val="tx1"/>
            </w14:solidFill>
          </w14:textFill>
        </w:rPr>
        <w:t>3年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val="0"/>
          <w:bCs w:val="0"/>
          <w:color w:val="000000" w:themeColor="text1"/>
          <w:sz w:val="28"/>
          <w:szCs w:val="28"/>
          <w:lang w:eastAsia="zh-CN"/>
          <w14:textFill>
            <w14:solidFill>
              <w14:schemeClr w14:val="tx1"/>
            </w14:solidFill>
          </w14:textFill>
        </w:rPr>
      </w:pPr>
      <w:r>
        <w:rPr>
          <w:rFonts w:hint="eastAsia" w:ascii="宋体" w:hAnsi="宋体" w:eastAsia="仿宋GB2312"/>
          <w:b w:val="0"/>
          <w:bCs w:val="0"/>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1</w:t>
      </w:r>
      <w:r>
        <w:rPr>
          <w:rFonts w:hint="eastAsia" w:ascii="宋体" w:hAnsi="宋体" w:eastAsia="仿宋GB2312"/>
          <w:b w:val="0"/>
          <w:bCs w:val="0"/>
          <w:color w:val="000000" w:themeColor="text1"/>
          <w:sz w:val="28"/>
          <w:szCs w:val="28"/>
          <w:lang w:eastAsia="zh-CN"/>
          <w14:textFill>
            <w14:solidFill>
              <w14:schemeClr w14:val="tx1"/>
            </w14:solidFill>
          </w14:textFill>
        </w:rPr>
        <w:t>）母婴保健技术服务执业许可校验书面申请</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hAnsi="宋体" w:eastAsia="仿宋GB2312"/>
          <w:b w:val="0"/>
          <w:bCs w:val="0"/>
          <w:color w:val="000000" w:themeColor="text1"/>
          <w:sz w:val="28"/>
          <w:szCs w:val="28"/>
          <w:lang w:eastAsia="zh-CN"/>
          <w14:textFill>
            <w14:solidFill>
              <w14:schemeClr w14:val="tx1"/>
            </w14:solidFill>
          </w14:textFill>
        </w:rPr>
      </w:pPr>
      <w:r>
        <w:rPr>
          <w:rFonts w:hint="eastAsia" w:ascii="宋体" w:hAnsi="宋体" w:eastAsia="仿宋GB2312"/>
          <w:b w:val="0"/>
          <w:bCs w:val="0"/>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2</w:t>
      </w:r>
      <w:r>
        <w:rPr>
          <w:rFonts w:hint="eastAsia" w:ascii="宋体" w:hAnsi="宋体" w:eastAsia="仿宋GB2312"/>
          <w:b w:val="0"/>
          <w:bCs w:val="0"/>
          <w:color w:val="000000" w:themeColor="text1"/>
          <w:sz w:val="28"/>
          <w:szCs w:val="28"/>
          <w:lang w:eastAsia="zh-CN"/>
          <w14:textFill>
            <w14:solidFill>
              <w14:schemeClr w14:val="tx1"/>
            </w14:solidFill>
          </w14:textFill>
        </w:rPr>
        <w:t>）近三年母婴保健专项技术服务工作总结（含基本情况、基本数据</w:t>
      </w:r>
      <w:r>
        <w:rPr>
          <w:rFonts w:hint="eastAsia" w:hAnsi="宋体" w:eastAsia="仿宋GB2312"/>
          <w:b w:val="0"/>
          <w:bCs w:val="0"/>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val="0"/>
          <w:bCs w:val="0"/>
          <w:color w:val="000000" w:themeColor="text1"/>
          <w:sz w:val="28"/>
          <w:szCs w:val="28"/>
          <w:lang w:eastAsia="zh-CN"/>
          <w14:textFill>
            <w14:solidFill>
              <w14:schemeClr w14:val="tx1"/>
            </w14:solidFill>
          </w14:textFill>
        </w:rPr>
      </w:pPr>
      <w:r>
        <w:rPr>
          <w:rFonts w:hint="eastAsia" w:ascii="宋体" w:hAnsi="宋体" w:eastAsia="仿宋GB2312"/>
          <w:b w:val="0"/>
          <w:bCs w:val="0"/>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3</w:t>
      </w:r>
      <w:r>
        <w:rPr>
          <w:rFonts w:hint="eastAsia" w:ascii="宋体" w:hAnsi="宋体" w:eastAsia="仿宋GB2312"/>
          <w:b w:val="0"/>
          <w:bCs w:val="0"/>
          <w:color w:val="000000" w:themeColor="text1"/>
          <w:sz w:val="28"/>
          <w:szCs w:val="28"/>
          <w:lang w:eastAsia="zh-CN"/>
          <w14:textFill>
            <w14:solidFill>
              <w14:schemeClr w14:val="tx1"/>
            </w14:solidFill>
          </w14:textFill>
        </w:rPr>
        <w:t>）母婴保健技术服务执业许可证（正、副本）</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b w:val="0"/>
          <w:bCs w:val="0"/>
          <w:lang w:eastAsia="zh-CN"/>
        </w:rPr>
      </w:pPr>
      <w:r>
        <w:rPr>
          <w:rFonts w:hint="eastAsia" w:ascii="宋体" w:hAnsi="宋体" w:eastAsia="仿宋GB2312"/>
          <w:b w:val="0"/>
          <w:bCs w:val="0"/>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4</w:t>
      </w:r>
      <w:r>
        <w:rPr>
          <w:rFonts w:hint="eastAsia" w:ascii="宋体" w:hAnsi="宋体" w:eastAsia="仿宋GB2312"/>
          <w:b w:val="0"/>
          <w:bCs w:val="0"/>
          <w:color w:val="000000" w:themeColor="text1"/>
          <w:sz w:val="28"/>
          <w:szCs w:val="28"/>
          <w:lang w:eastAsia="zh-CN"/>
          <w14:textFill>
            <w14:solidFill>
              <w14:schemeClr w14:val="tx1"/>
            </w14:solidFill>
          </w14:textFill>
        </w:rPr>
        <w:t>）委托办理授权委托书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color w:val="000000" w:themeColor="text1"/>
          <w:sz w:val="28"/>
          <w:szCs w:val="28"/>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7DD9BC-7008-46E0-B570-DD11B91963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707CC3DE-5FF0-4661-8090-5C7D96D01FA7}"/>
  </w:font>
  <w:font w:name="方正楷体_GBK">
    <w:altName w:val="微软雅黑"/>
    <w:panose1 w:val="03000509000000000000"/>
    <w:charset w:val="86"/>
    <w:family w:val="script"/>
    <w:pitch w:val="default"/>
    <w:sig w:usb0="00000000" w:usb1="00000000" w:usb2="00000000" w:usb3="00000000" w:csb0="00040000" w:csb1="00000000"/>
    <w:embedRegular r:id="rId3" w:fontKey="{36057CC4-CEF9-4837-A893-F84B8F562305}"/>
  </w:font>
  <w:font w:name="方正仿宋_GBK">
    <w:altName w:val="微软雅黑"/>
    <w:panose1 w:val="03000509000000000000"/>
    <w:charset w:val="86"/>
    <w:family w:val="auto"/>
    <w:pitch w:val="default"/>
    <w:sig w:usb0="00000000" w:usb1="00000000" w:usb2="00000000" w:usb3="00000000" w:csb0="00040000" w:csb1="00000000"/>
    <w:embedRegular r:id="rId4" w:fontKey="{2C166929-211E-46E6-8E49-7DED2F927921}"/>
  </w:font>
  <w:font w:name="仿宋GB2312">
    <w:altName w:val="仿宋"/>
    <w:panose1 w:val="00000000000000000000"/>
    <w:charset w:val="00"/>
    <w:family w:val="roman"/>
    <w:pitch w:val="default"/>
    <w:sig w:usb0="00000000" w:usb1="00000000" w:usb2="00000000" w:usb3="00000000" w:csb0="00040001" w:csb1="00000000"/>
    <w:embedRegular r:id="rId5" w:fontKey="{9279ECF4-17C6-4316-9BE3-58304B7C808F}"/>
  </w:font>
  <w:font w:name="Helvetica">
    <w:altName w:val="Arial"/>
    <w:panose1 w:val="020B0604020202020204"/>
    <w:charset w:val="00"/>
    <w:family w:val="auto"/>
    <w:pitch w:val="default"/>
    <w:sig w:usb0="00000000" w:usb1="00000000" w:usb2="00000000" w:usb3="00000000" w:csb0="00000000" w:csb1="00000000"/>
    <w:embedRegular r:id="rId6" w:fontKey="{08303F43-5769-43B1-9947-583E18DD919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D927C40"/>
    <w:rsid w:val="0F905E85"/>
    <w:rsid w:val="134F78A4"/>
    <w:rsid w:val="163A5F6C"/>
    <w:rsid w:val="1B4E6301"/>
    <w:rsid w:val="1C4B638C"/>
    <w:rsid w:val="1D6B391A"/>
    <w:rsid w:val="255E38A7"/>
    <w:rsid w:val="2B0F538C"/>
    <w:rsid w:val="2D27392D"/>
    <w:rsid w:val="2E313412"/>
    <w:rsid w:val="34AD7939"/>
    <w:rsid w:val="3DAA6C6B"/>
    <w:rsid w:val="58626866"/>
    <w:rsid w:val="5A7B1AA0"/>
    <w:rsid w:val="6A2C3110"/>
    <w:rsid w:val="6C6C00A6"/>
    <w:rsid w:val="6EC25354"/>
    <w:rsid w:val="774F14F1"/>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sz w:val="24"/>
    </w:rPr>
  </w:style>
  <w:style w:type="paragraph" w:styleId="3">
    <w:name w:val="toc 5"/>
    <w:basedOn w:val="1"/>
    <w:next w:val="1"/>
    <w:qFormat/>
    <w:uiPriority w:val="0"/>
    <w:pPr>
      <w:ind w:left="168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6"/>
    <w:qFormat/>
    <w:uiPriority w:val="0"/>
    <w:pPr>
      <w:spacing w:after="120" w:line="276" w:lineRule="auto"/>
      <w:ind w:left="420" w:leftChars="200" w:firstLine="420" w:firstLineChars="200"/>
    </w:pPr>
    <w:rPr>
      <w:rFonts w:ascii="Times New Roman" w:hAnsi="Times New Roman" w:cs="Times New Roman"/>
      <w:sz w:val="21"/>
    </w:rPr>
  </w:style>
  <w:style w:type="character" w:styleId="13">
    <w:name w:val="FollowedHyperlink"/>
    <w:basedOn w:val="12"/>
    <w:qFormat/>
    <w:uiPriority w:val="0"/>
    <w:rPr>
      <w:color w:val="005C81"/>
      <w:u w:val="none"/>
    </w:rPr>
  </w:style>
  <w:style w:type="character" w:styleId="14">
    <w:name w:val="Emphasis"/>
    <w:basedOn w:val="12"/>
    <w:qFormat/>
    <w:uiPriority w:val="0"/>
  </w:style>
  <w:style w:type="character" w:styleId="15">
    <w:name w:val="Hyperlink"/>
    <w:basedOn w:val="12"/>
    <w:qFormat/>
    <w:uiPriority w:val="0"/>
    <w:rPr>
      <w:color w:val="005C81"/>
      <w:u w:val="none"/>
    </w:rPr>
  </w:style>
  <w:style w:type="character" w:customStyle="1" w:styleId="16">
    <w:name w:val="fontstyle11"/>
    <w:basedOn w:val="12"/>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3</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