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城市建筑垃圾产生核准申请变更运输单位及</w:t>
      </w:r>
    </w:p>
    <w:p>
      <w:pPr>
        <w:jc w:val="center"/>
        <w:rPr>
          <w:rFonts w:hint="eastAsia"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运输车辆</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【00011712200305】</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城市建筑垃圾产生核准申请变更运输单位及运输车辆(00011712200305)</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具有建筑垃圾产生种类、数量及周期，运输单位签订的合同，运输的时间、路线和处理地点名称，与处置单位签订了合同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填写申请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建筑垃圾产生种类、数量及周期</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与运输单位签订的合同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建筑垃圾运输的时间、路线和处理地点名称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与处理单位签订的合同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城市建筑垃圾产生许可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（2）《中华人民共和国行政许可法》第四十九条被许可人要求变更行政许可事项的，应当向作出行政许可决定的行政机关提出申请；符合法定条件、标准的，行政机关应当依法办理变更手续。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numPr>
          <w:ilvl w:val="0"/>
          <w:numId w:val="2"/>
        </w:num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7E73B341"/>
    <w:multiLevelType w:val="singleLevel"/>
    <w:tmpl w:val="7E73B341"/>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F5D11"/>
    <w:rsid w:val="324E481B"/>
    <w:rsid w:val="6DDF5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2023-12-20T07:46:00Z</dcterms:created>
  <dc:creator>Administrator</dc:creator>
  <cp:lastModifiedBy>综合管理科</cp:lastModifiedBy>
  <dcterms:modified xsi:type="dcterms:W3CDTF">2023-12-21T02:18:25Z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FF9A0948A176473A93A963936C691CDD</vt:lpwstr>
  </property>
</Properties>
</file>