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临时占用城市绿化用地审批（县级权限）新申请</w:t>
      </w:r>
    </w:p>
    <w:p>
      <w:pPr>
        <w:jc w:val="center"/>
        <w:rPr>
          <w:rFonts w:hint="eastAsia"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【00011713200501】</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基本要素</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1.</w:t>
      </w:r>
      <w:r>
        <w:rPr>
          <w:rFonts w:ascii="Times New Roman" w:hAnsi="Times New Roman" w:eastAsia="仿宋GB2312"/>
          <w:b/>
          <w:bCs/>
          <w:sz w:val="28"/>
          <w:szCs w:val="28"/>
        </w:rPr>
        <w:t>行政许可事项名称</w:t>
      </w:r>
      <w:r>
        <w:rPr>
          <w:rFonts w:hint="eastAsia" w:ascii="Times New Roman" w:hAnsi="Times New Roman" w:eastAsia="仿宋GB2312"/>
          <w:b/>
          <w:bCs/>
          <w:sz w:val="28"/>
          <w:szCs w:val="28"/>
        </w:rPr>
        <w:t>及编码</w:t>
      </w:r>
    </w:p>
    <w:p>
      <w:pPr>
        <w:spacing w:line="360" w:lineRule="auto"/>
        <w:ind w:firstLine="560" w:firstLineChars="200"/>
        <w:rPr>
          <w:rFonts w:hint="eastAsia" w:ascii="仿宋" w:hAnsi="仿宋" w:eastAsia="仿宋" w:cs="仿宋"/>
          <w:sz w:val="28"/>
          <w:szCs w:val="28"/>
        </w:rPr>
      </w:pPr>
      <w:r>
        <w:rPr>
          <w:rFonts w:hint="eastAsia" w:ascii="方正仿宋_GBK" w:hAnsi="方正仿宋_GBK" w:eastAsia="方正仿宋_GBK" w:cs="方正仿宋_GBK"/>
          <w:sz w:val="28"/>
          <w:szCs w:val="28"/>
        </w:rPr>
        <w:t>工程建设涉及城市绿地、树木审批【00011713200Y】</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行政许可</w:t>
      </w:r>
      <w:r>
        <w:rPr>
          <w:rFonts w:hint="eastAsia" w:ascii="Times New Roman" w:hAnsi="Times New Roman" w:eastAsia="仿宋GB2312"/>
          <w:b/>
          <w:bCs/>
          <w:sz w:val="28"/>
          <w:szCs w:val="28"/>
        </w:rPr>
        <w:t>事项子项名称及编码</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临时占用城市绿化用地审批（县级权限）【000117132005】</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3.行政许可事项业务办理项名称及编码</w:t>
      </w:r>
    </w:p>
    <w:p>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临时占用城市绿化用地审批（县级权限）新申请(00011713200501)</w:t>
      </w:r>
    </w:p>
    <w:p>
      <w:pPr>
        <w:spacing w:line="360" w:lineRule="auto"/>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4.设定依据</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（1）《城市绿化条例》第十九条</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5.实施依据</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（1）《城市绿化条例》第十九条</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6.监管依据</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（1）《城市绿化条例》第二十七条</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（2）《城市绿化条例》第三十条</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（3）《重大行政决策程序暂行条例》第十九条</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（4）《住房城乡建设部关于促进城市园林绿化事业健康发展的指导意见》建城〔2012〕166号</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（5）《中华人民共和国行政许可法》第六十条</w:t>
      </w:r>
    </w:p>
    <w:p>
      <w:pPr>
        <w:spacing w:line="600" w:lineRule="exact"/>
        <w:ind w:firstLine="562" w:firstLineChars="200"/>
        <w:rPr>
          <w:rFonts w:hint="eastAsia" w:ascii="方正仿宋_GBK" w:hAnsi="方正仿宋_GBK" w:eastAsia="方正仿宋_GBK" w:cs="方正仿宋_GBK"/>
          <w:sz w:val="28"/>
          <w:szCs w:val="28"/>
          <w:lang w:eastAsia="zh-CN"/>
        </w:rPr>
      </w:pPr>
      <w:r>
        <w:rPr>
          <w:rFonts w:hint="eastAsia" w:ascii="Times New Roman" w:hAnsi="Times New Roman" w:eastAsia="仿宋GB2312"/>
          <w:b/>
          <w:bCs/>
          <w:sz w:val="28"/>
          <w:szCs w:val="28"/>
        </w:rPr>
        <w:t>7.</w:t>
      </w:r>
      <w:r>
        <w:rPr>
          <w:rFonts w:ascii="Times New Roman" w:hAnsi="Times New Roman" w:eastAsia="仿宋GB2312"/>
          <w:b/>
          <w:bCs/>
          <w:sz w:val="28"/>
          <w:szCs w:val="28"/>
        </w:rPr>
        <w:t>实施机关</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lang w:eastAsia="zh-CN"/>
        </w:rPr>
        <w:t>石林彝族自治县城市管理局</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w:t>
      </w:r>
      <w:r>
        <w:rPr>
          <w:rFonts w:ascii="Times New Roman" w:hAnsi="Times New Roman" w:eastAsia="仿宋GB2312"/>
          <w:b/>
          <w:bCs/>
          <w:sz w:val="28"/>
          <w:szCs w:val="28"/>
        </w:rPr>
        <w:t>审批层级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县级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9.行使</w:t>
      </w:r>
      <w:r>
        <w:rPr>
          <w:rFonts w:ascii="Times New Roman" w:hAnsi="Times New Roman" w:eastAsia="仿宋GB2312"/>
          <w:b/>
          <w:bCs/>
          <w:sz w:val="28"/>
          <w:szCs w:val="28"/>
        </w:rPr>
        <w:t>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县级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是否由审批机关受理</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是</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11.</w:t>
      </w:r>
      <w:r>
        <w:rPr>
          <w:rFonts w:ascii="Times New Roman" w:hAnsi="Times New Roman" w:eastAsia="仿宋GB2312"/>
          <w:b/>
          <w:bCs/>
          <w:sz w:val="28"/>
          <w:szCs w:val="28"/>
        </w:rPr>
        <w:t>受理层级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县级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12.</w:t>
      </w:r>
      <w:r>
        <w:rPr>
          <w:rFonts w:ascii="Times New Roman" w:hAnsi="Times New Roman" w:eastAsia="仿宋GB2312"/>
          <w:b/>
          <w:bCs/>
          <w:sz w:val="28"/>
          <w:szCs w:val="28"/>
        </w:rPr>
        <w:t>是否存在初审环节</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highlight w:val="yellow"/>
        </w:rPr>
      </w:pPr>
      <w:r>
        <w:rPr>
          <w:rFonts w:hint="eastAsia" w:ascii="Times New Roman" w:hAnsi="Times New Roman" w:eastAsia="仿宋GB2312"/>
          <w:b/>
          <w:bCs/>
          <w:sz w:val="28"/>
          <w:szCs w:val="28"/>
        </w:rPr>
        <w:t>13.</w:t>
      </w:r>
      <w:r>
        <w:rPr>
          <w:rFonts w:ascii="Times New Roman" w:hAnsi="Times New Roman" w:eastAsia="仿宋GB2312"/>
          <w:b/>
          <w:bCs/>
          <w:sz w:val="28"/>
          <w:szCs w:val="28"/>
        </w:rPr>
        <w:t>初审层级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jc w:val="left"/>
        <w:rPr>
          <w:rFonts w:ascii="Times New Roman" w:hAnsi="Times New Roman" w:eastAsia="仿宋GB2312"/>
          <w:sz w:val="28"/>
          <w:szCs w:val="28"/>
        </w:rPr>
      </w:pPr>
      <w:r>
        <w:rPr>
          <w:rFonts w:hint="eastAsia" w:ascii="Times New Roman" w:hAnsi="Times New Roman" w:eastAsia="仿宋GB2312"/>
          <w:b/>
          <w:bCs/>
          <w:sz w:val="28"/>
          <w:szCs w:val="28"/>
        </w:rPr>
        <w:t>14.</w:t>
      </w:r>
      <w:r>
        <w:rPr>
          <w:rFonts w:ascii="Times New Roman" w:hAnsi="Times New Roman" w:eastAsia="仿宋GB2312"/>
          <w:b/>
          <w:bCs/>
          <w:sz w:val="28"/>
          <w:szCs w:val="28"/>
        </w:rPr>
        <w:t>对应政务服务事项国家级基本目录名称</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临时占用城市绿化用地审批</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行政许可事项类型</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条件型</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行政许可条件</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1.准予行政许可的条件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申报内容符合城市规划建设、园林绿化等政策法规规范要求。</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征得绿地产权方或管理单位同意。</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有完善的施工组织方案、绿地恢复方案及出具恢复期限承诺。</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申报资料内容有效。</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规定行政许可条件的依据</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住房城乡建设部关于促进城市园林绿化事业健康发展的指导意见》建城〔2012〕166号（五）强化日常管护1.切实执行绿线管理制度。要在城乡规划中全面引入绿线管理制度，对城市绿线内的用地进行严格管理，对侵占绿地、擅自改变绿地性质等违法行为加大检查和执法力度。确因特殊需要临时占用绿地的，要经园林绿化主管部门批准，按照有关规定办理临时用地手续，缴纳相关费用，并在被占绿地四周明显位置公示占用单位、事由、期限和批准单位、时间及恢复措施等相关信息。开发利用绿地地下空间的，在报规划等有关部门审批时，应征求园林绿化主管部门的意见，并符合国家和地方有关规范，确保树木正常生长和绿地正常使用</w:t>
      </w:r>
    </w:p>
    <w:p>
      <w:pPr>
        <w:numPr>
          <w:ilvl w:val="0"/>
          <w:numId w:val="1"/>
        </w:numPr>
        <w:spacing w:line="540" w:lineRule="exact"/>
        <w:outlineLvl w:val="1"/>
        <w:rPr>
          <w:rFonts w:ascii="Times New Roman" w:hAnsi="Times New Roman" w:eastAsia="黑体"/>
          <w:sz w:val="28"/>
          <w:szCs w:val="28"/>
        </w:rPr>
      </w:pPr>
      <w:r>
        <w:rPr>
          <w:rFonts w:ascii="Times New Roman" w:hAnsi="Times New Roman" w:eastAsia="黑体"/>
          <w:sz w:val="28"/>
          <w:szCs w:val="28"/>
        </w:rPr>
        <w:t>行政许可服务对象类型</w:t>
      </w:r>
      <w:r>
        <w:rPr>
          <w:rFonts w:hint="eastAsia" w:ascii="Times New Roman" w:hAnsi="Times New Roman" w:eastAsia="黑体"/>
          <w:sz w:val="28"/>
          <w:szCs w:val="28"/>
        </w:rPr>
        <w:t>与改革举措</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1.服务对象类型：</w:t>
      </w:r>
      <w:r>
        <w:rPr>
          <w:rFonts w:ascii="方正仿宋_GBK" w:hAnsi="方正仿宋_GBK" w:eastAsia="方正仿宋_GBK" w:cs="方正仿宋_GBK"/>
          <w:sz w:val="28"/>
          <w:szCs w:val="28"/>
        </w:rPr>
        <w:t>企业法人,事业单位法人,社会组织法人,行政机关,其他组织</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2.是否为涉企许可事项：</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3.涉企经营许可事项名称：</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4.许可证件名称：</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5.改革方式：</w:t>
      </w:r>
      <w:r>
        <w:rPr>
          <w:rFonts w:ascii="方正仿宋_GBK" w:hAnsi="方正仿宋_GBK" w:eastAsia="方正仿宋_GBK" w:cs="方正仿宋_GBK"/>
          <w:sz w:val="28"/>
          <w:szCs w:val="28"/>
        </w:rPr>
        <w:t>无</w:t>
      </w:r>
    </w:p>
    <w:p>
      <w:pPr>
        <w:spacing w:line="54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6.具体改革举措</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1.优化审批流程。</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2.实行电子化申报和审批。</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3.纳入政务服务平台电子证照管理。</w:t>
      </w:r>
    </w:p>
    <w:p>
      <w:pPr>
        <w:spacing w:line="54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7.加强事中事后监管措施</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1.强化许可服务水平。定期开展业务培训，提高工作人员专业素养和业务能力。特别是对于下放或委托的许可事项，要进一步强化业务培训指导，提高许可服务能力。</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加强事中事后监管。要按照“谁审批、谁监管，谁主管、谁监管”的原则，许可实施部门要在许可实施过程中、许可实施完成后进行现场核实，避免出现实施内容与审批事项不符的问题。下放或委托部门对于下放、委托的许可事项实施情况，要实施动态评估和监管。对于审批量较大、出现舆情等情况的地区要进行重点监管。</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3.完善常态化监管机制。完善日常巡查机制，及时发现处置擅自违规占绿问题。</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4.发挥社会监督作用。拓宽公众参与监督的渠道和方式，鼓励通过互联网、举报电话等方式参与监管。</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申请材料</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1.申请材料名称</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申请人身份证明（申请人是自然人的，应当提供本人有效身份证明，申请人是法人或其他组织的，需提供企业法人营业执照或组织机构代码证）或授权委托书。</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临时占用城市绿地（迁移城市树木）申请材料（含树木产权人或管理单位的意见、相关产权人的协商协议、明确项目临时占用绿地的申请期限）。</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现状绿化图（附绿地面积、树木清单）、经批复同意的总平面图。</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发改部门、主管部门的立项批准文件或备案文件。（因建设项目临时占用城市绿地、迁移城市树木应提供。）</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规划部门的规划许可文件。</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临时占用城市绿地恢复方案。</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明确项目临时占用绿地的申请期限。</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规定申请材料的依据</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住房城乡建设部关于促进城市园林绿化事业健康发展的指导意见》建城〔2012〕166号（五）强化日常管护1.切实执行绿线管理制度。要在城乡规划中全面引入绿线管理制度，对城市绿线内的用地进行严格管理，对侵占绿地、擅自改变绿地性质等违法行为加大检查和执法力度。确因特殊需要临时占用绿地的，要经园林绿化主管部门批准，按照有关规定办理临时用地手续，缴纳相关费用，并在被占绿地四周明显位置公示占用单位、事由、期限和批准单位、时间及恢复措施等相关信息。开发利用绿地地下空间的，在报规划等有关部门审批时，应征求园林绿化主管部门的意见，并符合国家和地方有关规范，确保树木正常生长和绿地正常使用。</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中介服务</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1.有无法定中介服务事项：</w:t>
      </w:r>
      <w:r>
        <w:rPr>
          <w:rFonts w:ascii="方正仿宋_GBK" w:hAnsi="方正仿宋_GBK" w:eastAsia="方正仿宋_GBK" w:cs="方正仿宋_GBK"/>
          <w:sz w:val="28"/>
          <w:szCs w:val="28"/>
        </w:rPr>
        <w:t>无</w:t>
      </w:r>
    </w:p>
    <w:p>
      <w:pPr>
        <w:spacing w:line="600" w:lineRule="exact"/>
        <w:ind w:firstLine="562" w:firstLineChars="200"/>
        <w:rPr>
          <w:rFonts w:ascii="方正仿宋_GBK" w:hAnsi="方正仿宋_GBK" w:eastAsia="方正仿宋_GBK" w:cs="方正仿宋_GBK"/>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中介服务事项名称</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设定中介服务事项的依据</w:t>
      </w:r>
      <w:r>
        <w:rPr>
          <w:rFonts w:hint="eastAsia" w:ascii="Times New Roman" w:hAnsi="Times New Roman" w:eastAsia="仿宋GB2312"/>
          <w:b/>
          <w:bCs/>
          <w:sz w:val="28"/>
          <w:szCs w:val="28"/>
          <w:lang w:eastAsia="zh-CN"/>
        </w:rPr>
        <w:t>：</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提供中介服务的机构</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中介服务事项的收费性质</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审批程序</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1.办理行政许可的程序环节</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申请人申请。</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审批机构受理/不予受理。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审批机构审查。</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现场勘验（部分情况开展专家评审、听证、公示或委托服务机构开展技术性服务）。</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决定核发许可证/不予核发许可证。</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2.规定行政许可程序的依据</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《中华人民共和国行政许可法》第二十九条、第三十条、第三十一条、第三十二条、第三十三条、第三十四条、第三十五条、第三十六条、第三十七条、第三十九条、第四十条、第四十一条第四章　行政许可的实施程序</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第一节</w:t>
      </w:r>
      <w:r>
        <w:rPr>
          <w:rFonts w:hint="eastAsia" w:ascii="方正仿宋_GBK" w:hAnsi="方正仿宋_GBK" w:eastAsia="方正仿宋_GBK" w:cs="方正仿宋_GBK"/>
          <w:sz w:val="28"/>
          <w:szCs w:val="28"/>
          <w:lang w:val="en-US" w:eastAsia="zh-CN"/>
        </w:rPr>
        <w:t xml:space="preserve">  </w:t>
      </w:r>
      <w:r>
        <w:rPr>
          <w:rFonts w:ascii="方正仿宋_GBK" w:hAnsi="方正仿宋_GBK" w:eastAsia="方正仿宋_GBK" w:cs="方正仿宋_GBK"/>
          <w:sz w:val="28"/>
          <w:szCs w:val="28"/>
        </w:rPr>
        <w:t>申请与受理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二十九条公民、法人或者其他组织从事特定活动，依法需要取得行政许可的，应当向行政机关提出申请。申请书需要采用格式文本的，行政机关应当向申请人提供行政许可申请书格式文本。申请书格式文本中不得包含与申请行政许可事项没有直接关系的内容。</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申请人可以委托代理人提出行政许可申请。但是，依法应当由申请人到行政机关办公场所提出行政许可申请的除外。</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行政许可申请可以通过信函、电报、电传、传真、电子数据交换和电子邮件等方式提出。</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第三十条行政机关应当将法律、法规、规章规定的有关行政许可的事项、依据、条件、数量、程序、期限以及需要提交的全部材料的目录和申请书示范文本等在办公场所公示。</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申请人要求行政机关对公示内容予以说明、解释的，行政机关应当说明、解释，提供准确、可靠的信息。</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第三十一条申请人申请行政许可，应当如实向行政机关提交有关材料和反映真实情况，并对其申请材料实质内容的真实性负责。行政机关不得要求申请人提交与其申请的行政许可事项无关的技术资料和其他材料。</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行政机关及其工作人员不得以转让技术作为取得行政许可的条件;不得在实施行政许可的过程中，直接或者间接地要求转让技术。</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第三十二条行政机关对申请人提出的行政许可申请，应当根据下列情况分别作出处理：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(一)申请事项依法不需要取得行政许可的，应当即时告知申请人不受理;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(二)申请事项依法不属于本行政机关职权范围的，应当即时作出不予受理的决定，并告知申请人向有关行政机关申请;</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(三)申请材料存在可以当场更正的错误的，应当允许申请人当场更正;</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(四)申请材料不齐全或者不符合法定形式的，应当当场或者在五日内一次告知申请人需要补正的全部内容，逾期不告知的，自收到申请材料之日起即为受理;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(五)申请事项属于本行政机关职权范围，申请材料齐全、符合法定形式，或者申请人按照本行政机关的要求提交全部补正申请材料的，应当受理行政许可申请。</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行政机关受理或者不予受理行政许可申请，应当出具加盖本行政机关专用印章和注明日期的书面凭证。</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三十三条行政机关应当建立和完善有关制度，推行电子政务，在行政机关的网站上公布行政许可事项，方便申请人采取数据电文等方式提出行政许可申请;应当与其他行政机关共享有关行政许可信息，提高办事效率。</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第二节</w:t>
      </w:r>
      <w:r>
        <w:rPr>
          <w:rFonts w:hint="eastAsia" w:ascii="方正仿宋_GBK" w:hAnsi="方正仿宋_GBK" w:eastAsia="方正仿宋_GBK" w:cs="方正仿宋_GBK"/>
          <w:sz w:val="28"/>
          <w:szCs w:val="28"/>
          <w:lang w:val="en-US" w:eastAsia="zh-CN"/>
        </w:rPr>
        <w:t xml:space="preserve">  </w:t>
      </w:r>
      <w:r>
        <w:rPr>
          <w:rFonts w:ascii="方正仿宋_GBK" w:hAnsi="方正仿宋_GBK" w:eastAsia="方正仿宋_GBK" w:cs="方正仿宋_GBK"/>
          <w:sz w:val="28"/>
          <w:szCs w:val="28"/>
        </w:rPr>
        <w:t>审查与决定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第三十四条行政机关应当对申请人提交的申请材料进行审查。</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申请人提交的申请材料齐全、符合法定形式，行政机关能够当场作出决定的，应当当场作出书面的行政许可决定。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根据法定条件和程序，需要对申请材料的实质内容进行核实的，行政机关应当指派两名以上工作人员进行核查。</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三十五条依法应当先经下级行政机关审查后报上级行政机关决定的行政许可，下级行政机关应当在法定期限内将初步审查意见和全部申请材料直接报送上级行政机关。上级行政机关不得要求申请人重复提供申请材料。</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第三十六条行政机关对行政许可申请进行审查时，发现行政许可事项直接关系他人重大利益的，应当告知该利害关系人。申请人、利害关系人有权进行陈述和申辩。行政机关应当听取申请人、利害关系人的意见。</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第三十七条行政机关对行政许可申请进行审查后，除当场作出行政许可决定的外，应当在法定期限内按照规定程序作出行政许可决定。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第三十八条申请人的申请符合法定条件、标准的，行政机关应当依法作出准予行政许可的书面决定。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行政机关依法作出不予行政许可的书面决定的，应当说明理由，并告知申请人享有依法申请行政复议或者提起行政诉讼的权利。</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第三十九条行政机关作出准予行政许可的决定，需要颁发行政许可证件的，应当向申请人颁发加盖本行政机关印章的下列行政许可证件：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(一)许可证、执照或者其他许可证书;</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(二)资格证、资质证或者其他合格证书;</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(三)行政机关的批准文件或者证明文件;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(四)法律、法规规定的其他行政许可证件。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行政机关实施检验、检测、检疫的，可以在检验、检测、检疫合格的设备、设施、产品、物品上加贴标签或者加盖检验、检测、检疫印章。</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第四十条行政机关作出的准予行政许可决定，应当予以公开，公众有权查阅。</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第四十一条法律、行政法规设定的行政许可，其适用范围没有地域限制的，申请人取得的行政许可在全国范围内有效。</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是否需要现场勘验</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是</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是否需要组织听证</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部分情况下开展</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是否需要招标、拍卖、挂牌交易</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6.</w:t>
      </w:r>
      <w:r>
        <w:rPr>
          <w:rFonts w:ascii="Times New Roman" w:hAnsi="Times New Roman" w:eastAsia="仿宋GB2312"/>
          <w:b/>
          <w:bCs/>
          <w:sz w:val="28"/>
          <w:szCs w:val="28"/>
        </w:rPr>
        <w:t>是否需要检验、检测、检疫</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w:t>
      </w:r>
      <w:r>
        <w:rPr>
          <w:rFonts w:ascii="Times New Roman" w:hAnsi="Times New Roman" w:eastAsia="仿宋GB2312"/>
          <w:b/>
          <w:bCs/>
          <w:sz w:val="28"/>
          <w:szCs w:val="28"/>
        </w:rPr>
        <w:t>是否需要鉴定</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w:t>
      </w:r>
      <w:r>
        <w:rPr>
          <w:rFonts w:ascii="Times New Roman" w:hAnsi="Times New Roman" w:eastAsia="仿宋GB2312"/>
          <w:b/>
          <w:bCs/>
          <w:sz w:val="28"/>
          <w:szCs w:val="28"/>
        </w:rPr>
        <w:t>是否需要专家评审</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部分情况下开展</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9.</w:t>
      </w:r>
      <w:r>
        <w:rPr>
          <w:rFonts w:ascii="Times New Roman" w:hAnsi="Times New Roman" w:eastAsia="仿宋GB2312"/>
          <w:b/>
          <w:bCs/>
          <w:sz w:val="28"/>
          <w:szCs w:val="28"/>
        </w:rPr>
        <w:t>是否需要向社会公示</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部分情况下开展</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是否实行告知承诺办理</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11.审批机关是否委托服务机构开展技术性服务：</w:t>
      </w:r>
      <w:r>
        <w:rPr>
          <w:rFonts w:hint="eastAsia" w:ascii="方正仿宋_GBK" w:hAnsi="方正仿宋_GBK" w:eastAsia="方正仿宋_GBK" w:cs="方正仿宋_GBK"/>
          <w:sz w:val="28"/>
          <w:szCs w:val="28"/>
        </w:rPr>
        <w:t>部分情况下开展</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受理和审批时限</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1.承诺受理时限：</w:t>
      </w:r>
      <w:r>
        <w:rPr>
          <w:rFonts w:ascii="方正仿宋_GBK" w:hAnsi="方正仿宋_GBK" w:eastAsia="方正仿宋_GBK" w:cs="方正仿宋_GBK"/>
          <w:sz w:val="28"/>
          <w:szCs w:val="28"/>
        </w:rPr>
        <w:t>5个工作日</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2.法定审批时限：</w:t>
      </w:r>
      <w:r>
        <w:rPr>
          <w:rFonts w:ascii="方正仿宋_GBK" w:hAnsi="方正仿宋_GBK" w:eastAsia="方正仿宋_GBK" w:cs="方正仿宋_GBK"/>
          <w:sz w:val="28"/>
          <w:szCs w:val="28"/>
        </w:rPr>
        <w:t>20</w:t>
      </w:r>
      <w:r>
        <w:rPr>
          <w:rFonts w:hint="eastAsia" w:ascii="方正仿宋_GBK" w:hAnsi="方正仿宋_GBK" w:eastAsia="方正仿宋_GBK" w:cs="方正仿宋_GBK"/>
          <w:sz w:val="28"/>
          <w:szCs w:val="28"/>
        </w:rPr>
        <w:t>个工作日</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3.规定法定审批时限依据</w:t>
      </w:r>
    </w:p>
    <w:p>
      <w:pPr>
        <w:spacing w:line="600" w:lineRule="exact"/>
        <w:ind w:firstLine="560" w:firstLineChars="200"/>
        <w:rPr>
          <w:rFonts w:ascii="Times New Roman" w:hAnsi="Times New Roman" w:eastAsia="仿宋GB2312"/>
          <w:sz w:val="32"/>
          <w:szCs w:val="32"/>
        </w:rPr>
      </w:pPr>
      <w:r>
        <w:rPr>
          <w:rFonts w:ascii="方正仿宋_GBK" w:hAnsi="方正仿宋_GBK" w:eastAsia="方正仿宋_GBK" w:cs="方正仿宋_GBK"/>
          <w:sz w:val="28"/>
          <w:szCs w:val="28"/>
        </w:rPr>
        <w:t>（1）《中华人民共和国行政许可法》第四十二条　除可以当场作出行政许可决定的外，行政机关应当自受理行政许可申请之日起二十日内作出行政许可决定。二十日内不能作出决定的，经本行政机关负责人批准，可以延长十日，并应当将延长期限的理由告知申请人。但是，法律、法规另有规定的，依照其规定。</w:t>
      </w:r>
    </w:p>
    <w:p>
      <w:pPr>
        <w:spacing w:line="600" w:lineRule="exact"/>
        <w:ind w:firstLine="560" w:firstLineChars="200"/>
        <w:rPr>
          <w:rFonts w:ascii="Times New Roman" w:hAnsi="Times New Roman" w:eastAsia="仿宋GB2312"/>
          <w:sz w:val="32"/>
          <w:szCs w:val="32"/>
        </w:rPr>
      </w:pPr>
      <w:r>
        <w:rPr>
          <w:rFonts w:ascii="方正仿宋_GBK" w:hAnsi="方正仿宋_GBK" w:eastAsia="方正仿宋_GBK" w:cs="方正仿宋_GBK"/>
          <w:sz w:val="28"/>
          <w:szCs w:val="28"/>
        </w:rPr>
        <w:t>（2）《中华人民共和国行政许可法》第四十五条行政机关作出行政许可决定，依法需要听证、招标、拍卖、检验、检测、检疫、鉴定和专家评审的，所需时间不计算在本节规定的期限内。行政机关应当将所需时间书面告知申请人。</w:t>
      </w:r>
    </w:p>
    <w:p>
      <w:pPr>
        <w:spacing w:line="600" w:lineRule="exact"/>
        <w:ind w:firstLine="562" w:firstLineChars="200"/>
        <w:rPr>
          <w:rFonts w:ascii="方正仿宋_GBK" w:hAnsi="方正仿宋_GBK" w:eastAsia="方正仿宋_GBK" w:cs="方正仿宋_GBK"/>
          <w:sz w:val="28"/>
          <w:szCs w:val="28"/>
        </w:rPr>
      </w:pPr>
      <w:r>
        <w:rPr>
          <w:rFonts w:hint="eastAsia" w:ascii="Times New Roman" w:hAnsi="Times New Roman" w:eastAsia="仿宋GB2312"/>
          <w:b/>
          <w:bCs/>
          <w:sz w:val="28"/>
          <w:szCs w:val="28"/>
        </w:rPr>
        <w:t>4.承诺审批时限：</w:t>
      </w:r>
      <w:r>
        <w:rPr>
          <w:rFonts w:hint="eastAsia" w:ascii="方正仿宋_GBK" w:hAnsi="方正仿宋_GBK" w:eastAsia="方正仿宋_GBK" w:cs="方正仿宋_GBK"/>
          <w:sz w:val="28"/>
          <w:szCs w:val="28"/>
        </w:rPr>
        <w:t>5</w:t>
      </w:r>
      <w:r>
        <w:rPr>
          <w:rFonts w:ascii="方正仿宋_GBK" w:hAnsi="方正仿宋_GBK" w:eastAsia="方正仿宋_GBK" w:cs="方正仿宋_GBK"/>
          <w:sz w:val="28"/>
          <w:szCs w:val="28"/>
        </w:rPr>
        <w:t>个工作日</w:t>
      </w:r>
    </w:p>
    <w:p>
      <w:pPr>
        <w:spacing w:line="600" w:lineRule="exact"/>
        <w:ind w:firstLine="560" w:firstLineChars="200"/>
        <w:rPr>
          <w:rFonts w:ascii="Times New Roman" w:hAnsi="Times New Roman" w:eastAsia="仿宋GB2312"/>
          <w:sz w:val="28"/>
          <w:szCs w:val="28"/>
        </w:rPr>
      </w:pPr>
      <w:r>
        <w:rPr>
          <w:rFonts w:ascii="方正仿宋_GBK" w:hAnsi="方正仿宋_GBK" w:eastAsia="方正仿宋_GBK" w:cs="方正仿宋_GBK"/>
          <w:sz w:val="28"/>
          <w:szCs w:val="28"/>
        </w:rPr>
        <w:t>依法进行专家评审、听证另需时间不计算在该时限</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收费</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1.办理行政许可是否收费：</w:t>
      </w:r>
      <w:r>
        <w:rPr>
          <w:rFonts w:hint="eastAsia" w:ascii="方正仿宋_GBK" w:hAnsi="方正仿宋_GBK" w:eastAsia="方正仿宋_GBK" w:cs="方正仿宋_GBK"/>
          <w:sz w:val="28"/>
          <w:szCs w:val="28"/>
        </w:rPr>
        <w:t>否</w:t>
      </w:r>
    </w:p>
    <w:p>
      <w:pPr>
        <w:spacing w:line="540" w:lineRule="exact"/>
        <w:ind w:firstLine="562" w:firstLineChars="200"/>
        <w:outlineLvl w:val="2"/>
        <w:rPr>
          <w:rFonts w:ascii="方正仿宋_GBK" w:hAnsi="方正仿宋_GBK" w:eastAsia="方正仿宋_GBK" w:cs="方正仿宋_GBK"/>
          <w:sz w:val="28"/>
          <w:szCs w:val="28"/>
        </w:rPr>
      </w:pPr>
      <w:r>
        <w:rPr>
          <w:rFonts w:hint="eastAsia" w:ascii="Times New Roman" w:hAnsi="Times New Roman" w:eastAsia="仿宋GB2312"/>
          <w:b/>
          <w:bCs/>
          <w:sz w:val="28"/>
          <w:szCs w:val="28"/>
        </w:rPr>
        <w:t>2.收费项目的名称、收费项目的标准、设定收费项目的依据、规定收费标准的依据</w:t>
      </w:r>
      <w:r>
        <w:rPr>
          <w:rFonts w:hint="eastAsia" w:ascii="Times New Roman" w:hAnsi="Times New Roman" w:eastAsia="仿宋GB2312"/>
          <w:b/>
          <w:bCs/>
          <w:sz w:val="28"/>
          <w:szCs w:val="28"/>
          <w:lang w:eastAsia="zh-CN"/>
        </w:rPr>
        <w:t>：</w:t>
      </w:r>
      <w:r>
        <w:rPr>
          <w:rFonts w:hint="eastAsia" w:ascii="方正仿宋_GBK" w:hAnsi="方正仿宋_GBK" w:eastAsia="方正仿宋_GBK" w:cs="方正仿宋_GBK"/>
          <w:sz w:val="28"/>
          <w:szCs w:val="28"/>
        </w:rPr>
        <w:t>无</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行政许可证件</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1.审批结果类型：</w:t>
      </w:r>
      <w:r>
        <w:rPr>
          <w:rFonts w:ascii="方正仿宋_GBK" w:hAnsi="方正仿宋_GBK" w:eastAsia="方正仿宋_GBK" w:cs="方正仿宋_GBK"/>
          <w:sz w:val="28"/>
          <w:szCs w:val="28"/>
        </w:rPr>
        <w:t>证照</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2.审批结果名称：</w:t>
      </w:r>
      <w:r>
        <w:rPr>
          <w:rFonts w:hint="eastAsia" w:ascii="方正仿宋_GBK" w:hAnsi="方正仿宋_GBK" w:eastAsia="方正仿宋_GBK" w:cs="方正仿宋_GBK"/>
          <w:sz w:val="28"/>
          <w:szCs w:val="28"/>
        </w:rPr>
        <w:t>行政许可决定书</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3.审批结果的有效期限：</w:t>
      </w:r>
      <w:r>
        <w:rPr>
          <w:rFonts w:hint="eastAsia" w:ascii="方正仿宋_GBK" w:hAnsi="方正仿宋_GBK" w:eastAsia="方正仿宋_GBK" w:cs="方正仿宋_GBK"/>
          <w:sz w:val="28"/>
          <w:szCs w:val="28"/>
        </w:rPr>
        <w:t>暂由地方规定有无行政许可证件的有效期限</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4.规定审批结果有效期限的依据</w:t>
      </w:r>
    </w:p>
    <w:p>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1）《中华人民共和国行政许可法》第五十条被许可人需要延续依法取得的行政许可的有效期的，应当在该行政许可有效期届满三十日前向作出行政许可决定的行政机关提出申请。但是，法律、法规、规章另有规定的，依照其规定。行政机关应当根据被许可人的申请，在该行政许可有效期届满前作出是否准予延续的决定；逾期未作决定的，视为准予延续。</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5.是否需要办理审批结果变更手续：</w:t>
      </w:r>
      <w:r>
        <w:rPr>
          <w:rFonts w:ascii="方正仿宋_GBK" w:hAnsi="方正仿宋_GBK" w:eastAsia="方正仿宋_GBK" w:cs="方正仿宋_GBK"/>
          <w:sz w:val="28"/>
          <w:szCs w:val="28"/>
        </w:rPr>
        <w:t>否</w:t>
      </w:r>
    </w:p>
    <w:p>
      <w:pPr>
        <w:spacing w:line="540" w:lineRule="exact"/>
        <w:ind w:firstLine="562" w:firstLineChars="200"/>
        <w:outlineLvl w:val="2"/>
        <w:rPr>
          <w:rFonts w:hint="eastAsia" w:ascii="Times New Roman" w:hAnsi="Times New Roman" w:eastAsia="仿宋GB2312"/>
          <w:sz w:val="32"/>
          <w:szCs w:val="32"/>
        </w:rPr>
      </w:pPr>
      <w:r>
        <w:rPr>
          <w:rFonts w:hint="eastAsia" w:ascii="Times New Roman" w:hAnsi="Times New Roman" w:eastAsia="仿宋GB2312"/>
          <w:b/>
          <w:bCs/>
          <w:sz w:val="28"/>
          <w:szCs w:val="28"/>
        </w:rPr>
        <w:t>6.办理审批结果变更手续的要求</w:t>
      </w:r>
      <w:r>
        <w:rPr>
          <w:rFonts w:hint="eastAsia" w:ascii="Times New Roman" w:hAnsi="Times New Roman" w:eastAsia="仿宋GB2312"/>
          <w:b/>
          <w:bCs/>
          <w:sz w:val="28"/>
          <w:szCs w:val="28"/>
          <w:lang w:eastAsia="zh-CN"/>
        </w:rPr>
        <w:t>：</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7.是否需要办理审批结果延续手续：</w:t>
      </w:r>
      <w:r>
        <w:rPr>
          <w:rFonts w:hint="eastAsia" w:ascii="方正仿宋_GBK" w:hAnsi="方正仿宋_GBK" w:eastAsia="方正仿宋_GBK" w:cs="方正仿宋_GBK"/>
          <w:sz w:val="28"/>
          <w:szCs w:val="28"/>
        </w:rPr>
        <w:t>是</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8.办理审批结果延续手续的要求</w:t>
      </w:r>
    </w:p>
    <w:p>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因工程需要或施工方案调整。</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9.审批结果的有效地域范围</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本级审批权限范围</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10.规定审批结果有效地域范围的依据</w:t>
      </w:r>
    </w:p>
    <w:p>
      <w:pPr>
        <w:spacing w:line="600" w:lineRule="exact"/>
        <w:ind w:firstLine="560" w:firstLineChars="200"/>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（1）《中华人民共和国行政许可法》第四十一条法律、行政法规设定的行政许可，其适用范围没有地域限制的，申请人取得的行政许可在全国范围内有效。</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行政许可数量限制</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1.有无行政许可数量限制：</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2.公布数量限制的方式：</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3.公布数量限制的周期：</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4.在数量限制条件下实施行政许可的方式：</w:t>
      </w:r>
      <w:r>
        <w:rPr>
          <w:rFonts w:hint="eastAsia" w:ascii="方正仿宋_GBK" w:hAnsi="方正仿宋_GBK" w:eastAsia="方正仿宋_GBK" w:cs="方正仿宋_GBK"/>
          <w:sz w:val="28"/>
          <w:szCs w:val="28"/>
        </w:rPr>
        <w:t>无</w:t>
      </w:r>
    </w:p>
    <w:p>
      <w:pPr>
        <w:spacing w:line="600" w:lineRule="exact"/>
        <w:ind w:firstLine="562" w:firstLineChars="200"/>
        <w:jc w:val="left"/>
        <w:rPr>
          <w:rFonts w:hint="eastAsia" w:ascii="Times New Roman" w:hAnsi="Times New Roman" w:eastAsia="仿宋GB2312"/>
          <w:sz w:val="28"/>
          <w:szCs w:val="28"/>
        </w:rPr>
      </w:pPr>
      <w:r>
        <w:rPr>
          <w:rFonts w:hint="eastAsia" w:ascii="Times New Roman" w:hAnsi="Times New Roman" w:eastAsia="仿宋GB2312"/>
          <w:b/>
          <w:bCs/>
          <w:sz w:val="28"/>
          <w:szCs w:val="28"/>
        </w:rPr>
        <w:t>5.规定在数量限制条件下实施行政许可方式的依据</w:t>
      </w:r>
      <w:r>
        <w:rPr>
          <w:rFonts w:hint="eastAsia" w:ascii="Times New Roman" w:hAnsi="Times New Roman" w:eastAsia="仿宋GB2312"/>
          <w:b/>
          <w:bCs/>
          <w:sz w:val="28"/>
          <w:szCs w:val="28"/>
          <w:lang w:eastAsia="zh-CN"/>
        </w:rPr>
        <w:t>：</w:t>
      </w:r>
      <w:r>
        <w:rPr>
          <w:rFonts w:hint="eastAsia" w:ascii="方正仿宋_GBK" w:hAnsi="方正仿宋_GBK" w:eastAsia="方正仿宋_GBK" w:cs="方正仿宋_GBK"/>
          <w:sz w:val="28"/>
          <w:szCs w:val="28"/>
        </w:rPr>
        <w:t>无</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行政许可后年检</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1.有无年检要求：</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2.设定年检要求的依据</w:t>
      </w:r>
      <w:r>
        <w:rPr>
          <w:rFonts w:hint="eastAsia" w:ascii="Times New Roman" w:hAnsi="Times New Roman" w:eastAsia="仿宋GB2312"/>
          <w:b/>
          <w:bCs/>
          <w:sz w:val="28"/>
          <w:szCs w:val="28"/>
          <w:lang w:eastAsia="zh-CN"/>
        </w:rPr>
        <w:t>：</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3.年检周期：</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4.年检是否要求报送材料：</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5.年检报送材料名称：</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6.年检是否收费：</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7.年检收费项目的名称、年检收费项目的标准、设定年检收费项目的依据、规定年检项目收费标准的依据</w:t>
      </w:r>
      <w:r>
        <w:rPr>
          <w:rFonts w:hint="eastAsia" w:ascii="Times New Roman" w:hAnsi="Times New Roman" w:eastAsia="仿宋GB2312"/>
          <w:b/>
          <w:bCs/>
          <w:sz w:val="28"/>
          <w:szCs w:val="28"/>
          <w:lang w:eastAsia="zh-CN"/>
        </w:rPr>
        <w:t>：</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8.通过年检的证明或者标志：</w:t>
      </w:r>
      <w:r>
        <w:rPr>
          <w:rFonts w:hint="eastAsia" w:ascii="方正仿宋_GBK" w:hAnsi="方正仿宋_GBK" w:eastAsia="方正仿宋_GBK" w:cs="方正仿宋_GBK"/>
          <w:sz w:val="28"/>
          <w:szCs w:val="28"/>
        </w:rPr>
        <w:t>无</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行政许可后年报</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w:t>
      </w:r>
      <w:r>
        <w:rPr>
          <w:rFonts w:ascii="Times New Roman" w:hAnsi="Times New Roman" w:eastAsia="仿宋GB2312"/>
          <w:b/>
          <w:bCs/>
          <w:sz w:val="28"/>
          <w:szCs w:val="28"/>
        </w:rPr>
        <w:t>有无年报要求</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年报报送材料名称</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方正仿宋_GBK" w:hAnsi="方正仿宋_GBK" w:eastAsia="方正仿宋_GBK" w:cs="方正仿宋_GBK"/>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设定年报要求的依据</w:t>
      </w:r>
      <w:r>
        <w:rPr>
          <w:rFonts w:hint="eastAsia" w:ascii="Times New Roman" w:hAnsi="Times New Roman" w:eastAsia="仿宋GB2312"/>
          <w:b/>
          <w:bCs/>
          <w:sz w:val="28"/>
          <w:szCs w:val="28"/>
          <w:lang w:eastAsia="zh-CN"/>
        </w:rPr>
        <w:t>：</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年报周期</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监管主体</w:t>
      </w:r>
    </w:p>
    <w:p>
      <w:pPr>
        <w:spacing w:line="600" w:lineRule="exact"/>
        <w:ind w:firstLine="560" w:firstLineChars="200"/>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石林彝族自治县城市管理局</w:t>
      </w:r>
      <w:bookmarkStart w:id="0" w:name="_GoBack"/>
      <w:bookmarkEnd w:id="0"/>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十五、备注</w:t>
      </w:r>
    </w:p>
    <w:p>
      <w:pPr>
        <w:spacing w:line="600" w:lineRule="exact"/>
        <w:ind w:firstLine="560" w:firstLineChars="200"/>
        <w:rPr>
          <w:rFonts w:hint="eastAsia" w:ascii="方正仿宋_GBK" w:hAnsi="方正仿宋_GBK" w:eastAsia="方正仿宋_GBK" w:cs="方正仿宋_GBK"/>
          <w:sz w:val="28"/>
          <w:szCs w:val="28"/>
        </w:rPr>
      </w:pPr>
    </w:p>
    <w:p>
      <w:pPr>
        <w:spacing w:line="540" w:lineRule="exact"/>
        <w:outlineLvl w:val="1"/>
        <w:rPr>
          <w:rFonts w:ascii="Times New Roman" w:hAnsi="Times New Roman" w:eastAsia="黑体"/>
          <w:sz w:val="28"/>
          <w:szCs w:val="28"/>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auto"/>
    <w:pitch w:val="default"/>
    <w:sig w:usb0="00000000" w:usb1="00000000" w:usb2="00000000" w:usb3="00000000" w:csb0="00040000" w:csb1="00000000"/>
  </w:font>
  <w:font w:name="仿宋GB2312">
    <w:altName w:val="仿宋"/>
    <w:panose1 w:val="00000000000000000000"/>
    <w:charset w:val="86"/>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方正仿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F30B91"/>
    <w:multiLevelType w:val="singleLevel"/>
    <w:tmpl w:val="EFF30B9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E4720E"/>
    <w:rsid w:val="54E4720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昆明市石林县党政机关单位</Company>
  <Pages>1</Pages>
  <Words>0</Words>
  <Characters>0</Characters>
  <Lines>0</Lines>
  <Paragraphs>0</Paragraphs>
  <TotalTime>2</TotalTime>
  <ScaleCrop>false</ScaleCrop>
  <LinksUpToDate>false</LinksUpToDate>
  <CharactersWithSpaces>0</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2023-12-20T08:18:00Z</dcterms:created>
  <dc:creator>Administrator</dc:creator>
  <cp:lastModifiedBy>Administrator</cp:lastModifiedBy>
  <dcterms:modified xsi:type="dcterms:W3CDTF">2023-12-20T08:20:38Z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458915F518424AC1A4C009C4EA28F854</vt:lpwstr>
  </property>
</Properties>
</file>