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监督索引号53012670355400000</w:t>
      </w:r>
    </w:p>
    <w:p>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石林彝族自治县科学技术协会2021年预算公开</w:t>
      </w:r>
      <w:r>
        <w:rPr>
          <w:rFonts w:ascii="方正小标宋简体" w:eastAsia="方正小标宋简体" w:hint="eastAsia"/>
          <w:sz w:val="36"/>
          <w:szCs w:val="36"/>
        </w:rPr>
        <w:t>目录</w:t>
      </w:r>
    </w:p>
    <w:p>
      <w:pPr>
        <w:jc w:val="left"/>
        <w:rPr>
          <w:rFonts w:ascii="黑体" w:eastAsia="黑体" w:hAnsi="黑体"/>
          <w:sz w:val="30"/>
          <w:szCs w:val="30"/>
        </w:rPr>
      </w:pPr>
    </w:p>
    <w:p>
      <w:pPr>
        <w:spacing w:line="560" w:lineRule="exact"/>
        <w:jc w:val="left"/>
        <w:rPr>
          <w:rFonts w:ascii="黑体" w:eastAsia="黑体" w:hAnsi="黑体"/>
          <w:sz w:val="30"/>
          <w:szCs w:val="30"/>
        </w:rPr>
      </w:pPr>
      <w:r>
        <w:rPr>
          <w:rFonts w:ascii="黑体" w:eastAsia="黑体" w:hAnsi="黑体" w:hint="eastAsia"/>
          <w:sz w:val="30"/>
          <w:szCs w:val="30"/>
        </w:rPr>
        <w:t>第一部分  石林彝族自治县科学技术协会2021年部门预算编制说明</w:t>
      </w:r>
    </w:p>
    <w:p>
      <w:pPr>
        <w:spacing w:line="560" w:lineRule="exact"/>
        <w:jc w:val="left"/>
        <w:rPr>
          <w:rFonts w:ascii="黑体" w:eastAsia="黑体" w:hAnsi="黑体"/>
          <w:sz w:val="30"/>
          <w:szCs w:val="30"/>
        </w:rPr>
      </w:pPr>
      <w:r>
        <w:rPr>
          <w:rFonts w:ascii="黑体" w:eastAsia="黑体" w:hAnsi="黑体" w:hint="eastAsia"/>
          <w:sz w:val="30"/>
          <w:szCs w:val="30"/>
        </w:rPr>
        <w:t>第二部分  石林彝族自治县科学技术协会2021年部门预算表</w:t>
      </w:r>
    </w:p>
    <w:p>
      <w:pPr>
        <w:spacing w:line="560" w:lineRule="exact"/>
        <w:jc w:val="left"/>
        <w:rPr>
          <w:rFonts w:eastAsia="仿宋_GB2312"/>
          <w:sz w:val="30"/>
          <w:szCs w:val="30"/>
        </w:rPr>
      </w:pPr>
      <w:r>
        <w:rPr>
          <w:rFonts w:eastAsia="仿宋_GB2312" w:hint="eastAsia"/>
          <w:sz w:val="30"/>
          <w:szCs w:val="30"/>
        </w:rPr>
        <w:t>一、部门财务收支预算总表</w:t>
      </w:r>
    </w:p>
    <w:p>
      <w:pPr>
        <w:spacing w:line="560" w:lineRule="exact"/>
        <w:jc w:val="left"/>
        <w:rPr>
          <w:rFonts w:eastAsia="仿宋_GB2312"/>
          <w:sz w:val="30"/>
          <w:szCs w:val="30"/>
        </w:rPr>
      </w:pPr>
      <w:r>
        <w:rPr>
          <w:rFonts w:eastAsia="仿宋_GB2312" w:hint="eastAsia"/>
          <w:sz w:val="30"/>
          <w:szCs w:val="30"/>
        </w:rPr>
        <w:t>二、部门收入预算表</w:t>
      </w:r>
    </w:p>
    <w:p>
      <w:pPr>
        <w:spacing w:line="560" w:lineRule="exact"/>
        <w:jc w:val="left"/>
        <w:rPr>
          <w:rFonts w:eastAsia="仿宋_GB2312"/>
          <w:sz w:val="30"/>
          <w:szCs w:val="30"/>
        </w:rPr>
      </w:pPr>
      <w:r>
        <w:rPr>
          <w:rFonts w:eastAsia="仿宋_GB2312" w:hint="eastAsia"/>
          <w:sz w:val="30"/>
          <w:szCs w:val="30"/>
        </w:rPr>
        <w:t>三、部门支出预算表</w:t>
      </w:r>
    </w:p>
    <w:p>
      <w:pPr>
        <w:spacing w:line="560" w:lineRule="exact"/>
        <w:jc w:val="left"/>
        <w:rPr>
          <w:rFonts w:eastAsia="仿宋_GB2312"/>
          <w:sz w:val="30"/>
          <w:szCs w:val="30"/>
        </w:rPr>
      </w:pPr>
      <w:r>
        <w:rPr>
          <w:rFonts w:eastAsia="仿宋_GB2312" w:hint="eastAsia"/>
          <w:sz w:val="30"/>
          <w:szCs w:val="30"/>
        </w:rPr>
        <w:t>四、部门财政拨款收支预算总表</w:t>
      </w:r>
    </w:p>
    <w:p>
      <w:pPr>
        <w:spacing w:line="560" w:lineRule="exact"/>
        <w:jc w:val="left"/>
        <w:rPr>
          <w:rFonts w:eastAsia="仿宋_GB2312"/>
          <w:sz w:val="30"/>
          <w:szCs w:val="30"/>
        </w:rPr>
      </w:pPr>
      <w:r>
        <w:rPr>
          <w:rFonts w:eastAsia="仿宋_GB2312" w:hint="eastAsia"/>
          <w:sz w:val="30"/>
          <w:szCs w:val="30"/>
        </w:rPr>
        <w:t>五、财政拨款“三公”经费支出预算表</w:t>
      </w:r>
    </w:p>
    <w:p>
      <w:pPr>
        <w:spacing w:line="560" w:lineRule="exact"/>
        <w:jc w:val="left"/>
        <w:rPr>
          <w:rFonts w:eastAsia="仿宋_GB2312"/>
          <w:sz w:val="30"/>
          <w:szCs w:val="30"/>
        </w:rPr>
      </w:pPr>
      <w:r>
        <w:rPr>
          <w:rFonts w:eastAsia="仿宋_GB2312" w:hint="eastAsia"/>
          <w:sz w:val="30"/>
          <w:szCs w:val="30"/>
        </w:rPr>
        <w:t>六、部门一般公共预算支出预算表（按功能科目分类）</w:t>
      </w:r>
    </w:p>
    <w:p>
      <w:pPr>
        <w:spacing w:line="560" w:lineRule="exact"/>
        <w:jc w:val="left"/>
        <w:rPr>
          <w:rFonts w:eastAsia="仿宋_GB2312"/>
          <w:sz w:val="30"/>
          <w:szCs w:val="30"/>
        </w:rPr>
      </w:pPr>
      <w:r>
        <w:rPr>
          <w:rFonts w:eastAsia="仿宋_GB2312" w:hint="eastAsia"/>
          <w:sz w:val="30"/>
          <w:szCs w:val="30"/>
        </w:rPr>
        <w:t>七、部门一般公共预算“三公”经费支出预算表</w:t>
      </w:r>
    </w:p>
    <w:p>
      <w:pPr>
        <w:spacing w:line="560" w:lineRule="exact"/>
        <w:jc w:val="left"/>
        <w:rPr>
          <w:rFonts w:eastAsia="仿宋_GB2312"/>
          <w:sz w:val="30"/>
          <w:szCs w:val="30"/>
        </w:rPr>
      </w:pPr>
      <w:r>
        <w:rPr>
          <w:rFonts w:eastAsia="仿宋_GB2312" w:hint="eastAsia"/>
          <w:sz w:val="30"/>
          <w:szCs w:val="30"/>
        </w:rPr>
        <w:t>八、部门基本支出预算表（人员类、运转类公用经费项目）</w:t>
      </w:r>
    </w:p>
    <w:p>
      <w:pPr>
        <w:spacing w:line="560" w:lineRule="exact"/>
        <w:jc w:val="left"/>
        <w:rPr>
          <w:rFonts w:eastAsia="仿宋_GB2312"/>
          <w:sz w:val="30"/>
          <w:szCs w:val="30"/>
        </w:rPr>
      </w:pPr>
      <w:r>
        <w:rPr>
          <w:rFonts w:eastAsia="仿宋_GB2312" w:hint="eastAsia"/>
          <w:sz w:val="30"/>
          <w:szCs w:val="30"/>
        </w:rPr>
        <w:t>九、部门项目支出预算表（其他运转类、特定目标类项目）</w:t>
      </w:r>
    </w:p>
    <w:p>
      <w:pPr>
        <w:spacing w:line="560" w:lineRule="exact"/>
        <w:jc w:val="left"/>
        <w:rPr>
          <w:rFonts w:eastAsia="仿宋_GB2312"/>
          <w:sz w:val="30"/>
          <w:szCs w:val="30"/>
        </w:rPr>
      </w:pPr>
      <w:r>
        <w:rPr>
          <w:rFonts w:eastAsia="仿宋_GB2312" w:hint="eastAsia"/>
          <w:sz w:val="30"/>
          <w:szCs w:val="30"/>
        </w:rPr>
        <w:t>十、部门政府性基金预算支出预算表（按功能科目分类）</w:t>
      </w:r>
    </w:p>
    <w:p>
      <w:pPr>
        <w:spacing w:line="560" w:lineRule="exact"/>
        <w:jc w:val="left"/>
        <w:rPr>
          <w:rFonts w:eastAsia="仿宋_GB2312"/>
          <w:sz w:val="30"/>
          <w:szCs w:val="30"/>
        </w:rPr>
      </w:pPr>
      <w:r>
        <w:rPr>
          <w:rFonts w:eastAsia="仿宋_GB2312" w:hint="eastAsia"/>
          <w:sz w:val="30"/>
          <w:szCs w:val="30"/>
        </w:rPr>
        <w:t>十一、财政拨款支出预算表（按经济科目分类）</w:t>
      </w:r>
    </w:p>
    <w:p>
      <w:pPr>
        <w:spacing w:line="560" w:lineRule="exact"/>
        <w:jc w:val="left"/>
        <w:rPr>
          <w:rFonts w:eastAsia="仿宋_GB2312"/>
          <w:sz w:val="30"/>
          <w:szCs w:val="30"/>
        </w:rPr>
      </w:pPr>
      <w:r>
        <w:rPr>
          <w:rFonts w:eastAsia="仿宋_GB2312" w:hint="eastAsia"/>
          <w:sz w:val="30"/>
          <w:szCs w:val="30"/>
        </w:rPr>
        <w:t>十二、县（区）本级项目支出绩效目标表-1（本次下达）</w:t>
      </w:r>
    </w:p>
    <w:p>
      <w:pPr>
        <w:spacing w:line="560" w:lineRule="exact"/>
        <w:jc w:val="left"/>
        <w:rPr>
          <w:rFonts w:eastAsia="仿宋_GB2312"/>
          <w:sz w:val="30"/>
          <w:szCs w:val="30"/>
        </w:rPr>
      </w:pPr>
      <w:r>
        <w:rPr>
          <w:rFonts w:eastAsia="仿宋_GB2312" w:hint="eastAsia"/>
          <w:sz w:val="30"/>
          <w:szCs w:val="30"/>
        </w:rPr>
        <w:t>十三、县（区）本级项目支出绩效目标表-2（另文下达）</w:t>
      </w:r>
    </w:p>
    <w:p>
      <w:pPr>
        <w:spacing w:line="560" w:lineRule="exact"/>
        <w:jc w:val="left"/>
        <w:rPr>
          <w:rFonts w:eastAsia="仿宋_GB2312"/>
          <w:sz w:val="30"/>
          <w:szCs w:val="30"/>
        </w:rPr>
      </w:pPr>
      <w:r>
        <w:rPr>
          <w:rFonts w:eastAsia="仿宋_GB2312" w:hint="eastAsia"/>
          <w:sz w:val="30"/>
          <w:szCs w:val="30"/>
        </w:rPr>
        <w:t>十四、对下转移支付预算表</w:t>
      </w:r>
    </w:p>
    <w:p>
      <w:pPr>
        <w:spacing w:line="560" w:lineRule="exact"/>
        <w:jc w:val="left"/>
        <w:rPr>
          <w:rFonts w:eastAsia="仿宋_GB2312"/>
          <w:sz w:val="30"/>
          <w:szCs w:val="30"/>
        </w:rPr>
      </w:pPr>
      <w:r>
        <w:rPr>
          <w:rFonts w:eastAsia="仿宋_GB2312" w:hint="eastAsia"/>
          <w:sz w:val="30"/>
          <w:szCs w:val="30"/>
        </w:rPr>
        <w:t>十五、对下转移支付绩效目标表</w:t>
      </w:r>
    </w:p>
    <w:p>
      <w:pPr>
        <w:spacing w:line="560" w:lineRule="exact"/>
        <w:jc w:val="left"/>
        <w:rPr>
          <w:rFonts w:eastAsia="仿宋_GB2312"/>
          <w:sz w:val="30"/>
          <w:szCs w:val="30"/>
        </w:rPr>
      </w:pPr>
      <w:r>
        <w:rPr>
          <w:rFonts w:eastAsia="仿宋_GB2312" w:hint="eastAsia"/>
          <w:sz w:val="30"/>
          <w:szCs w:val="30"/>
        </w:rPr>
        <w:t>十六、部门新增资产配置表</w:t>
      </w:r>
    </w:p>
    <w:p>
      <w:pPr>
        <w:spacing w:line="560" w:lineRule="exact"/>
        <w:jc w:val="left"/>
        <w:rPr>
          <w:rFonts w:eastAsia="仿宋_GB2312"/>
          <w:sz w:val="30"/>
          <w:szCs w:val="30"/>
        </w:rPr>
      </w:pPr>
      <w:r>
        <w:rPr>
          <w:rFonts w:eastAsia="仿宋_GB2312" w:hint="eastAsia"/>
          <w:sz w:val="30"/>
          <w:szCs w:val="30"/>
        </w:rPr>
        <w:t>十七、部门政府采购预算表</w:t>
      </w:r>
    </w:p>
    <w:p>
      <w:pPr>
        <w:spacing w:line="560" w:lineRule="exact"/>
        <w:jc w:val="left"/>
        <w:rPr>
          <w:rFonts w:eastAsia="仿宋_GB2312"/>
          <w:sz w:val="30"/>
          <w:szCs w:val="30"/>
        </w:rPr>
      </w:pPr>
      <w:r>
        <w:rPr>
          <w:rFonts w:eastAsia="仿宋_GB2312" w:hint="eastAsia"/>
          <w:sz w:val="30"/>
          <w:szCs w:val="30"/>
        </w:rPr>
        <w:t>十八、部门政府购买服务预算表</w:t>
      </w:r>
    </w:p>
    <w:p>
      <w:pPr>
        <w:spacing w:line="560" w:lineRule="exact"/>
        <w:jc w:val="left"/>
        <w:rPr>
          <w:rFonts w:eastAsia="仿宋_GB2312"/>
          <w:sz w:val="30"/>
          <w:szCs w:val="30"/>
        </w:rPr>
      </w:pPr>
      <w:r>
        <w:rPr>
          <w:rFonts w:eastAsia="仿宋_GB2312" w:hint="eastAsia"/>
          <w:sz w:val="30"/>
          <w:szCs w:val="30"/>
        </w:rPr>
        <w:t>十九、部门整体支出绩效目标表</w:t>
      </w:r>
    </w:p>
    <w:p>
      <w:pPr>
        <w:spacing w:line="560" w:lineRule="exact"/>
        <w:jc w:val="left"/>
        <w:rPr>
          <w:rFonts w:eastAsia="仿宋_GB2312"/>
          <w:sz w:val="30"/>
          <w:szCs w:val="30"/>
        </w:rPr>
      </w:pPr>
      <w:r>
        <w:rPr>
          <w:rFonts w:eastAsia="仿宋_GB2312" w:hint="eastAsia"/>
          <w:sz w:val="30"/>
          <w:szCs w:val="30"/>
        </w:rPr>
        <w:t>二十、部门单位基本信息表</w:t>
      </w:r>
    </w:p>
    <w:p>
      <w:pPr>
        <w:spacing w:line="560" w:lineRule="exact"/>
        <w:jc w:val="left"/>
        <w:rPr>
          <w:rFonts w:eastAsia="仿宋_GB2312"/>
          <w:sz w:val="30"/>
          <w:szCs w:val="30"/>
        </w:rPr>
      </w:pPr>
      <w:r>
        <w:rPr>
          <w:rFonts w:eastAsia="仿宋_GB2312" w:hint="eastAsia"/>
          <w:sz w:val="30"/>
          <w:szCs w:val="30"/>
        </w:rPr>
        <w:t>二十一、行政事业单位资产情况表</w:t>
      </w:r>
    </w:p>
    <w:p>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石林彝族自治县科学技术协会</w:t>
      </w:r>
    </w:p>
    <w:p>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2021年部门预算编制说明</w:t>
      </w:r>
    </w:p>
    <w:p>
      <w:pPr>
        <w:widowControl/>
        <w:jc w:val="left"/>
        <w:rPr>
          <w:rFonts w:ascii="黑体" w:eastAsia="黑体" w:hAnsi="黑体"/>
          <w:kern w:val="0"/>
          <w:sz w:val="30"/>
          <w:szCs w:val="30"/>
        </w:rPr>
      </w:pPr>
    </w:p>
    <w:p>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1.开展学术交流，活跃学术思想，促进学科发展，推动自主创新。</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2.组织科学技术工作者为建立以企业为主体的技术创新体系、全面提升企业的自主创新能力作贡献。  </w:t>
      </w:r>
    </w:p>
    <w:p>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3.依照《中华人民共和国科学技术普及法》，弘扬科学精神，普及科学知识，传播科学思想和科学方法。捍卫科学尊严，推广先进技术，开展青少年科学技术教育活动， 提高全民科学素质。</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4.反映科学技术工作者的建议、意见和诉求，维护科学技术工作者的合法权益。</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5.推动建立和完善科学研究诚信监督机制，促进科学道德建设和学风建设。</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6.组织科学技术工作者参与全县科学技术政策、法规定和全县事务的政治协商、科学决策、民主监督工作。</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7.表彰奖励优秀科学技术工作者，举荐科学技术人才。</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8.开展科学论证、咨询服务，提出政策建议，促进科学技术成果的转化；接受委托承担项目评估、成果鉴定，参与技术标准制定、专业技术资格评审和认证等任务。</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9.开展民间科学技术交流活动，促进科学技术合作，发展同县外的科学技术团体和科学技术工作者的友好交往。</w:t>
      </w:r>
    </w:p>
    <w:p>
      <w:pPr>
        <w:widowControl/>
        <w:ind w:left="508" w:leftChars="242"/>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10.开展继续教育和培训工作。                                                                                                              11.完成县委、政府交办的各项任务。</w:t>
      </w:r>
    </w:p>
    <w:p>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石林县科协内设</w:t>
      </w:r>
      <w:r>
        <w:rPr>
          <w:rFonts w:ascii="仿宋_GB2312" w:eastAsia="仿宋_GB2312" w:hAnsi="仿宋_GB2312" w:cs="仿宋_GB2312"/>
          <w:kern w:val="0"/>
          <w:sz w:val="30"/>
          <w:szCs w:val="30"/>
        </w:rPr>
        <w:t>1</w:t>
      </w:r>
      <w:r>
        <w:rPr>
          <w:rFonts w:ascii="仿宋_GB2312" w:eastAsia="仿宋_GB2312" w:hAnsi="仿宋_GB2312" w:cs="仿宋_GB2312" w:hint="eastAsia"/>
          <w:kern w:val="0"/>
          <w:sz w:val="30"/>
          <w:szCs w:val="30"/>
        </w:rPr>
        <w:t>室</w:t>
      </w:r>
      <w:r>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部，即办公室、科普部、科创部，</w:t>
      </w:r>
      <w:r>
        <w:rPr>
          <w:rFonts w:ascii="仿宋_GB2312" w:eastAsia="仿宋_GB2312" w:hAnsi="仿宋_GB2312" w:cs="仿宋_GB2312"/>
          <w:kern w:val="0"/>
          <w:sz w:val="30"/>
          <w:szCs w:val="30"/>
        </w:rPr>
        <w:t>20</w:t>
      </w:r>
      <w:r>
        <w:rPr>
          <w:rFonts w:ascii="仿宋_GB2312" w:eastAsia="仿宋_GB2312" w:hAnsi="仿宋_GB2312" w:cs="仿宋_GB2312" w:hint="eastAsia"/>
          <w:kern w:val="0"/>
          <w:sz w:val="30"/>
          <w:szCs w:val="30"/>
        </w:rPr>
        <w:t>20年年底有正式职工7人，其中公务员6人，工勤人员</w:t>
      </w:r>
      <w:r>
        <w:rPr>
          <w:rFonts w:ascii="仿宋_GB2312" w:eastAsia="仿宋_GB2312" w:hAnsi="仿宋_GB2312" w:cs="仿宋_GB2312"/>
          <w:kern w:val="0"/>
          <w:sz w:val="30"/>
          <w:szCs w:val="30"/>
        </w:rPr>
        <w:t>1</w:t>
      </w:r>
      <w:r>
        <w:rPr>
          <w:rFonts w:ascii="仿宋_GB2312" w:eastAsia="仿宋_GB2312" w:hAnsi="仿宋_GB2312" w:cs="仿宋_GB2312" w:hint="eastAsia"/>
          <w:kern w:val="0"/>
          <w:sz w:val="30"/>
          <w:szCs w:val="30"/>
        </w:rPr>
        <w:t>人，公益性岗位</w:t>
      </w:r>
      <w:r>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人，退休职工</w:t>
      </w:r>
      <w:r>
        <w:rPr>
          <w:rFonts w:ascii="仿宋_GB2312" w:eastAsia="仿宋_GB2312" w:hAnsi="仿宋_GB2312" w:cs="仿宋_GB2312"/>
          <w:kern w:val="0"/>
          <w:sz w:val="30"/>
          <w:szCs w:val="30"/>
        </w:rPr>
        <w:t>4</w:t>
      </w:r>
      <w:r>
        <w:rPr>
          <w:rFonts w:ascii="仿宋_GB2312" w:eastAsia="仿宋_GB2312" w:hAnsi="仿宋_GB2312" w:cs="仿宋_GB2312" w:hint="eastAsia"/>
          <w:kern w:val="0"/>
          <w:sz w:val="30"/>
          <w:szCs w:val="30"/>
        </w:rPr>
        <w:t>人。</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1.创建全国科普示范县。</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强化制度建设，规范科协组织管理。一是落实好民主办会六项制度。特别是要通过落实兼职副主席、常委、委员领衔工作制度，把科协改革和各项任务落到实处。二是制定县级学会(团体会员)管理规范(试行)、拟订高校(园区、企业)科协组织建设规范(试行)。三是调研拟订创新争先奖励办法、科协个人会员和团体会员管理办法、科普信息化建设办法和科普产业化建设办法等。四是推进科协专门委员会建设和管理制度。成立专门委员会，起草专门委员会建设和管理制度，探索发挥专门委员会作用的方式方法。创新科学文化公共服务机制，建立全覆盖的科技传播渠道。</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强化机制建设，增强科协服务功能。一是探索科普信息化服务机制。以推进科普中国落地应用，实现科普e站全覆盖，推进网上科协建设，利用网络增强科协“四服务”功能。二是创新服务党和政府决策咨询机制，建设石林科技智库。加强智库骨干人才培养，奠定科协智库人才基础，以《专家建议》等多种形式，打造科协智库品牌。三是创新科学文化公共服务机制，建立全覆盖的科技传播渠道。加强科普阵地建设，强化科技馆功能。进一步加强科普信息化人才队伍建设，加强网络硬件的更新改造和升级换代，在农村科技传播信息化服务平台、电子科普画廊等方面多做探索尝试，建立现代化科普服务体系。充分利用科普中国信息技术手段做好“互联网+科普”工作。</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创新工作方法，全心为民服务。发挥好全民科学素质领导小组办公室牵头协调作用，继续以未成年人、农民、城镇劳动人口、领导干部和公务员为重点，把传统科普方式与现代信息手段有效地结合起来，广泛运用手机短信、QQ、网络等途径传播科学知识，推动科普更加便捷地走进人们的生活。</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加强青少年科学思想道德建设，着力开展校园科普活动。加强与有关单位的合作，采取灵活有效地形式，组织开展校园科技节活动、科普夏令营。切实抓好科技辅导员队伍和科学教师队伍建设，提高科技辅导员的能力和水平。举办第</w:t>
      </w:r>
      <w:r>
        <w:rPr>
          <w:rFonts w:ascii="仿宋_GB2312" w:eastAsia="仿宋_GB2312" w:hAnsi="仿宋_GB2312" w:cs="仿宋_GB2312"/>
          <w:kern w:val="0"/>
          <w:sz w:val="30"/>
          <w:szCs w:val="30"/>
        </w:rPr>
        <w:t>3</w:t>
      </w:r>
      <w:r>
        <w:rPr>
          <w:rFonts w:ascii="仿宋_GB2312" w:eastAsia="仿宋_GB2312" w:hAnsi="仿宋_GB2312" w:cs="仿宋_GB2312" w:hint="eastAsia"/>
          <w:kern w:val="0"/>
          <w:sz w:val="30"/>
          <w:szCs w:val="30"/>
        </w:rPr>
        <w:t>6届青少年科技创新大赛，积极推荐优秀作品参加省市级大赛。</w:t>
      </w:r>
      <w:r>
        <w:rPr>
          <w:rFonts w:ascii="仿宋_GB2312" w:eastAsia="仿宋_GB2312" w:hAnsi="仿宋_GB2312" w:cs="仿宋_GB2312"/>
          <w:kern w:val="0"/>
          <w:sz w:val="30"/>
          <w:szCs w:val="30"/>
        </w:rPr>
        <w:t xml:space="preserve">  </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6.精心筹划系列主题科普活动，着力打造特色活动品牌。以 “全国科普日”、“科技周”等大型科普活动为载体，以各学会、协会和广大科技人员为主力军，以科普讲座、知识竞赛、咨询义诊和实用技术培训为主要形式，大力推广先进实用技术，普及科学知识。</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7.</w:t>
      </w:r>
      <w:r>
        <w:rPr>
          <w:rFonts w:ascii="仿宋_GB2312" w:eastAsia="仿宋_GB2312" w:hAnsi="仿宋_GB2312" w:cs="仿宋_GB2312" w:hint="eastAsia"/>
          <w:kern w:val="0"/>
          <w:sz w:val="30"/>
          <w:szCs w:val="30"/>
        </w:rPr>
        <w:t>积极引导科技资源向企业集聚，着力服务企业科技创新。积极推进院士专家工作站建设，探索形成专家解决技术难题、进站工作服务的长效机制，更好地发挥院士专家提供科技支撑、服务企业的重要作用。大力实施金桥工程，深入开展“讲理想、比贡献”活动，增强企业自主创新能力。</w:t>
      </w:r>
      <w:r>
        <w:rPr>
          <w:rFonts w:ascii="仿宋_GB2312" w:eastAsia="仿宋_GB2312" w:hAnsi="仿宋_GB2312" w:cs="仿宋_GB2312"/>
          <w:kern w:val="0"/>
          <w:sz w:val="30"/>
          <w:szCs w:val="30"/>
        </w:rPr>
        <w:t xml:space="preserve">  </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8.</w:t>
      </w:r>
      <w:r>
        <w:rPr>
          <w:rFonts w:ascii="仿宋_GB2312" w:eastAsia="仿宋_GB2312" w:hAnsi="仿宋_GB2312" w:cs="仿宋_GB2312" w:hint="eastAsia"/>
          <w:kern w:val="0"/>
          <w:sz w:val="30"/>
          <w:szCs w:val="30"/>
        </w:rPr>
        <w:t>积极实施科普项目，着力助推产业升级。发现、储备、培养一批有潜力的农技协、科普示范基地和农村科普带头人，积极做好“科普基层行动计划”、“社区科普益民计划”等项目的申报工作，培养先进典型，带动更多的人投身基层科普科技服务中来。</w:t>
      </w:r>
      <w:r>
        <w:rPr>
          <w:rFonts w:ascii="仿宋_GB2312" w:eastAsia="仿宋_GB2312" w:hAnsi="仿宋_GB2312" w:cs="仿宋_GB2312"/>
          <w:kern w:val="0"/>
          <w:sz w:val="30"/>
          <w:szCs w:val="30"/>
        </w:rPr>
        <w:t xml:space="preserve">  </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9.</w:t>
      </w:r>
      <w:r>
        <w:rPr>
          <w:rFonts w:ascii="仿宋_GB2312" w:eastAsia="仿宋_GB2312" w:hAnsi="仿宋_GB2312" w:cs="仿宋_GB2312" w:hint="eastAsia"/>
          <w:kern w:val="0"/>
          <w:sz w:val="30"/>
          <w:szCs w:val="30"/>
        </w:rPr>
        <w:t>广开建言献策渠道，着力服务经济社会发展。继续面向全县科技工作者征集影响全县经济社会发展的建议、意见。建立和完善科技智囊团、智囊库；建立健全学术论坛和科技工作者建议征集制度，动员和鼓励更多的科技人员建言献策，为党委和政府的科学决策服务，积极向上推荐优秀论文。</w:t>
      </w:r>
      <w:r>
        <w:rPr>
          <w:rFonts w:ascii="仿宋_GB2312" w:eastAsia="仿宋_GB2312" w:hAnsi="仿宋_GB2312" w:cs="仿宋_GB2312"/>
          <w:kern w:val="0"/>
          <w:sz w:val="30"/>
          <w:szCs w:val="30"/>
        </w:rPr>
        <w:t xml:space="preserve">    </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10.</w:t>
      </w:r>
      <w:r>
        <w:rPr>
          <w:rFonts w:ascii="仿宋_GB2312" w:eastAsia="仿宋_GB2312" w:hAnsi="仿宋_GB2312" w:cs="仿宋_GB2312" w:hint="eastAsia"/>
          <w:kern w:val="0"/>
          <w:sz w:val="30"/>
          <w:szCs w:val="30"/>
        </w:rPr>
        <w:t>强化科协组织管理。积极协调与沟通，争取县直学会挂靠单位重视乡镇（街道）、园区、企业科协和学（协）会工作，在开展活动和经费上给予支持，推进基层科协组织活动经常化、规范化、制度化，依法运作、按章办会，要按照有组织机构、有办公地点、有牌子、有议事规程、有活动的要求，全面加强乡镇科协工作，增强学术团体的凝聚力，努力培养各学科学术带头人，积极探索适应企业发展，满足科技工作者需要的企业科协组织体制、运行机制和活动方式。创新“全国科协会员日”活动方式，培养和增进会员团体意识。</w:t>
      </w:r>
      <w:r>
        <w:rPr>
          <w:rFonts w:ascii="仿宋_GB2312" w:eastAsia="仿宋_GB2312" w:hAnsi="仿宋_GB2312" w:cs="仿宋_GB2312"/>
          <w:kern w:val="0"/>
          <w:sz w:val="30"/>
          <w:szCs w:val="30"/>
        </w:rPr>
        <w:t xml:space="preserve">  </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11.加强科协队伍建设。履行党和政府联系科技工作者的桥梁纽带职能，强化科协全委会、常委会作用，加强机关与不驻会同志的联系，认真执行科协议事规则和联系会议制度，深入开展理论学习，不断提高业务素质，提升服务水平，打造一支热爱科协、奉献科协的团队。</w:t>
      </w:r>
    </w:p>
    <w:p>
      <w:pPr>
        <w:pStyle w:val="TOAHeading"/>
        <w:ind w:firstLine="600" w:firstLineChars="200"/>
        <w:rPr>
          <w:highlight w:val="red"/>
        </w:rPr>
      </w:pPr>
      <w:r>
        <w:rPr>
          <w:rFonts w:ascii="仿宋_GB2312" w:eastAsia="仿宋_GB2312" w:hAnsi="仿宋_GB2312" w:cs="仿宋_GB2312" w:hint="eastAsia"/>
          <w:kern w:val="0"/>
          <w:sz w:val="30"/>
          <w:szCs w:val="30"/>
        </w:rPr>
        <w:t>12.加强科协机关建设。继续强化“五型机关”建设，提升科协机关干部职工服务的意识。进一步加大科协工作宣传力度，加强信息平台、信息员队伍建设，树立科协形象。贯彻落实“百千万”行动、创先争优、普法宣传、法制建设、效能建设、文明创建、综治维稳、计划生育等工作，确保相关指标任务的完成，将其与科协自身工作相结合，突出自身特色，形成合力，以更加务实的作风抓好各项工作的落实。</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我部门编制2021年部门预算单位1个,是石林彝族自治县科学技术协会。其中：财政全供给单位1个；部分供给单位0个；特殊供给单位0个；自收自支单位0个。财政全供给单位中行政单位1个；参公管理事业单位0个；非参公管理事业单位0个。截止2020年12月统计，部门基本情况如下：</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在职人员编制6人，其中：行政编制6人，事业编制0人。在职实有7人，其中：财政全供养7人，财政部分供养0人，非财政供养0人。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离退休人员4人，其中：离休 0人，退休4人。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车辆编制1辆，实有车辆1辆。</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2021年部门财务总收入 145.51万元，其中：一般公共预算145.51万元，政府性基金预算0万元，国有资本经营预算0万元，财政专户管理资金0万元，事业单位事业收入0万元，事业单位经营收入0万元，上级补助收入0万元，附属单位上缴收入0万元，其他收入0万元，上年结转结余0万元。</w:t>
      </w:r>
    </w:p>
    <w:p>
      <w:pPr>
        <w:widowControl/>
        <w:ind w:firstLine="600" w:firstLineChars="200"/>
        <w:jc w:val="left"/>
        <w:rPr>
          <w:rFonts w:ascii="仿宋_GB2312" w:eastAsia="仿宋_GB2312" w:hAnsi="仿宋_GB2312" w:cs="仿宋_GB2312"/>
          <w:kern w:val="0"/>
          <w:sz w:val="32"/>
          <w:szCs w:val="32"/>
          <w:highlight w:val="yellow"/>
        </w:rPr>
      </w:pPr>
      <w:r>
        <w:rPr>
          <w:rFonts w:ascii="仿宋_GB2312" w:eastAsia="仿宋_GB2312" w:hAnsi="仿宋_GB2312" w:cs="仿宋_GB2312" w:hint="eastAsia"/>
          <w:kern w:val="0"/>
          <w:sz w:val="30"/>
          <w:szCs w:val="30"/>
        </w:rPr>
        <w:t>2021年部门财务总收入中的一般公共预算收入</w:t>
      </w:r>
      <w:r>
        <w:rPr>
          <w:rFonts w:ascii="仿宋_GB2312" w:eastAsia="仿宋_GB2312" w:hAnsi="仿宋_GB2312" w:cs="仿宋_GB2312" w:hint="eastAsia"/>
          <w:kern w:val="0"/>
          <w:sz w:val="32"/>
          <w:szCs w:val="32"/>
        </w:rPr>
        <w:t>与上年对比</w:t>
      </w:r>
      <w:r>
        <w:rPr>
          <w:rFonts w:ascii="仿宋_GB2312" w:eastAsia="仿宋_GB2312" w:hAnsi="仿宋_GB2312" w:cs="仿宋_GB2312" w:hint="eastAsia"/>
          <w:kern w:val="0"/>
          <w:sz w:val="30"/>
          <w:szCs w:val="30"/>
        </w:rPr>
        <w:t>增加 54.81万元，增加的主要原因分析：人员调动，人员经费及公务费减少0.19万元；2021年科普专项经费增加55万元。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财政拨款收入145.51万元，其中:本年收入145.51万元，上年结转结余收入0万元。本年收入中，一般公共预算财政拨款145.51万元，政府性基金财政拨款0万元，国有资本经营预算财政拨款0万元，财政专户管理资金拨款0万元。</w:t>
      </w:r>
    </w:p>
    <w:p>
      <w:pPr>
        <w:widowControl/>
        <w:ind w:firstLine="600" w:firstLineChars="200"/>
        <w:jc w:val="left"/>
        <w:rPr>
          <w:rFonts w:ascii="仿宋_GB2312" w:eastAsia="仿宋_GB2312" w:hAnsi="仿宋_GB2312" w:cs="仿宋_GB2312"/>
          <w:kern w:val="0"/>
          <w:sz w:val="30"/>
          <w:szCs w:val="30"/>
          <w:highlight w:val="yellow"/>
        </w:rPr>
      </w:pPr>
      <w:r>
        <w:rPr>
          <w:rFonts w:ascii="仿宋_GB2312" w:eastAsia="仿宋_GB2312" w:hAnsi="仿宋_GB2312" w:cs="仿宋_GB2312" w:hint="eastAsia"/>
          <w:kern w:val="0"/>
          <w:sz w:val="30"/>
          <w:szCs w:val="30"/>
        </w:rPr>
        <w:t>2021年部门财政拨款收入中的一般公共预算财政拨款与上年对比增加 54.81万元，增加的主要原因分析：人员调动，人员经费及公务费减少0.19万元；2021年科普专项经费增加55万元。</w:t>
      </w:r>
    </w:p>
    <w:p>
      <w:pPr>
        <w:widowControl/>
        <w:ind w:firstLine="600" w:firstLineChars="200"/>
        <w:jc w:val="left"/>
        <w:rPr>
          <w:rFonts w:ascii="仿宋_GB2312" w:eastAsia="仿宋_GB2312" w:hAnsi="仿宋_GB2312" w:cs="仿宋_GB2312"/>
          <w:kern w:val="0"/>
          <w:sz w:val="30"/>
          <w:szCs w:val="30"/>
        </w:rPr>
      </w:pPr>
      <w:r>
        <w:rPr>
          <w:rFonts w:ascii="黑体" w:eastAsia="黑体" w:hAnsi="黑体"/>
          <w:kern w:val="0"/>
          <w:sz w:val="30"/>
          <w:szCs w:val="30"/>
        </w:rPr>
        <w:t>四、预算单位支出情况</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2021年部门预算总支出145.51万元。财政拨款安排支出 145.51万元，其中：基本支出90.51万元，与上年对比减少0.19万元，主要原因分析是人员调出，人员经费及公务费减少0.19万元；项目支出55万元，与上年对比增加55万元，主要原因分析是科普专项经费增加55万元。</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（一）财政拨款安排支出按功能科目分类情况</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财政拨款按支出功能科目分类如下：</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“2012901—行政运行”支出82.42万元，主要用于反映人员、公用、对个人和家庭的补助支出；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“2060702—科普活动”支出55万元，主要用于反映科普活动的支出。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“2080505—机关事业单位基本养老保险缴费”支出8.09万元，主要用于反映机关事业单位基本养老保险缴费支出。</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pPr>
        <w:widowControl/>
        <w:spacing w:line="540" w:lineRule="exact"/>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财政拨款按经济科目分组，（其中：基本支出90.51万元，项目支出55万元），具体分组如下：</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1.30101—工资福利支出：53.68万元，主要用于在职人员按规定发放的工资、津贴、补贴、奖金； </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30108—机关事业单位基本养老保险缴费支出8.09万元，主要用于缴纳职工的基本养老保险；</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30110—社保缴费支出：7.78万元（其中：基本支出7.78万元，项目支出0万元），主要用于缴纳职工社保缴费；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30305—对个人和家庭的补助6.74万元（基本支出6.74万元），主要反映离退休人员生活补助及医疗统筹支出；</w:t>
      </w:r>
      <w:r>
        <w:rPr>
          <w:rFonts w:ascii="仿宋_GB2312" w:eastAsia="仿宋_GB2312" w:hAnsi="仿宋_GB2312" w:cs="仿宋_GB2312"/>
          <w:kern w:val="0"/>
          <w:sz w:val="30"/>
          <w:szCs w:val="30"/>
        </w:rPr>
        <w:t xml:space="preserve"> </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30113—住房公积金”6.03万元（其中：基本支出6.03万元，项目支出0万元），主要用于缴纳职工的住房公积金；</w:t>
      </w:r>
    </w:p>
    <w:p>
      <w:pPr>
        <w:widowControl/>
        <w:numPr>
          <w:ilvl w:val="0"/>
          <w:numId w:val="1"/>
        </w:numPr>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商品和服务支出8.19万元（基本支出8.19万元，项目支出0万元），主要用于单位购买商品和服务，不包括用于购置资产、战略性和应急性物资储备等资本性支出。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30201-办公费1.875万元，主要用于单位的水费支出；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30206-电费0.1万元（基本支出0.1万元），主要用于单位的电费支出；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30207-邮电费0.1万元（基本支出0.1万元），主要用于单位支出的信函、包裹、货物等物品的邮寄费及电话费等；</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30211-差旅费0.35万元（基本支出0.35万元），主要用于单位工作人员国（境）内出差发生的城市间交通费、住宿费、伙食补助费和市内交通费支出；30217公务接待费0.2万元（基本支出0.2万元、项目支出0万元），主要用于单位按规定开支的各类公务接待费用支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30228-工会经费0.57万元（基本支出0.57万元），主要用于单位按规定提取的工会经费；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30229-福利费0.55万元（基本支出0.55万元），主要用于单位按规定提取的职工福利费；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30239-其他交通费用4.82万元，主要用于单位公务交通补贴、租车费用等支出；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30299-其他商品和服务支出1.495万元（其中：基本支出0.7万元），主要用于上述科目未包含的日常公用支出，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30216-科普专项经费55万元，主要用于全国科普示范县创建。</w:t>
      </w:r>
    </w:p>
    <w:p>
      <w:pPr>
        <w:widowControl/>
        <w:ind w:firstLine="600" w:firstLineChars="200"/>
        <w:jc w:val="left"/>
        <w:rPr>
          <w:rFonts w:ascii="仿宋_GB2312" w:eastAsia="仿宋_GB2312" w:hAnsi="仿宋_GB2312" w:cs="仿宋_GB2312"/>
          <w:kern w:val="0"/>
          <w:sz w:val="30"/>
          <w:szCs w:val="30"/>
        </w:rPr>
      </w:pPr>
      <w:r>
        <w:rPr>
          <w:rFonts w:ascii="黑体" w:eastAsia="黑体" w:hAnsi="黑体" w:cs="黑体" w:hint="eastAsia"/>
          <w:bCs/>
          <w:kern w:val="0"/>
          <w:sz w:val="30"/>
          <w:szCs w:val="30"/>
        </w:rPr>
        <w:t>五、对下专项转移支付情况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hint="eastAsia"/>
          <w:kern w:val="0"/>
          <w:sz w:val="30"/>
          <w:szCs w:val="30"/>
        </w:rPr>
        <w:t>（四）经济社会事业发展事项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2021年石林彝族自治县科学技术协会无对下专项转移支付项目。</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2021年石林彝族自治县科学技术协会无政府采购预算。</w:t>
      </w:r>
    </w:p>
    <w:p>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石林彝族自治县科学技术协会2021年一般公共预算财政拨款“三公”经费预算合计6万元，较上年减少0.45万元，下降6.95%，具体变动情况如下：</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（一）因公出国（境）费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石林彝族自治县科学技术协会2021年因公出国（境）费预算0万元，较上年增加0万元，增长0%，共计安排因公出国（境）团组0个。因公出国（境）0人次。</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2021年石林县因公出国（境）费预算数不直接下达各部门，全县统一控制使用，按程序审批。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（二）公务接待费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石林彝族自治县科学技术协会2021年公务接待费预算为3.5万元，较上年减少0.5万元，下降14.28%。国内公务接待批次为3次，共计接待26人次。</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公务接待费减少的原因分析：1.按照“只减不增”的原则从严从紧编制预算。2.树立过苦日子的思想，厉行节约，压缩公务接待费用开支。</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（三）公务用车购置及运行维护费</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科学技术协会2021年公务用车购置及运行维护费为2万元，较上年减少0万元，下降0%。其中：公务用车购置费0万元，较上年减少0万元，下降0%；公务用车运行维护费2万元，较上年减少0万元，下降0%。共计购置公务用车0辆，年末公务用车保有量为1辆。</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本单位确定的重点项目为科普工作业务费，具体绩效目标情况如下：</w:t>
      </w:r>
    </w:p>
    <w:tbl>
      <w:tblPr>
        <w:tblStyle w:val="TableNormal"/>
        <w:tblpPr w:leftFromText="180" w:rightFromText="180" w:vertAnchor="text" w:horzAnchor="page" w:tblpXSpec="center" w:tblpY="257"/>
        <w:tblOverlap w:val="never"/>
        <w:tblW w:w="10055" w:type="dxa"/>
        <w:jc w:val="center"/>
        <w:tblLayout w:type="fixed"/>
        <w:tblCellMar>
          <w:top w:w="0" w:type="dxa"/>
          <w:left w:w="0" w:type="dxa"/>
          <w:bottom w:w="0" w:type="dxa"/>
          <w:right w:w="0" w:type="dxa"/>
        </w:tblCellMar>
      </w:tblPr>
      <w:tblGrid>
        <w:gridCol w:w="1614"/>
        <w:gridCol w:w="1164"/>
        <w:gridCol w:w="1164"/>
        <w:gridCol w:w="1164"/>
        <w:gridCol w:w="1164"/>
        <w:gridCol w:w="1164"/>
        <w:gridCol w:w="1613"/>
        <w:gridCol w:w="1008"/>
      </w:tblGrid>
      <w:tr>
        <w:tblPrEx>
          <w:tblW w:w="10055" w:type="dxa"/>
          <w:jc w:val="center"/>
          <w:tblLayout w:type="fixed"/>
          <w:tblCellMar>
            <w:top w:w="0" w:type="dxa"/>
            <w:left w:w="0" w:type="dxa"/>
            <w:bottom w:w="0" w:type="dxa"/>
            <w:right w:w="0" w:type="dxa"/>
          </w:tblCellMar>
        </w:tblPrEx>
        <w:trPr>
          <w:trHeight w:val="740"/>
          <w:jc w:val="center"/>
        </w:trPr>
        <w:tc>
          <w:tcPr>
            <w:tcW w:w="161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单位名称（项目）</w:t>
            </w:r>
          </w:p>
        </w:tc>
        <w:tc>
          <w:tcPr>
            <w:tcW w:w="116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项目目标</w:t>
            </w:r>
          </w:p>
        </w:tc>
        <w:tc>
          <w:tcPr>
            <w:tcW w:w="116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一级指标</w:t>
            </w:r>
          </w:p>
        </w:tc>
        <w:tc>
          <w:tcPr>
            <w:tcW w:w="116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二级指标</w:t>
            </w:r>
          </w:p>
        </w:tc>
        <w:tc>
          <w:tcPr>
            <w:tcW w:w="116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3"/>
                <w:szCs w:val="23"/>
              </w:rPr>
            </w:pPr>
            <w:r>
              <w:rPr>
                <w:rFonts w:ascii="宋体" w:hAnsi="宋体" w:cs="宋体" w:hint="eastAsia"/>
                <w:kern w:val="0"/>
                <w:sz w:val="23"/>
                <w:szCs w:val="23"/>
              </w:rPr>
              <w:t>三级指标</w:t>
            </w:r>
          </w:p>
        </w:tc>
        <w:tc>
          <w:tcPr>
            <w:tcW w:w="116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3"/>
                <w:szCs w:val="23"/>
              </w:rPr>
            </w:pPr>
            <w:r>
              <w:rPr>
                <w:rFonts w:ascii="宋体" w:hAnsi="宋体" w:cs="宋体" w:hint="eastAsia"/>
                <w:kern w:val="0"/>
                <w:sz w:val="23"/>
                <w:szCs w:val="23"/>
              </w:rPr>
              <w:t>指标值</w:t>
            </w:r>
          </w:p>
        </w:tc>
        <w:tc>
          <w:tcPr>
            <w:tcW w:w="161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3"/>
                <w:szCs w:val="23"/>
              </w:rPr>
            </w:pPr>
            <w:r>
              <w:rPr>
                <w:rFonts w:ascii="宋体" w:hAnsi="宋体" w:cs="宋体" w:hint="eastAsia"/>
                <w:kern w:val="0"/>
                <w:sz w:val="23"/>
                <w:szCs w:val="23"/>
              </w:rPr>
              <w:t>绩效指标值设定依据及数据来源</w:t>
            </w:r>
          </w:p>
        </w:tc>
        <w:tc>
          <w:tcPr>
            <w:tcW w:w="10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3"/>
                <w:szCs w:val="23"/>
              </w:rPr>
            </w:pPr>
            <w:r>
              <w:rPr>
                <w:rFonts w:ascii="宋体" w:hAnsi="宋体" w:cs="宋体" w:hint="eastAsia"/>
                <w:kern w:val="0"/>
                <w:sz w:val="23"/>
                <w:szCs w:val="23"/>
              </w:rPr>
              <w:t>说明</w:t>
            </w:r>
          </w:p>
        </w:tc>
      </w:tr>
      <w:tr>
        <w:tblPrEx>
          <w:tblW w:w="10055" w:type="dxa"/>
          <w:jc w:val="center"/>
          <w:tblLayout w:type="fixed"/>
          <w:tblCellMar>
            <w:top w:w="0" w:type="dxa"/>
            <w:left w:w="0" w:type="dxa"/>
            <w:bottom w:w="0" w:type="dxa"/>
            <w:right w:w="0" w:type="dxa"/>
          </w:tblCellMar>
        </w:tblPrEx>
        <w:trPr>
          <w:trHeight w:val="393"/>
          <w:jc w:val="center"/>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8</w:t>
            </w:r>
          </w:p>
        </w:tc>
      </w:tr>
      <w:tr>
        <w:tblPrEx>
          <w:tblW w:w="10055" w:type="dxa"/>
          <w:jc w:val="center"/>
          <w:tblLayout w:type="fixed"/>
          <w:tblCellMar>
            <w:top w:w="0" w:type="dxa"/>
            <w:left w:w="0" w:type="dxa"/>
            <w:bottom w:w="0" w:type="dxa"/>
            <w:right w:w="0" w:type="dxa"/>
          </w:tblCellMar>
        </w:tblPrEx>
        <w:trPr>
          <w:trHeight w:val="1452"/>
          <w:jc w:val="center"/>
        </w:trPr>
        <w:tc>
          <w:tcPr>
            <w:tcW w:w="161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科普工作业务费</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 xml:space="preserve">组织科技工作者参加各种活动、培训、考察学习活动。开展科普宣传工作。   </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产出指标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数量指标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pPr>
              <w:widowControl/>
              <w:jc w:val="left"/>
              <w:textAlignment w:val="bottom"/>
              <w:rPr>
                <w:rFonts w:ascii="宋体" w:hAnsi="宋体" w:cs="宋体"/>
                <w:sz w:val="22"/>
                <w:szCs w:val="22"/>
              </w:rPr>
            </w:pPr>
            <w:r>
              <w:rPr>
                <w:rFonts w:ascii="宋体" w:hAnsi="宋体" w:cs="宋体" w:hint="eastAsia"/>
                <w:kern w:val="0"/>
                <w:sz w:val="22"/>
                <w:szCs w:val="22"/>
              </w:rPr>
              <w:t>更新科普宣传栏内容及编印宣传资料</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pPr>
              <w:widowControl/>
              <w:jc w:val="left"/>
              <w:textAlignment w:val="bottom"/>
              <w:rPr>
                <w:rFonts w:ascii="宋体" w:hAnsi="宋体" w:cs="宋体"/>
                <w:sz w:val="22"/>
                <w:szCs w:val="22"/>
              </w:rPr>
            </w:pPr>
            <w:r>
              <w:rPr>
                <w:rFonts w:ascii="宋体" w:hAnsi="宋体" w:cs="宋体" w:hint="eastAsia"/>
                <w:kern w:val="0"/>
                <w:sz w:val="22"/>
                <w:szCs w:val="22"/>
              </w:rPr>
              <w:t>≥4期400块次、1万册</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 xml:space="preserve">年度目标责任，财政预算定额安排。      </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 xml:space="preserve">年度目标责任，财政预算定额安排      </w:t>
            </w:r>
          </w:p>
        </w:tc>
      </w:tr>
      <w:tr>
        <w:tblPrEx>
          <w:tblW w:w="10055" w:type="dxa"/>
          <w:jc w:val="center"/>
          <w:tblLayout w:type="fixed"/>
          <w:tblCellMar>
            <w:top w:w="0" w:type="dxa"/>
            <w:left w:w="0" w:type="dxa"/>
            <w:bottom w:w="0" w:type="dxa"/>
            <w:right w:w="0" w:type="dxa"/>
          </w:tblCellMar>
        </w:tblPrEx>
        <w:trPr>
          <w:trHeight w:val="1807"/>
          <w:jc w:val="center"/>
        </w:trPr>
        <w:tc>
          <w:tcPr>
            <w:tcW w:w="16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质量指标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科技辅导员培训、科技创新大赛、机器人大赛获省、市及表彰</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≥100人</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W w:w="10055" w:type="dxa"/>
          <w:jc w:val="center"/>
          <w:tblLayout w:type="fixed"/>
          <w:tblCellMar>
            <w:top w:w="0" w:type="dxa"/>
            <w:left w:w="0" w:type="dxa"/>
            <w:bottom w:w="0" w:type="dxa"/>
            <w:right w:w="0" w:type="dxa"/>
          </w:tblCellMar>
        </w:tblPrEx>
        <w:trPr>
          <w:trHeight w:val="740"/>
          <w:jc w:val="center"/>
        </w:trPr>
        <w:tc>
          <w:tcPr>
            <w:tcW w:w="16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时效指标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本年度完成</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2021年12月31日</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W w:w="10055" w:type="dxa"/>
          <w:jc w:val="center"/>
          <w:tblLayout w:type="fixed"/>
          <w:tblCellMar>
            <w:top w:w="0" w:type="dxa"/>
            <w:left w:w="0" w:type="dxa"/>
            <w:bottom w:w="0" w:type="dxa"/>
            <w:right w:w="0" w:type="dxa"/>
          </w:tblCellMar>
        </w:tblPrEx>
        <w:trPr>
          <w:trHeight w:val="1452"/>
          <w:jc w:val="center"/>
        </w:trPr>
        <w:tc>
          <w:tcPr>
            <w:tcW w:w="16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成本指标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科普示范县创建</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55万元</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W w:w="10055" w:type="dxa"/>
          <w:jc w:val="center"/>
          <w:tblLayout w:type="fixed"/>
          <w:tblCellMar>
            <w:top w:w="0" w:type="dxa"/>
            <w:left w:w="0" w:type="dxa"/>
            <w:bottom w:w="0" w:type="dxa"/>
            <w:right w:w="0" w:type="dxa"/>
          </w:tblCellMar>
        </w:tblPrEx>
        <w:trPr>
          <w:trHeight w:val="740"/>
          <w:jc w:val="center"/>
        </w:trPr>
        <w:tc>
          <w:tcPr>
            <w:tcW w:w="16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效益指标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社会效益指标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提升全民科学素质</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得到提升</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W w:w="10055" w:type="dxa"/>
          <w:jc w:val="center"/>
          <w:tblLayout w:type="fixed"/>
          <w:tblCellMar>
            <w:top w:w="0" w:type="dxa"/>
            <w:left w:w="0" w:type="dxa"/>
            <w:bottom w:w="0" w:type="dxa"/>
            <w:right w:w="0" w:type="dxa"/>
          </w:tblCellMar>
        </w:tblPrEx>
        <w:trPr>
          <w:trHeight w:val="1452"/>
          <w:jc w:val="center"/>
        </w:trPr>
        <w:tc>
          <w:tcPr>
            <w:tcW w:w="16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可持续影响指标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对提升全民的科学素质起到长期作用</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长期</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r>
      <w:tr>
        <w:tblPrEx>
          <w:tblW w:w="10055" w:type="dxa"/>
          <w:jc w:val="center"/>
          <w:tblLayout w:type="fixed"/>
          <w:tblCellMar>
            <w:top w:w="0" w:type="dxa"/>
            <w:left w:w="0" w:type="dxa"/>
            <w:bottom w:w="0" w:type="dxa"/>
            <w:right w:w="0" w:type="dxa"/>
          </w:tblCellMar>
        </w:tblPrEx>
        <w:trPr>
          <w:trHeight w:val="752"/>
          <w:jc w:val="center"/>
        </w:trPr>
        <w:tc>
          <w:tcPr>
            <w:tcW w:w="161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ascii="宋体" w:hAnsi="宋体" w:cs="宋体" w:hint="eastAsia"/>
                <w:kern w:val="0"/>
                <w:sz w:val="18"/>
                <w:szCs w:val="18"/>
              </w:rPr>
              <w:t>满意度指标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ascii="宋体" w:hAnsi="宋体" w:cs="宋体" w:hint="eastAsia"/>
                <w:kern w:val="0"/>
                <w:sz w:val="22"/>
                <w:szCs w:val="22"/>
              </w:rPr>
              <w:t>服务对象满意度指标</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受益群众满意度</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宋体" w:hAnsi="宋体" w:cs="宋体"/>
                <w:sz w:val="22"/>
                <w:szCs w:val="22"/>
              </w:rPr>
            </w:pPr>
            <w:r>
              <w:rPr>
                <w:rFonts w:ascii="宋体" w:hAnsi="宋体" w:cs="宋体" w:hint="eastAsia"/>
                <w:kern w:val="0"/>
                <w:sz w:val="22"/>
                <w:szCs w:val="22"/>
              </w:rPr>
              <w:t>≥90%</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hAnsi="宋体" w:cs="宋体"/>
                <w:sz w:val="18"/>
                <w:szCs w:val="18"/>
              </w:rPr>
            </w:pPr>
          </w:p>
        </w:tc>
      </w:tr>
    </w:tbl>
    <w:p>
      <w:pPr>
        <w:widowControl/>
        <w:ind w:firstLine="600" w:firstLineChars="200"/>
        <w:jc w:val="left"/>
        <w:rPr>
          <w:rFonts w:ascii="仿宋_GB2312" w:eastAsia="仿宋_GB2312" w:hAnsi="仿宋_GB2312" w:cs="仿宋_GB2312"/>
          <w:kern w:val="0"/>
          <w:sz w:val="30"/>
          <w:szCs w:val="30"/>
        </w:rPr>
      </w:pPr>
    </w:p>
    <w:p>
      <w:pPr>
        <w:widowControl/>
        <w:ind w:firstLine="600" w:firstLineChars="2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w:t>
      </w:r>
      <w:r>
        <w:rPr>
          <w:rFonts w:ascii="楷体_GB2312" w:eastAsia="楷体_GB2312"/>
          <w:kern w:val="0"/>
          <w:sz w:val="30"/>
          <w:szCs w:val="30"/>
        </w:rPr>
        <w:t>一</w:t>
      </w:r>
      <w:r>
        <w:rPr>
          <w:rFonts w:ascii="楷体_GB2312" w:eastAsia="楷体_GB2312" w:hint="eastAsia"/>
          <w:kern w:val="0"/>
          <w:sz w:val="30"/>
          <w:szCs w:val="30"/>
        </w:rPr>
        <w:t>）</w:t>
      </w:r>
      <w:r>
        <w:rPr>
          <w:rFonts w:ascii="楷体_GB2312" w:eastAsia="楷体_GB2312"/>
          <w:kern w:val="0"/>
          <w:sz w:val="30"/>
          <w:szCs w:val="30"/>
        </w:rPr>
        <w:t>专业名词解释</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“三公”经费：</w:t>
      </w:r>
      <w:r>
        <w:rPr>
          <w:rFonts w:ascii="仿宋_GB2312" w:eastAsia="仿宋_GB2312" w:hAnsi="仿宋_GB2312" w:cs="仿宋_GB2312" w:hint="eastAsia"/>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预算公开：</w:t>
      </w:r>
      <w:r>
        <w:rPr>
          <w:rFonts w:ascii="仿宋_GB2312" w:eastAsia="仿宋_GB2312" w:hAnsi="仿宋_GB2312" w:cs="仿宋_GB2312" w:hint="eastAsia"/>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一般公共预算：</w:t>
      </w:r>
      <w:r>
        <w:rPr>
          <w:rFonts w:ascii="仿宋_GB2312" w:eastAsia="仿宋_GB2312" w:hAnsi="仿宋_GB2312" w:cs="仿宋_GB2312" w:hint="eastAsia"/>
          <w:kern w:val="0"/>
          <w:sz w:val="30"/>
          <w:szCs w:val="30"/>
        </w:rPr>
        <w:t>是对以税收为主体的财政收入，安排用于保障和改善民生、推动经济社会发展、维护国家安全、维持国家机构正常运转等方面的收支预算。</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政府性基金预算：</w:t>
      </w:r>
      <w:r>
        <w:rPr>
          <w:rFonts w:ascii="仿宋_GB2312" w:eastAsia="仿宋_GB2312" w:hAnsi="仿宋_GB2312" w:cs="仿宋_GB2312" w:hint="eastAsia"/>
          <w:kern w:val="0"/>
          <w:sz w:val="30"/>
          <w:szCs w:val="30"/>
        </w:rPr>
        <w:t>是国家通过向社会征收以及出让土地、发行彩票等方式取得收入，并专项用于支持特定基础设施建设和社会事业发展的财政收支预算，是政府预算体系的重要组成部分。</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政府采购：</w:t>
      </w:r>
      <w:r>
        <w:rPr>
          <w:rFonts w:ascii="仿宋_GB2312" w:eastAsia="仿宋_GB2312" w:hAnsi="仿宋_GB2312" w:cs="仿宋_GB2312" w:hint="eastAsia"/>
          <w:kern w:val="0"/>
          <w:sz w:val="30"/>
          <w:szCs w:val="30"/>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pPr>
        <w:widowControl/>
        <w:ind w:firstLine="600" w:firstLineChars="200"/>
        <w:jc w:val="left"/>
        <w:rPr>
          <w:rFonts w:ascii="仿宋_GB2312" w:eastAsia="仿宋_GB2312" w:hAnsi="仿宋_GB2312" w:cs="仿宋_GB2312"/>
          <w:kern w:val="0"/>
          <w:sz w:val="30"/>
          <w:szCs w:val="30"/>
          <w:highlight w:val="red"/>
        </w:rPr>
      </w:pPr>
      <w:r>
        <w:rPr>
          <w:rFonts w:ascii="仿宋_GB2312" w:eastAsia="仿宋_GB2312" w:hAnsi="仿宋_GB2312" w:cs="仿宋_GB2312" w:hint="eastAsia"/>
          <w:kern w:val="0"/>
          <w:sz w:val="30"/>
          <w:szCs w:val="30"/>
        </w:rPr>
        <w:t>石林彝族自治县科学技术协会2021年机关运行经费安排8.2万元，主要用于办公经费、印刷费、水电费、汽燃费、办公设备购置等日常开支，以保证机构正常运转。与上年对比增加2万元，主要原因分析：</w:t>
      </w:r>
      <w:r>
        <w:rPr>
          <w:rFonts w:ascii="仿宋_GB2312" w:eastAsia="仿宋_GB2312" w:hAnsi="仿宋_GB2312" w:cs="仿宋_GB2312" w:hint="eastAsia"/>
          <w:kern w:val="0"/>
          <w:sz w:val="30"/>
          <w:szCs w:val="30"/>
          <w:lang w:eastAsia="zh-CN"/>
        </w:rPr>
        <w:t>科普大篷车展品展教具维护</w:t>
      </w:r>
      <w:bookmarkStart w:id="0" w:name="_GoBack"/>
      <w:bookmarkEnd w:id="0"/>
      <w:r>
        <w:rPr>
          <w:rFonts w:ascii="仿宋_GB2312" w:eastAsia="仿宋_GB2312" w:hAnsi="仿宋_GB2312" w:cs="仿宋_GB2312" w:hint="eastAsia"/>
          <w:kern w:val="0"/>
          <w:sz w:val="30"/>
          <w:szCs w:val="30"/>
        </w:rPr>
        <w:t>费用增加。</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截至2020年12月31日的国有资产占有使用情况如下：</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石林彝族自治县科学技术协会资产总额213.84万元，</w:t>
      </w:r>
      <w:r>
        <w:rPr>
          <w:rFonts w:ascii="仿宋_GB2312" w:eastAsia="仿宋_GB2312" w:hAnsi="仿宋_GB2312" w:cs="仿宋_GB2312"/>
          <w:kern w:val="0"/>
          <w:sz w:val="30"/>
          <w:szCs w:val="30"/>
        </w:rPr>
        <w:t>其中，流动资产</w:t>
      </w:r>
      <w:r>
        <w:rPr>
          <w:rFonts w:ascii="仿宋_GB2312" w:eastAsia="仿宋_GB2312" w:hAnsi="仿宋_GB2312" w:cs="仿宋_GB2312" w:hint="eastAsia"/>
          <w:kern w:val="0"/>
          <w:sz w:val="30"/>
          <w:szCs w:val="30"/>
        </w:rPr>
        <w:t>110.62</w:t>
      </w:r>
      <w:r>
        <w:rPr>
          <w:rFonts w:ascii="仿宋_GB2312" w:eastAsia="仿宋_GB2312" w:hAnsi="仿宋_GB2312" w:cs="仿宋_GB2312"/>
          <w:kern w:val="0"/>
          <w:sz w:val="30"/>
          <w:szCs w:val="30"/>
        </w:rPr>
        <w:t>万元，固定资产</w:t>
      </w:r>
      <w:r>
        <w:rPr>
          <w:rFonts w:ascii="仿宋_GB2312" w:eastAsia="仿宋_GB2312" w:hAnsi="仿宋_GB2312" w:cs="仿宋_GB2312" w:hint="eastAsia"/>
          <w:kern w:val="0"/>
          <w:sz w:val="30"/>
          <w:szCs w:val="30"/>
        </w:rPr>
        <w:t>103.22</w:t>
      </w:r>
      <w:r>
        <w:rPr>
          <w:rFonts w:ascii="仿宋_GB2312" w:eastAsia="仿宋_GB2312" w:hAnsi="仿宋_GB2312" w:cs="仿宋_GB2312"/>
          <w:kern w:val="0"/>
          <w:sz w:val="30"/>
          <w:szCs w:val="30"/>
        </w:rPr>
        <w:t>万元，对外投资及有价证券</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元，在建工程</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万元，无形资产</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万元，其他资产</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四</w:t>
      </w:r>
      <w:r>
        <w:rPr>
          <w:rFonts w:ascii="楷体_GB2312" w:eastAsia="楷体_GB2312"/>
          <w:kern w:val="0"/>
          <w:sz w:val="32"/>
          <w:szCs w:val="32"/>
        </w:rPr>
        <w:t>）</w:t>
      </w:r>
      <w:r>
        <w:rPr>
          <w:rFonts w:ascii="楷体_GB2312" w:eastAsia="楷体_GB2312" w:hint="eastAsia"/>
          <w:kern w:val="0"/>
          <w:sz w:val="32"/>
          <w:szCs w:val="32"/>
        </w:rPr>
        <w:t>重点领域财政项目文本情况</w:t>
      </w:r>
    </w:p>
    <w:p>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石林彝族自治县科学技术协会无重点领域财政项目。</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2021年本级财力安排石林彝族自治县科学技术协会基本支出90.51万元，与上年对比减少0.19万元，增减变化的原因主要是：</w:t>
      </w:r>
      <w:r>
        <w:rPr>
          <w:rFonts w:ascii="仿宋_GB2312" w:eastAsia="仿宋_GB2312" w:hAnsi="仿宋_GB2312" w:cs="仿宋_GB2312" w:hint="eastAsia"/>
          <w:kern w:val="0"/>
          <w:sz w:val="30"/>
          <w:szCs w:val="30"/>
        </w:rPr>
        <w:t>人员调出，人员经费及公务费减少0.19万元</w:t>
      </w:r>
      <w:r>
        <w:rPr>
          <w:rFonts w:ascii="楷体_GB2312" w:eastAsia="楷体_GB2312" w:hAnsi="楷体" w:hint="eastAsia"/>
          <w:kern w:val="0"/>
          <w:sz w:val="30"/>
          <w:szCs w:val="30"/>
        </w:rPr>
        <w:t>。</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pPr>
        <w:widowControl/>
        <w:ind w:firstLine="600" w:firstLineChars="200"/>
        <w:jc w:val="left"/>
        <w:rPr>
          <w:rFonts w:eastAsia="仿宋_GB2312"/>
          <w:kern w:val="0"/>
          <w:sz w:val="30"/>
          <w:szCs w:val="30"/>
        </w:rPr>
      </w:pPr>
      <w:r>
        <w:rPr>
          <w:rFonts w:ascii="楷体_GB2312" w:eastAsia="楷体_GB2312" w:hAnsi="楷体" w:hint="eastAsia"/>
          <w:kern w:val="0"/>
          <w:sz w:val="30"/>
          <w:szCs w:val="30"/>
        </w:rPr>
        <w:t>2021年本级财力安排石林彝族自治县科学技术协会项目支出55万元，与上年对比增加55万元，增加变化的原因主要是：新增科普专项经费55万元。</w:t>
      </w:r>
    </w:p>
    <w:p/>
    <w:p>
      <w:pPr>
        <w:rPr>
          <w:rFonts w:ascii="Arial" w:eastAsia="Arial" w:hAnsi="Arial" w:cs="Arial"/>
          <w:b/>
          <w:sz w:val="36"/>
        </w:rPr>
      </w:pPr>
      <w:r>
        <w:rPr>
          <w:rFonts w:ascii="Arial" w:eastAsia="Arial" w:hAnsi="Arial" w:cs="Arial"/>
          <w:b/>
          <w:sz w:val="36"/>
        </w:rPr>
        <w:t>监督索引号53012670355400111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318544"/>
    <w:multiLevelType w:val="singleLevel"/>
    <w:tmpl w:val="7D318544"/>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1E5555"/>
    <w:rsid w:val="00282F08"/>
    <w:rsid w:val="0028530E"/>
    <w:rsid w:val="002C322A"/>
    <w:rsid w:val="002D501F"/>
    <w:rsid w:val="00364E74"/>
    <w:rsid w:val="003817C6"/>
    <w:rsid w:val="003A3075"/>
    <w:rsid w:val="003B2803"/>
    <w:rsid w:val="003D51CC"/>
    <w:rsid w:val="003E4587"/>
    <w:rsid w:val="003F4D9E"/>
    <w:rsid w:val="00412FE2"/>
    <w:rsid w:val="004966F7"/>
    <w:rsid w:val="004A0403"/>
    <w:rsid w:val="004F0825"/>
    <w:rsid w:val="00545B44"/>
    <w:rsid w:val="005916A7"/>
    <w:rsid w:val="005D37A4"/>
    <w:rsid w:val="005F12AB"/>
    <w:rsid w:val="00622A89"/>
    <w:rsid w:val="00626439"/>
    <w:rsid w:val="006A6826"/>
    <w:rsid w:val="006B1EDA"/>
    <w:rsid w:val="006E6709"/>
    <w:rsid w:val="006F6026"/>
    <w:rsid w:val="007037EF"/>
    <w:rsid w:val="007436F3"/>
    <w:rsid w:val="007735A4"/>
    <w:rsid w:val="00794354"/>
    <w:rsid w:val="007A0014"/>
    <w:rsid w:val="007A5D71"/>
    <w:rsid w:val="007B1744"/>
    <w:rsid w:val="007B2D63"/>
    <w:rsid w:val="00803AC8"/>
    <w:rsid w:val="0081628E"/>
    <w:rsid w:val="00827CB9"/>
    <w:rsid w:val="00876408"/>
    <w:rsid w:val="008812EF"/>
    <w:rsid w:val="008B456B"/>
    <w:rsid w:val="008D3B3F"/>
    <w:rsid w:val="0090442C"/>
    <w:rsid w:val="00921AAE"/>
    <w:rsid w:val="00925F20"/>
    <w:rsid w:val="00953BB3"/>
    <w:rsid w:val="00960924"/>
    <w:rsid w:val="00985941"/>
    <w:rsid w:val="009B4D39"/>
    <w:rsid w:val="009D2172"/>
    <w:rsid w:val="00A13EBA"/>
    <w:rsid w:val="00A15B4A"/>
    <w:rsid w:val="00A4777B"/>
    <w:rsid w:val="00A629D6"/>
    <w:rsid w:val="00A70EB9"/>
    <w:rsid w:val="00B4760D"/>
    <w:rsid w:val="00B740DD"/>
    <w:rsid w:val="00BA5F7D"/>
    <w:rsid w:val="00BB0895"/>
    <w:rsid w:val="00BC3C82"/>
    <w:rsid w:val="00BE7EF7"/>
    <w:rsid w:val="00C22B0A"/>
    <w:rsid w:val="00C3313F"/>
    <w:rsid w:val="00C603C1"/>
    <w:rsid w:val="00C61BD4"/>
    <w:rsid w:val="00C622FD"/>
    <w:rsid w:val="00C64CA5"/>
    <w:rsid w:val="00CA3ED0"/>
    <w:rsid w:val="00CA5798"/>
    <w:rsid w:val="00CB4FE8"/>
    <w:rsid w:val="00CF57B7"/>
    <w:rsid w:val="00CF5997"/>
    <w:rsid w:val="00CF75AD"/>
    <w:rsid w:val="00D07122"/>
    <w:rsid w:val="00DB618A"/>
    <w:rsid w:val="00DD00CD"/>
    <w:rsid w:val="00DD7CF9"/>
    <w:rsid w:val="00EF065B"/>
    <w:rsid w:val="00EF0776"/>
    <w:rsid w:val="00F00A42"/>
    <w:rsid w:val="00F05B87"/>
    <w:rsid w:val="00F44072"/>
    <w:rsid w:val="00F53EFE"/>
    <w:rsid w:val="00F83912"/>
    <w:rsid w:val="00FB75F3"/>
    <w:rsid w:val="0A6337A5"/>
    <w:rsid w:val="1D2C6192"/>
    <w:rsid w:val="2B843557"/>
    <w:rsid w:val="334B4252"/>
    <w:rsid w:val="46C46549"/>
    <w:rsid w:val="490C3743"/>
    <w:rsid w:val="5CE4397F"/>
    <w:rsid w:val="6011507C"/>
    <w:rsid w:val="63F5199F"/>
    <w:rsid w:val="64730E43"/>
    <w:rsid w:val="759B325C"/>
    <w:rsid w:val="76720EF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semiHidden="0" w:uiPriority="0" w:unhideWhenUsed="0" w:qFormat="1"/>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OAHeading"/>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AHeading">
    <w:name w:val="toa heading"/>
    <w:basedOn w:val="Normal"/>
    <w:next w:val="Normal"/>
    <w:qFormat/>
    <w:rPr>
      <w:rFonts w:ascii="Cambria" w:hAnsi="Cambria"/>
      <w:sz w:val="24"/>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14</Pages>
  <Words>1095</Words>
  <Characters>6242</Characters>
  <Application>Microsoft Office Word</Application>
  <DocSecurity>0</DocSecurity>
  <Lines>52</Lines>
  <Paragraphs>14</Paragraphs>
  <ScaleCrop>false</ScaleCrop>
  <Company>Microsoft</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上善若水</cp:lastModifiedBy>
  <cp:revision>2</cp:revision>
  <cp:lastPrinted>2019-02-15T02:07:00Z</cp:lastPrinted>
  <dcterms:created xsi:type="dcterms:W3CDTF">2021-02-23T09:03:00Z</dcterms:created>
  <dcterms:modified xsi:type="dcterms:W3CDTF">2021-02-23T13:08:19Z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