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关于石</w:t>
      </w:r>
      <w:r>
        <w:rPr>
          <w:rFonts w:ascii="宋体" w:hAnsi="宋体"/>
          <w:b/>
          <w:sz w:val="36"/>
          <w:szCs w:val="36"/>
        </w:rPr>
        <w:t>林</w:t>
      </w:r>
      <w:r>
        <w:rPr>
          <w:rFonts w:hint="eastAsia" w:ascii="宋体" w:hAnsi="宋体"/>
          <w:b/>
          <w:sz w:val="36"/>
          <w:szCs w:val="36"/>
        </w:rPr>
        <w:t>县城</w:t>
      </w:r>
      <w:r>
        <w:rPr>
          <w:rFonts w:ascii="宋体" w:hAnsi="宋体"/>
          <w:b/>
          <w:sz w:val="36"/>
          <w:szCs w:val="36"/>
        </w:rPr>
        <w:t>改办</w:t>
      </w:r>
      <w:r>
        <w:rPr>
          <w:rFonts w:hint="eastAsia" w:ascii="宋体" w:hAnsi="宋体"/>
          <w:b/>
          <w:sz w:val="36"/>
          <w:szCs w:val="36"/>
        </w:rPr>
        <w:t>2017年部门预算编制的说明</w:t>
      </w:r>
    </w:p>
    <w:p>
      <w:pPr>
        <w:pStyle w:val="2"/>
        <w:adjustRightInd w:val="0"/>
        <w:snapToGrid w:val="0"/>
        <w:spacing w:beforeLines="0" w:line="600" w:lineRule="exact"/>
        <w:rPr>
          <w:rFonts w:ascii="宋体" w:hAnsi="宋体" w:eastAsia="宋体"/>
          <w:b/>
          <w:sz w:val="44"/>
          <w:szCs w:val="44"/>
        </w:rPr>
      </w:pP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按照预算管</w:t>
      </w:r>
      <w:bookmarkStart w:id="0" w:name="_GoBack"/>
      <w:bookmarkEnd w:id="0"/>
      <w:r>
        <w:rPr>
          <w:rFonts w:hint="eastAsia"/>
          <w:szCs w:val="30"/>
        </w:rPr>
        <w:t>理的相关规定，目前部门预算的编制实行全口径预算管理，即收入和支出全部纳入预算管理，全部收入和支出都反映在预算中。</w:t>
      </w:r>
    </w:p>
    <w:p>
      <w:pPr>
        <w:spacing w:line="60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一、基本职能及主要工作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①贯彻落实国家和省、市有关城市更新改造方针、政策，并组织实施。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②根据</w:t>
      </w:r>
      <w:r>
        <w:rPr>
          <w:rFonts w:hint="eastAsia"/>
          <w:szCs w:val="30"/>
          <w:lang w:eastAsia="zh-CN"/>
        </w:rPr>
        <w:t>县委、县政府</w:t>
      </w:r>
      <w:r>
        <w:rPr>
          <w:rFonts w:hint="eastAsia"/>
          <w:szCs w:val="30"/>
        </w:rPr>
        <w:t>关于城市更新改造工作要求，负责全县旧城区、棚户区、城中村、旧厂房更新改造的中、长期建设规划和年度实施计划的编制工作。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③指导、组织协调全县城市更新改造项目、改造方案的审核和报批工作。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④负责全县城市更新改造项目（含旧城改造、棚户区改造、城中村改造、城市道路改扩建、公共基础设施功能性改造）的组织实施工作。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⑤负责组织城市更新改造项目的投融资。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⑥建立城市更新改造工作投诉处理机制，负责对受理的投诉及时进行调查和处理。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⑦承办</w:t>
      </w:r>
      <w:r>
        <w:rPr>
          <w:rFonts w:hint="eastAsia"/>
          <w:szCs w:val="30"/>
          <w:lang w:eastAsia="zh-CN"/>
        </w:rPr>
        <w:t>县委、县政府</w:t>
      </w:r>
      <w:r>
        <w:rPr>
          <w:rFonts w:hint="eastAsia"/>
          <w:szCs w:val="30"/>
        </w:rPr>
        <w:t>和上级有关部门交办的其他事项。定期或不定期向县人民政府报告工作。</w:t>
      </w:r>
    </w:p>
    <w:p>
      <w:pPr>
        <w:spacing w:line="60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(二）当年事业开展情况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主要实施西北街片区棚户区改造项目、协调解决旧城改造历史遗留问题及其他新项目融资包装与前期工作。</w:t>
      </w:r>
    </w:p>
    <w:p>
      <w:pPr>
        <w:spacing w:line="60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二、部门预算编制情况</w:t>
      </w:r>
    </w:p>
    <w:p>
      <w:pPr>
        <w:pStyle w:val="2"/>
        <w:adjustRightInd w:val="0"/>
        <w:snapToGrid w:val="0"/>
        <w:spacing w:before="93" w:line="560" w:lineRule="exact"/>
        <w:ind w:firstLine="602" w:firstLineChars="200"/>
        <w:rPr>
          <w:b/>
        </w:rPr>
      </w:pPr>
      <w:r>
        <w:rPr>
          <w:rFonts w:hint="eastAsia"/>
          <w:b/>
        </w:rPr>
        <w:t>(一)指导思想。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szCs w:val="30"/>
        </w:rPr>
        <w:t>石林县城改办</w:t>
      </w:r>
      <w:r>
        <w:rPr>
          <w:rFonts w:hint="eastAsia"/>
          <w:szCs w:val="30"/>
        </w:rPr>
        <w:t>2</w:t>
      </w:r>
      <w:r>
        <w:rPr>
          <w:szCs w:val="30"/>
        </w:rPr>
        <w:t>017年预算编制以科学发展</w:t>
      </w:r>
      <w:r>
        <w:rPr>
          <w:rFonts w:hint="eastAsia"/>
          <w:szCs w:val="30"/>
        </w:rPr>
        <w:t>观为指导，紧紧围绕全县“十三五”规划和全面建设小康社会目标，继续推进预算管理制度改革和创新，加强预算管理，逐步建立公开、透明、规范、科学的预算管理制度。预算编制要坚持以收定支、量入为出、收支平衡，各项支出水平与全县财力状况相适应，重点保障人员经费、机构运转和民生支出。</w:t>
      </w:r>
    </w:p>
    <w:p>
      <w:pPr>
        <w:pStyle w:val="2"/>
        <w:adjustRightInd w:val="0"/>
        <w:snapToGrid w:val="0"/>
        <w:spacing w:before="93" w:line="600" w:lineRule="exact"/>
        <w:ind w:firstLine="602" w:firstLineChars="200"/>
        <w:rPr>
          <w:b/>
          <w:szCs w:val="30"/>
        </w:rPr>
      </w:pPr>
      <w:r>
        <w:rPr>
          <w:rFonts w:hint="eastAsia"/>
          <w:b/>
          <w:szCs w:val="30"/>
        </w:rPr>
        <w:t>(二</w:t>
      </w:r>
      <w:r>
        <w:rPr>
          <w:b/>
          <w:szCs w:val="30"/>
        </w:rPr>
        <w:t>)</w:t>
      </w:r>
      <w:r>
        <w:rPr>
          <w:rFonts w:hint="eastAsia"/>
          <w:b/>
          <w:szCs w:val="30"/>
        </w:rPr>
        <w:t>基本原则。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一是以收定支，综合平衡原则。综合分析201</w:t>
      </w:r>
      <w:r>
        <w:rPr>
          <w:szCs w:val="30"/>
        </w:rPr>
        <w:t>7</w:t>
      </w:r>
      <w:r>
        <w:rPr>
          <w:rFonts w:hint="eastAsia"/>
          <w:szCs w:val="30"/>
        </w:rPr>
        <w:t>年形势，合理确定收入规模，统筹安排，确保预算编制的完整性，不得编制赤字预算。二是厉行节约，控制一般原则。从严控制一般性支出，因公出国（境）经费，公务用车购置及运行费、公务接待费支出继续实行负增长；严格控制和规范会议，从严控制和规范会议，从严控制各类检查考核评比达标表彰活动，规范公务用车管理，切实控制行政运行成本。三是优化配置，绩效引导原则。围绕已确定的发展目标，加强预算绩效管理，提高财政资金的使用效率与配置效能。四是集体领导，集体决策原则。应充分认识部门预算编制的重要性和严肃性，高度重视，精心组织，集中人员力量，认真编制部门预算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（三）编制方法</w:t>
      </w:r>
      <w:r>
        <w:rPr>
          <w:szCs w:val="30"/>
        </w:rPr>
        <w:t>和总体要求</w:t>
      </w:r>
      <w:r>
        <w:rPr>
          <w:rFonts w:hint="eastAsia"/>
          <w:szCs w:val="30"/>
        </w:rPr>
        <w:t>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部门预算由非税收入预算、部门收入预算、基本支出预算和项目支出预算组成。按照县财政局制定的预算编制办法、统一格式和有关具体要求，进行本部门的预算编制，在全县预算编制系统中作为一个部门管理编制部门预算，上报县财政局汇总后</w:t>
      </w:r>
      <w:r>
        <w:rPr>
          <w:szCs w:val="30"/>
        </w:rPr>
        <w:t>报县人代</w:t>
      </w:r>
      <w:r>
        <w:rPr>
          <w:rFonts w:hint="eastAsia"/>
          <w:szCs w:val="30"/>
        </w:rPr>
        <w:t>会</w:t>
      </w:r>
      <w:r>
        <w:rPr>
          <w:szCs w:val="30"/>
        </w:rPr>
        <w:t>通过</w:t>
      </w:r>
      <w:r>
        <w:rPr>
          <w:rFonts w:hint="eastAsia"/>
          <w:szCs w:val="30"/>
        </w:rPr>
        <w:t>。</w:t>
      </w:r>
    </w:p>
    <w:p>
      <w:pPr>
        <w:spacing w:line="60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三、部门基本情况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纳入</w:t>
      </w:r>
      <w:r>
        <w:rPr>
          <w:szCs w:val="30"/>
        </w:rPr>
        <w:t>2017</w:t>
      </w:r>
      <w:r>
        <w:rPr>
          <w:rFonts w:hint="eastAsia"/>
          <w:szCs w:val="30"/>
        </w:rPr>
        <w:t>年部门预算编报的单位共</w:t>
      </w:r>
      <w:r>
        <w:rPr>
          <w:szCs w:val="30"/>
        </w:rPr>
        <w:t>1</w:t>
      </w:r>
      <w:r>
        <w:rPr>
          <w:rFonts w:hint="eastAsia"/>
          <w:szCs w:val="30"/>
        </w:rPr>
        <w:t>个。其中：财政全供给单位</w:t>
      </w:r>
      <w:r>
        <w:rPr>
          <w:szCs w:val="30"/>
        </w:rPr>
        <w:t>1</w:t>
      </w:r>
      <w:r>
        <w:rPr>
          <w:rFonts w:hint="eastAsia"/>
          <w:szCs w:val="30"/>
        </w:rPr>
        <w:t>个，</w:t>
      </w:r>
      <w:r>
        <w:rPr>
          <w:szCs w:val="30"/>
        </w:rPr>
        <w:t>为事业单位</w:t>
      </w:r>
      <w:r>
        <w:rPr>
          <w:rFonts w:hint="eastAsia"/>
          <w:szCs w:val="30"/>
        </w:rPr>
        <w:t>。部门人员编制</w:t>
      </w:r>
      <w:r>
        <w:rPr>
          <w:szCs w:val="30"/>
        </w:rPr>
        <w:t>18</w:t>
      </w:r>
      <w:r>
        <w:rPr>
          <w:rFonts w:hint="eastAsia"/>
          <w:szCs w:val="30"/>
        </w:rPr>
        <w:t>人，全部</w:t>
      </w:r>
      <w:r>
        <w:rPr>
          <w:szCs w:val="30"/>
        </w:rPr>
        <w:t>为专</w:t>
      </w:r>
      <w:r>
        <w:rPr>
          <w:rFonts w:hint="eastAsia"/>
          <w:szCs w:val="30"/>
        </w:rPr>
        <w:t>技事业编制。年末在职实有职工</w:t>
      </w:r>
      <w:r>
        <w:rPr>
          <w:szCs w:val="30"/>
        </w:rPr>
        <w:t>14</w:t>
      </w:r>
      <w:r>
        <w:rPr>
          <w:rFonts w:hint="eastAsia"/>
          <w:szCs w:val="30"/>
        </w:rPr>
        <w:t>人，全部</w:t>
      </w:r>
      <w:r>
        <w:rPr>
          <w:szCs w:val="30"/>
        </w:rPr>
        <w:t>为财政全</w:t>
      </w:r>
      <w:r>
        <w:rPr>
          <w:rFonts w:hint="eastAsia"/>
          <w:szCs w:val="30"/>
        </w:rPr>
        <w:t>供</w:t>
      </w:r>
      <w:r>
        <w:rPr>
          <w:szCs w:val="30"/>
        </w:rPr>
        <w:t>给人员</w:t>
      </w:r>
      <w:r>
        <w:rPr>
          <w:rFonts w:hint="eastAsia"/>
          <w:szCs w:val="30"/>
        </w:rPr>
        <w:t>。本单位</w:t>
      </w:r>
      <w:r>
        <w:rPr>
          <w:szCs w:val="30"/>
        </w:rPr>
        <w:t>无退</w:t>
      </w:r>
      <w:r>
        <w:rPr>
          <w:rFonts w:hint="eastAsia"/>
          <w:szCs w:val="30"/>
        </w:rPr>
        <w:t>离</w:t>
      </w:r>
      <w:r>
        <w:rPr>
          <w:szCs w:val="30"/>
        </w:rPr>
        <w:t>休人员和车辆编制。</w:t>
      </w:r>
    </w:p>
    <w:p>
      <w:pPr>
        <w:spacing w:line="60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</w:t>
      </w:r>
      <w:r>
        <w:rPr>
          <w:rFonts w:ascii="黑体" w:hAnsi="黑体" w:eastAsia="黑体"/>
          <w:b/>
          <w:sz w:val="30"/>
          <w:szCs w:val="30"/>
        </w:rPr>
        <w:t>2017</w:t>
      </w:r>
      <w:r>
        <w:rPr>
          <w:rFonts w:hint="eastAsia" w:ascii="黑体" w:hAnsi="黑体" w:eastAsia="黑体"/>
          <w:b/>
          <w:sz w:val="30"/>
          <w:szCs w:val="30"/>
        </w:rPr>
        <w:t>年部门预算收支情况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预</w:t>
      </w:r>
      <w:r>
        <w:rPr>
          <w:szCs w:val="30"/>
        </w:rPr>
        <w:t>算收入情况：2017</w:t>
      </w:r>
      <w:r>
        <w:rPr>
          <w:rFonts w:hint="eastAsia"/>
          <w:szCs w:val="30"/>
        </w:rPr>
        <w:t>年我单位</w:t>
      </w:r>
      <w:r>
        <w:rPr>
          <w:szCs w:val="30"/>
        </w:rPr>
        <w:t>的</w:t>
      </w:r>
      <w:r>
        <w:rPr>
          <w:rFonts w:hint="eastAsia"/>
          <w:szCs w:val="30"/>
        </w:rPr>
        <w:t>预算总收入</w:t>
      </w:r>
      <w:r>
        <w:rPr>
          <w:szCs w:val="30"/>
        </w:rPr>
        <w:t>180.13</w:t>
      </w:r>
      <w:r>
        <w:rPr>
          <w:rFonts w:hint="eastAsia"/>
          <w:szCs w:val="30"/>
        </w:rPr>
        <w:t>万元，其中：一般公共预算</w:t>
      </w:r>
      <w:r>
        <w:rPr>
          <w:szCs w:val="30"/>
        </w:rPr>
        <w:t>180.13</w:t>
      </w:r>
      <w:r>
        <w:rPr>
          <w:rFonts w:hint="eastAsia"/>
          <w:szCs w:val="30"/>
        </w:rPr>
        <w:t>万元，政府性基金收入</w:t>
      </w:r>
      <w:r>
        <w:rPr>
          <w:szCs w:val="30"/>
        </w:rPr>
        <w:t>0</w:t>
      </w:r>
      <w:r>
        <w:rPr>
          <w:rFonts w:hint="eastAsia"/>
          <w:szCs w:val="30"/>
        </w:rPr>
        <w:t>万元。其中：基本支出</w:t>
      </w:r>
      <w:r>
        <w:rPr>
          <w:szCs w:val="30"/>
        </w:rPr>
        <w:t>180.13</w:t>
      </w:r>
      <w:r>
        <w:rPr>
          <w:rFonts w:hint="eastAsia"/>
          <w:szCs w:val="30"/>
        </w:rPr>
        <w:t>万元，占总支出的</w:t>
      </w:r>
      <w:r>
        <w:rPr>
          <w:szCs w:val="30"/>
        </w:rPr>
        <w:t>100</w:t>
      </w:r>
      <w:r>
        <w:rPr>
          <w:rFonts w:hint="eastAsia"/>
          <w:szCs w:val="30"/>
        </w:rPr>
        <w:t>％，项目收入</w:t>
      </w:r>
      <w:r>
        <w:rPr>
          <w:szCs w:val="30"/>
        </w:rPr>
        <w:t>0</w:t>
      </w:r>
      <w:r>
        <w:rPr>
          <w:rFonts w:hint="eastAsia"/>
          <w:szCs w:val="30"/>
        </w:rPr>
        <w:t>万元，占总支出的</w:t>
      </w:r>
      <w:r>
        <w:rPr>
          <w:szCs w:val="30"/>
        </w:rPr>
        <w:t>0</w:t>
      </w:r>
      <w:r>
        <w:rPr>
          <w:rFonts w:hint="eastAsia"/>
          <w:szCs w:val="30"/>
        </w:rPr>
        <w:t>％，</w:t>
      </w:r>
      <w:r>
        <w:rPr>
          <w:szCs w:val="30"/>
        </w:rPr>
        <w:t>项目</w:t>
      </w:r>
      <w:r>
        <w:rPr>
          <w:rFonts w:hint="eastAsia"/>
          <w:szCs w:val="30"/>
        </w:rPr>
        <w:t>预</w:t>
      </w:r>
      <w:r>
        <w:rPr>
          <w:szCs w:val="30"/>
        </w:rPr>
        <w:t>算收入</w:t>
      </w:r>
      <w:r>
        <w:rPr>
          <w:rFonts w:hint="eastAsia"/>
          <w:szCs w:val="30"/>
        </w:rPr>
        <w:t>没</w:t>
      </w:r>
      <w:r>
        <w:rPr>
          <w:szCs w:val="30"/>
        </w:rPr>
        <w:t>有纳入我单位</w:t>
      </w:r>
      <w:r>
        <w:rPr>
          <w:rFonts w:hint="eastAsia"/>
          <w:szCs w:val="30"/>
        </w:rPr>
        <w:t>年</w:t>
      </w:r>
      <w:r>
        <w:rPr>
          <w:szCs w:val="30"/>
        </w:rPr>
        <w:t>初预算</w:t>
      </w:r>
      <w:r>
        <w:rPr>
          <w:rFonts w:hint="eastAsia"/>
          <w:szCs w:val="30"/>
        </w:rPr>
        <w:t>；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按支出功能科目分类，支出分别列“</w:t>
      </w:r>
      <w:r>
        <w:rPr>
          <w:szCs w:val="30"/>
        </w:rPr>
        <w:t>212</w:t>
      </w:r>
      <w:r>
        <w:rPr>
          <w:rFonts w:hint="eastAsia"/>
          <w:szCs w:val="30"/>
        </w:rPr>
        <w:t>（类）－</w:t>
      </w:r>
      <w:r>
        <w:rPr>
          <w:szCs w:val="30"/>
        </w:rPr>
        <w:t>0199</w:t>
      </w:r>
      <w:r>
        <w:rPr>
          <w:rFonts w:hint="eastAsia"/>
          <w:szCs w:val="30"/>
        </w:rPr>
        <w:t>（款）”支出</w:t>
      </w:r>
      <w:r>
        <w:rPr>
          <w:szCs w:val="30"/>
        </w:rPr>
        <w:t>165.32</w:t>
      </w:r>
      <w:r>
        <w:rPr>
          <w:rFonts w:hint="eastAsia"/>
          <w:szCs w:val="30"/>
        </w:rPr>
        <w:t>万元，主要反映其他城</w:t>
      </w:r>
      <w:r>
        <w:rPr>
          <w:szCs w:val="30"/>
        </w:rPr>
        <w:t>乡社区</w:t>
      </w:r>
      <w:r>
        <w:rPr>
          <w:rFonts w:hint="eastAsia"/>
          <w:szCs w:val="30"/>
        </w:rPr>
        <w:t>的支出中</w:t>
      </w:r>
      <w:r>
        <w:rPr>
          <w:szCs w:val="30"/>
        </w:rPr>
        <w:t>的</w:t>
      </w:r>
      <w:r>
        <w:rPr>
          <w:rFonts w:hint="eastAsia"/>
          <w:szCs w:val="30"/>
        </w:rPr>
        <w:t>基本支出</w:t>
      </w:r>
      <w:r>
        <w:rPr>
          <w:szCs w:val="30"/>
        </w:rPr>
        <w:t>，</w:t>
      </w:r>
      <w:r>
        <w:rPr>
          <w:rFonts w:hint="eastAsia"/>
          <w:szCs w:val="30"/>
        </w:rPr>
        <w:t>221（类）</w:t>
      </w:r>
      <w:r>
        <w:rPr>
          <w:szCs w:val="30"/>
        </w:rPr>
        <w:t>-</w:t>
      </w:r>
      <w:r>
        <w:rPr>
          <w:rFonts w:hint="eastAsia"/>
          <w:szCs w:val="30"/>
        </w:rPr>
        <w:t>0105（</w:t>
      </w:r>
      <w:r>
        <w:rPr>
          <w:szCs w:val="30"/>
        </w:rPr>
        <w:t>款）主要反映住房保障支出中的住房公积金</w:t>
      </w:r>
      <w:r>
        <w:rPr>
          <w:rFonts w:hint="eastAsia"/>
          <w:szCs w:val="30"/>
        </w:rPr>
        <w:t>14.81万</w:t>
      </w:r>
      <w:r>
        <w:rPr>
          <w:szCs w:val="30"/>
        </w:rPr>
        <w:t>元。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预</w:t>
      </w:r>
      <w:r>
        <w:rPr>
          <w:szCs w:val="30"/>
        </w:rPr>
        <w:t>算</w:t>
      </w:r>
      <w:r>
        <w:rPr>
          <w:rFonts w:hint="eastAsia"/>
          <w:szCs w:val="30"/>
        </w:rPr>
        <w:t>支出情况：</w:t>
      </w:r>
      <w:r>
        <w:rPr>
          <w:szCs w:val="30"/>
        </w:rPr>
        <w:t>2017</w:t>
      </w:r>
      <w:r>
        <w:rPr>
          <w:rFonts w:hint="eastAsia"/>
          <w:szCs w:val="30"/>
        </w:rPr>
        <w:t>年用于保障我</w:t>
      </w:r>
      <w:r>
        <w:rPr>
          <w:szCs w:val="30"/>
        </w:rPr>
        <w:t>单位</w:t>
      </w:r>
      <w:r>
        <w:rPr>
          <w:rFonts w:hint="eastAsia"/>
          <w:szCs w:val="30"/>
        </w:rPr>
        <w:t>机构正常运转的日常支出</w:t>
      </w:r>
      <w:r>
        <w:rPr>
          <w:szCs w:val="30"/>
        </w:rPr>
        <w:t>180.13</w:t>
      </w:r>
      <w:r>
        <w:rPr>
          <w:rFonts w:hint="eastAsia"/>
          <w:szCs w:val="30"/>
        </w:rPr>
        <w:t>万元，包括基本工资，津贴补贴等工资福利支出154万元</w:t>
      </w:r>
      <w:r>
        <w:rPr>
          <w:szCs w:val="30"/>
        </w:rPr>
        <w:t>，</w:t>
      </w:r>
      <w:r>
        <w:rPr>
          <w:rFonts w:hint="eastAsia"/>
          <w:szCs w:val="30"/>
        </w:rPr>
        <w:t>占基本支出的</w:t>
      </w:r>
      <w:r>
        <w:rPr>
          <w:szCs w:val="30"/>
        </w:rPr>
        <w:t>85.49</w:t>
      </w:r>
      <w:r>
        <w:rPr>
          <w:rFonts w:hint="eastAsia"/>
          <w:szCs w:val="30"/>
        </w:rPr>
        <w:t>％；办公经费、印刷费、水电费、汽燃费、办公设备购置等日常公用经费（商品和服务支出）6.8万</w:t>
      </w:r>
      <w:r>
        <w:rPr>
          <w:szCs w:val="30"/>
        </w:rPr>
        <w:t>元，</w:t>
      </w:r>
      <w:r>
        <w:rPr>
          <w:rFonts w:hint="eastAsia"/>
          <w:szCs w:val="30"/>
        </w:rPr>
        <w:t>占基本支出的</w:t>
      </w:r>
      <w:r>
        <w:rPr>
          <w:szCs w:val="30"/>
        </w:rPr>
        <w:t>3.78</w:t>
      </w:r>
      <w:r>
        <w:rPr>
          <w:rFonts w:hint="eastAsia"/>
          <w:szCs w:val="30"/>
        </w:rPr>
        <w:t>％。项目支出</w:t>
      </w:r>
      <w:r>
        <w:rPr>
          <w:szCs w:val="30"/>
        </w:rPr>
        <w:t>没有纳入我单位的年初预算</w:t>
      </w:r>
    </w:p>
    <w:p>
      <w:pPr>
        <w:spacing w:line="60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五、名词解释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情况说明里涉及到需要解释说明的预算相关专用名词，在此进行说明解释。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rPr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D64"/>
    <w:rsid w:val="000132D6"/>
    <w:rsid w:val="000B4AED"/>
    <w:rsid w:val="000F6B53"/>
    <w:rsid w:val="001C393B"/>
    <w:rsid w:val="002054CF"/>
    <w:rsid w:val="00244291"/>
    <w:rsid w:val="002A5D64"/>
    <w:rsid w:val="002D5EF1"/>
    <w:rsid w:val="00314192"/>
    <w:rsid w:val="0034324B"/>
    <w:rsid w:val="003810D8"/>
    <w:rsid w:val="004714DA"/>
    <w:rsid w:val="004F28F0"/>
    <w:rsid w:val="00562661"/>
    <w:rsid w:val="005A1CE2"/>
    <w:rsid w:val="005A6947"/>
    <w:rsid w:val="0066542D"/>
    <w:rsid w:val="006A09BC"/>
    <w:rsid w:val="007E4F00"/>
    <w:rsid w:val="00A71A4E"/>
    <w:rsid w:val="00B473F1"/>
    <w:rsid w:val="00BA5CE6"/>
    <w:rsid w:val="00D056F0"/>
    <w:rsid w:val="00D67AC6"/>
    <w:rsid w:val="00E46997"/>
    <w:rsid w:val="00F871D2"/>
    <w:rsid w:val="4E3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spacing w:beforeLines="30"/>
    </w:pPr>
    <w:rPr>
      <w:rFonts w:ascii="仿宋_GB2312" w:hAnsi="Times New Roman" w:eastAsia="仿宋_GB2312" w:cs="Times New Roman"/>
      <w:sz w:val="30"/>
      <w:szCs w:val="24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1354</Characters>
  <Lines>11</Lines>
  <Paragraphs>3</Paragraphs>
  <TotalTime>77</TotalTime>
  <ScaleCrop>false</ScaleCrop>
  <LinksUpToDate>false</LinksUpToDate>
  <CharactersWithSpaces>1588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2017-02-21T03:02:00Z</dcterms:created>
  <dc:creator>slcz</dc:creator>
  <cp:lastModifiedBy>Lenovo</cp:lastModifiedBy>
  <dcterms:modified xsi:type="dcterms:W3CDTF">2023-03-10T08:54:39Z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