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760" w:firstLineChars="400"/>
        <w:jc w:val="both"/>
        <w:textAlignment w:val="auto"/>
        <w:rPr>
          <w:rFonts w:hint="eastAsia" w:ascii="黑体" w:hAnsi="黑体" w:eastAsia="方正小标宋简体" w:cs="Times New Roman"/>
          <w:color w:val="333333"/>
          <w:sz w:val="32"/>
          <w:szCs w:val="32"/>
          <w:lang w:val="en-US" w:eastAsia="zh-CN"/>
        </w:rPr>
      </w:pPr>
      <w:r>
        <w:rPr>
          <w:rFonts w:hint="eastAsia" w:ascii="方正小标宋简体" w:hAnsi="微软雅黑" w:eastAsia="方正小标宋简体" w:cs="方正小标宋简体"/>
          <w:color w:val="333333"/>
          <w:sz w:val="44"/>
          <w:szCs w:val="44"/>
        </w:rPr>
        <w:t>石林县养老</w:t>
      </w:r>
      <w:r>
        <w:rPr>
          <w:rFonts w:hint="eastAsia" w:ascii="方正小标宋简体" w:hAnsi="微软雅黑" w:eastAsia="方正小标宋简体" w:cs="方正小标宋简体"/>
          <w:color w:val="333333"/>
          <w:sz w:val="44"/>
          <w:szCs w:val="44"/>
          <w:lang w:eastAsia="zh-CN"/>
        </w:rPr>
        <w:t>机构投资指南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Times New Roman"/>
          <w:color w:val="333333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一、投资环境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微软雅黑" w:eastAsia="仿宋_GB2312" w:cs="Times New Roman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截至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日，石林县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60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岁及以上人口为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39575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人，占总人口的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16.43%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，其中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65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岁及以上人口为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29572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人，占总人口的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12.28%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。与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2010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年第六次全国人口普查相比，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60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岁及以上人口的比重上升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4.51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个百分点，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65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岁及以上人口的比重上升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3.99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个百分点，老龄化形势日益严峻。</w:t>
      </w:r>
      <w:r>
        <w:rPr>
          <w:rFonts w:hint="eastAsia" w:ascii="仿宋_GB2312" w:hAnsi="微软雅黑" w:eastAsia="仿宋_GB2312" w:cs="Times New Roman"/>
          <w:color w:val="333333"/>
          <w:sz w:val="32"/>
          <w:szCs w:val="32"/>
        </w:rPr>
        <w:t>全</w:t>
      </w:r>
      <w:r>
        <w:rPr>
          <w:rFonts w:hint="eastAsia" w:ascii="仿宋_GB2312" w:hAnsi="微软雅黑" w:eastAsia="仿宋_GB2312" w:cs="Times New Roman"/>
          <w:color w:val="333333"/>
          <w:sz w:val="32"/>
          <w:szCs w:val="32"/>
          <w:lang w:eastAsia="zh-CN"/>
        </w:rPr>
        <w:t>县</w:t>
      </w:r>
      <w:r>
        <w:rPr>
          <w:rFonts w:hint="eastAsia" w:ascii="仿宋_GB2312" w:hAnsi="微软雅黑" w:eastAsia="仿宋_GB2312" w:cs="Times New Roman"/>
          <w:color w:val="333333"/>
          <w:sz w:val="32"/>
          <w:szCs w:val="32"/>
        </w:rPr>
        <w:t>共有养老机构</w:t>
      </w:r>
      <w:r>
        <w:rPr>
          <w:rFonts w:hint="eastAsia" w:ascii="仿宋_GB2312" w:hAnsi="微软雅黑" w:eastAsia="仿宋_GB2312" w:cs="Times New Roman"/>
          <w:color w:val="333333"/>
          <w:sz w:val="32"/>
          <w:szCs w:val="32"/>
          <w:lang w:val="en-US" w:eastAsia="zh-CN"/>
        </w:rPr>
        <w:t>7</w:t>
      </w:r>
      <w:r>
        <w:rPr>
          <w:rFonts w:hint="eastAsia" w:ascii="仿宋_GB2312" w:hAnsi="微软雅黑" w:eastAsia="仿宋_GB2312" w:cs="Times New Roman"/>
          <w:color w:val="333333"/>
          <w:sz w:val="32"/>
          <w:szCs w:val="32"/>
        </w:rPr>
        <w:t>家，</w:t>
      </w:r>
      <w:r>
        <w:rPr>
          <w:rFonts w:hint="eastAsia" w:ascii="仿宋_GB2312" w:hAnsi="微软雅黑" w:eastAsia="仿宋_GB2312" w:cs="Times New Roman"/>
          <w:color w:val="333333"/>
          <w:sz w:val="32"/>
          <w:szCs w:val="32"/>
          <w:lang w:eastAsia="zh-CN"/>
        </w:rPr>
        <w:t>其中民办养老机构</w:t>
      </w:r>
      <w:r>
        <w:rPr>
          <w:rFonts w:hint="eastAsia" w:ascii="仿宋_GB2312" w:hAnsi="微软雅黑" w:eastAsia="仿宋_GB2312" w:cs="Times New Roman"/>
          <w:color w:val="333333"/>
          <w:sz w:val="32"/>
          <w:szCs w:val="32"/>
          <w:lang w:val="en-US" w:eastAsia="zh-CN"/>
        </w:rPr>
        <w:t>2家。</w:t>
      </w:r>
      <w:r>
        <w:rPr>
          <w:rFonts w:hint="eastAsia" w:ascii="仿宋_GB2312" w:hAnsi="微软雅黑" w:eastAsia="仿宋_GB2312" w:cs="Times New Roman"/>
          <w:color w:val="333333"/>
          <w:sz w:val="32"/>
          <w:szCs w:val="32"/>
        </w:rPr>
        <w:t>养老床位</w:t>
      </w:r>
      <w:r>
        <w:rPr>
          <w:rFonts w:hint="eastAsia" w:ascii="仿宋_GB2312" w:hAnsi="微软雅黑" w:eastAsia="仿宋_GB2312" w:cs="Times New Roman"/>
          <w:color w:val="333333"/>
          <w:sz w:val="32"/>
          <w:szCs w:val="32"/>
          <w:lang w:val="en-US" w:eastAsia="zh-CN"/>
        </w:rPr>
        <w:t>1587</w:t>
      </w:r>
      <w:r>
        <w:rPr>
          <w:rFonts w:hint="eastAsia" w:ascii="仿宋_GB2312" w:hAnsi="微软雅黑" w:eastAsia="仿宋_GB2312" w:cs="Times New Roman"/>
          <w:color w:val="333333"/>
          <w:sz w:val="32"/>
          <w:szCs w:val="32"/>
        </w:rPr>
        <w:t>张，其中护理型养老床位占比为</w:t>
      </w:r>
      <w:r>
        <w:rPr>
          <w:rFonts w:hint="eastAsia" w:ascii="仿宋_GB2312" w:hAnsi="微软雅黑" w:eastAsia="仿宋_GB2312" w:cs="Times New Roman"/>
          <w:color w:val="333333"/>
          <w:sz w:val="32"/>
          <w:szCs w:val="32"/>
          <w:lang w:val="en-US" w:eastAsia="zh-CN"/>
        </w:rPr>
        <w:t>78</w:t>
      </w:r>
      <w:r>
        <w:rPr>
          <w:rFonts w:hint="eastAsia" w:ascii="仿宋_GB2312" w:hAnsi="微软雅黑" w:eastAsia="仿宋_GB2312" w:cs="Times New Roman"/>
          <w:color w:val="333333"/>
          <w:sz w:val="32"/>
          <w:szCs w:val="32"/>
        </w:rPr>
        <w:t>%。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二、申请条件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Times New Roman"/>
          <w:color w:val="333333"/>
          <w:sz w:val="32"/>
          <w:szCs w:val="32"/>
        </w:rPr>
      </w:pPr>
      <w:r>
        <w:rPr>
          <w:rFonts w:hint="eastAsia" w:ascii="仿宋_GB2312" w:hAnsi="微软雅黑" w:eastAsia="仿宋_GB2312" w:cs="Times New Roman"/>
          <w:color w:val="333333"/>
          <w:sz w:val="32"/>
          <w:szCs w:val="32"/>
        </w:rPr>
        <w:t>养老机构应当依照《中华人民共和国老年人权益保障法》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微软雅黑" w:eastAsia="仿宋_GB2312" w:cs="Times New Roman"/>
          <w:color w:val="333333"/>
          <w:sz w:val="32"/>
          <w:szCs w:val="32"/>
        </w:rPr>
      </w:pPr>
      <w:r>
        <w:rPr>
          <w:rFonts w:hint="eastAsia" w:ascii="仿宋_GB2312" w:hAnsi="微软雅黑" w:eastAsia="仿宋_GB2312" w:cs="Times New Roman"/>
          <w:color w:val="333333"/>
          <w:sz w:val="32"/>
          <w:szCs w:val="32"/>
        </w:rPr>
        <w:t>等法律法规和标准规范的规定开展服务活动，并符合下列基本条件: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Times New Roman"/>
          <w:color w:val="333333"/>
          <w:sz w:val="32"/>
          <w:szCs w:val="32"/>
        </w:rPr>
      </w:pPr>
      <w:r>
        <w:rPr>
          <w:rFonts w:hint="eastAsia" w:ascii="仿宋_GB2312" w:hAnsi="微软雅黑" w:eastAsia="仿宋_GB2312" w:cs="Times New Roman"/>
          <w:color w:val="333333"/>
          <w:sz w:val="32"/>
          <w:szCs w:val="32"/>
        </w:rPr>
        <w:t>1.应当符合《中华人民共和国建筑法》、《中华人民共和国消防法》、《无障碍环境建设条例》等法律法规，以及《老年人照料设施建筑设计标准》(住房城乡建设部公告2018 年第 36 号)、《建筑设计防火规范》(住房城乡建设部公告 2018 年第 35 号)等国家标准或者行业标准规定的安全生产条件，并符合环境影响评价分类管理、文物勘探、水源地保护等相关要求。依照《中华人民共和国安全生产法》第 17 条规定，不具备安全生产条件的，不得从事经营服务活动。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Times New Roman"/>
          <w:color w:val="333333"/>
          <w:sz w:val="32"/>
          <w:szCs w:val="32"/>
        </w:rPr>
      </w:pPr>
      <w:r>
        <w:rPr>
          <w:rFonts w:hint="eastAsia" w:ascii="仿宋_GB2312" w:hAnsi="微软雅黑" w:eastAsia="仿宋_GB2312" w:cs="Times New Roman"/>
          <w:color w:val="333333"/>
          <w:sz w:val="32"/>
          <w:szCs w:val="32"/>
        </w:rPr>
        <w:t>应当符合《养老机构管理办法》规章。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Times New Roman"/>
          <w:color w:val="333333"/>
          <w:sz w:val="32"/>
          <w:szCs w:val="32"/>
        </w:rPr>
      </w:pPr>
      <w:r>
        <w:rPr>
          <w:rFonts w:hint="eastAsia" w:ascii="仿宋_GB2312" w:hAnsi="微软雅黑" w:eastAsia="仿宋_GB2312" w:cs="Times New Roman"/>
          <w:color w:val="333333"/>
          <w:sz w:val="32"/>
          <w:szCs w:val="32"/>
        </w:rPr>
        <w:t>3.开展医疗卫生服务的,应当符合《医疗机构管理条例》、《医疗机构管理条例实施细则》等法规规章，以及养老机构内设医务室、护理站等设置标准。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Times New Roman"/>
          <w:color w:val="333333"/>
          <w:sz w:val="32"/>
          <w:szCs w:val="32"/>
        </w:rPr>
      </w:pPr>
      <w:r>
        <w:rPr>
          <w:rFonts w:hint="eastAsia" w:ascii="仿宋_GB2312" w:hAnsi="微软雅黑" w:eastAsia="仿宋_GB2312" w:cs="Times New Roman"/>
          <w:color w:val="333333"/>
          <w:sz w:val="32"/>
          <w:szCs w:val="32"/>
        </w:rPr>
        <w:t>4.开展餐饮服务的，应当符合《中华人民共和国食品安全法》等法律法规，以及相应食品安全标准。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Times New Roman"/>
          <w:color w:val="333333"/>
          <w:sz w:val="32"/>
          <w:szCs w:val="32"/>
        </w:rPr>
      </w:pPr>
      <w:r>
        <w:rPr>
          <w:rFonts w:hint="eastAsia" w:ascii="仿宋_GB2312" w:hAnsi="微软雅黑" w:eastAsia="仿宋_GB2312" w:cs="Times New Roman"/>
          <w:color w:val="333333"/>
          <w:sz w:val="32"/>
          <w:szCs w:val="32"/>
        </w:rPr>
        <w:t>5.法律法规规定的其他条件。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三、投资办理程序、涉及部门和联系方式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Times New Roman"/>
          <w:color w:val="333333"/>
          <w:sz w:val="32"/>
          <w:szCs w:val="32"/>
        </w:rPr>
      </w:pPr>
      <w:r>
        <w:rPr>
          <w:rFonts w:hint="eastAsia" w:ascii="仿宋_GB2312" w:hAnsi="微软雅黑" w:eastAsia="仿宋_GB2312" w:cs="Times New Roman"/>
          <w:color w:val="333333"/>
          <w:sz w:val="32"/>
          <w:szCs w:val="32"/>
        </w:rPr>
        <w:t>根据</w:t>
      </w:r>
      <w:r>
        <w:rPr>
          <w:rFonts w:hint="eastAsia" w:ascii="仿宋_GB2312" w:hAnsi="微软雅黑" w:eastAsia="仿宋_GB2312" w:cs="Times New Roman"/>
          <w:color w:val="333333"/>
          <w:sz w:val="32"/>
          <w:szCs w:val="32"/>
          <w:lang w:eastAsia="zh-CN"/>
        </w:rPr>
        <w:t>昆明市民政局《关于取消养老机构设立许可实行养老机构备案工作的通知》，</w:t>
      </w:r>
      <w:r>
        <w:rPr>
          <w:rFonts w:hint="eastAsia" w:ascii="仿宋_GB2312" w:hAnsi="微软雅黑" w:eastAsia="仿宋_GB2312" w:cs="Times New Roman"/>
          <w:color w:val="333333"/>
          <w:sz w:val="32"/>
          <w:szCs w:val="32"/>
        </w:rPr>
        <w:t>养老机构不再设立许可，实行备案管理。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微软雅黑" w:eastAsia="仿宋_GB2312" w:cs="Times New Roman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Times New Roman"/>
          <w:color w:val="333333"/>
          <w:sz w:val="32"/>
          <w:szCs w:val="32"/>
        </w:rPr>
        <w:t>办理部门:</w:t>
      </w:r>
      <w:r>
        <w:rPr>
          <w:rFonts w:hint="eastAsia" w:ascii="仿宋_GB2312" w:hAnsi="微软雅黑" w:eastAsia="仿宋_GB2312" w:cs="Times New Roman"/>
          <w:color w:val="333333"/>
          <w:sz w:val="32"/>
          <w:szCs w:val="32"/>
          <w:lang w:eastAsia="zh-CN"/>
        </w:rPr>
        <w:t>石林县民政局养老服务科</w:t>
      </w:r>
      <w:r>
        <w:rPr>
          <w:rFonts w:hint="eastAsia" w:ascii="仿宋_GB2312" w:hAnsi="微软雅黑" w:eastAsia="仿宋_GB2312" w:cs="Times New Roman"/>
          <w:color w:val="333333"/>
          <w:sz w:val="32"/>
          <w:szCs w:val="32"/>
        </w:rPr>
        <w:t>，咨询电话:</w:t>
      </w:r>
      <w:r>
        <w:rPr>
          <w:rFonts w:hint="eastAsia" w:ascii="仿宋_GB2312" w:hAnsi="微软雅黑" w:eastAsia="仿宋_GB2312" w:cs="Times New Roman"/>
          <w:color w:val="333333"/>
          <w:sz w:val="32"/>
          <w:szCs w:val="32"/>
          <w:lang w:val="en-US" w:eastAsia="zh-CN"/>
        </w:rPr>
        <w:t>67798890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黑体" w:hAnsi="黑体" w:eastAsia="黑体" w:cs="Times New Roman"/>
          <w:color w:val="333333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474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cs="Times New Roman"/>
      </w:rPr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="宋体" w:cs="Times New Roman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963B83"/>
    <w:multiLevelType w:val="singleLevel"/>
    <w:tmpl w:val="CB963B8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525C"/>
    <w:rsid w:val="000C6525"/>
    <w:rsid w:val="00174813"/>
    <w:rsid w:val="001B6ACA"/>
    <w:rsid w:val="002507FE"/>
    <w:rsid w:val="00327926"/>
    <w:rsid w:val="003B7BEE"/>
    <w:rsid w:val="00411BCD"/>
    <w:rsid w:val="0051175A"/>
    <w:rsid w:val="00514C4C"/>
    <w:rsid w:val="005B4475"/>
    <w:rsid w:val="006B3418"/>
    <w:rsid w:val="00743127"/>
    <w:rsid w:val="007714F7"/>
    <w:rsid w:val="0080320A"/>
    <w:rsid w:val="00833E96"/>
    <w:rsid w:val="008441D0"/>
    <w:rsid w:val="00856C89"/>
    <w:rsid w:val="008B2DFC"/>
    <w:rsid w:val="009014EF"/>
    <w:rsid w:val="009356E6"/>
    <w:rsid w:val="00A00870"/>
    <w:rsid w:val="00A26C6A"/>
    <w:rsid w:val="00A33B3D"/>
    <w:rsid w:val="00A37EBC"/>
    <w:rsid w:val="00A430E7"/>
    <w:rsid w:val="00A43456"/>
    <w:rsid w:val="00A47FCE"/>
    <w:rsid w:val="00A9067C"/>
    <w:rsid w:val="00AC7D9A"/>
    <w:rsid w:val="00AE71F1"/>
    <w:rsid w:val="00BB1E70"/>
    <w:rsid w:val="00BC5385"/>
    <w:rsid w:val="00C01FB9"/>
    <w:rsid w:val="00C52D2E"/>
    <w:rsid w:val="00C776DC"/>
    <w:rsid w:val="00C94076"/>
    <w:rsid w:val="00CB17B4"/>
    <w:rsid w:val="00D239D2"/>
    <w:rsid w:val="00D34FFC"/>
    <w:rsid w:val="00D757B2"/>
    <w:rsid w:val="00E83E2C"/>
    <w:rsid w:val="00EA13F1"/>
    <w:rsid w:val="00ED139F"/>
    <w:rsid w:val="00EE525C"/>
    <w:rsid w:val="00FA1FE9"/>
    <w:rsid w:val="00FD244B"/>
    <w:rsid w:val="00FE42A6"/>
    <w:rsid w:val="00FF7500"/>
    <w:rsid w:val="03A11159"/>
    <w:rsid w:val="106D3D62"/>
    <w:rsid w:val="188B0D9F"/>
    <w:rsid w:val="207C6130"/>
    <w:rsid w:val="222A1B12"/>
    <w:rsid w:val="3B9A3E3E"/>
    <w:rsid w:val="4A3164B4"/>
    <w:rsid w:val="4AC81B77"/>
    <w:rsid w:val="512248FC"/>
    <w:rsid w:val="5DB86E72"/>
    <w:rsid w:val="5E012C73"/>
    <w:rsid w:val="60EC291C"/>
    <w:rsid w:val="6D8E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keepLines/>
      <w:spacing w:before="340" w:after="330" w:line="578" w:lineRule="auto"/>
      <w:outlineLvl w:val="0"/>
    </w:pPr>
    <w:rPr>
      <w:kern w:val="44"/>
      <w:sz w:val="44"/>
      <w:szCs w:val="44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Normal (Web)"/>
    <w:basedOn w:val="1"/>
    <w:semiHidden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Heading 1 Char"/>
    <w:basedOn w:val="7"/>
    <w:link w:val="2"/>
    <w:locked/>
    <w:uiPriority w:val="99"/>
    <w:rPr>
      <w:b/>
      <w:bCs/>
      <w:kern w:val="44"/>
      <w:sz w:val="44"/>
      <w:szCs w:val="44"/>
    </w:rPr>
  </w:style>
  <w:style w:type="character" w:customStyle="1" w:styleId="9">
    <w:name w:val="Footer Char"/>
    <w:basedOn w:val="7"/>
    <w:link w:val="3"/>
    <w:semiHidden/>
    <w:locked/>
    <w:uiPriority w:val="99"/>
    <w:rPr>
      <w:sz w:val="18"/>
      <w:szCs w:val="18"/>
    </w:rPr>
  </w:style>
  <w:style w:type="character" w:customStyle="1" w:styleId="10">
    <w:name w:val="Header Char"/>
    <w:basedOn w:val="7"/>
    <w:link w:val="4"/>
    <w:semiHidden/>
    <w:locked/>
    <w:uiPriority w:val="99"/>
    <w:rPr>
      <w:sz w:val="18"/>
      <w:szCs w:val="18"/>
    </w:rPr>
  </w:style>
  <w:style w:type="paragraph" w:customStyle="1" w:styleId="11">
    <w:name w:val="Heading2"/>
    <w:basedOn w:val="1"/>
    <w:next w:val="1"/>
    <w:uiPriority w:val="99"/>
    <w:pPr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MS</Company>
  <Pages>4</Pages>
  <Words>318</Words>
  <Characters>1815</Characters>
  <Lines>0</Lines>
  <Paragraphs>0</Paragraphs>
  <TotalTime>4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2021-11-10T03:36:00Z</dcterms:created>
  <dc:creator>admin</dc:creator>
  <cp:lastModifiedBy>杨建云</cp:lastModifiedBy>
  <cp:lastPrinted>2021-09-15T08:57:00Z</cp:lastPrinted>
  <dcterms:modified xsi:type="dcterms:W3CDTF">2023-01-18T08:40:03Z</dcterms:modified>
  <dc:title>石林县养老服务体系建设基本情况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