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pict>
          <v:shape id="艺术字 3" o:spid="_x0000_s1026" o:spt="136" type="#_x0000_t136" style="position:absolute;left:0pt;margin-left:9.75pt;margin-top:14.4pt;height:54.6pt;width:430.5pt;z-index:251658240;mso-width-relative:page;mso-height-relative:page;" fillcolor="#FF0000" filled="t" stroked="t" coordsize="21600,21600">
            <v:path/>
            <v:fill on="t" focussize="0,0"/>
            <v:stroke color="#FF0000"/>
            <v:imagedata o:title=""/>
            <o:lock v:ext="edit"/>
            <v:textpath on="t" fitshape="t" fitpath="t" trim="t" xscale="f" string="石林彝族自治县工业和信息化局文件" style="font-family:方正小标宋简体;font-size:36pt;v-text-align:center;"/>
          </v:shape>
        </w:pict>
      </w:r>
    </w:p>
    <w:p>
      <w:pPr>
        <w:pStyle w:val="7"/>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7"/>
        <w:ind w:left="0"/>
        <w:rPr>
          <w:rFonts w:hint="default" w:ascii="Times New Roman" w:hAnsi="Times New Roman" w:eastAsia="仿宋_GB2312" w:cs="Times New Roman"/>
          <w:sz w:val="28"/>
          <w:szCs w:val="28"/>
        </w:rPr>
      </w:pPr>
    </w:p>
    <w:p>
      <w:pPr>
        <w:spacing w:line="580" w:lineRule="exact"/>
        <w:jc w:val="both"/>
        <w:rPr>
          <w:rFonts w:hint="default" w:ascii="Times New Roman" w:hAnsi="Times New Roman" w:eastAsia="方正小标宋_GBK" w:cs="Times New Roman"/>
          <w:color w:val="000000"/>
          <w:sz w:val="40"/>
          <w:szCs w:val="40"/>
          <w:highlight w:val="none"/>
        </w:rPr>
      </w:pPr>
      <w:r>
        <w:rPr>
          <w:rFonts w:hint="default" w:ascii="Times New Roman" w:hAnsi="Times New Roman" w:cs="Times New Roman"/>
          <w:color w:val="FF0000"/>
          <w:position w:val="28"/>
          <w:u w:val="thick"/>
        </w:rPr>
        <w:t>　</w:t>
      </w:r>
      <w:r>
        <w:rPr>
          <w:rFonts w:hint="default" w:ascii="Times New Roman" w:hAnsi="Times New Roman" w:cs="Times New Roman"/>
          <w:color w:val="FF0000"/>
          <w:position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石林彝族自治县工业和信息化局关于印发2022年“双随机、一公开”抽查计划的通知</w:t>
      </w:r>
    </w:p>
    <w:p>
      <w:pPr>
        <w:pStyle w:val="2"/>
        <w:ind w:left="0" w:leftChars="0" w:firstLine="0" w:firstLineChars="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局属各科室：</w:t>
      </w:r>
    </w:p>
    <w:p>
      <w:pPr>
        <w:pStyle w:val="2"/>
        <w:rPr>
          <w:rFonts w:hint="default"/>
          <w:lang w:val="en-US" w:eastAsia="zh-CN"/>
        </w:rPr>
      </w:pPr>
      <w:r>
        <w:drawing>
          <wp:anchor distT="0" distB="0" distL="114300" distR="114300" simplePos="0" relativeHeight="251659264" behindDoc="1" locked="0" layoutInCell="1" allowOverlap="1">
            <wp:simplePos x="0" y="0"/>
            <wp:positionH relativeFrom="column">
              <wp:posOffset>840740</wp:posOffset>
            </wp:positionH>
            <wp:positionV relativeFrom="paragraph">
              <wp:posOffset>3065780</wp:posOffset>
            </wp:positionV>
            <wp:extent cx="3467100" cy="1921510"/>
            <wp:effectExtent l="0" t="0" r="3810" b="13970"/>
            <wp:wrapNone/>
            <wp:docPr id="1" name="图片 5" descr="DBSTEP_MARK&#10;FILENAME=&#10;MARKNAME=工信局&#10;USERNAME=县工信局办公室&#10;DATETIME=2019-08-07 09:31:50&#10;MARKGUID={7C383C46-1503-4722-86DF-5C97322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BSTEP_MARK&#10;FILENAME=&#10;MARKNAME=工信局&#10;USERNAME=县工信局办公室&#10;DATETIME=2019-08-07 09:31:50&#10;MARKGUID={7C383C46-1503-4722-86DF-5C973229814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3467100" cy="1921510"/>
                    </a:xfrm>
                    <a:prstGeom prst="rect">
                      <a:avLst/>
                    </a:prstGeom>
                    <a:noFill/>
                    <a:ln w="9525" cmpd="sng">
                      <a:noFill/>
                      <a:miter lim="800000"/>
                      <a:headEnd/>
                      <a:tailEnd/>
                    </a:ln>
                    <a:effectLst/>
                  </pic:spPr>
                </pic:pic>
              </a:graphicData>
            </a:graphic>
          </wp:anchor>
        </w:drawing>
      </w:r>
      <w:r>
        <w:rPr>
          <w:rFonts w:hint="eastAsia" w:ascii="仿宋_GB2312" w:hAnsi="仿宋_GB2312" w:eastAsia="仿宋_GB2312" w:cs="仿宋_GB2312"/>
          <w:sz w:val="32"/>
          <w:szCs w:val="32"/>
          <w:lang w:val="en-US" w:eastAsia="zh-CN"/>
        </w:rPr>
        <w:t xml:space="preserve">  根据县“双随机、一公开”监管工作领导小组办公室《2022年度石林彝族自治县市场监管领域部门“双随机、一公开”抽查计划》《2022年度石林彝族自治县市场监管领域部门联合“双随机、一公开”抽查计划》的文件要求，结合我局工作实际制定了2022年度石林彝族自治县市场监管领域部门“双随机、一公开”抽查计划和部门联合“双随机、一公开”抽查计划，现予以印发执行。请各科室认真对照抽查工作计划，研究制度抽查方案，组织开展抽查检查，并及时把抽查工作开展情况和抽查结果录入</w:t>
      </w:r>
      <w:bookmarkStart w:id="0" w:name="_GoBack"/>
      <w:bookmarkEnd w:id="0"/>
      <w:r>
        <w:rPr>
          <w:rFonts w:hint="eastAsia" w:ascii="仿宋_GB2312" w:hAnsi="仿宋_GB2312" w:eastAsia="仿宋_GB2312" w:cs="仿宋_GB2312"/>
          <w:sz w:val="32"/>
          <w:szCs w:val="32"/>
          <w:lang w:val="en-US" w:eastAsia="zh-CN"/>
        </w:rPr>
        <w:t>国家企业信用信息公示系统。</w:t>
      </w:r>
    </w:p>
    <w:p>
      <w:pPr>
        <w:rPr>
          <w:rFonts w:hint="default" w:ascii="仿宋_GB2312" w:hAnsi="仿宋_GB2312" w:eastAsia="仿宋_GB2312" w:cs="仿宋_GB2312"/>
          <w:kern w:val="2"/>
          <w:sz w:val="32"/>
          <w:szCs w:val="32"/>
          <w:lang w:val="en-US" w:eastAsia="zh-CN" w:bidi="ar-SA"/>
        </w:rPr>
      </w:pPr>
    </w:p>
    <w:p>
      <w:pPr>
        <w:pStyle w:val="2"/>
        <w:rPr>
          <w:rFonts w:hint="default"/>
          <w:lang w:val="en-US" w:eastAsia="zh-CN"/>
        </w:rPr>
      </w:pPr>
    </w:p>
    <w:p>
      <w:pPr>
        <w:ind w:firstLine="3200" w:firstLineChars="10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石林彝族自治县工业和信息化局</w:t>
      </w:r>
    </w:p>
    <w:p>
      <w:pPr>
        <w:ind w:firstLine="4480" w:firstLineChars="1400"/>
        <w:rPr>
          <w:rFonts w:hint="default" w:ascii="仿宋_GB2312" w:hAnsi="仿宋_GB2312" w:eastAsia="仿宋_GB2312" w:cs="仿宋_GB2312"/>
          <w:kern w:val="2"/>
          <w:sz w:val="32"/>
          <w:szCs w:val="32"/>
          <w:lang w:val="en-US" w:eastAsia="zh-CN" w:bidi="ar-SA"/>
        </w:rPr>
        <w:sectPr>
          <w:pgSz w:w="11906" w:h="16838"/>
          <w:pgMar w:top="2098" w:right="1474" w:bottom="1984" w:left="1588" w:header="851" w:footer="992" w:gutter="0"/>
          <w:cols w:space="425" w:num="1"/>
          <w:docGrid w:type="lines" w:linePitch="312" w:charSpace="0"/>
        </w:sect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年4月1</w:t>
      </w:r>
      <w:r>
        <w:rPr>
          <w:rFonts w:hint="eastAsia" w:ascii="仿宋_GB2312" w:hAnsi="仿宋_GB2312" w:eastAsia="仿宋_GB2312" w:cs="仿宋_GB2312"/>
          <w:kern w:val="2"/>
          <w:sz w:val="32"/>
          <w:szCs w:val="32"/>
          <w:lang w:val="en-US" w:eastAsia="zh-CN" w:bidi="ar-SA"/>
        </w:rPr>
        <w:t>1</w:t>
      </w:r>
    </w:p>
    <w:tbl>
      <w:tblPr>
        <w:tblStyle w:val="5"/>
        <w:tblpPr w:leftFromText="180" w:rightFromText="180" w:vertAnchor="text" w:horzAnchor="page" w:tblpX="1935" w:tblpY="53"/>
        <w:tblOverlap w:val="never"/>
        <w:tblW w:w="13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6"/>
        <w:gridCol w:w="951"/>
        <w:gridCol w:w="1435"/>
        <w:gridCol w:w="3984"/>
        <w:gridCol w:w="1575"/>
        <w:gridCol w:w="987"/>
        <w:gridCol w:w="1108"/>
        <w:gridCol w:w="1192"/>
        <w:gridCol w:w="2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0" w:hRule="atLeast"/>
        </w:trPr>
        <w:tc>
          <w:tcPr>
            <w:tcW w:w="13992"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2022年度石林彝族自治县市场监管领域部门“双随机、一公开”抽查计划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制定计划任务部门名  称</w:t>
            </w:r>
          </w:p>
        </w:tc>
        <w:tc>
          <w:tcPr>
            <w:tcW w:w="54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计划任务名称</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检查对象</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抽查比例/户数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任务时间</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检查方式</w:t>
            </w:r>
          </w:p>
        </w:tc>
        <w:tc>
          <w:tcPr>
            <w:tcW w:w="225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制定依据</w:t>
            </w:r>
          </w:p>
          <w:p>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楷体" w:hAnsi="楷体" w:eastAsia="楷体" w:cs="楷体"/>
                <w:i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楷体" w:hAnsi="楷体" w:eastAsia="楷体" w:cs="楷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抽查领域</w:t>
            </w:r>
          </w:p>
        </w:tc>
        <w:tc>
          <w:tcPr>
            <w:tcW w:w="3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抽查事项</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楷体" w:hAnsi="楷体" w:eastAsia="楷体" w:cs="楷体"/>
                <w:i w:val="0"/>
                <w:color w:val="000000"/>
                <w:sz w:val="24"/>
                <w:szCs w:val="24"/>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楷体" w:hAnsi="楷体" w:eastAsia="楷体" w:cs="楷体"/>
                <w:i w:val="0"/>
                <w:color w:val="000000"/>
                <w:sz w:val="24"/>
                <w:szCs w:val="24"/>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楷体" w:hAnsi="楷体" w:eastAsia="楷体" w:cs="楷体"/>
                <w:i w:val="0"/>
                <w:color w:val="000000"/>
                <w:sz w:val="24"/>
                <w:szCs w:val="24"/>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楷体" w:hAnsi="楷体" w:eastAsia="楷体" w:cs="楷体"/>
                <w:i w:val="0"/>
                <w:color w:val="000000"/>
                <w:sz w:val="24"/>
                <w:szCs w:val="24"/>
                <w:u w:val="none"/>
              </w:rPr>
            </w:pPr>
          </w:p>
        </w:tc>
        <w:tc>
          <w:tcPr>
            <w:tcW w:w="2254"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县工业和信息化局</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无线电频率使用</w:t>
            </w:r>
          </w:p>
        </w:tc>
        <w:tc>
          <w:tcPr>
            <w:tcW w:w="3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无线电频率使用情况的检查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无线电频率使用单位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1户</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2022-9-30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r>
              <w:rPr>
                <w:rStyle w:val="8"/>
                <w:sz w:val="18"/>
                <w:szCs w:val="18"/>
                <w:lang w:val="en-US" w:eastAsia="zh-CN" w:bidi="ar"/>
              </w:rPr>
              <w:t>《中华人民共和国无线电管理条例》；</w:t>
            </w:r>
            <w:r>
              <w:rPr>
                <w:rStyle w:val="9"/>
                <w:rFonts w:eastAsia="宋体"/>
                <w:sz w:val="18"/>
                <w:szCs w:val="18"/>
                <w:lang w:val="en-US" w:eastAsia="zh-CN" w:bidi="ar"/>
              </w:rPr>
              <w:br w:type="textWrapping"/>
            </w:r>
            <w:r>
              <w:rPr>
                <w:rStyle w:val="8"/>
                <w:sz w:val="18"/>
                <w:szCs w:val="18"/>
                <w:lang w:val="en-US" w:eastAsia="zh-CN" w:bidi="ar"/>
              </w:rPr>
              <w:t>《云南省无线电管理条例》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县工业和信息化局</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对商业特许经营行为的检查</w:t>
            </w:r>
          </w:p>
        </w:tc>
        <w:tc>
          <w:tcPr>
            <w:tcW w:w="3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1.特许人从事特许经营活动是否拥有至少2个直营店，并且经营时间超过1年；2.特许人是否自首次订立特许经营合同之日起15日内，依照《商业特许经营管理条例》（中华人民共和国国务院令第485 号）的规定向商务主管部门备案。3.特许人要求被特许人在订立特许经营合同前支付费用的，是否以书面形式向被特许人说明该部分费用的用途以及退还的条件、方式；4.特许人是否在每年第一季度将其上一年度订立特许经营合同的情况向商务主管部门报告；5.特许人是否在订立特许经营合同之日前至少30日，以书面形式向被特许人提供《商业特许经营管理条例》第二十二条规定的信息，并提供特许经营合同文本；特许人向被特许人提供的信息是否真实、准确、完整，是否隐瞒有关信息，或者提供虚假信息。6.特许人向被特许人提供的信息发生重大变更的，是否及时通知被特许人。7.特许人是否在每年3月31日前将其上一年度订立、撤销、终止、续签的特许经营合同情况向备案机关报告。</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商业特许经营企业</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2户</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2022-11-30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现场检查</w:t>
            </w:r>
          </w:p>
        </w:tc>
        <w:tc>
          <w:tcPr>
            <w:tcW w:w="2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《商业特许经营管理条例》（中华人民共和国国务院令第485号）第二章第七条第二款；第一章第三条第二款；第二章第八条第一款、第十六条、第十九条；第三章第二十一条、第二十三条；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《商业特许经营备案管理办法》（中华人民共和国商务部令2011年第 5 号）第九条</w:t>
            </w:r>
          </w:p>
        </w:tc>
      </w:tr>
    </w:tbl>
    <w:tbl>
      <w:tblPr>
        <w:tblW w:w="13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22"/>
        <w:gridCol w:w="1318"/>
        <w:gridCol w:w="1384"/>
        <w:gridCol w:w="1347"/>
        <w:gridCol w:w="2206"/>
        <w:gridCol w:w="1769"/>
        <w:gridCol w:w="1336"/>
        <w:gridCol w:w="1044"/>
        <w:gridCol w:w="1188"/>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39" w:hRule="atLeast"/>
        </w:trPr>
        <w:tc>
          <w:tcPr>
            <w:tcW w:w="13786"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bdr w:val="none" w:color="auto" w:sz="0" w:space="0"/>
                <w:lang w:val="en-US" w:eastAsia="zh-CN" w:bidi="ar"/>
              </w:rPr>
              <w:t>2022年度石林县市场监管领域部门联合“双随机、一公开”抽查计划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序号</w:t>
            </w:r>
          </w:p>
        </w:tc>
        <w:tc>
          <w:tcPr>
            <w:tcW w:w="1318"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发起部门</w:t>
            </w:r>
          </w:p>
        </w:tc>
        <w:tc>
          <w:tcPr>
            <w:tcW w:w="1384"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配合部门</w:t>
            </w:r>
          </w:p>
        </w:tc>
        <w:tc>
          <w:tcPr>
            <w:tcW w:w="355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计划任务名称</w:t>
            </w:r>
          </w:p>
        </w:tc>
        <w:tc>
          <w:tcPr>
            <w:tcW w:w="176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检查对象</w:t>
            </w:r>
          </w:p>
        </w:tc>
        <w:tc>
          <w:tcPr>
            <w:tcW w:w="1336"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任务时间</w:t>
            </w:r>
          </w:p>
        </w:tc>
        <w:tc>
          <w:tcPr>
            <w:tcW w:w="104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抽查比例/户数</w:t>
            </w:r>
          </w:p>
        </w:tc>
        <w:tc>
          <w:tcPr>
            <w:tcW w:w="1188"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检查方式</w:t>
            </w:r>
          </w:p>
        </w:tc>
        <w:tc>
          <w:tcPr>
            <w:tcW w:w="1572" w:type="dxa"/>
            <w:vMerge w:val="restart"/>
            <w:tcBorders>
              <w:top w:val="single" w:color="000000" w:sz="4" w:space="0"/>
              <w:left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实施检查层级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楷体_GB2312" w:hAnsi="宋体" w:eastAsia="楷体_GB2312" w:cs="楷体_GB2312"/>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楷体_GB2312" w:hAnsi="宋体" w:eastAsia="楷体_GB2312" w:cs="楷体_GB2312"/>
                <w:i w:val="0"/>
                <w:color w:val="000000"/>
                <w:sz w:val="24"/>
                <w:szCs w:val="24"/>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楷体_GB2312" w:hAnsi="宋体" w:eastAsia="楷体_GB2312" w:cs="楷体_GB2312"/>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抽查领域</w:t>
            </w:r>
          </w:p>
        </w:tc>
        <w:tc>
          <w:tcPr>
            <w:tcW w:w="220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bdr w:val="none" w:color="auto" w:sz="0" w:space="0"/>
                <w:lang w:val="en-US" w:eastAsia="zh-CN" w:bidi="ar"/>
              </w:rPr>
              <w:t>抽查事项</w:t>
            </w:r>
          </w:p>
        </w:tc>
        <w:tc>
          <w:tcPr>
            <w:tcW w:w="176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楷体_GB2312" w:hAnsi="宋体" w:eastAsia="楷体_GB2312" w:cs="楷体_GB2312"/>
                <w:i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楷体_GB2312" w:hAnsi="宋体" w:eastAsia="楷体_GB2312" w:cs="楷体_GB2312"/>
                <w:i w:val="0"/>
                <w:color w:val="000000"/>
                <w:sz w:val="24"/>
                <w:szCs w:val="24"/>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楷体_GB2312" w:hAnsi="宋体" w:eastAsia="楷体_GB2312" w:cs="楷体_GB2312"/>
                <w:i w:val="0"/>
                <w:color w:val="000000"/>
                <w:sz w:val="24"/>
                <w:szCs w:val="24"/>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楷体_GB2312" w:hAnsi="宋体" w:eastAsia="楷体_GB2312" w:cs="楷体_GB2312"/>
                <w:i w:val="0"/>
                <w:color w:val="000000"/>
                <w:sz w:val="24"/>
                <w:szCs w:val="24"/>
                <w:u w:val="none"/>
              </w:rPr>
            </w:pPr>
          </w:p>
        </w:tc>
        <w:tc>
          <w:tcPr>
            <w:tcW w:w="1572" w:type="dxa"/>
            <w:vMerge w:val="continue"/>
            <w:tcBorders>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楷体_GB2312" w:hAnsi="宋体" w:eastAsia="楷体_GB2312" w:cs="楷体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0" w:hRule="atLeast"/>
        </w:trPr>
        <w:tc>
          <w:tcPr>
            <w:tcW w:w="62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县工业和信息化局</w:t>
            </w:r>
          </w:p>
        </w:tc>
        <w:tc>
          <w:tcPr>
            <w:tcW w:w="13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县发展改革委</w:t>
            </w:r>
          </w:p>
        </w:tc>
        <w:tc>
          <w:tcPr>
            <w:tcW w:w="134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重点用能工业企业</w:t>
            </w:r>
          </w:p>
        </w:tc>
        <w:tc>
          <w:tcPr>
            <w:tcW w:w="220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工业企业节能监督检查</w:t>
            </w:r>
          </w:p>
        </w:tc>
        <w:tc>
          <w:tcPr>
            <w:tcW w:w="176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重点用能工业企业（年综合能耗5000吨标准煤以上的市级检查、年综合能耗5000吨标准煤以下的企业县（市）区级负责检查）</w:t>
            </w:r>
          </w:p>
        </w:tc>
        <w:tc>
          <w:tcPr>
            <w:tcW w:w="13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2022-10-31</w:t>
            </w:r>
          </w:p>
        </w:tc>
        <w:tc>
          <w:tcPr>
            <w:tcW w:w="104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1户</w:t>
            </w:r>
          </w:p>
        </w:tc>
        <w:tc>
          <w:tcPr>
            <w:tcW w:w="11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5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县工业和信息化局</w:t>
            </w:r>
          </w:p>
        </w:tc>
        <w:tc>
          <w:tcPr>
            <w:tcW w:w="13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昆明市生态环境局石林分局、县公安局</w:t>
            </w:r>
          </w:p>
        </w:tc>
        <w:tc>
          <w:tcPr>
            <w:tcW w:w="134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报废机动车回收拆解</w:t>
            </w:r>
          </w:p>
        </w:tc>
        <w:tc>
          <w:tcPr>
            <w:tcW w:w="220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报废机动车回收企业的检查</w:t>
            </w:r>
          </w:p>
        </w:tc>
        <w:tc>
          <w:tcPr>
            <w:tcW w:w="176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具有报废机动车回收拆解资质的回收拆解企业</w:t>
            </w:r>
          </w:p>
        </w:tc>
        <w:tc>
          <w:tcPr>
            <w:tcW w:w="13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2022-11-30</w:t>
            </w:r>
          </w:p>
        </w:tc>
        <w:tc>
          <w:tcPr>
            <w:tcW w:w="104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1户</w:t>
            </w:r>
          </w:p>
        </w:tc>
        <w:tc>
          <w:tcPr>
            <w:tcW w:w="11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5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62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县工业和信息化局</w:t>
            </w:r>
          </w:p>
        </w:tc>
        <w:tc>
          <w:tcPr>
            <w:tcW w:w="13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县市场监督管理局</w:t>
            </w:r>
          </w:p>
        </w:tc>
        <w:tc>
          <w:tcPr>
            <w:tcW w:w="134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汽车（新车）销售</w:t>
            </w:r>
          </w:p>
        </w:tc>
        <w:tc>
          <w:tcPr>
            <w:tcW w:w="220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汽车销售行为合规检查</w:t>
            </w:r>
          </w:p>
        </w:tc>
        <w:tc>
          <w:tcPr>
            <w:tcW w:w="176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新车销售市场经营主体</w:t>
            </w:r>
          </w:p>
        </w:tc>
        <w:tc>
          <w:tcPr>
            <w:tcW w:w="13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2022-11-30</w:t>
            </w:r>
          </w:p>
        </w:tc>
        <w:tc>
          <w:tcPr>
            <w:tcW w:w="104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1户</w:t>
            </w:r>
          </w:p>
        </w:tc>
        <w:tc>
          <w:tcPr>
            <w:tcW w:w="11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5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00" w:hRule="atLeast"/>
        </w:trPr>
        <w:tc>
          <w:tcPr>
            <w:tcW w:w="62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县工业和信息化局</w:t>
            </w:r>
          </w:p>
        </w:tc>
        <w:tc>
          <w:tcPr>
            <w:tcW w:w="13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县市场监督管理局;县公安局</w:t>
            </w:r>
          </w:p>
        </w:tc>
        <w:tc>
          <w:tcPr>
            <w:tcW w:w="134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二手车交易</w:t>
            </w:r>
          </w:p>
        </w:tc>
        <w:tc>
          <w:tcPr>
            <w:tcW w:w="220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二手车交易行为合规检查</w:t>
            </w:r>
          </w:p>
        </w:tc>
        <w:tc>
          <w:tcPr>
            <w:tcW w:w="176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二手车交易市场和二手车经营主体</w:t>
            </w:r>
          </w:p>
        </w:tc>
        <w:tc>
          <w:tcPr>
            <w:tcW w:w="13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2022-11-30</w:t>
            </w:r>
          </w:p>
        </w:tc>
        <w:tc>
          <w:tcPr>
            <w:tcW w:w="104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3户</w:t>
            </w:r>
          </w:p>
        </w:tc>
        <w:tc>
          <w:tcPr>
            <w:tcW w:w="11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5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0" w:hRule="atLeast"/>
        </w:trPr>
        <w:tc>
          <w:tcPr>
            <w:tcW w:w="62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县工业和信息化局</w:t>
            </w:r>
          </w:p>
        </w:tc>
        <w:tc>
          <w:tcPr>
            <w:tcW w:w="138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县市场监督管理局</w:t>
            </w:r>
          </w:p>
        </w:tc>
        <w:tc>
          <w:tcPr>
            <w:tcW w:w="134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对石油成品油批发、仓储、零售经营企业的监督检查</w:t>
            </w:r>
          </w:p>
        </w:tc>
        <w:tc>
          <w:tcPr>
            <w:tcW w:w="220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成品油零售经营企业经营资格年度检查；2.是否存在涂改、倒卖、出租、出借或者以其他形式非法转让成品油经营批准证书的；3.是否存在违反《成品油管理办法》规定的条件和程序，未经许可擅自新建、迁建和扩建加油站的；4.是否存在采取掺杂掺假、以假充真、以次充好或者以不合格产品冒充合格产品等手段销售成品油，或者销售国家明令淘汰并禁止销售的成品油的；5.是否存在销售走私成品油的；6.是否存在擅自改动加油机或利用其他手段克扣油量的；7.是否存在超越经营范围进行经营活动的；8.是否存在违反有关技术规范要求的；9.是否存在法律、法规、规章规定的其他违法行为。</w:t>
            </w:r>
          </w:p>
        </w:tc>
        <w:tc>
          <w:tcPr>
            <w:tcW w:w="176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石油成品油批发、仓储、零售经营企业</w:t>
            </w:r>
          </w:p>
        </w:tc>
        <w:tc>
          <w:tcPr>
            <w:tcW w:w="13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2022-11-30</w:t>
            </w:r>
          </w:p>
        </w:tc>
        <w:tc>
          <w:tcPr>
            <w:tcW w:w="104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3户</w:t>
            </w:r>
          </w:p>
        </w:tc>
        <w:tc>
          <w:tcPr>
            <w:tcW w:w="118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5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县级检查</w:t>
            </w:r>
          </w:p>
        </w:tc>
      </w:tr>
    </w:tbl>
    <w:p>
      <w:pPr>
        <w:pStyle w:val="2"/>
        <w:ind w:left="0" w:leftChars="0" w:firstLine="0" w:firstLineChars="0"/>
        <w:rPr>
          <w:rFonts w:hint="default"/>
          <w:lang w:val="en-US" w:eastAsia="zh-CN"/>
        </w:rPr>
      </w:pPr>
    </w:p>
    <w:p>
      <w:pPr>
        <w:rPr>
          <w:rFonts w:hint="default" w:ascii="仿宋_GB2312" w:hAnsi="仿宋_GB2312" w:eastAsia="仿宋_GB2312" w:cs="仿宋_GB2312"/>
          <w:kern w:val="2"/>
          <w:sz w:val="32"/>
          <w:szCs w:val="32"/>
          <w:lang w:val="en-US" w:eastAsia="zh-CN" w:bidi="ar-SA"/>
        </w:rPr>
      </w:pPr>
    </w:p>
    <w:sectPr>
      <w:pgSz w:w="16838" w:h="11906" w:orient="landscape"/>
      <w:pgMar w:top="1588"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534F"/>
    <w:rsid w:val="0B943D54"/>
    <w:rsid w:val="0CB923EB"/>
    <w:rsid w:val="13930C13"/>
    <w:rsid w:val="167768BE"/>
    <w:rsid w:val="189B0252"/>
    <w:rsid w:val="1B97356E"/>
    <w:rsid w:val="1BC24B3F"/>
    <w:rsid w:val="1DF1414A"/>
    <w:rsid w:val="2A001B8F"/>
    <w:rsid w:val="32921446"/>
    <w:rsid w:val="33CF74D6"/>
    <w:rsid w:val="36070B34"/>
    <w:rsid w:val="3CE121D1"/>
    <w:rsid w:val="3E6F4A4E"/>
    <w:rsid w:val="4935386A"/>
    <w:rsid w:val="560D75D1"/>
    <w:rsid w:val="5FB61D22"/>
    <w:rsid w:val="64F33DA4"/>
    <w:rsid w:val="676E4C3B"/>
    <w:rsid w:val="6AD31DAB"/>
    <w:rsid w:val="6B132918"/>
    <w:rsid w:val="6C896319"/>
    <w:rsid w:val="6FCB08F6"/>
    <w:rsid w:val="733A5D66"/>
    <w:rsid w:val="7C322107"/>
    <w:rsid w:val="7E4665AB"/>
    <w:rsid w:val="7FC2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pPr>
    <w:rPr>
      <w:rFonts w:ascii="Times New Roman" w:hAnsi="Times New Roman" w:eastAsia="宋体"/>
    </w:rPr>
  </w:style>
  <w:style w:type="paragraph" w:styleId="3">
    <w:name w:val="Body Text Indent"/>
    <w:basedOn w:val="1"/>
    <w:uiPriority w:val="0"/>
    <w:pPr>
      <w:ind w:firstLine="645"/>
    </w:pPr>
    <w:rPr>
      <w:rFonts w:ascii="楷体_GB2312" w:eastAsia="楷体_GB231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p0"/>
    <w:basedOn w:val="1"/>
    <w:uiPriority w:val="0"/>
    <w:pPr>
      <w:widowControl/>
      <w:spacing w:line="365" w:lineRule="atLeast"/>
      <w:ind w:left="1"/>
      <w:textAlignment w:val="bottom"/>
    </w:pPr>
    <w:rPr>
      <w:kern w:val="0"/>
      <w:sz w:val="20"/>
      <w:szCs w:val="20"/>
    </w:rPr>
  </w:style>
  <w:style w:type="character" w:customStyle="1" w:styleId="8">
    <w:name w:val="font21"/>
    <w:basedOn w:val="6"/>
    <w:uiPriority w:val="0"/>
    <w:rPr>
      <w:rFonts w:hint="eastAsia" w:ascii="宋体" w:hAnsi="宋体" w:eastAsia="宋体" w:cs="宋体"/>
      <w:color w:val="000000"/>
      <w:sz w:val="20"/>
      <w:szCs w:val="20"/>
      <w:u w:val="none"/>
    </w:rPr>
  </w:style>
  <w:style w:type="character" w:customStyle="1" w:styleId="9">
    <w:name w:val="font41"/>
    <w:basedOn w:val="6"/>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2022-05-24T02:52:47Z</dcterms:created>
  <dc:creator>DELL</dc:creator>
  <cp:lastModifiedBy>DELL</cp:lastModifiedBy>
  <dcterms:modified xsi:type="dcterms:W3CDTF">2022-05-24T03:13:14Z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