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val="0"/>
          <w:bCs/>
          <w:color w:val="FF0000"/>
          <w:spacing w:val="28"/>
          <w:w w:val="78"/>
          <w:sz w:val="72"/>
          <w:szCs w:val="72"/>
          <w:lang w:val="en-US" w:eastAsia="zh-CN"/>
        </w:rPr>
      </w:pPr>
      <w:bookmarkStart w:id="0" w:name="_GoBack"/>
      <w:bookmarkEnd w:id="0"/>
      <w:r>
        <w:rPr>
          <w:rFonts w:hint="eastAsia" w:ascii="方正小标宋简体" w:eastAsia="方正小标宋简体"/>
          <w:b w:val="0"/>
          <w:bCs/>
          <w:color w:val="FF0000"/>
          <w:spacing w:val="28"/>
          <w:w w:val="78"/>
          <w:sz w:val="72"/>
          <w:szCs w:val="72"/>
          <w:lang w:val="en-US" w:eastAsia="zh-CN"/>
        </w:rPr>
        <w:t>石林彝族自治县</w:t>
      </w:r>
      <w:r>
        <w:rPr>
          <w:rFonts w:hint="eastAsia" w:ascii="方正小标宋简体" w:eastAsia="方正小标宋简体"/>
          <w:b w:val="0"/>
          <w:bCs/>
          <w:color w:val="FF0000"/>
          <w:spacing w:val="28"/>
          <w:w w:val="78"/>
          <w:sz w:val="72"/>
          <w:szCs w:val="72"/>
        </w:rPr>
        <w:t>城市管理局</w:t>
      </w:r>
      <w:r>
        <w:rPr>
          <w:rFonts w:hint="eastAsia" w:ascii="方正小标宋简体" w:eastAsia="方正小标宋简体"/>
          <w:b w:val="0"/>
          <w:bCs/>
          <w:color w:val="FF0000"/>
          <w:spacing w:val="28"/>
          <w:w w:val="78"/>
          <w:sz w:val="72"/>
          <w:szCs w:val="72"/>
          <w:lang w:val="en-US" w:eastAsia="zh-CN"/>
        </w:rPr>
        <w:t>文件</w:t>
      </w:r>
    </w:p>
    <w:p>
      <w:pPr>
        <w:rPr>
          <w:rFonts w:hint="eastAsia" w:ascii="仿宋_GB2312" w:eastAsia="仿宋_GB2312"/>
          <w:sz w:val="32"/>
          <w:szCs w:val="32"/>
          <w:lang w:eastAsia="zh-CN"/>
        </w:rPr>
      </w:pP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69215</wp:posOffset>
                </wp:positionV>
                <wp:extent cx="577215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77215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5.45pt;height:0.05pt;width:454.5pt;mso-position-horizontal:center;z-index:251660288;mso-width-relative:page;mso-height-relative:page;" filled="f" stroked="t" coordsize="21600,21600" o:gfxdata="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Pp2cN0wAAAAYBAAAPAAAAAAAA&#10;AAEAIAAAACIAAABkcnMvZG93bnJldi54bWxQSwECFAAUAAAACACHTuJAHtQrr94BAACZAwAADgAA&#10;AAAAAAABACAAAAAiAQAAZHJzL2Uyb0RvYy54bWxQSwUGAAAAAAYABgBZAQAAc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关于印发石林彝族自治县城市管理领域随机抽查事项清单、部门联合抽查事项清单的通知</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各相关单位：</w:t>
      </w:r>
    </w:p>
    <w:p>
      <w:pPr>
        <w:keepNext w:val="0"/>
        <w:keepLines w:val="0"/>
        <w:pageBreakBefore w:val="0"/>
        <w:widowControl w:val="0"/>
        <w:kinsoku/>
        <w:wordWrap/>
        <w:overflowPunct/>
        <w:topLinePunct w:val="0"/>
        <w:autoSpaceDE/>
        <w:autoSpaceDN/>
        <w:bidi w:val="0"/>
        <w:adjustRightInd/>
        <w:snapToGrid/>
        <w:spacing w:line="500" w:lineRule="exact"/>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color w:val="000000"/>
          <w:kern w:val="0"/>
          <w:sz w:val="32"/>
          <w:szCs w:val="32"/>
          <w:lang w:eastAsia="zh-CN"/>
        </w:rPr>
        <w:t>石林彝族自治县市场监管领域部门联合“双随机、一公开”监管工作领导小组办公室</w:t>
      </w:r>
      <w:r>
        <w:rPr>
          <w:rFonts w:hint="eastAsia" w:ascii="仿宋_GB2312" w:hAnsi="仿宋_GB2312" w:eastAsia="仿宋_GB2312" w:cs="仿宋_GB2312"/>
          <w:sz w:val="32"/>
          <w:szCs w:val="32"/>
          <w:lang w:val="en-US" w:eastAsia="zh-CN"/>
        </w:rPr>
        <w:t>的要求，结合《昆明市市场监管领域随机抽查事项清单（第二版）》和《昆明市市场监管领域部门联合抽查事项清单（第二版）》，对本单位城市管理领域随机抽查事项清单和部门联合随机抽查事项清单进行调整、补充和完善。现将调整完善后的抽查事项清单下发至各成员单位，请结合职责认真开展相关抽查工作。抽查事项清单如有变动请及时更新。</w:t>
      </w:r>
    </w:p>
    <w:p>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1600" w:leftChars="0" w:hanging="1600" w:hanging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附件：1石林彝族自治县城市管理领域随机抽查事项清单</w:t>
      </w:r>
    </w:p>
    <w:p>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1700" w:hanging="1280" w:hangingChars="4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 xml:space="preserve">   2</w:t>
      </w:r>
      <w:r>
        <w:rPr>
          <w:rFonts w:hint="eastAsia" w:ascii="仿宋_GB2312" w:hAnsi="仿宋_GB2312" w:eastAsia="仿宋_GB2312" w:cs="仿宋_GB2312"/>
          <w:sz w:val="32"/>
          <w:szCs w:val="32"/>
          <w:lang w:val="en-US" w:eastAsia="zh-CN"/>
        </w:rPr>
        <w:t>石林彝族自治县城市管理领域部门联合抽查事项清单</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color w:val="000000"/>
          <w:kern w:val="0"/>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color w:val="000000"/>
          <w:kern w:val="0"/>
          <w:sz w:val="32"/>
          <w:szCs w:val="32"/>
          <w:lang w:eastAsia="zh-CN"/>
        </w:rPr>
      </w:pPr>
      <w:r>
        <w:rPr>
          <w:rFonts w:hint="eastAsia" w:ascii="仿宋_GB2312" w:eastAsia="仿宋_GB2312"/>
          <w:sz w:val="32"/>
          <w:szCs w:val="32"/>
          <w:lang w:eastAsia="zh-CN"/>
        </w:rPr>
        <w:drawing>
          <wp:anchor distT="0" distB="0" distL="114300" distR="114300" simplePos="0" relativeHeight="251658240" behindDoc="1" locked="0" layoutInCell="1" allowOverlap="1">
            <wp:simplePos x="0" y="0"/>
            <wp:positionH relativeFrom="column">
              <wp:posOffset>3476625</wp:posOffset>
            </wp:positionH>
            <wp:positionV relativeFrom="paragraph">
              <wp:posOffset>-459105</wp:posOffset>
            </wp:positionV>
            <wp:extent cx="1524000" cy="1524000"/>
            <wp:effectExtent l="0" t="0" r="0" b="0"/>
            <wp:wrapNone/>
            <wp:docPr id="1" name="图片 1" descr="电子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子公章"/>
                    <pic:cNvPicPr>
                      <a:picLocks noChangeAspect="1"/>
                    </pic:cNvPicPr>
                  </pic:nvPicPr>
                  <pic:blipFill>
                    <a:blip r:embed="rId4"/>
                    <a:stretch>
                      <a:fillRect/>
                    </a:stretch>
                  </pic:blipFill>
                  <pic:spPr>
                    <a:xfrm>
                      <a:off x="0" y="0"/>
                      <a:ext cx="1524000" cy="152400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石林彝族自治县</w:t>
      </w:r>
      <w:r>
        <w:rPr>
          <w:rFonts w:hint="eastAsia" w:ascii="仿宋_GB2312" w:hAnsi="仿宋_GB2312" w:eastAsia="仿宋_GB2312" w:cs="仿宋_GB2312"/>
          <w:color w:val="000000"/>
          <w:kern w:val="0"/>
          <w:sz w:val="32"/>
          <w:szCs w:val="32"/>
          <w:lang w:val="en-US" w:eastAsia="zh-CN"/>
        </w:rPr>
        <w:t>城市管理局</w:t>
      </w:r>
    </w:p>
    <w:p>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仿宋_GB2312" w:eastAsia="仿宋_GB2312"/>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2021年5月17日</w:t>
      </w:r>
    </w:p>
    <w:p>
      <w:pPr>
        <w:rPr>
          <w:rFonts w:hint="eastAsia" w:ascii="仿宋_GB2312" w:eastAsia="仿宋_GB2312"/>
          <w:sz w:val="32"/>
          <w:szCs w:val="32"/>
        </w:rPr>
        <w:sectPr>
          <w:pgSz w:w="11906" w:h="16838"/>
          <w:pgMar w:top="2098" w:right="1474" w:bottom="1984" w:left="1587" w:header="851" w:footer="992" w:gutter="0"/>
          <w:cols w:space="425" w:num="1"/>
          <w:docGrid w:type="lines" w:linePitch="312" w:charSpace="0"/>
        </w:sectPr>
      </w:pPr>
    </w:p>
    <w:p>
      <w:pPr>
        <w:pStyle w:val="2"/>
        <w:rPr>
          <w:rFonts w:hint="eastAsia" w:ascii="黑体" w:hAnsi="黑体" w:eastAsia="黑体" w:cs="黑体"/>
          <w:sz w:val="36"/>
          <w:szCs w:val="36"/>
          <w:lang w:eastAsia="zh-CN"/>
        </w:rPr>
      </w:pPr>
      <w:r>
        <w:rPr>
          <w:rFonts w:hint="eastAsia" w:ascii="黑体" w:hAnsi="黑体" w:eastAsia="黑体" w:cs="黑体"/>
          <w:sz w:val="36"/>
          <w:szCs w:val="36"/>
          <w:lang w:eastAsia="zh-CN"/>
        </w:rPr>
        <w:t>附件</w:t>
      </w:r>
      <w:r>
        <w:rPr>
          <w:rFonts w:hint="eastAsia" w:ascii="黑体" w:hAnsi="黑体" w:eastAsia="黑体" w:cs="黑体"/>
          <w:sz w:val="36"/>
          <w:szCs w:val="36"/>
          <w:lang w:val="en-US" w:eastAsia="zh-CN"/>
        </w:rPr>
        <w:t>1</w:t>
      </w:r>
    </w:p>
    <w:tbl>
      <w:tblPr>
        <w:tblStyle w:val="4"/>
        <w:tblW w:w="15168" w:type="dxa"/>
        <w:tblInd w:w="-459" w:type="dxa"/>
        <w:shd w:val="clear" w:color="auto" w:fill="auto"/>
        <w:tblLayout w:type="fixed"/>
        <w:tblCellMar>
          <w:top w:w="0" w:type="dxa"/>
          <w:left w:w="108" w:type="dxa"/>
          <w:bottom w:w="0" w:type="dxa"/>
          <w:right w:w="108" w:type="dxa"/>
        </w:tblCellMar>
      </w:tblPr>
      <w:tblGrid>
        <w:gridCol w:w="567"/>
        <w:gridCol w:w="777"/>
        <w:gridCol w:w="1450"/>
        <w:gridCol w:w="1884"/>
        <w:gridCol w:w="756"/>
        <w:gridCol w:w="1155"/>
        <w:gridCol w:w="1170"/>
        <w:gridCol w:w="1155"/>
        <w:gridCol w:w="3986"/>
        <w:gridCol w:w="708"/>
        <w:gridCol w:w="1560"/>
      </w:tblGrid>
      <w:tr>
        <w:tblPrEx>
          <w:tblLayout w:type="fixed"/>
          <w:tblCellMar>
            <w:top w:w="0" w:type="dxa"/>
            <w:left w:w="108" w:type="dxa"/>
            <w:bottom w:w="0" w:type="dxa"/>
            <w:right w:w="108" w:type="dxa"/>
          </w:tblCellMar>
        </w:tblPrEx>
        <w:trPr>
          <w:trHeight w:val="420" w:hRule="atLeast"/>
          <w:tblHeader/>
        </w:trPr>
        <w:tc>
          <w:tcPr>
            <w:tcW w:w="15168" w:type="dxa"/>
            <w:gridSpan w:val="11"/>
            <w:tcBorders>
              <w:bottom w:val="single" w:color="auto" w:sz="4" w:space="0"/>
            </w:tcBorders>
            <w:shd w:val="clear" w:color="auto" w:fill="auto"/>
            <w:vAlign w:val="center"/>
          </w:tcPr>
          <w:p>
            <w:pPr>
              <w:widowControl/>
              <w:spacing w:line="460" w:lineRule="exact"/>
              <w:jc w:val="center"/>
              <w:rPr>
                <w:rFonts w:hint="eastAsia" w:ascii="仿宋" w:hAnsi="仿宋" w:eastAsia="仿宋" w:cs="仿宋"/>
                <w:b/>
                <w:bCs/>
                <w:kern w:val="0"/>
                <w:sz w:val="22"/>
              </w:rPr>
            </w:pPr>
            <w:r>
              <w:rPr>
                <w:rFonts w:hint="eastAsia" w:ascii="方正小标宋简体" w:hAnsi="方正小标宋简体" w:eastAsia="方正小标宋简体" w:cs="方正小标宋简体"/>
                <w:i w:val="0"/>
                <w:color w:val="000000" w:themeColor="text1"/>
                <w:kern w:val="0"/>
                <w:sz w:val="32"/>
                <w:szCs w:val="32"/>
                <w:u w:val="none"/>
                <w:lang w:val="en-US" w:eastAsia="zh-CN" w:bidi="ar"/>
                <w14:textFill>
                  <w14:solidFill>
                    <w14:schemeClr w14:val="tx1"/>
                  </w14:solidFill>
                </w14:textFill>
              </w:rPr>
              <w:t>石林彝族自治县城市管理领域随机抽查事项清单</w:t>
            </w:r>
          </w:p>
        </w:tc>
      </w:tr>
      <w:tr>
        <w:tblPrEx>
          <w:shd w:val="clear" w:color="auto" w:fill="auto"/>
          <w:tblLayout w:type="fixed"/>
          <w:tblCellMar>
            <w:top w:w="0" w:type="dxa"/>
            <w:left w:w="108" w:type="dxa"/>
            <w:bottom w:w="0" w:type="dxa"/>
            <w:right w:w="108" w:type="dxa"/>
          </w:tblCellMar>
        </w:tblPrEx>
        <w:trPr>
          <w:trHeight w:val="395" w:hRule="atLeast"/>
          <w:tblHead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序号</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部门</w:t>
            </w: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 xml:space="preserve">抽查项目 </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事项类别</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检查对象</w:t>
            </w:r>
          </w:p>
        </w:tc>
        <w:tc>
          <w:tcPr>
            <w:tcW w:w="117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检查方式</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检查主体</w:t>
            </w:r>
          </w:p>
        </w:tc>
        <w:tc>
          <w:tcPr>
            <w:tcW w:w="398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检查依据</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适用区域</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备注</w:t>
            </w:r>
          </w:p>
        </w:tc>
      </w:tr>
      <w:tr>
        <w:tblPrEx>
          <w:shd w:val="clear" w:color="auto" w:fill="auto"/>
          <w:tblLayout w:type="fixed"/>
          <w:tblCellMar>
            <w:top w:w="0" w:type="dxa"/>
            <w:left w:w="108" w:type="dxa"/>
            <w:bottom w:w="0" w:type="dxa"/>
            <w:right w:w="108" w:type="dxa"/>
          </w:tblCellMar>
        </w:tblPrEx>
        <w:trPr>
          <w:trHeight w:val="366" w:hRule="atLeast"/>
          <w:tblHead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bCs/>
                <w:kern w:val="0"/>
                <w:sz w:val="22"/>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bCs/>
                <w:kern w:val="0"/>
                <w:sz w:val="22"/>
              </w:rPr>
            </w:pPr>
          </w:p>
        </w:tc>
        <w:tc>
          <w:tcPr>
            <w:tcW w:w="145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eastAsia" w:ascii="仿宋" w:hAnsi="仿宋" w:eastAsia="仿宋" w:cs="仿宋"/>
                <w:b/>
                <w:bCs/>
                <w:kern w:val="0"/>
                <w:sz w:val="22"/>
              </w:rPr>
            </w:pPr>
            <w:r>
              <w:rPr>
                <w:rFonts w:hint="eastAsia" w:ascii="仿宋" w:hAnsi="仿宋" w:eastAsia="仿宋" w:cs="仿宋"/>
                <w:b/>
                <w:bCs/>
                <w:kern w:val="0"/>
                <w:sz w:val="22"/>
              </w:rPr>
              <w:t>抽查类别</w:t>
            </w:r>
          </w:p>
        </w:tc>
        <w:tc>
          <w:tcPr>
            <w:tcW w:w="188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22"/>
              </w:rPr>
            </w:pPr>
            <w:r>
              <w:rPr>
                <w:rFonts w:hint="eastAsia" w:ascii="仿宋" w:hAnsi="仿宋" w:eastAsia="仿宋" w:cs="仿宋"/>
                <w:b/>
                <w:bCs/>
                <w:kern w:val="0"/>
                <w:sz w:val="22"/>
              </w:rPr>
              <w:t>抽查事项</w:t>
            </w: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hint="eastAsia" w:ascii="仿宋" w:hAnsi="仿宋" w:eastAsia="仿宋" w:cs="仿宋"/>
                <w:b/>
                <w:bCs/>
                <w:kern w:val="0"/>
                <w:sz w:val="22"/>
              </w:rPr>
            </w:pPr>
          </w:p>
        </w:tc>
        <w:tc>
          <w:tcPr>
            <w:tcW w:w="11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hint="eastAsia" w:ascii="仿宋" w:hAnsi="仿宋" w:eastAsia="仿宋" w:cs="仿宋"/>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hint="eastAsia" w:ascii="仿宋" w:hAnsi="仿宋" w:eastAsia="仿宋" w:cs="仿宋"/>
                <w:b/>
                <w:bCs/>
                <w:kern w:val="0"/>
                <w:sz w:val="22"/>
              </w:rPr>
            </w:pPr>
          </w:p>
        </w:tc>
        <w:tc>
          <w:tcPr>
            <w:tcW w:w="398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hint="eastAsia" w:ascii="仿宋" w:hAnsi="仿宋" w:eastAsia="仿宋" w:cs="仿宋"/>
                <w:b/>
                <w:bCs/>
                <w:kern w:val="0"/>
                <w:sz w:val="22"/>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bCs/>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bCs/>
                <w:kern w:val="0"/>
                <w:sz w:val="22"/>
              </w:rPr>
            </w:pPr>
          </w:p>
        </w:tc>
      </w:tr>
      <w:tr>
        <w:tblPrEx>
          <w:shd w:val="clear" w:color="auto" w:fill="auto"/>
          <w:tblLayout w:type="fixed"/>
          <w:tblCellMar>
            <w:top w:w="0" w:type="dxa"/>
            <w:left w:w="108" w:type="dxa"/>
            <w:bottom w:w="0" w:type="dxa"/>
            <w:right w:w="108" w:type="dxa"/>
          </w:tblCellMar>
        </w:tblPrEx>
        <w:trPr>
          <w:trHeight w:val="9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auto"/>
                <w:kern w:val="0"/>
                <w:sz w:val="20"/>
                <w:szCs w:val="20"/>
                <w:u w:val="none"/>
                <w:lang w:val="en-US" w:eastAsia="zh-CN" w:bidi="ar"/>
              </w:rPr>
              <w:t>县</w:t>
            </w:r>
            <w:r>
              <w:rPr>
                <w:rFonts w:hint="eastAsia" w:ascii="仿宋_GB2312" w:hAnsi="仿宋_GB2312" w:eastAsia="仿宋_GB2312" w:cs="仿宋_GB2312"/>
                <w:kern w:val="0"/>
                <w:sz w:val="20"/>
                <w:szCs w:val="20"/>
              </w:rPr>
              <w:t>城市管理局</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3类6项</w:t>
            </w:r>
            <w:r>
              <w:rPr>
                <w:rFonts w:hint="eastAsia" w:ascii="仿宋_GB2312" w:hAnsi="仿宋_GB2312" w:eastAsia="仿宋_GB2312" w:cs="仿宋_GB2312"/>
                <w:kern w:val="0"/>
                <w:sz w:val="20"/>
                <w:szCs w:val="20"/>
                <w:lang w:eastAsia="zh-CN"/>
              </w:rPr>
              <w:t>）</w:t>
            </w:r>
          </w:p>
        </w:tc>
        <w:tc>
          <w:tcPr>
            <w:tcW w:w="145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市政</w:t>
            </w:r>
            <w:r>
              <w:rPr>
                <w:rFonts w:hint="eastAsia" w:ascii="仿宋_GB2312" w:hAnsi="仿宋_GB2312" w:eastAsia="仿宋_GB2312" w:cs="仿宋_GB2312"/>
                <w:kern w:val="0"/>
                <w:sz w:val="20"/>
                <w:szCs w:val="20"/>
                <w:lang w:val="en-US" w:eastAsia="zh-CN"/>
              </w:rPr>
              <w:t>公用企业的监管</w:t>
            </w:r>
          </w:p>
          <w:p>
            <w:pPr>
              <w:widowControl/>
              <w:spacing w:line="240" w:lineRule="exact"/>
              <w:jc w:val="left"/>
              <w:rPr>
                <w:rFonts w:hint="eastAsia" w:ascii="仿宋_GB2312" w:hAnsi="仿宋_GB2312" w:eastAsia="仿宋_GB2312" w:cs="仿宋_GB2312"/>
                <w:kern w:val="0"/>
                <w:sz w:val="20"/>
                <w:szCs w:val="20"/>
                <w:lang w:val="en-US" w:eastAsia="zh-CN"/>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城市生活垃圾收运、处理的监督检查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城市生活垃圾收运、处理企业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实地核查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000000"/>
                <w:kern w:val="0"/>
                <w:sz w:val="20"/>
                <w:szCs w:val="20"/>
                <w:u w:val="none"/>
                <w:lang w:val="en-US" w:eastAsia="zh-CN" w:bidi="ar"/>
              </w:rPr>
              <w:t>《城市生活垃圾管理办法》（建设部令第24号）第五条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县级监管</w:t>
            </w:r>
          </w:p>
        </w:tc>
      </w:tr>
      <w:tr>
        <w:tblPrEx>
          <w:tblLayout w:type="fixed"/>
          <w:tblCellMar>
            <w:top w:w="0" w:type="dxa"/>
            <w:left w:w="108" w:type="dxa"/>
            <w:bottom w:w="0" w:type="dxa"/>
            <w:right w:w="108" w:type="dxa"/>
          </w:tblCellMar>
        </w:tblPrEx>
        <w:trPr>
          <w:trHeight w:val="80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rPr>
            </w:pPr>
          </w:p>
        </w:tc>
        <w:tc>
          <w:tcPr>
            <w:tcW w:w="1450"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城市环卫企业的监督检查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城市环卫企业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实地核查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000000"/>
                <w:kern w:val="0"/>
                <w:sz w:val="20"/>
                <w:szCs w:val="20"/>
                <w:u w:val="none"/>
                <w:lang w:val="en-US" w:eastAsia="zh-CN" w:bidi="ar"/>
              </w:rPr>
              <w:t>《云南省城市建设管理条例》（云南省人民代表大会常务委员会公告第50号） 第六条、第三十二条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县级监管</w:t>
            </w:r>
          </w:p>
        </w:tc>
      </w:tr>
      <w:tr>
        <w:tblPrEx>
          <w:tblLayout w:type="fixed"/>
          <w:tblCellMar>
            <w:top w:w="0" w:type="dxa"/>
            <w:left w:w="108" w:type="dxa"/>
            <w:bottom w:w="0" w:type="dxa"/>
            <w:right w:w="108" w:type="dxa"/>
          </w:tblCellMar>
        </w:tblPrEx>
        <w:trPr>
          <w:trHeight w:val="8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rPr>
            </w:pPr>
          </w:p>
        </w:tc>
        <w:tc>
          <w:tcPr>
            <w:tcW w:w="1450"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城市餐厨垃圾收运、处理的监督检查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餐厨垃圾收运、处理企业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实地核查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000000"/>
                <w:kern w:val="0"/>
                <w:sz w:val="20"/>
                <w:szCs w:val="20"/>
                <w:u w:val="none"/>
                <w:lang w:val="en-US" w:eastAsia="zh-CN" w:bidi="ar"/>
              </w:rPr>
              <w:t>《城市生活垃圾管理办法》（建设部令第24号） 第五条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县级监管</w:t>
            </w:r>
          </w:p>
        </w:tc>
      </w:tr>
      <w:tr>
        <w:tblPrEx>
          <w:shd w:val="clear" w:color="auto" w:fill="auto"/>
          <w:tblLayout w:type="fixed"/>
          <w:tblCellMar>
            <w:top w:w="0" w:type="dxa"/>
            <w:left w:w="108" w:type="dxa"/>
            <w:bottom w:w="0" w:type="dxa"/>
            <w:right w:w="108" w:type="dxa"/>
          </w:tblCellMar>
        </w:tblPrEx>
        <w:trPr>
          <w:trHeight w:val="87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auto"/>
                <w:kern w:val="0"/>
                <w:sz w:val="20"/>
                <w:szCs w:val="20"/>
                <w:lang w:val="en-US" w:eastAsia="zh-CN"/>
              </w:rPr>
              <w:t>昆明市市级管养的路灯设施的监督检查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城市照明企业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实地核查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000000"/>
                <w:kern w:val="0"/>
                <w:sz w:val="20"/>
                <w:szCs w:val="20"/>
                <w:u w:val="none"/>
                <w:lang w:val="en-US" w:eastAsia="zh-CN" w:bidi="ar"/>
              </w:rPr>
              <w:t>《云南省城市建设管理条例》（云南省人民代表大会常务委员会公告第50号） 第六条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县级监管</w:t>
            </w:r>
          </w:p>
        </w:tc>
      </w:tr>
      <w:tr>
        <w:tblPrEx>
          <w:tblLayout w:type="fixed"/>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对城市市政企业的监管</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对城市园林绿化企业的监督检查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经云南省城市园林绿化企业名录库登记备案的园林绿化企业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实地核查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000000"/>
                <w:kern w:val="0"/>
                <w:sz w:val="20"/>
                <w:szCs w:val="20"/>
                <w:u w:val="none"/>
                <w:lang w:val="en-US" w:eastAsia="zh-CN" w:bidi="ar"/>
              </w:rPr>
              <w:t>《城市绿化条例》（国务院令第100号）第七条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县级监管</w:t>
            </w:r>
          </w:p>
        </w:tc>
      </w:tr>
      <w:tr>
        <w:tblPrEx>
          <w:tblLayout w:type="fixed"/>
          <w:tblCellMar>
            <w:top w:w="0" w:type="dxa"/>
            <w:left w:w="108" w:type="dxa"/>
            <w:bottom w:w="0" w:type="dxa"/>
            <w:right w:w="108" w:type="dxa"/>
          </w:tblCellMar>
        </w:tblPrEx>
        <w:trPr>
          <w:trHeight w:val="10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对建筑垃圾运输处置的监管</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建筑垃圾运输处置的监督检查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昆明市经审批合法的弃土消纳场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实地核查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auto"/>
                <w:kern w:val="0"/>
                <w:sz w:val="20"/>
                <w:szCs w:val="20"/>
                <w:u w:val="none"/>
                <w:lang w:val="en-US" w:eastAsia="zh-CN" w:bidi="ar"/>
              </w:rPr>
              <w:t>《云南省城市建设管理条例》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县级监管</w:t>
            </w:r>
          </w:p>
        </w:tc>
      </w:tr>
    </w:tbl>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tbl>
      <w:tblPr>
        <w:tblStyle w:val="4"/>
        <w:tblW w:w="145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35"/>
        <w:gridCol w:w="1661"/>
        <w:gridCol w:w="3555"/>
        <w:gridCol w:w="2342"/>
        <w:gridCol w:w="1468"/>
        <w:gridCol w:w="2385"/>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blHeader/>
        </w:trPr>
        <w:tc>
          <w:tcPr>
            <w:tcW w:w="14561" w:type="dxa"/>
            <w:gridSpan w:val="7"/>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石林彝族自治县城市管理领域部门联合抽查事项清单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0" w:hRule="atLeast"/>
          <w:tblHead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方正黑体_GBK" w:hAnsi="宋体" w:eastAsia="方正黑体_GBK" w:cs="宋体"/>
                <w:b/>
                <w:bCs/>
                <w:kern w:val="0"/>
                <w:sz w:val="22"/>
              </w:rPr>
            </w:pPr>
            <w:r>
              <w:rPr>
                <w:rFonts w:hint="default" w:ascii="方正黑体_GBK" w:hAnsi="宋体" w:eastAsia="方正黑体_GBK" w:cs="宋体"/>
                <w:b/>
                <w:bCs/>
                <w:kern w:val="0"/>
                <w:sz w:val="22"/>
                <w:lang w:val="en-US" w:eastAsia="zh-CN"/>
              </w:rPr>
              <w:t>序号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方正黑体_GBK" w:hAnsi="宋体" w:eastAsia="方正黑体_GBK" w:cs="宋体"/>
                <w:b/>
                <w:bCs/>
                <w:kern w:val="0"/>
                <w:sz w:val="22"/>
              </w:rPr>
            </w:pPr>
            <w:r>
              <w:rPr>
                <w:rFonts w:hint="default" w:ascii="方正黑体_GBK" w:hAnsi="宋体" w:eastAsia="方正黑体_GBK" w:cs="宋体"/>
                <w:b/>
                <w:bCs/>
                <w:kern w:val="0"/>
                <w:sz w:val="22"/>
                <w:lang w:val="en-US" w:eastAsia="zh-CN"/>
              </w:rPr>
              <w:t>抽查领域</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方正黑体_GBK" w:hAnsi="宋体" w:eastAsia="方正黑体_GBK" w:cs="宋体"/>
                <w:b/>
                <w:bCs/>
                <w:kern w:val="0"/>
                <w:sz w:val="22"/>
              </w:rPr>
            </w:pPr>
            <w:r>
              <w:rPr>
                <w:rFonts w:hint="default" w:ascii="方正黑体_GBK" w:hAnsi="宋体" w:eastAsia="方正黑体_GBK" w:cs="宋体"/>
                <w:b/>
                <w:bCs/>
                <w:kern w:val="0"/>
                <w:sz w:val="22"/>
                <w:lang w:val="en-US" w:eastAsia="zh-CN"/>
              </w:rPr>
              <w:t>抽查事项</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方正黑体_GBK" w:hAnsi="宋体" w:eastAsia="方正黑体_GBK" w:cs="宋体"/>
                <w:b/>
                <w:bCs/>
                <w:kern w:val="0"/>
                <w:sz w:val="22"/>
              </w:rPr>
            </w:pPr>
            <w:r>
              <w:rPr>
                <w:rFonts w:hint="default" w:ascii="方正黑体_GBK" w:hAnsi="宋体" w:eastAsia="方正黑体_GBK" w:cs="宋体"/>
                <w:b/>
                <w:bCs/>
                <w:kern w:val="0"/>
                <w:sz w:val="22"/>
                <w:lang w:val="en-US" w:eastAsia="zh-CN"/>
              </w:rPr>
              <w:t>检查对象</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方正黑体_GBK" w:hAnsi="宋体" w:eastAsia="方正黑体_GBK" w:cs="宋体"/>
                <w:b/>
                <w:bCs/>
                <w:kern w:val="0"/>
                <w:sz w:val="22"/>
              </w:rPr>
            </w:pPr>
            <w:r>
              <w:rPr>
                <w:rFonts w:hint="default" w:ascii="方正黑体_GBK" w:hAnsi="宋体" w:eastAsia="方正黑体_GBK" w:cs="宋体"/>
                <w:b/>
                <w:bCs/>
                <w:kern w:val="0"/>
                <w:sz w:val="22"/>
                <w:lang w:val="en-US" w:eastAsia="zh-CN"/>
              </w:rPr>
              <w:t>发起部门</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方正黑体_GBK" w:hAnsi="宋体" w:eastAsia="方正黑体_GBK" w:cs="宋体"/>
                <w:b/>
                <w:bCs/>
                <w:kern w:val="0"/>
                <w:sz w:val="22"/>
              </w:rPr>
            </w:pPr>
            <w:r>
              <w:rPr>
                <w:rFonts w:hint="default" w:ascii="方正黑体_GBK" w:hAnsi="宋体" w:eastAsia="方正黑体_GBK" w:cs="宋体"/>
                <w:b/>
                <w:bCs/>
                <w:kern w:val="0"/>
                <w:sz w:val="22"/>
                <w:lang w:val="en-US" w:eastAsia="zh-CN"/>
              </w:rPr>
              <w:t>配合部门</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方正黑体_GBK" w:hAnsi="宋体" w:eastAsia="方正黑体_GBK" w:cs="宋体"/>
                <w:b/>
                <w:bCs/>
                <w:kern w:val="0"/>
                <w:sz w:val="22"/>
              </w:rPr>
            </w:pPr>
            <w:r>
              <w:rPr>
                <w:rFonts w:hint="default" w:ascii="方正黑体_GBK" w:hAnsi="宋体" w:eastAsia="方正黑体_GBK" w:cs="宋体"/>
                <w:b/>
                <w:bCs/>
                <w:kern w:val="0"/>
                <w:sz w:val="22"/>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0" w:hRule="atLeast"/>
          <w:tblHead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方正黑体_GBK" w:hAnsi="宋体" w:eastAsia="方正黑体_GBK" w:cs="宋体"/>
                <w:b/>
                <w:bCs/>
                <w:kern w:val="0"/>
                <w:sz w:val="22"/>
                <w:lang w:val="en-US" w:eastAsia="zh-CN"/>
              </w:rPr>
            </w:pPr>
            <w:r>
              <w:rPr>
                <w:rFonts w:hint="eastAsia" w:ascii="方正黑体_GBK" w:hAnsi="宋体" w:eastAsia="方正黑体_GBK" w:cs="宋体"/>
                <w:b/>
                <w:bCs/>
                <w:kern w:val="0"/>
                <w:sz w:val="22"/>
                <w:lang w:val="en-US" w:eastAsia="zh-CN"/>
              </w:rPr>
              <w:t>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对建筑垃圾运输处置的监管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建筑垃圾运输处置的监督检查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石林县经核准的建筑垃圾运输企业</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县城市管理局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国家税务总局石林县税务局、石林县交通运输局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p>
        </w:tc>
      </w:tr>
    </w:tbl>
    <w:p>
      <w:pPr>
        <w:pStyle w:val="2"/>
        <w:rPr>
          <w:rFonts w:hint="eastAsia"/>
        </w:rPr>
      </w:pPr>
    </w:p>
    <w:p>
      <w:pPr>
        <w:rPr>
          <w:rFonts w:hint="eastAsia" w:ascii="仿宋" w:hAnsi="仿宋" w:eastAsia="仿宋" w:cs="仿宋"/>
          <w:sz w:val="32"/>
          <w:szCs w:val="32"/>
        </w:rPr>
      </w:pPr>
    </w:p>
    <w:p>
      <w:pPr>
        <w:rPr>
          <w:rFonts w:hint="eastAsia"/>
          <w:lang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F3ABB"/>
    <w:multiLevelType w:val="singleLevel"/>
    <w:tmpl w:val="60BF3ABB"/>
    <w:lvl w:ilvl="0" w:tentative="0">
      <w:start w:val="1"/>
      <w:numFmt w:val="decimal"/>
      <w:suff w:val="nothing"/>
      <w:lvlText w:val="%1"/>
      <w:lvlJc w:val="left"/>
      <w:pPr>
        <w:tabs>
          <w:tab w:val="left" w:pos="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0"/>
  <w:bordersDoNotSurroundFooter w:val="0"/>
  <w:documentProtection w:edit="forms" w:formatting="1" w:enforcement="1" w:cryptProviderType="rsaFull" w:cryptAlgorithmClass="hash" w:cryptAlgorithmType="typeAny" w:cryptAlgorithmSid="4" w:cryptSpinCount="0" w:hash="vkuz80jLlGs1Enfq6yDY59bTQqI=" w:salt="S6IhyYblCnastjhB1NrwM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0653A"/>
    <w:rsid w:val="00806C67"/>
    <w:rsid w:val="07A90BCC"/>
    <w:rsid w:val="08E6251E"/>
    <w:rsid w:val="0DCB3C1F"/>
    <w:rsid w:val="10AF24C9"/>
    <w:rsid w:val="1E7C619F"/>
    <w:rsid w:val="23575F93"/>
    <w:rsid w:val="2B2265DA"/>
    <w:rsid w:val="2D8003BB"/>
    <w:rsid w:val="31E073DA"/>
    <w:rsid w:val="32237138"/>
    <w:rsid w:val="382A5EE5"/>
    <w:rsid w:val="42921483"/>
    <w:rsid w:val="500357E0"/>
    <w:rsid w:val="51B6612B"/>
    <w:rsid w:val="5C0C44D8"/>
    <w:rsid w:val="5E486E1C"/>
    <w:rsid w:val="6280653A"/>
    <w:rsid w:val="7B526072"/>
    <w:rsid w:val="7FA101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adjustRightInd w:val="0"/>
      <w:snapToGrid w:val="0"/>
      <w:spacing w:after="120"/>
    </w:pPr>
    <w:rPr>
      <w:rFonts w:ascii="Times New Roman" w:hAnsi="Times New Roman" w:eastAsia="Times New Roman"/>
      <w:sz w:val="28"/>
    </w:rPr>
  </w:style>
  <w:style w:type="paragraph" w:styleId="3">
    <w:name w:val="Body Text Indent 2"/>
    <w:basedOn w:val="1"/>
    <w:unhideWhenUsed/>
    <w:qFormat/>
    <w:uiPriority w:val="99"/>
    <w:pPr>
      <w:spacing w:after="120" w:afterLines="0" w:line="480" w:lineRule="auto"/>
      <w:ind w:left="420" w:leftChars="200"/>
    </w:pPr>
  </w:style>
  <w:style w:type="character" w:customStyle="1" w:styleId="6">
    <w:name w:val="font41"/>
    <w:basedOn w:val="5"/>
    <w:qFormat/>
    <w:uiPriority w:val="0"/>
    <w:rPr>
      <w:rFonts w:hint="eastAsia" w:ascii="宋体" w:hAnsi="宋体" w:eastAsia="宋体" w:cs="宋体"/>
      <w:color w:val="000000"/>
      <w:sz w:val="20"/>
      <w:szCs w:val="20"/>
      <w:u w:val="none"/>
    </w:rPr>
  </w:style>
  <w:style w:type="character" w:customStyle="1" w:styleId="7">
    <w:name w:val="font9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昆明市石林县党政机关单位</Company>
  <Pages>1</Pages>
  <Words>3</Words>
  <Characters>21</Characters>
  <Lines>1</Lines>
  <Paragraphs>1</Paragraphs>
  <TotalTime>3</TotalTime>
  <ScaleCrop>false</ScaleCrop>
  <LinksUpToDate>false</LinksUpToDate>
  <CharactersWithSpaces>23</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2021-10-08T02:16:00Z</dcterms:created>
  <dc:creator>NTKO</dc:creator>
  <cp:lastModifiedBy>冷情绪</cp:lastModifiedBy>
  <cp:lastPrinted>2021-10-22T03:23:00Z</cp:lastPrinted>
  <dcterms:modified xsi:type="dcterms:W3CDTF">2022-05-23T10:01:18Z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CE01362B77B84C5687AE5C3F42BB9E0A</vt:lpwstr>
  </property>
</Properties>
</file>