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监督索引号53012670100010000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28"/>
          <w:szCs w:val="28"/>
        </w:rPr>
        <w:t>县</w:t>
      </w: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第十八</w:t>
      </w:r>
      <w:r>
        <w:rPr>
          <w:rFonts w:ascii="Times New Roman" w:eastAsia="黑体" w:hAnsi="Times New Roman" w:cs="Times New Roman" w:hint="default"/>
          <w:sz w:val="28"/>
          <w:szCs w:val="28"/>
        </w:rPr>
        <w:t>届人大</w:t>
      </w:r>
      <w:r>
        <w:rPr>
          <w:rFonts w:ascii="Times New Roman" w:eastAsia="黑体" w:hAnsi="Times New Roman" w:cs="Times New Roman" w:hint="eastAsia"/>
          <w:sz w:val="28"/>
          <w:szCs w:val="28"/>
          <w:lang w:eastAsia="zh-CN"/>
        </w:rPr>
        <w:t>一</w:t>
      </w:r>
      <w:r>
        <w:rPr>
          <w:rFonts w:ascii="Times New Roman" w:eastAsia="黑体" w:hAnsi="Times New Roman" w:cs="Times New Roman" w:hint="default"/>
          <w:sz w:val="28"/>
          <w:szCs w:val="28"/>
        </w:rPr>
        <w:t>次会议文件</w:t>
      </w:r>
      <w:r>
        <w:rPr>
          <w:rFonts w:ascii="Times New Roman" w:eastAsia="黑体" w:hAnsi="Times New Roman" w:cs="Times New Roman" w:hint="eastAsia"/>
          <w:sz w:val="28"/>
          <w:szCs w:val="28"/>
          <w:lang w:eastAsia="zh-CN"/>
        </w:rPr>
        <w:t>（</w:t>
      </w: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七</w:t>
      </w:r>
      <w:r>
        <w:rPr>
          <w:rFonts w:ascii="Times New Roman" w:eastAsia="黑体" w:hAnsi="Times New Roman" w:cs="Times New Roman" w:hint="eastAsia"/>
          <w:sz w:val="28"/>
          <w:szCs w:val="28"/>
          <w:lang w:eastAsia="zh-CN"/>
        </w:rPr>
        <w:t>）</w:t>
      </w:r>
      <w:r>
        <w:rPr>
          <w:rFonts w:ascii="Times New Roman" w:eastAsia="黑体" w:hAnsi="Times New Roman" w:cs="Times New Roman" w:hint="default"/>
          <w:sz w:val="28"/>
          <w:szCs w:val="28"/>
          <w:lang w:eastAsia="zh-CN"/>
        </w:rPr>
        <w:t xml:space="preserve"> 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pStyle w:val="NormalInden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92" w:lineRule="exact"/>
        <w:ind w:left="0" w:right="0" w:leftChars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石林彝族自治县202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  <w:lang w:val="en-US" w:eastAsia="zh-CN"/>
        </w:rPr>
        <w:t>1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年地方财政预算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line="592" w:lineRule="exact"/>
        <w:ind w:left="0" w:right="0" w:leftChars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-28"/>
          <w:sz w:val="44"/>
          <w:szCs w:val="44"/>
        </w:rPr>
        <w:t>执行情况和202</w:t>
      </w:r>
      <w:r>
        <w:rPr>
          <w:rFonts w:ascii="方正小标宋简体" w:eastAsia="方正小标宋简体" w:hAnsi="方正小标宋简体" w:cs="方正小标宋简体" w:hint="eastAsia"/>
          <w:color w:val="auto"/>
          <w:spacing w:val="-28"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 w:hAnsi="方正小标宋简体" w:cs="方正小标宋简体" w:hint="eastAsia"/>
          <w:color w:val="auto"/>
          <w:spacing w:val="-28"/>
          <w:sz w:val="44"/>
          <w:szCs w:val="44"/>
        </w:rPr>
        <w:t>年地方财政预算草案报告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  <w:u w:val="none" w:color="auto"/>
        </w:rPr>
        <w:t>（书面）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92" w:lineRule="exact"/>
        <w:ind w:left="0" w:right="0" w:leftChars="0" w:rightChars="0"/>
        <w:jc w:val="center"/>
        <w:textAlignment w:val="auto"/>
        <w:outlineLvl w:val="9"/>
        <w:rPr>
          <w:rFonts w:ascii="楷体_GB2312" w:eastAsia="楷体_GB2312" w:hAnsi="楷体_GB2312" w:cs="楷体_GB2312" w:hint="eastAsia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6"/>
          <w:szCs w:val="36"/>
        </w:rPr>
        <w:t>——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202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  <w:lang w:val="en-US" w:eastAsia="zh-CN"/>
        </w:rPr>
        <w:t>2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  <w:lang w:val="en-US" w:eastAsia="zh-CN"/>
        </w:rPr>
        <w:t>1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  <w:lang w:val="en-US" w:eastAsia="zh-CN"/>
        </w:rPr>
        <w:t>11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日在石林彝族自治县第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  <w:lang w:val="en-US" w:eastAsia="zh-CN"/>
        </w:rPr>
        <w:t>十八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届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92" w:lineRule="exact"/>
        <w:ind w:left="0" w:right="0" w:leftChars="0" w:rightChars="0"/>
        <w:jc w:val="center"/>
        <w:textAlignment w:val="auto"/>
        <w:outlineLvl w:val="9"/>
        <w:rPr>
          <w:rFonts w:ascii="楷体_GB2312" w:eastAsia="楷体_GB2312" w:hAnsi="楷体_GB2312" w:cs="楷体_GB2312" w:hint="eastAsia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人民代表大会第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  <w:lang w:val="en-US" w:eastAsia="zh-CN"/>
        </w:rPr>
        <w:t>一</w:t>
      </w: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leftChars="0" w:rightChars="0"/>
        <w:jc w:val="center"/>
        <w:textAlignment w:val="auto"/>
        <w:outlineLvl w:val="9"/>
        <w:rPr>
          <w:rFonts w:ascii="Times New Roman" w:eastAsia="楷体_GB2312" w:hAnsi="Times New Roman" w:cs="Times New Roman" w:hint="default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leftChars="0" w:rightChars="0"/>
        <w:jc w:val="center"/>
        <w:textAlignment w:val="auto"/>
        <w:outlineLvl w:val="9"/>
        <w:rPr>
          <w:rFonts w:ascii="Times New Roman" w:eastAsia="楷体_GB2312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楷体_GB2312" w:hAnsi="Times New Roman" w:cs="Times New Roman" w:hint="default"/>
          <w:color w:val="auto"/>
          <w:sz w:val="32"/>
          <w:szCs w:val="32"/>
        </w:rPr>
        <w:t>石林彝族自治县财政局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0" w:right="0" w:leftChars="0" w:rightChars="0"/>
        <w:jc w:val="center"/>
        <w:textAlignment w:val="auto"/>
        <w:outlineLvl w:val="9"/>
        <w:rPr>
          <w:rFonts w:ascii="Times New Roman" w:eastAsia="楷体_GB2312" w:hAnsi="Times New Roman" w:cs="Times New Roman" w:hint="default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受县人民政府委托，现将石林彝族自治县2021年地方财政预算执行情况和2022年地方财政预算草案提请县第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十八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届人民代表大会第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一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次会议审查，并请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各位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政协委员和列席人员提出意见。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一、2021年地方财政预算执行情况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2021年在县委的坚强领导下，在县人大</w:t>
      </w:r>
      <w:r>
        <w:rPr>
          <w:rFonts w:ascii="Times New Roman" w:eastAsia="仿宋_GB2312" w:hAnsi="Times New Roman" w:cs="Times New Roman" w:hint="default"/>
          <w:strike w:val="0"/>
          <w:dstrike w:val="0"/>
          <w:sz w:val="32"/>
          <w:szCs w:val="32"/>
        </w:rPr>
        <w:t>及其常委会和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县政协的监督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支持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下，</w:t>
      </w:r>
      <w:r>
        <w:rPr>
          <w:rFonts w:ascii="Times New Roman" w:eastAsia="仿宋_GB2312" w:hAnsi="Times New Roman" w:cs="Times New Roman" w:hint="default"/>
          <w:strike w:val="0"/>
          <w:dstrike w:val="0"/>
          <w:sz w:val="32"/>
          <w:szCs w:val="32"/>
          <w:u w:val="none"/>
        </w:rPr>
        <w:t>县政府</w:t>
      </w:r>
      <w:r>
        <w:rPr>
          <w:rFonts w:ascii="Times New Roman" w:eastAsia="仿宋_GB2312" w:hAnsi="Times New Roman" w:cs="Times New Roman" w:hint="default"/>
          <w:dstrike w:val="0"/>
          <w:sz w:val="32"/>
          <w:szCs w:val="32"/>
          <w:u w:val="none"/>
        </w:rPr>
        <w:t>财</w:t>
      </w:r>
      <w:r>
        <w:rPr>
          <w:rFonts w:ascii="Times New Roman" w:eastAsia="仿宋_GB2312" w:hAnsi="Times New Roman" w:cs="Times New Roman" w:hint="eastAsia"/>
          <w:dstrike w:val="0"/>
          <w:sz w:val="32"/>
          <w:szCs w:val="32"/>
          <w:u w:val="none"/>
          <w:lang w:eastAsia="zh-CN"/>
        </w:rPr>
        <w:t>政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部门</w:t>
      </w:r>
      <w:r>
        <w:rPr>
          <w:rFonts w:ascii="Times New Roman" w:eastAsia="仿宋_GB2312" w:hAnsi="Times New Roman" w:cs="Times New Roman"/>
          <w:sz w:val="32"/>
          <w:szCs w:val="32"/>
          <w:u w:val="none"/>
        </w:rPr>
        <w:t>立足新发展阶段、贯彻新发展理念、构建新发展格局，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以推动高质量发展为主题，以改革创新为根本动力，坚持系统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观念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，加强财政资源统筹，预算执行总体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平稳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>
      <w:pPr>
        <w:pStyle w:val="NormalInden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（一）一般公共预算收支及平衡情况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全县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地方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一般公共预算收入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65853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万元，加返还性收入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6571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一般性转移支付收入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98439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上级专项转移支付收入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40081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调入资金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26497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上年结转收入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2107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置换政府一般债券收入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28800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万元，收入总计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268348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万元；一般公共预算支出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192575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万元，加上级专项转移支付支出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40081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债务还本支出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3510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置换政府一般债券支出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28800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上解支出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0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万元，支出总计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264966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万元。收支相抵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结余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3382万元</w:t>
      </w:r>
      <w:r>
        <w:rPr>
          <w:rFonts w:ascii="仿宋_GB2312" w:eastAsia="仿宋_GB2312" w:cs="仿宋_GB2312" w:hint="eastAsia"/>
          <w:color w:val="auto"/>
          <w:sz w:val="32"/>
          <w:szCs w:val="32"/>
          <w:u w:val="none"/>
          <w:lang w:val="en-US" w:eastAsia="zh-CN"/>
        </w:rPr>
        <w:t>，主要是上级转移支付资金结转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（二）政府性基金预算收支及平衡情况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u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全县政府性基金预算收入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41891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万元，加上级专项转移性收入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6470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置换政府专项债券收入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31300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上年结转收入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3921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新增专项债券收入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131000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万元，收入总计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214582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万元；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政府性基金预算支出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163801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万元，加上级专项转移支付支出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6455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调出资金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7261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置换政府专项债券支出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31300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债务还本支出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5750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万元，支出总计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214567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万元。收支相抵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结余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val="en-US" w:eastAsia="zh-CN"/>
        </w:rPr>
        <w:t>15万元</w:t>
      </w:r>
      <w:r>
        <w:rPr>
          <w:rFonts w:ascii="仿宋_GB2312" w:eastAsia="仿宋_GB2312" w:cs="仿宋_GB2312" w:hint="eastAsia"/>
          <w:color w:val="auto"/>
          <w:sz w:val="32"/>
          <w:szCs w:val="32"/>
          <w:u w:val="none"/>
          <w:lang w:val="en-US" w:eastAsia="zh-CN"/>
        </w:rPr>
        <w:t>，主要是上级转移支付资金结转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以上收支和平衡情况均为初步决算数，待与市财政局决算后会有所变化，届时再将变化情况向县人大常委会作专题报告。具体收支明细情况详见附表。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二、2021年财政工作完成情况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2021年，是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十四五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规划开局之年，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财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政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部门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认真贯彻落实中央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省、市、县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各项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决策部署，</w:t>
      </w:r>
      <w:r>
        <w:rPr>
          <w:rFonts w:ascii="仿宋_GB2312" w:eastAsia="仿宋_GB2312" w:hint="eastAsia"/>
          <w:sz w:val="32"/>
          <w:szCs w:val="32"/>
        </w:rPr>
        <w:t>坚持稳中求进总基调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采取更加积极有为的财政政策，充分发挥好财税政策的调控作用，坚定不移贯彻新发展理念，</w:t>
      </w:r>
      <w:r>
        <w:rPr>
          <w:rFonts w:ascii="仿宋_GB2312" w:eastAsia="仿宋_GB2312" w:hint="eastAsia"/>
          <w:color w:val="000000"/>
          <w:sz w:val="32"/>
          <w:szCs w:val="32"/>
        </w:rPr>
        <w:t>集中财力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兜牢“三保”底线，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着力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强化风险管控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深入推进财政改革，为全县经济高质量发展提供有力保障。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楷体" w:hAnsi="Times New Roman" w:cs="Times New Roman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（一）坚持</w:t>
      </w:r>
      <w:r>
        <w:rPr>
          <w:rFonts w:ascii="楷体_GB2312" w:eastAsia="楷体_GB2312" w:hAnsi="楷体_GB2312" w:cs="楷体_GB2312" w:hint="eastAsia"/>
          <w:sz w:val="32"/>
          <w:szCs w:val="32"/>
          <w:u w:val="none"/>
          <w:lang w:eastAsia="zh-CN"/>
        </w:rPr>
        <w:t>强基固本</w:t>
      </w:r>
      <w:r>
        <w:rPr>
          <w:rFonts w:ascii="楷体_GB2312" w:eastAsia="楷体_GB2312" w:hAnsi="楷体_GB2312" w:cs="楷体_GB2312" w:hint="eastAsia"/>
          <w:sz w:val="32"/>
          <w:szCs w:val="32"/>
        </w:rPr>
        <w:t>，提升财政保障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</w:rPr>
        <w:t>依法依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eastAsia="zh-CN"/>
        </w:rPr>
        <w:t>规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</w:rPr>
        <w:t>组织收入，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合理制定收入计划，量化目标，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压实部门收入责任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。持续组织开展税源调查，强化分析，全面摸清底数，紧盯重点企业运行情况，挖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掘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税收增长潜力，确保税收应收尽收，颗粒归仓。加强与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发改、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税务、自然资源等部门的横向对接，客观研判经济形势变化，及时解决收入组织过程中出现的新情况、新问题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群策群力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抓征管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确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保均衡入库。全力支持招商引资和重点项目建设，引导社会资金多层次、多样化参与，发挥倍增效应，积极培植财源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。</w:t>
      </w:r>
      <w:r>
        <w:rPr>
          <w:rFonts w:ascii="Times New Roman" w:eastAsia="仿宋_GB2312" w:hAnsi="Times New Roman" w:cs="Times New Roman" w:hint="default"/>
          <w:b w:val="0"/>
          <w:bCs w:val="0"/>
          <w:strike w:val="0"/>
          <w:dstrike w:val="0"/>
          <w:sz w:val="32"/>
          <w:szCs w:val="32"/>
          <w:u w:val="none"/>
        </w:rPr>
        <w:t>积极应对经济下行压力，加大向上争资力度</w:t>
      </w:r>
      <w:r>
        <w:rPr>
          <w:rFonts w:ascii="Times New Roman" w:eastAsia="仿宋_GB2312" w:hAnsi="Times New Roman" w:cs="Times New Roman" w:hint="eastAsia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，</w:t>
      </w:r>
      <w:r>
        <w:rPr>
          <w:rFonts w:ascii="Times New Roman" w:eastAsia="仿宋_GB2312" w:hAnsi="Times New Roman" w:cs="Times New Roman" w:hint="default"/>
          <w:b w:val="0"/>
          <w:bCs w:val="0"/>
          <w:strike w:val="0"/>
          <w:dstrike w:val="0"/>
          <w:sz w:val="32"/>
          <w:szCs w:val="32"/>
          <w:u w:val="none"/>
        </w:rPr>
        <w:t>争取</w:t>
      </w:r>
      <w:r>
        <w:rPr>
          <w:rFonts w:ascii="Times New Roman" w:eastAsia="仿宋_GB2312" w:hAnsi="Times New Roman" w:cs="Times New Roman" w:hint="eastAsia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到位</w:t>
      </w:r>
      <w:r>
        <w:rPr>
          <w:rFonts w:ascii="Times New Roman" w:eastAsia="仿宋_GB2312" w:hAnsi="Times New Roman" w:cs="Times New Roman" w:hint="default"/>
          <w:b w:val="0"/>
          <w:bCs w:val="0"/>
          <w:strike w:val="0"/>
          <w:dstrike w:val="0"/>
          <w:sz w:val="32"/>
          <w:szCs w:val="32"/>
          <w:u w:val="none"/>
        </w:rPr>
        <w:t>转移支付资金</w:t>
      </w:r>
      <w:r>
        <w:rPr>
          <w:rFonts w:ascii="Times New Roman" w:eastAsia="宋体" w:hAnsi="Times New Roman" w:cs="Times New Roman" w:hint="default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111285</w:t>
      </w:r>
      <w:r>
        <w:rPr>
          <w:rFonts w:ascii="Times New Roman" w:eastAsia="仿宋_GB2312" w:hAnsi="Times New Roman" w:cs="Times New Roman" w:hint="default"/>
          <w:b w:val="0"/>
          <w:bCs w:val="0"/>
          <w:strike w:val="0"/>
          <w:dstrike w:val="0"/>
          <w:sz w:val="32"/>
          <w:szCs w:val="32"/>
          <w:u w:val="none"/>
        </w:rPr>
        <w:t>万元</w:t>
      </w:r>
      <w:r>
        <w:rPr>
          <w:rFonts w:ascii="Times New Roman" w:eastAsia="仿宋_GB2312" w:hAnsi="Times New Roman" w:cs="Times New Roman" w:hint="eastAsia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加强专项债券项目包装，精准编制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一案两书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成功争取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个项目发行专项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债券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131000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楷体" w:hAnsi="Times New Roman" w:cs="Times New Roman" w:hint="default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（二）坚持节用裕民，提升财政支出质量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全面落实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从紧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要求，更加突出以收定支、有保有压，严控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三公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经费，大力压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减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一般性支出，深入挖掘节支潜力，加强财政资源统筹，增加资金有效供给，促进财政资源优化配置。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优先落实基本财力保障重点，以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保基本民生、保工资、保运转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为核心，确保民生支出及时足额到位。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全面落实农村义务教育保障专项经费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2251.55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万元，免除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2.47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万余名学生的教科书费用；补助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1.43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万余名家庭经济困难学生生活费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1725.56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1.39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万余名学生享受营养改善计划补助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2136.62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三是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安排各级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财政衔接推进乡村振兴补助资金3940.97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四是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确保惠农政策落到实处，组织发放耕地地力保护补贴资金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2850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和2021年实际种粮农民一次性补贴375万元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，惠及全县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5.4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万余农户。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五是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足额配套城乡居民基本医疗保险、养老保险、基本公共卫生服务及计划生育等补助资金，积极筹措资金确保特困供养人员生活补助、照料护理补贴、城乡居民最低生活保障等特殊人群提标政策落到实处，及时发放各类养老金、城乡困难群众救助补助金、优抚对象生活补助金等民生保障支出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六是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投入疫情防控专项资金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1397.28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万元，积极支持做好新冠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肺炎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疫情防控。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七是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投入资金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1592.57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万元，继续实施农村危房改造项目。投入资金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1357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万元实施老旧小区改造，切实改善居民居住条件。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八是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统筹安排项目前期费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710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万元，用于政府投资建设项目前期工作，有力支持全县重点项目包装。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（三）坚持深化改革，提升</w:t>
      </w:r>
      <w:r>
        <w:rPr>
          <w:rFonts w:ascii="楷体_GB2312" w:eastAsia="楷体_GB2312" w:hAnsi="楷体_GB2312" w:cs="楷体_GB2312" w:hint="eastAsia"/>
          <w:sz w:val="32"/>
          <w:szCs w:val="32"/>
          <w:u w:val="none"/>
        </w:rPr>
        <w:t>财政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eastAsia="zh-CN"/>
        </w:rPr>
        <w:t>治理</w:t>
      </w:r>
      <w:r>
        <w:rPr>
          <w:rFonts w:ascii="楷体_GB2312" w:eastAsia="楷体_GB2312" w:hAnsi="楷体_GB2312" w:cs="楷体_GB2312" w:hint="eastAsia"/>
          <w:strike w:val="0"/>
          <w:dstrike w:val="0"/>
          <w:sz w:val="32"/>
          <w:szCs w:val="32"/>
        </w:rPr>
        <w:t>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trike w:val="0"/>
          <w:dstrike/>
          <w:sz w:val="32"/>
          <w:szCs w:val="32"/>
          <w:u w:val="none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hint="eastAsia"/>
          <w:kern w:val="0"/>
          <w:sz w:val="32"/>
          <w:szCs w:val="32"/>
          <w:lang w:eastAsia="zh-CN"/>
        </w:rPr>
        <w:t>出台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  <w:lang w:eastAsia="zh-CN"/>
        </w:rPr>
        <w:t>医疗卫生、教育、科技及交通运输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  <w:lang w:eastAsia="zh-CN"/>
        </w:rPr>
        <w:t>4个领域财政事权和支出责任划分改革实施方案，</w:t>
      </w:r>
      <w:r>
        <w:rPr>
          <w:rFonts w:ascii="仿宋_GB2312" w:eastAsia="仿宋_GB2312" w:hAnsi="仿宋_GB2312" w:cs="仿宋_GB2312" w:hint="eastAsia"/>
          <w:sz w:val="32"/>
          <w:szCs w:val="32"/>
          <w:u w:val="none" w:color="auto"/>
        </w:rPr>
        <w:t>依据事权属性，</w:t>
      </w:r>
      <w:r>
        <w:rPr>
          <w:rFonts w:ascii="仿宋_GB2312" w:eastAsia="仿宋_GB2312" w:hAnsi="仿宋_GB2312" w:cs="仿宋_GB2312" w:hint="eastAsia"/>
          <w:sz w:val="32"/>
          <w:szCs w:val="32"/>
          <w:u w:val="none" w:color="auto"/>
          <w:lang w:eastAsia="zh-CN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  <w:u w:val="none" w:color="auto"/>
        </w:rPr>
        <w:t>明确</w:t>
      </w:r>
      <w:r>
        <w:rPr>
          <w:rFonts w:ascii="Times New Roman" w:eastAsia="仿宋_GB2312" w:hAnsi="Times New Roman" w:hint="eastAsia"/>
          <w:kern w:val="0"/>
          <w:sz w:val="32"/>
          <w:szCs w:val="32"/>
          <w:lang w:eastAsia="zh-CN"/>
        </w:rPr>
        <w:t>医疗卫生、教育、科技及交通运输4个领域</w:t>
      </w:r>
      <w:r>
        <w:rPr>
          <w:rFonts w:ascii="仿宋_GB2312" w:eastAsia="仿宋_GB2312" w:hAnsi="仿宋_GB2312" w:cs="仿宋_GB2312" w:hint="eastAsia"/>
          <w:sz w:val="32"/>
          <w:szCs w:val="32"/>
          <w:u w:val="none" w:color="auto"/>
        </w:rPr>
        <w:t>县级与乡级财政事权和支出责任</w:t>
      </w:r>
      <w:r>
        <w:rPr>
          <w:rFonts w:ascii="仿宋_GB2312" w:eastAsia="仿宋_GB2312" w:hAnsi="仿宋_GB2312" w:cs="仿宋_GB2312" w:hint="eastAsia"/>
          <w:sz w:val="32"/>
          <w:szCs w:val="32"/>
          <w:u w:val="none" w:color="auto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snapToGrid w:val="0"/>
          <w:sz w:val="32"/>
          <w:szCs w:val="32"/>
          <w:shd w:val="clear" w:color="auto" w:fill="FFFFFF"/>
          <w:lang w:eastAsia="zh-CN"/>
        </w:rPr>
        <w:t>二</w:t>
      </w:r>
      <w:r>
        <w:rPr>
          <w:rFonts w:ascii="仿宋_GB2312" w:eastAsia="仿宋_GB2312" w:hAnsi="仿宋_GB2312" w:cs="仿宋_GB2312" w:hint="eastAsia"/>
          <w:b/>
          <w:bCs/>
          <w:snapToGrid w:val="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出台新一轮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w w:val="100"/>
          <w:sz w:val="32"/>
          <w:szCs w:val="32"/>
        </w:rPr>
        <w:t>云南昆明石林台湾农民创业园财政管理体制方案》《石林生态工业集中区财政管理体制方案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u w:val="none"/>
        </w:rPr>
        <w:t>明晰事权和财权，建立激励约束机制，增强园区发展动力。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三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启用公务之家APP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全面推进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差旅费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电子凭证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报销制度改革，构建清廉透明、高效节约的服务型政府。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四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持续完善政府采购制度、优化政府采购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流程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、强化监督管理、提高采购效率，降低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采购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成本，构建统一、开放、竞争、有序的政府采购市场体系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进一步优化政府采购领域营商环境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。2021年，全县政府采购计划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11286.94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万元，实际采购金额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10905.52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节约资金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381.42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万元，综合节约率为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3.38</w:t>
      </w:r>
      <w:bookmarkStart w:id="0" w:name="_GoBack"/>
      <w:bookmarkEnd w:id="0"/>
      <w:r>
        <w:rPr>
          <w:rFonts w:ascii="Times New Roman" w:eastAsia="仿宋_GB2312" w:hAnsi="Times New Roman" w:cs="Times New Roman" w:hint="default"/>
          <w:sz w:val="32"/>
          <w:szCs w:val="32"/>
        </w:rPr>
        <w:t>％。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五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认真落实国务院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放管服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改革要求，积极开展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互联网+监管+督查改革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工作，把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代理记账业务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行政许可事项录入云南省人民政府政务网，真正实现了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一网通办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联合市场监管部门和税务部门开展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双随机一公开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部门联合抽查，进一步提高财政监管效能。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u w:val="none"/>
          <w:lang w:eastAsia="zh-CN"/>
        </w:rPr>
        <w:t>六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  <w:u w:val="none"/>
        </w:rPr>
        <w:t>是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持续深化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国有企业改革，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起草国有企业投资、融资管理办法等7项制度和县国资委监管权责清单，拟订《县属国有企业负责人综合考核暂行办法》，不断健全以经营业绩为主、企业管理行为为辅的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3+4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综合考核机制。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七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结合全县国有企业发展方向，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优化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业务板块、资源配置和主业职责划分，实现产业专业化、集约化发展，最大限度发挥各企业的行业优势和资源优势。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楷体" w:hAnsi="Times New Roman" w:cs="Times New Roman" w:hint="default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（四）坚持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规范管理</w:t>
      </w:r>
      <w:r>
        <w:rPr>
          <w:rFonts w:ascii="楷体_GB2312" w:eastAsia="楷体_GB2312" w:hAnsi="楷体_GB2312" w:cs="楷体_GB2312" w:hint="eastAsia"/>
          <w:sz w:val="32"/>
          <w:szCs w:val="32"/>
        </w:rPr>
        <w:t>，提升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依法理财水平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eastAsia"/>
          <w:strike w:val="0"/>
          <w:dstrike/>
          <w:sz w:val="32"/>
          <w:szCs w:val="32"/>
          <w:u w:val="none"/>
          <w:lang w:eastAsia="zh-CN"/>
        </w:rPr>
      </w:pP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深化预算管理制度改革，全面实施预算一体化管理，建立规范透明、标准科学、约束有力的预算制度。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按时完成政府预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算、部门预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算、“三公”经费预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算信息公开，积极打造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阳光财政”。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完善直达资金管理制度，优化资金分配流程，细化监管措施，加大监管力度，盯紧盯牢直达资金的分配、拨付和使用</w:t>
      </w:r>
      <w:r>
        <w:rPr>
          <w:rFonts w:ascii="仿宋_GB2312" w:eastAsia="仿宋_GB2312" w:hint="eastAsia"/>
          <w:sz w:val="32"/>
          <w:szCs w:val="32"/>
          <w:highlight w:val="none"/>
          <w:u w:val="none"/>
          <w:lang w:val="en-US" w:eastAsia="zh-CN"/>
        </w:rPr>
        <w:t>，确保直达资金管理规范高效、惠企利民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仿宋_GB2312" w:eastAsia="仿宋_GB2312" w:hAnsi="仿宋_GB2312" w:hint="eastAsia"/>
          <w:bCs/>
          <w:sz w:val="32"/>
          <w:szCs w:val="30"/>
          <w:highlight w:val="none"/>
          <w:u w:val="none"/>
          <w:lang w:val="en-US" w:eastAsia="zh-CN"/>
        </w:rPr>
        <w:t>组</w:t>
      </w:r>
      <w:r>
        <w:rPr>
          <w:rFonts w:ascii="仿宋_GB2312" w:eastAsia="仿宋_GB2312" w:hAnsi="仿宋_GB2312" w:hint="eastAsia"/>
          <w:color w:val="auto"/>
          <w:sz w:val="32"/>
          <w:szCs w:val="30"/>
          <w:highlight w:val="none"/>
          <w:u w:val="none"/>
          <w:lang w:val="en-US" w:eastAsia="zh-CN"/>
        </w:rPr>
        <w:t>织</w:t>
      </w:r>
      <w:r>
        <w:rPr>
          <w:rFonts w:ascii="仿宋_GB2312" w:eastAsia="仿宋_GB2312" w:hAnsi="仿宋_GB2312"/>
          <w:bCs/>
          <w:color w:val="auto"/>
          <w:sz w:val="32"/>
          <w:szCs w:val="30"/>
          <w:highlight w:val="none"/>
        </w:rPr>
        <w:t>权</w:t>
      </w:r>
      <w:r>
        <w:rPr>
          <w:rFonts w:ascii="仿宋_GB2312" w:eastAsia="仿宋_GB2312" w:hAnsi="仿宋_GB2312"/>
          <w:bCs/>
          <w:sz w:val="32"/>
          <w:szCs w:val="30"/>
          <w:highlight w:val="none"/>
        </w:rPr>
        <w:t>责发生制政府综合财务报告编制</w:t>
      </w:r>
      <w:r>
        <w:rPr>
          <w:rFonts w:ascii="仿宋_GB2312" w:eastAsia="仿宋_GB2312" w:hAnsi="仿宋_GB2312" w:hint="eastAsia"/>
          <w:bCs/>
          <w:sz w:val="32"/>
          <w:szCs w:val="30"/>
          <w:highlight w:val="none"/>
          <w:lang w:eastAsia="zh-CN"/>
        </w:rPr>
        <w:t>、</w:t>
      </w:r>
      <w:r>
        <w:rPr>
          <w:rFonts w:ascii="仿宋_GB2312" w:eastAsia="仿宋_GB2312" w:hAnsi="仿宋_GB2312"/>
          <w:bCs/>
          <w:sz w:val="32"/>
          <w:szCs w:val="30"/>
          <w:highlight w:val="none"/>
        </w:rPr>
        <w:t>预算单位会计核算系统</w:t>
      </w:r>
      <w:r>
        <w:rPr>
          <w:rFonts w:ascii="仿宋_GB2312" w:eastAsia="仿宋_GB2312" w:hAnsi="仿宋_GB2312" w:hint="eastAsia"/>
          <w:bCs/>
          <w:sz w:val="32"/>
          <w:szCs w:val="30"/>
          <w:highlight w:val="none"/>
          <w:lang w:eastAsia="zh-CN"/>
        </w:rPr>
        <w:t>、</w:t>
      </w:r>
      <w:r>
        <w:rPr>
          <w:rFonts w:ascii="仿宋_GB2312" w:eastAsia="仿宋_GB2312" w:hAnsi="仿宋_GB2312" w:hint="eastAsia"/>
          <w:bCs/>
          <w:sz w:val="32"/>
          <w:szCs w:val="30"/>
          <w:highlight w:val="none"/>
          <w:lang w:val="en-US" w:eastAsia="zh-CN"/>
        </w:rPr>
        <w:t>差旅费电子凭证网上报销</w:t>
      </w:r>
      <w:r>
        <w:rPr>
          <w:rFonts w:ascii="仿宋_GB2312" w:eastAsia="仿宋_GB2312" w:hAnsi="仿宋_GB2312" w:hint="eastAsia"/>
          <w:bCs/>
          <w:sz w:val="32"/>
          <w:szCs w:val="30"/>
          <w:highlight w:val="none"/>
          <w:u w:val="none"/>
          <w:lang w:val="en-US" w:eastAsia="zh-CN"/>
        </w:rPr>
        <w:t>线上等</w:t>
      </w:r>
      <w:r>
        <w:rPr>
          <w:rStyle w:val="CharCharChar"/>
          <w:rFonts w:hint="eastAsia"/>
          <w:highlight w:val="none"/>
          <w:u w:val="none"/>
        </w:rPr>
        <w:t>培训</w:t>
      </w:r>
      <w:r>
        <w:rPr>
          <w:rFonts w:ascii="仿宋_GB2312" w:eastAsia="仿宋_GB2312" w:hAnsi="仿宋_GB2312" w:hint="eastAsia"/>
          <w:bCs/>
          <w:sz w:val="32"/>
          <w:szCs w:val="30"/>
          <w:highlight w:val="none"/>
          <w:u w:val="none"/>
          <w:lang w:val="en-US" w:eastAsia="zh-CN"/>
        </w:rPr>
        <w:t>，</w:t>
      </w:r>
      <w:r>
        <w:rPr>
          <w:rStyle w:val="CharCharChar"/>
          <w:rFonts w:hint="eastAsia"/>
          <w:highlight w:val="none"/>
        </w:rPr>
        <w:t>有</w:t>
      </w:r>
      <w:r>
        <w:rPr>
          <w:rStyle w:val="CharCharChar"/>
          <w:rFonts w:hint="eastAsia"/>
        </w:rPr>
        <w:t>力</w:t>
      </w:r>
      <w:r>
        <w:rPr>
          <w:rFonts w:ascii="仿宋_GB2312" w:eastAsia="仿宋_GB2312" w:cs="仿宋_GB2312" w:hint="eastAsia"/>
          <w:sz w:val="32"/>
          <w:szCs w:val="32"/>
        </w:rPr>
        <w:t>提升财会人员综合管理水平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不断提高综合财报编制水平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进一步完善全县财务集中核算平台建设，不断规范财务管理。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五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围绕构建全方位、全过程、全覆盖的预算绩效管理体系，推动预算绩效管理扩围升级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深入</w:t>
      </w:r>
      <w:r>
        <w:rPr>
          <w:rFonts w:ascii="仿宋_GB2312" w:eastAsia="仿宋_GB2312" w:hAnsi="仿宋_GB2312" w:hint="eastAsia"/>
          <w:sz w:val="32"/>
          <w:szCs w:val="32"/>
        </w:rPr>
        <w:t>开展</w:t>
      </w:r>
      <w:r>
        <w:rPr>
          <w:rFonts w:ascii="仿宋_GB2312" w:eastAsia="仿宋_GB2312" w:hAnsi="仿宋_GB2312" w:hint="eastAsia"/>
          <w:color w:val="auto"/>
          <w:sz w:val="32"/>
          <w:szCs w:val="32"/>
        </w:rPr>
        <w:t>预算绩效</w:t>
      </w:r>
      <w:r>
        <w:rPr>
          <w:rFonts w:ascii="仿宋_GB2312" w:eastAsia="仿宋_GB2312" w:hAnsi="仿宋_GB2312" w:hint="eastAsia"/>
          <w:color w:val="auto"/>
          <w:sz w:val="32"/>
          <w:szCs w:val="32"/>
          <w:lang w:val="en-US" w:eastAsia="zh-CN"/>
        </w:rPr>
        <w:t>管理。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建立健全绩效评价工作机制，</w:t>
      </w:r>
      <w:r>
        <w:rPr>
          <w:rFonts w:ascii="仿宋_GB2312" w:eastAsia="仿宋_GB2312" w:hAnsi="仿宋_GB2312" w:hint="eastAsia"/>
          <w:color w:val="auto"/>
          <w:sz w:val="32"/>
          <w:szCs w:val="32"/>
        </w:rPr>
        <w:t>对</w:t>
      </w:r>
      <w:r>
        <w:rPr>
          <w:rFonts w:ascii="仿宋_GB2312" w:eastAsia="仿宋_GB2312" w:hAnsi="仿宋_GB2312" w:hint="eastAsia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_GB2312" w:hint="eastAsia"/>
          <w:color w:val="auto"/>
          <w:sz w:val="32"/>
          <w:szCs w:val="32"/>
        </w:rPr>
        <w:t>个部门整体支出、</w:t>
      </w:r>
      <w:r>
        <w:rPr>
          <w:rFonts w:ascii="仿宋_GB2312" w:eastAsia="仿宋_GB2312" w:hAnsi="仿宋_GB2312" w:hint="eastAsia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hint="eastAsia"/>
          <w:color w:val="auto"/>
          <w:sz w:val="32"/>
          <w:szCs w:val="32"/>
        </w:rPr>
        <w:t>个项目进行重点项目评价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加强绩效评价结果运用，将评价结果与完善政策、调整预算安排有效衔接，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削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减或取消低效无效资金。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积极盘活存量资金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资源和资产，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对不能及时支付的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资金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按规定进行盘活，避免资金闲置，充分发挥财政资金使用绩效。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_GB2312" w:eastAsia="楷体_GB2312" w:hAnsi="楷体_GB2312" w:cs="楷体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五</w:t>
      </w:r>
      <w:r>
        <w:rPr>
          <w:rFonts w:ascii="楷体_GB2312" w:eastAsia="楷体_GB2312" w:hAnsi="楷体_GB2312" w:cs="楷体_GB2312" w:hint="eastAsia"/>
          <w:sz w:val="32"/>
          <w:szCs w:val="32"/>
        </w:rPr>
        <w:t>）坚持底线思维，提升</w:t>
      </w:r>
      <w:r>
        <w:rPr>
          <w:rFonts w:ascii="楷体_GB2312" w:eastAsia="楷体_GB2312" w:hAnsi="楷体_GB2312" w:cs="楷体_GB2312" w:hint="eastAsia"/>
          <w:sz w:val="32"/>
          <w:szCs w:val="32"/>
          <w:u w:val="none"/>
          <w:lang w:eastAsia="zh-CN"/>
        </w:rPr>
        <w:t>风险防控意识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健全预算执行动态监控机制，及时督促各部门加快重点项目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资金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支出进度，坚持硬化预算约束，严格执行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县第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十七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届人民代表大会第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五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次会议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批准的预算，确保预算平衡。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二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坚决防范化解政府债务风险，保持高压监管态势，严格执行限额管理和预算管理制度，落实偿债责任，做实还款来源，坚决防止政府债务违约。坚决遏制隐性债务增量，稳妥化解隐性债务存量，加强常态化监测和风险评估预警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算好政治账、打好铁算盘。统筹好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应急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谋远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开源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节流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各项任务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，将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作为预算安排的重点足额编列，从源头兜牢“三保”底线。建立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预算事前审核机制，严格按照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保障范围标准审核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预算，不擅自改变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支出预算用途。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积极与县人民银行和银保监驻石林监管组联动，加强对县域金融机构监管与指导，鼓励县域各金融机构结合实际，创新金融产品，提升金融服务水平，助推县域经济高质量发展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五是</w:t>
      </w:r>
      <w:r>
        <w:rPr>
          <w:rFonts w:ascii="仿宋_GB2312" w:eastAsia="仿宋_GB2312" w:hint="eastAsia"/>
          <w:sz w:val="32"/>
          <w:szCs w:val="32"/>
        </w:rPr>
        <w:t>督促和配合主管部门</w:t>
      </w:r>
      <w:r>
        <w:rPr>
          <w:rFonts w:ascii="仿宋_GB2312" w:eastAsia="仿宋_GB2312" w:hint="eastAsia"/>
          <w:sz w:val="32"/>
          <w:szCs w:val="32"/>
          <w:highlight w:val="none"/>
          <w:lang w:eastAsia="zh-CN"/>
        </w:rPr>
        <w:t>强化</w:t>
      </w:r>
      <w:r>
        <w:rPr>
          <w:rFonts w:ascii="仿宋_GB2312" w:eastAsia="仿宋_GB2312" w:hint="eastAsia"/>
          <w:sz w:val="32"/>
          <w:szCs w:val="32"/>
          <w:highlight w:val="none"/>
        </w:rPr>
        <w:t>PPP项目管理，加</w:t>
      </w:r>
      <w:r>
        <w:rPr>
          <w:rFonts w:ascii="仿宋_GB2312" w:eastAsia="仿宋_GB2312" w:hAnsi="Calibri" w:cs="Times New Roman" w:hint="eastAsia"/>
          <w:sz w:val="32"/>
          <w:szCs w:val="32"/>
          <w:highlight w:val="none"/>
        </w:rPr>
        <w:t>强入库项目的财政支出责任监测和数据更新，按规定开展项目复查</w:t>
      </w:r>
      <w:r>
        <w:rPr>
          <w:rFonts w:ascii="仿宋_GB2312" w:eastAsia="仿宋_GB2312" w:hAnsi="仿宋" w:cs="仿宋" w:hint="eastAsia"/>
          <w:sz w:val="32"/>
          <w:szCs w:val="32"/>
          <w:highlight w:val="none"/>
        </w:rPr>
        <w:t>整改，</w:t>
      </w:r>
      <w:r>
        <w:rPr>
          <w:rFonts w:ascii="仿宋_GB2312" w:eastAsia="仿宋_GB2312" w:hAnsi="Calibri" w:cs="Times New Roman" w:hint="eastAsia"/>
          <w:sz w:val="32"/>
          <w:szCs w:val="32"/>
          <w:highlight w:val="none"/>
        </w:rPr>
        <w:t>不断</w:t>
      </w:r>
      <w:r>
        <w:rPr>
          <w:rFonts w:ascii="仿宋_GB2312" w:eastAsia="仿宋_GB2312" w:hint="eastAsia"/>
          <w:sz w:val="32"/>
          <w:szCs w:val="32"/>
          <w:highlight w:val="none"/>
        </w:rPr>
        <w:t>规范</w:t>
      </w:r>
      <w:r>
        <w:rPr>
          <w:rFonts w:ascii="仿宋_GB2312" w:eastAsia="仿宋_GB2312" w:hAnsi="Calibri" w:cs="Times New Roman" w:hint="eastAsia"/>
          <w:sz w:val="32"/>
          <w:szCs w:val="32"/>
          <w:highlight w:val="none"/>
        </w:rPr>
        <w:t>政府和社会资本合作。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各位代表，2021年县财税部门面对经济下行压力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持续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加大、更大规模的减税降费、新冠肺炎疫情冲击等诸多困难和挑战，完成了县人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民代表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大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会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通过的预算收支任务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成绩的取得，得益于县委的正确领导，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得益于县人大的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法定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监督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县政协的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民主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监督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，得益于各乡镇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（街道）、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县直各部门以及社会各界的大力支持和共同努力。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在此，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向关心、支持财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政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发展与改革的各位代表、各位委员、社会各界人士，表示崇高的敬意和衷心的感谢！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同时，我们也清醒地认识到财政运行存在一些短板和不足：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财政收支平衡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困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难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债务还本付息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压力加剧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>部分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单位绩效意识不强，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项目前期准备不充分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，项目实施进度不理想，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专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项资金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支出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进度慢，财政资金使用效率有待进一步提升；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三是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财政管理科学化、精细化、信息化水平有待进一步提高。这些问题，我们将高度重视，认真研究，深化改革，强化管理，积极稳妥地逐步加以解决。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三、2022年地方财政预算草案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楷体" w:hAnsi="Times New Roman" w:cs="Times New Roman" w:hint="default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（一）2022年财政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面临的新形势和新挑战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2022 年是</w:t>
      </w:r>
      <w:r>
        <w:rPr>
          <w:rFonts w:ascii="Times New Roman" w:eastAsia="仿宋_GB2312" w:hAnsi="Times New Roman" w:cs="Times New Roman" w:hint="eastAsia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石林</w:t>
      </w:r>
      <w:r>
        <w:rPr>
          <w:rFonts w:ascii="Times New Roman" w:eastAsia="仿宋_GB2312" w:hAnsi="Times New Roman" w:cs="Times New Roman" w:hint="default"/>
          <w:strike w:val="0"/>
          <w:dstrike w:val="0"/>
          <w:sz w:val="32"/>
          <w:szCs w:val="32"/>
          <w:highlight w:val="none"/>
          <w:u w:val="none"/>
        </w:rPr>
        <w:t>高质量发展</w:t>
      </w:r>
      <w:r>
        <w:rPr>
          <w:rFonts w:ascii="Times New Roman" w:eastAsia="仿宋_GB2312" w:hAnsi="Times New Roman" w:cs="Times New Roman" w:hint="eastAsia"/>
          <w:strike w:val="0"/>
          <w:dstrike w:val="0"/>
          <w:sz w:val="32"/>
          <w:szCs w:val="32"/>
          <w:highlight w:val="none"/>
          <w:u w:val="none"/>
          <w:lang w:eastAsia="zh-CN"/>
        </w:rPr>
        <w:t>、为全面建设社会主义现代化打基础</w:t>
      </w:r>
      <w:r>
        <w:rPr>
          <w:rFonts w:ascii="Times New Roman" w:eastAsia="仿宋_GB2312" w:hAnsi="Times New Roman" w:cs="Times New Roman" w:hint="default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的重要一年，</w:t>
      </w:r>
      <w:r>
        <w:rPr>
          <w:rFonts w:ascii="Times New Roman" w:eastAsia="仿宋_GB2312" w:hAnsi="Times New Roman" w:cs="Times New Roman" w:hint="eastAsia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我国经济发展面临需求收缩、供给冲击、预期转弱三重压力，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同时，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疫情变化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和外部环境带来的影响存在诸多不确定性，短期矛盾和中长期问题将交织并存，对形势的复杂性、疫情的反复性和风险的传导性都需要有充分的估量。综合分析，2022年我县财政收支平衡形势不容乐观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，财政“紧平衡”成常态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全县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</w:rPr>
        <w:t>经济总量小，产业结构不优，传统产业转型升级慢，民营经济、园区经济不强，新兴产业尚未形成有力支撑，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工业投资不足，招商引资项目拉动投资作用不明显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</w:rPr>
        <w:t>发展的质量有待提高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县级财政自给率低，</w:t>
      </w:r>
      <w:r>
        <w:rPr>
          <w:rFonts w:ascii="仿宋_GB2312" w:eastAsia="仿宋_GB2312" w:hAnsi="仿宋_GB2312" w:cs="仿宋_GB2312" w:hint="eastAsia"/>
          <w:sz w:val="32"/>
          <w:szCs w:val="32"/>
        </w:rPr>
        <w:t>税源培植成效较慢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税收基础依然薄弱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，财政收入增收困难，财政收支矛盾非常突出，预算收支平衡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极其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困难。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债务还本付息任务艰巨，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目前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我县已进入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政府债务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偿债高峰期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2022年起部分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债务本金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不可发行再置换融资债券，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需县财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政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安排资金偿还，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防范政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府债务风险压力较大。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刚性支出增幅远远大于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地方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公共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预算收入增幅，在兜牢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底线基础上，支持经济社会发展和重大项目建设等县级配套资金保障十分艰难。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五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经营性资产盘活需加强，国企融资能力待提升，国企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改革有待加快推进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（二）2022年预算编制和财政工作的总体思路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/>
          <w:spacing w:val="-6"/>
          <w:sz w:val="32"/>
          <w:szCs w:val="32"/>
          <w:u w:val="none" w:color="auto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按照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量入为出、收支平衡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和财政收入增长与国民经济增长相适应的原则，坚持尽力而为，量力而行，2022年全县财政工作和预算编制指导思想是：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</w:rPr>
        <w:t>高举中国特色社会主义伟大旗帜，全面贯彻党的十九大和十九届二中、三中、四中、五中、六中全会精神，坚持以马克思列宁主义、毛泽东思想、邓小平理论、“三个代表”重要思想、科学发展观、习近平新时代中国特色社会主义思想为指导，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/>
        </w:rPr>
        <w:t>全面贯彻党的基本理论、基本路线、基本方略，深入贯彻习近平总书记考察云南重要讲话和重要指示批示精神，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按照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中央经济工作会议、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省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第十一次党代会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、市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第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十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二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次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党代会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、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县第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十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三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次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党代会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的部署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eastAsia="zh-CN" w:bidi="ar"/>
        </w:rPr>
        <w:t>和要求</w:t>
      </w:r>
      <w:r>
        <w:rPr>
          <w:rFonts w:ascii="黑体" w:eastAsia="黑体" w:hAnsi="黑体" w:cs="黑体" w:hint="eastAsia"/>
          <w:b w:val="0"/>
          <w:bCs/>
          <w:spacing w:val="0"/>
          <w:kern w:val="0"/>
          <w:sz w:val="32"/>
          <w:szCs w:val="32"/>
          <w:u w:val="none" w:color="auto"/>
          <w:lang w:bidi="ar"/>
        </w:rPr>
        <w:t>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val="en-US" w:eastAsia="zh-CN"/>
        </w:rPr>
        <w:t>坚定不移贯彻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</w:rPr>
        <w:t>新发展理念，坚持稳中求进工作总基调，以推动高质量发展为主题，以深化供给侧结构性改革为主线，以满足人民日益增长的美好生活需要为根本目的，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val="en-US" w:eastAsia="zh-CN"/>
        </w:rPr>
        <w:t>统筹疫情防控和经济社会发展，统筹发展和安全，不断巩固夯实全面建成小康社会成果。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</w:rPr>
        <w:t>按照“23521”发展思路，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eastAsia="zh-CN"/>
        </w:rPr>
        <w:t>以“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val="en-US" w:eastAsia="zh-CN"/>
        </w:rPr>
        <w:t>打基础、做规划、谋产业、推项目”为主抓手，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</w:rPr>
        <w:t>努力开源节流，牢固树立过“紧日子”、“苦日子”思想，增强财政资金统筹能力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eastAsia="zh-CN"/>
        </w:rPr>
        <w:t>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</w:rPr>
        <w:t>优化财政支出结构，兜牢基层“三保”底线，扎实做好“六稳”工作、全面落实“六保”任务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eastAsia="zh-CN"/>
        </w:rPr>
        <w:t>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</w:rPr>
        <w:t>强化预算约束和绩效管理，从严控制一般性支出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u w:val="none" w:color="auto"/>
          <w:lang w:eastAsia="zh-CN"/>
        </w:rPr>
        <w:t>，加强</w:t>
      </w:r>
      <w:r>
        <w:rPr>
          <w:rFonts w:ascii="黑体" w:eastAsia="黑体" w:hAnsi="黑体" w:cs="黑体" w:hint="eastAsia"/>
          <w:sz w:val="32"/>
          <w:szCs w:val="32"/>
          <w:u w:val="none" w:color="auto"/>
        </w:rPr>
        <w:t>地方政府债务</w:t>
      </w:r>
      <w:r>
        <w:rPr>
          <w:rFonts w:ascii="黑体" w:eastAsia="黑体" w:hAnsi="黑体" w:cs="黑体" w:hint="eastAsia"/>
          <w:sz w:val="32"/>
          <w:szCs w:val="32"/>
          <w:u w:val="none" w:color="auto"/>
          <w:lang w:eastAsia="zh-CN"/>
        </w:rPr>
        <w:t>管理和</w:t>
      </w:r>
      <w:r>
        <w:rPr>
          <w:rFonts w:ascii="黑体" w:eastAsia="黑体" w:hAnsi="黑体" w:cs="黑体" w:hint="eastAsia"/>
          <w:sz w:val="32"/>
          <w:szCs w:val="32"/>
          <w:u w:val="none" w:color="auto"/>
        </w:rPr>
        <w:t>风险防范</w:t>
      </w:r>
      <w:r>
        <w:rPr>
          <w:rFonts w:ascii="黑体" w:eastAsia="黑体" w:hAnsi="黑体" w:cs="黑体" w:hint="eastAsia"/>
          <w:sz w:val="32"/>
          <w:szCs w:val="32"/>
          <w:highlight w:val="none"/>
          <w:u w:val="none" w:color="auto"/>
        </w:rPr>
        <w:t>化解，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highlight w:val="none"/>
          <w:u w:val="none" w:color="auto"/>
          <w:lang w:eastAsia="zh-CN"/>
        </w:rPr>
        <w:t>强化奋力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highlight w:val="none"/>
          <w:u w:val="none" w:color="auto"/>
        </w:rPr>
        <w:t>打造国际知名旅游目的地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highlight w:val="none"/>
          <w:u w:val="none" w:color="auto"/>
        </w:rPr>
        <w:t>现代特色农业基地</w:t>
      </w:r>
      <w:r>
        <w:rPr>
          <w:rFonts w:ascii="黑体" w:eastAsia="黑体" w:hAnsi="黑体" w:cs="黑体" w:hint="eastAsia"/>
          <w:b w:val="0"/>
          <w:bCs/>
          <w:spacing w:val="0"/>
          <w:sz w:val="32"/>
          <w:szCs w:val="32"/>
          <w:highlight w:val="none"/>
          <w:u w:val="none" w:color="auto"/>
          <w:lang w:eastAsia="zh-CN"/>
        </w:rPr>
        <w:t>和宜居宜业新</w:t>
      </w:r>
      <w:r>
        <w:rPr>
          <w:rFonts w:ascii="黑体" w:eastAsia="黑体" w:hAnsi="黑体" w:cs="黑体" w:hint="eastAsia"/>
          <w:b w:val="0"/>
          <w:bCs/>
          <w:spacing w:val="-6"/>
          <w:sz w:val="32"/>
          <w:szCs w:val="32"/>
          <w:highlight w:val="none"/>
          <w:u w:val="none" w:color="auto"/>
          <w:lang w:eastAsia="zh-CN"/>
        </w:rPr>
        <w:t>辅城资金保障</w:t>
      </w:r>
      <w:r>
        <w:rPr>
          <w:rFonts w:ascii="黑体" w:eastAsia="黑体" w:hAnsi="黑体" w:cs="黑体" w:hint="eastAsia"/>
          <w:b w:val="0"/>
          <w:bCs/>
          <w:spacing w:val="-6"/>
          <w:sz w:val="32"/>
          <w:szCs w:val="32"/>
          <w:highlight w:val="none"/>
          <w:u w:val="none" w:color="auto"/>
        </w:rPr>
        <w:t>，为</w:t>
      </w:r>
      <w:r>
        <w:rPr>
          <w:rFonts w:ascii="黑体" w:eastAsia="黑体" w:hAnsi="黑体" w:cs="黑体" w:hint="eastAsia"/>
          <w:b w:val="0"/>
          <w:bCs/>
          <w:spacing w:val="-6"/>
          <w:sz w:val="32"/>
          <w:szCs w:val="32"/>
          <w:u w:val="none" w:color="auto"/>
        </w:rPr>
        <w:t>夺取全面建设社会主义现代化新胜利而努力奋斗。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楷体" w:hAnsi="Times New Roman" w:cs="Times New Roman" w:hint="default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2022年</w:t>
      </w:r>
      <w:r>
        <w:rPr>
          <w:rFonts w:ascii="楷体_GB2312" w:eastAsia="楷体_GB2312" w:hAnsi="楷体_GB2312" w:cs="楷体_GB2312" w:hint="eastAsia"/>
          <w:sz w:val="32"/>
          <w:szCs w:val="32"/>
        </w:rPr>
        <w:t>地方财政</w:t>
      </w: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收支</w:t>
      </w:r>
      <w:r>
        <w:rPr>
          <w:rFonts w:ascii="楷体_GB2312" w:eastAsia="楷体_GB2312" w:hAnsi="楷体_GB2312" w:cs="楷体_GB2312" w:hint="eastAsia"/>
          <w:sz w:val="32"/>
          <w:szCs w:val="32"/>
        </w:rPr>
        <w:t>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形势研判及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工作思路，结合全县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十四五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规划目标，2022年地方财政预算的主要指标建议安排如下：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1.一般公共预算收支及平衡情况。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全县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地方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一般公共预算收入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6848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万元，同比增长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4%以上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；地方一般公共预算支出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258485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万元，同比增长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11.4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全县一般公共预算平衡情况：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地方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一般公共预算收入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68488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万元，加返还性收入、一般性转移支付收入、专项转移支付收入、上年结转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u w:val="none"/>
          <w:lang w:val="en-US" w:eastAsia="zh-CN"/>
        </w:rPr>
        <w:t>收入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、调入资金、待收部门债券利息、再置换政府债券收入等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208923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万元，收入总计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277411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万元。一般公共预算支出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258485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万元，加再置换政府债券支出、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债务还本支出、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上解支出等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18926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万元，支出总计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277411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万元。收支平衡。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2.政府性基金预算收支及平衡情况。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地方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政府性基金预算收入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76650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万元，加上级专项转移性收入、再置换政府债券收入、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上年结转收入、调入债券本息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61559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万元，收入总计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138209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万元；政府性基金预算支出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32725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万元，加上级专项转移支付支出、调出资金、债务还本支出、再置换政府债券支出等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105484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万元，支出总计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138209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万元。收支平衡。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eastAsia="仿宋_GB2312" w:hint="eastAsia"/>
          <w:snapToGrid w:val="0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3.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国有资本经营预算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收支及平衡情况。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全县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国有资本</w:t>
      </w:r>
      <w:r>
        <w:rPr>
          <w:rFonts w:eastAsia="仿宋_GB2312" w:hint="eastAsia"/>
          <w:snapToGrid w:val="0"/>
          <w:color w:val="000000"/>
          <w:sz w:val="32"/>
          <w:szCs w:val="32"/>
        </w:rPr>
        <w:t>经营预算收入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214</w:t>
      </w:r>
      <w:r>
        <w:rPr>
          <w:rFonts w:eastAsia="仿宋_GB2312" w:hint="eastAsia"/>
          <w:snapToGrid w:val="0"/>
          <w:color w:val="000000"/>
          <w:sz w:val="32"/>
          <w:szCs w:val="32"/>
          <w:lang w:val="en-US" w:eastAsia="zh-CN"/>
        </w:rPr>
        <w:t>万</w:t>
      </w:r>
      <w:r>
        <w:rPr>
          <w:rFonts w:eastAsia="仿宋_GB2312" w:hint="eastAsia"/>
          <w:snapToGrid w:val="0"/>
          <w:color w:val="000000"/>
          <w:sz w:val="32"/>
          <w:szCs w:val="32"/>
        </w:rPr>
        <w:t>元</w:t>
      </w:r>
      <w:r>
        <w:rPr>
          <w:rFonts w:eastAsia="仿宋_GB2312" w:hint="eastAsia"/>
          <w:snapToGrid w:val="0"/>
          <w:color w:val="000000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加上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上年结转收入15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万元，收入总计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229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万元；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国有资本</w:t>
      </w:r>
      <w:r>
        <w:rPr>
          <w:rFonts w:eastAsia="仿宋_GB2312" w:hint="eastAsia"/>
          <w:snapToGrid w:val="0"/>
          <w:color w:val="000000"/>
          <w:sz w:val="32"/>
          <w:szCs w:val="32"/>
        </w:rPr>
        <w:t>经营预算</w:t>
      </w:r>
      <w:r>
        <w:rPr>
          <w:rFonts w:eastAsia="仿宋_GB2312" w:hint="eastAsia"/>
          <w:snapToGrid w:val="0"/>
          <w:color w:val="000000"/>
          <w:sz w:val="32"/>
          <w:szCs w:val="32"/>
          <w:lang w:val="en-US" w:eastAsia="zh-CN"/>
        </w:rPr>
        <w:t>支出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154</w:t>
      </w:r>
      <w:r>
        <w:rPr>
          <w:rFonts w:eastAsia="仿宋_GB2312" w:hint="eastAsia"/>
          <w:snapToGrid w:val="0"/>
          <w:color w:val="000000"/>
          <w:sz w:val="32"/>
          <w:szCs w:val="32"/>
          <w:lang w:val="en-US" w:eastAsia="zh-CN"/>
        </w:rPr>
        <w:t>万</w:t>
      </w:r>
      <w:r>
        <w:rPr>
          <w:rFonts w:eastAsia="仿宋_GB2312" w:hint="eastAsia"/>
          <w:snapToGrid w:val="0"/>
          <w:color w:val="000000"/>
          <w:sz w:val="32"/>
          <w:szCs w:val="32"/>
        </w:rPr>
        <w:t>元</w:t>
      </w:r>
      <w:r>
        <w:rPr>
          <w:rFonts w:eastAsia="仿宋_GB2312" w:hint="eastAsia"/>
          <w:snapToGrid w:val="0"/>
          <w:color w:val="000000"/>
          <w:sz w:val="32"/>
          <w:szCs w:val="32"/>
          <w:lang w:eastAsia="zh-CN"/>
        </w:rPr>
        <w:t>，</w:t>
      </w:r>
      <w:r>
        <w:rPr>
          <w:rFonts w:eastAsia="仿宋_GB2312" w:hint="eastAsia"/>
          <w:snapToGrid w:val="0"/>
          <w:color w:val="000000"/>
          <w:sz w:val="32"/>
          <w:szCs w:val="32"/>
          <w:lang w:val="en-US" w:eastAsia="zh-CN"/>
        </w:rPr>
        <w:t>加调出资金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75</w:t>
      </w:r>
      <w:r>
        <w:rPr>
          <w:rFonts w:eastAsia="仿宋_GB2312" w:hint="eastAsia"/>
          <w:snapToGrid w:val="0"/>
          <w:color w:val="000000"/>
          <w:sz w:val="32"/>
          <w:szCs w:val="32"/>
          <w:lang w:val="en-US" w:eastAsia="zh-CN"/>
        </w:rPr>
        <w:t>万元，支出总计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229</w:t>
      </w:r>
      <w:r>
        <w:rPr>
          <w:rFonts w:eastAsia="仿宋_GB2312" w:hint="eastAsia"/>
          <w:snapToGrid w:val="0"/>
          <w:color w:val="000000"/>
          <w:sz w:val="32"/>
          <w:szCs w:val="32"/>
          <w:lang w:val="en-US" w:eastAsia="zh-CN"/>
        </w:rPr>
        <w:t>万元，</w:t>
      </w:r>
      <w:r>
        <w:rPr>
          <w:rFonts w:eastAsia="仿宋_GB2312" w:hint="eastAsia"/>
          <w:snapToGrid w:val="0"/>
          <w:color w:val="000000"/>
          <w:sz w:val="32"/>
          <w:szCs w:val="32"/>
        </w:rPr>
        <w:t>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4.社会保险基金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预算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收支及平衡情况。</w:t>
      </w:r>
      <w:r>
        <w:rPr>
          <w:rFonts w:ascii="仿宋_GB2312" w:eastAsia="仿宋_GB2312" w:hint="eastAsia"/>
          <w:sz w:val="32"/>
          <w:szCs w:val="32"/>
          <w:lang w:eastAsia="zh-CN"/>
        </w:rPr>
        <w:t>全县社会保险基金预算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35858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万元，加上级补助收入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14333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万元，上年结余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8696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万元，收入总计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58887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万元；社会保险基金预算支出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31544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万元，加上解上级支出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18345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万元，支出总计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49889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万元，年末滚存结余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8998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2022年财政收支矛盾加剧，预算平衡艰难，预算安排主要是</w:t>
      </w:r>
      <w:r>
        <w:rPr>
          <w:rFonts w:ascii="仿宋_GB2312" w:eastAsia="仿宋_GB2312" w:hAnsi="仿宋_GB2312" w:cs="仿宋_GB2312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保基本民生、保工资、保运转</w:t>
      </w:r>
      <w:r>
        <w:rPr>
          <w:rFonts w:ascii="仿宋_GB2312" w:eastAsia="仿宋_GB2312" w:hAnsi="仿宋_GB2312" w:cs="仿宋_GB2312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支出，重点项目建设所需资金主要通过部门向上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争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取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、招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商引资、国有企业市场化运作等方式筹集（具体情况详见预算收支草案）。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2022年财政重点工作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为实现上述发展目标，必须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准确把握稳字当头、稳中求进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的要求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紧抓发展和改革，主动作为，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攻坚克难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，锐意进取，精心做好聚财理财文章，提升财政统筹保障能力，加强运行管理，增强刚性约束，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全心全意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为民理好财、办实事，为全县经济社会发展提供强有力的保障。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" w:eastAsia="楷体" w:hAnsi="楷体" w:cs="楷体" w:hint="eastAsia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eastAsia="zh-CN"/>
        </w:rPr>
        <w:t>（一）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凝心聚力促进收入量质齐升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认真分析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经济运行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疫情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变化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、减税降费等对财政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增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收的影响，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科学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做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研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判。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坚持勤征细管，紧盯在建项目税收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强化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国有资源（资产）有偿使用收入等非税收入征缴，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努力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挖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掘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增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收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潜力。</w:t>
      </w:r>
      <w:r>
        <w:rPr>
          <w:rFonts w:ascii="仿宋_GB2312" w:eastAsia="仿宋_GB2312" w:cs="仿宋_GB2312" w:hint="eastAsia"/>
          <w:b/>
          <w:bCs/>
          <w:sz w:val="32"/>
          <w:szCs w:val="32"/>
          <w:u w:val="none"/>
          <w:lang w:val="en-US" w:eastAsia="zh-CN"/>
        </w:rPr>
        <w:t>三是</w:t>
      </w:r>
      <w:r>
        <w:rPr>
          <w:rFonts w:ascii="仿宋_GB2312" w:eastAsia="仿宋_GB2312" w:cs="仿宋_GB2312" w:hint="eastAsia"/>
          <w:sz w:val="32"/>
          <w:szCs w:val="32"/>
          <w:u w:val="none"/>
          <w:lang w:val="en-US" w:eastAsia="zh-CN"/>
        </w:rPr>
        <w:t>积极配合园区、自然资源等部门，</w:t>
      </w:r>
      <w:r>
        <w:rPr>
          <w:rFonts w:eastAsia="仿宋_GB2312" w:cs="仿宋_GB2312" w:hint="eastAsia"/>
          <w:sz w:val="32"/>
          <w:szCs w:val="32"/>
          <w:u w:val="none"/>
        </w:rPr>
        <w:t>加快闲置土地的清理处置和存量土地的挂牌出让，提高土地供应保障能力。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进一步落实对实体企业减税降费、以奖代补等扶持政策，用足用活各项税收优惠政策，着力用政府收入的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减法”来</w:t>
      </w:r>
      <w:r>
        <w:rPr>
          <w:rFonts w:ascii="仿宋_GB2312" w:eastAsia="仿宋_GB2312" w:hAnsi="仿宋_GB2312" w:cs="仿宋_GB2312" w:hint="eastAsia"/>
          <w:sz w:val="32"/>
          <w:szCs w:val="32"/>
        </w:rPr>
        <w:t>换取企业效益的“加法”和市场活力的“乘法”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做到服务</w:t>
      </w:r>
      <w:r>
        <w:rPr>
          <w:rFonts w:ascii="仿宋_GB2312" w:eastAsia="仿宋_GB2312" w:hAnsi="仿宋" w:hint="eastAsia"/>
          <w:sz w:val="32"/>
          <w:szCs w:val="32"/>
        </w:rPr>
        <w:t>实体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经济、</w:t>
      </w:r>
      <w:r>
        <w:rPr>
          <w:rFonts w:ascii="仿宋_GB2312" w:eastAsia="仿宋_GB2312" w:hAnsi="仿宋" w:hint="eastAsia"/>
          <w:sz w:val="32"/>
          <w:szCs w:val="32"/>
        </w:rPr>
        <w:t>巩固现有税源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五是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进一步优化提升营商环境，全力推动招好商、招大商、招实商、招应税企业</w:t>
      </w:r>
      <w:r>
        <w:rPr>
          <w:rFonts w:ascii="宋体" w:eastAsia="仿宋_GB2312" w:hAnsi="仿宋_GB2312" w:cs="仿宋_GB2312" w:hint="eastAsia"/>
          <w:kern w:val="0"/>
          <w:sz w:val="32"/>
          <w:szCs w:val="32"/>
          <w:highlight w:val="none"/>
        </w:rPr>
        <w:t>，</w:t>
      </w:r>
      <w:r>
        <w:rPr>
          <w:rFonts w:ascii="宋体" w:eastAsia="仿宋_GB2312" w:hAnsi="仿宋_GB2312" w:cs="仿宋_GB2312" w:hint="eastAsia"/>
          <w:bCs/>
          <w:kern w:val="0"/>
          <w:sz w:val="32"/>
          <w:szCs w:val="32"/>
          <w:highlight w:val="none"/>
        </w:rPr>
        <w:t>吸引产业龙头企业、配套企业和服务企业落户石林，推动产业聚集发展</w:t>
      </w:r>
      <w:r>
        <w:rPr>
          <w:rFonts w:ascii="宋体" w:eastAsia="仿宋_GB2312" w:hAnsi="仿宋_GB2312" w:cs="仿宋_GB2312" w:hint="eastAsia"/>
          <w:kern w:val="0"/>
          <w:sz w:val="32"/>
          <w:szCs w:val="32"/>
          <w:highlight w:val="none"/>
        </w:rPr>
        <w:t>，</w:t>
      </w:r>
      <w:r>
        <w:rPr>
          <w:rFonts w:ascii="宋体" w:eastAsia="仿宋_GB2312" w:hAnsi="仿宋_GB2312" w:cs="仿宋_GB2312" w:hint="eastAsia"/>
          <w:kern w:val="0"/>
          <w:sz w:val="32"/>
          <w:szCs w:val="32"/>
          <w:highlight w:val="none"/>
          <w:lang w:eastAsia="zh-CN"/>
        </w:rPr>
        <w:t>努力培育</w:t>
      </w:r>
      <w:r>
        <w:rPr>
          <w:rFonts w:ascii="宋体" w:eastAsia="仿宋_GB2312" w:hAnsi="仿宋_GB2312" w:cs="仿宋_GB2312" w:hint="eastAsia"/>
          <w:kern w:val="0"/>
          <w:sz w:val="32"/>
          <w:szCs w:val="32"/>
          <w:highlight w:val="none"/>
        </w:rPr>
        <w:t>可持续税源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六是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精准把握政策，积极向上反映实际困难，紧扣上级支持方向和重点领域，做好项目储备和项目库建设，主动对接，争取上级政策、项目和资金支持，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缓解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县级支出保障压力。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eastAsia="zh-CN"/>
        </w:rPr>
        <w:t>（二）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行之有力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u w:val="none"/>
          <w:lang w:eastAsia="zh-CN"/>
        </w:rPr>
        <w:t>保障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重点领域投入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坚持以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51068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重点任务为主抓手，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持续支持全域旅游发展，加快旅游公共服务设施建设，扩大旅游带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动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相关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行业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发展的经济效应，增强石林旅游后生动力，促进县域经济全面可持续发展。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持续加大对乡村振兴投入力度，进一步巩固脱贫攻坚成果，继续支持高标准农田建设、“一村一品”、“一县一业”等项目实施，保障粮食安全，促进农村一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三产业融合发展。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三是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建立常态化项目储备机制，实行动态滚动管理，做实做细项目储备，做好项目前期和组织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申报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，争取“项目进规划、资金进盘子”，确保储备一批、成熟一批、实施一批。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四是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支持保障性住房建设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、老旧小区改造和抗震安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居工程，切实为民办实事、办好事。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五是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支持社会治理能力提升，保障行政执法、安全生产、民族团结、市场监管、应急管理等资金投入，促进社会和谐稳定。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eastAsia="zh-CN"/>
        </w:rPr>
        <w:t>（三）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鞠躬尽力增进民生福祉改善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eastAsia="zh-CN"/>
        </w:rPr>
        <w:t>牢固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树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立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以人民为中心的发展思想，聚焦民生短板，努力加大公共服务支出投入，坚持和完善与县域经济社会发展水平相适应的民生财政保障机制，让人民群众有更多的幸福感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获得感。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支持学前教育普及普惠、义务教育优质均衡、高中教育补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齐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短板、职业教育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专业特色等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教育优先发展，完善城乡一体的义务教育经费保障机制，提升教育公共服务能力。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加大就业和社会保障投入，支持实施就业优先，强化对高校毕业生、农民工、失业人员等重点群体就业创业帮扶。支持城乡居民医保、公立医院综合改革、卫生人才培养等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发展。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持续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完善疾病预防控制体系、基本公共卫生服务和重大疫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情防治救治体系，提升应对各类重大突发公共卫生事件能力。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五是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积极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助力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公共文化服务体系建设、文化遗产保护利用、文旅产业融合高质量发展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扩大公共文化体育服务供给。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ascii="楷体" w:eastAsia="楷体" w:hAnsi="楷体" w:cs="楷体" w:hint="default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u w:val="none"/>
          <w:lang w:eastAsia="zh-CN"/>
        </w:rPr>
        <w:t>（四）竭尽全力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兜牢风险防范底线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牢固树立过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紧日子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苦日子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的思想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坚持统筹兼顾、突出重点、艰苦奋斗、勤俭节约，加强预算源头管理。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保障重点支出，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>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三公经费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只减不增，大力压减一般性支出和非急需、非刚性支出。严格落实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三保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责任，遵循急用先行、有保有压的原则，通过科学合理安排预算、用好上级转移支付、盘活存量资金等措施，确保收支平衡。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三是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扎实做好地方政府债务风险防范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化解，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按照可控、有序、适度、稳定的要求，认真落实债务限额管理，多渠道化解政府债务风险。合理制定债务化解方案，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多渠道筹集资金，积极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化解存量债务。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四是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认真落实《石林彝族自治县防范化解地方金融风险工作方案》，加强源头防范、落实属地责任、坚持分类处置，做到早发现、早报告、早预警、早处置，实现有效防范和化解金融风险，使金融更好服务县域实体经济，营造诚实守信健康的金融发展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eastAsia="zh-CN"/>
        </w:rPr>
        <w:t>（五）齐心协力</w:t>
      </w:r>
      <w:r>
        <w:rPr>
          <w:rFonts w:ascii="楷体_GB2312" w:eastAsia="楷体_GB2312" w:hAnsi="楷体_GB2312" w:cs="楷体_GB2312" w:hint="eastAsia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加强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u w:val="none"/>
        </w:rPr>
        <w:t>财政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u w:val="none"/>
          <w:lang w:eastAsia="zh-CN"/>
        </w:rPr>
        <w:t>精细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强化财政资金监督，逐步建立预警高效、反馈迅速、控制有力的预算执行动态监控体系，不断提高财政资金运行的安全性和规范性，提升财政资金使用效益。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加大年度预算执行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管理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，持续做好收支调度，加强对重点领域预算执行分析，加快上级专项资金支付进度，狠抓以支促收、以支保收，切实提高财政资金使用效益和保障能力。严格执行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县人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民代表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大</w:t>
      </w:r>
      <w:r>
        <w:rPr>
          <w:rFonts w:ascii="Times New Roman" w:eastAsia="仿宋_GB2312" w:hAnsi="Times New Roman" w:cs="Times New Roman" w:hint="eastAsia"/>
          <w:sz w:val="32"/>
          <w:szCs w:val="32"/>
          <w:u w:val="none"/>
          <w:lang w:eastAsia="zh-CN"/>
        </w:rPr>
        <w:t>会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审议通过的预算，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依托人大联网监督系统，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有效规范支出行为，增强预算执行的严肃性，严控预算调剂追加，硬化支出预算约束。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三是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>将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预决算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信息公开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和预算绩效管理纳入综合考核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，积极打造“阳光财政”。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四是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健全绩效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评估、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评价结果与预算安排、政策调整挂钩机制，强化绩效管理激励约束。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五是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巩固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公务之家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APP推广使用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成果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深化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差旅费报销电子化改革。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六是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>继续</w:t>
      </w:r>
      <w:r>
        <w:rPr>
          <w:rFonts w:ascii="Times New Roman" w:eastAsia="仿宋_GB2312" w:hAnsi="Times New Roman" w:cs="Times New Roman" w:hint="default"/>
          <w:sz w:val="32"/>
          <w:szCs w:val="32"/>
          <w:u w:val="none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电子卖场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网上采购和推行中小微企业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微采贷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业务，不断优化采购流程，简化审批程序。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七是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持续深化国有企业改革，加大资产资源盘活力度，充分发挥国有资本的资源优势，进一步加快市场化转型升级，做实、做强国有企业。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>八是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积极推进财政事权和支出责任划分改革，完善基本公共服务领域共同财政事权和支出责任制度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highlight w:val="none"/>
          <w:lang w:eastAsia="zh-CN"/>
        </w:rPr>
        <w:t>九是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落实地方政府专项债券管理制度，管好用好专项债券资金，优化投向结构，提高使用效益。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各位代表，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2022 年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color="auto" w:fill="FFFFFF"/>
        </w:rPr>
        <w:t>财政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color="auto" w:fill="FFFFFF"/>
          <w:lang w:eastAsia="zh-CN"/>
        </w:rPr>
        <w:t>工作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color="auto" w:fill="FFFFFF"/>
        </w:rPr>
        <w:t>任务艰巨，</w:t>
      </w:r>
      <w:r>
        <w:rPr>
          <w:rFonts w:ascii="Times New Roman" w:eastAsia="仿宋_GB2312" w:hAnsi="Times New Roman" w:cs="Times New Roman" w:hint="eastAsia"/>
          <w:kern w:val="32"/>
          <w:sz w:val="32"/>
          <w:szCs w:val="32"/>
        </w:rPr>
        <w:t>责任重大</w:t>
      </w:r>
      <w:r>
        <w:rPr>
          <w:rFonts w:ascii="Times New Roman" w:eastAsia="仿宋_GB2312" w:hAnsi="Times New Roman" w:cs="Times New Roman" w:hint="eastAsia"/>
          <w:kern w:val="32"/>
          <w:sz w:val="32"/>
          <w:szCs w:val="32"/>
          <w:lang w:val="en-US"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以习近平新时代中国特色社会主义思想为指导，在县委的坚强领导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</w:rPr>
        <w:t>下，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主动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</w:rPr>
        <w:t>接受人</w:t>
      </w:r>
      <w:r>
        <w:rPr>
          <w:rFonts w:ascii="仿宋_GB2312" w:eastAsia="仿宋_GB2312" w:hAnsi="仿宋_GB2312" w:cs="仿宋_GB2312" w:hint="eastAsia"/>
          <w:sz w:val="32"/>
          <w:szCs w:val="32"/>
        </w:rPr>
        <w:t>大监督指导，虚心听取政协意见建议，牢固树立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领</w:t>
      </w:r>
      <w:r>
        <w:rPr>
          <w:rFonts w:ascii="仿宋_GB2312" w:eastAsia="仿宋_GB2312" w:hAnsi="仿宋_GB2312" w:cs="仿宋_GB2312" w:hint="eastAsia"/>
          <w:sz w:val="32"/>
          <w:szCs w:val="32"/>
        </w:rPr>
        <w:t>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以财辅政</w:t>
      </w:r>
      <w:r>
        <w:rPr>
          <w:rFonts w:ascii="仿宋_GB2312" w:eastAsia="仿宋_GB2312" w:hAnsi="仿宋_GB2312" w:cs="仿宋_GB2312" w:hint="eastAsia"/>
          <w:sz w:val="32"/>
          <w:szCs w:val="32"/>
        </w:rPr>
        <w:t>的意识，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以坚如磐石的信心、永不松懈的劲头、坚韧不拔的毅力，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  <w:lang w:val="en-US" w:eastAsia="zh-CN"/>
        </w:rPr>
        <w:t>牢</w:t>
      </w:r>
      <w:r>
        <w:rPr>
          <w:rFonts w:ascii="仿宋_GB2312" w:eastAsia="仿宋_GB2312" w:hAnsi="仿宋_GB2312" w:cs="仿宋_GB2312" w:hint="eastAsia"/>
          <w:sz w:val="32"/>
          <w:szCs w:val="32"/>
        </w:rPr>
        <w:t>记初心使命，激发奋进力量，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开拓创新，苦干实干，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  <w:t>为奋力打造国际知名旅游目的地、现代特色农业基地和宜居宜业新辅城作出更大贡献！</w:t>
      </w:r>
    </w:p>
    <w:p>
      <w:pPr>
        <w:pStyle w:val="NormalInden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pStyle w:val="NormalInden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pStyle w:val="NormalInden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pStyle w:val="NormalInden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pStyle w:val="NormalInden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</w:p>
    <w:p>
      <w:pPr>
        <w:pStyle w:val="NormalIndent"/>
        <w:ind w:left="0" w:firstLine="0" w:leftChars="0" w:firstLineChars="0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u w:val="none"/>
        </w:rPr>
        <w:t>石林县202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u w:val="none"/>
          <w:lang w:val="en-US" w:eastAsia="zh-CN"/>
        </w:rPr>
        <w:t>1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u w:val="none"/>
        </w:rPr>
        <w:t>年一般公共预算总收入构成图</w:t>
      </w:r>
    </w:p>
    <w:p>
      <w:pPr>
        <w:ind w:firstLine="6400" w:firstLineChars="2000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  <w:r>
        <w:rPr>
          <w:rFonts w:ascii="仿宋_GB2312" w:eastAsia="仿宋_GB2312" w:hAnsi="仿宋" w:cs="仿宋_GB2312" w:hint="eastAsia"/>
          <w:sz w:val="32"/>
          <w:szCs w:val="32"/>
          <w:u w:val="none" w:color="auto"/>
        </w:rPr>
        <w:t>单位：万元</w:t>
      </w:r>
    </w:p>
    <w:p>
      <w:pPr>
        <w:pStyle w:val="NormalInden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  <w:r>
        <w:drawing>
          <wp:inline distT="0" distB="0" distL="114300" distR="114300">
            <wp:extent cx="5613400" cy="2860675"/>
            <wp:effectExtent l="0" t="0" r="0" b="0"/>
            <wp:docPr id="116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>石林县202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  <w:lang w:val="en-US" w:eastAsia="zh-CN"/>
        </w:rPr>
        <w:t>1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>年一般公共预算支出构成图</w:t>
      </w:r>
    </w:p>
    <w:p>
      <w:pPr>
        <w:pStyle w:val="NormalIndent"/>
        <w:ind w:firstLine="6400" w:firstLineChars="2000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  <w:r>
        <w:rPr>
          <w:rFonts w:ascii="仿宋_GB2312" w:eastAsia="仿宋_GB2312" w:hAnsi="仿宋" w:cs="仿宋_GB2312" w:hint="eastAsia"/>
          <w:sz w:val="32"/>
          <w:szCs w:val="32"/>
          <w:u w:val="none" w:color="auto"/>
        </w:rPr>
        <w:t>单位：万元</w:t>
      </w:r>
    </w:p>
    <w:p>
      <w:pPr>
        <w:pStyle w:val="NormalIndent"/>
        <w:jc w:val="center"/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</w:pPr>
      <w:r>
        <w:drawing>
          <wp:inline distT="0" distB="0" distL="114300" distR="114300">
            <wp:extent cx="5279390" cy="3294380"/>
            <wp:effectExtent l="0" t="0" r="16510" b="1270"/>
            <wp:docPr id="116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>石林县202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  <w:lang w:val="en-US" w:eastAsia="zh-CN"/>
        </w:rPr>
        <w:t>2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>年一般公共预算总收入构成图</w:t>
      </w:r>
    </w:p>
    <w:p>
      <w:pPr>
        <w:pStyle w:val="NormalIndent"/>
        <w:rPr>
          <w:rFonts w:ascii="仿宋_GB2312" w:eastAsia="仿宋_GB2312" w:hAnsi="仿宋" w:cs="仿宋_GB2312" w:hint="eastAsia"/>
          <w:sz w:val="32"/>
          <w:szCs w:val="32"/>
          <w:u w:val="none" w:color="auto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 xml:space="preserve">                               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  <w:lang w:val="en-US" w:eastAsia="zh-CN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  <w:u w:val="none" w:color="auto"/>
        </w:rPr>
        <w:t>单位：万元</w:t>
      </w:r>
    </w:p>
    <w:p>
      <w:pP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u w:val="none"/>
        </w:rPr>
      </w:pPr>
      <w:r>
        <w:drawing>
          <wp:inline distT="0" distB="0" distL="114300" distR="114300">
            <wp:extent cx="5613400" cy="3015615"/>
            <wp:effectExtent l="0" t="0" r="0" b="0"/>
            <wp:docPr id="218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Indent"/>
        <w:ind w:left="0" w:firstLine="0" w:leftChars="0" w:firstLineChars="0"/>
        <w:jc w:val="center"/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>石林县202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  <w:lang w:val="en-US" w:eastAsia="zh-CN"/>
        </w:rPr>
        <w:t>2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>年一般公共预算支出构成图</w:t>
      </w:r>
    </w:p>
    <w:p>
      <w:pPr>
        <w:pStyle w:val="NormalIndent"/>
        <w:rPr>
          <w:rFonts w:ascii="仿宋_GB2312" w:eastAsia="仿宋_GB2312" w:hAnsi="仿宋" w:cs="仿宋_GB2312" w:hint="eastAsia"/>
          <w:sz w:val="32"/>
          <w:szCs w:val="32"/>
          <w:u w:val="none" w:color="auto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</w:rPr>
        <w:t xml:space="preserve">                              </w:t>
      </w:r>
      <w:r>
        <w:rPr>
          <w:rFonts w:ascii="方正小标宋简体" w:eastAsia="方正小标宋简体" w:hAnsi="华文中宋" w:cs="方正小标宋简体" w:hint="eastAsia"/>
          <w:sz w:val="36"/>
          <w:szCs w:val="36"/>
          <w:u w:val="none" w:color="auto"/>
          <w:lang w:val="en-US" w:eastAsia="zh-CN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  <w:u w:val="none" w:color="auto"/>
        </w:rPr>
        <w:t>单位：万元</w:t>
      </w:r>
    </w:p>
    <w:p>
      <w:pPr>
        <w:rPr>
          <w:rFonts w:ascii="仿宋_GB2312" w:eastAsia="仿宋_GB2312" w:hAnsi="仿宋_GB2312" w:cs="仿宋_GB2312" w:hint="default"/>
          <w:b w:val="0"/>
          <w:bCs w:val="0"/>
          <w:sz w:val="32"/>
          <w:szCs w:val="32"/>
          <w:u w:val="none"/>
          <w:lang w:val="en-US" w:eastAsia="zh-CN"/>
        </w:rPr>
      </w:pPr>
      <w:r>
        <w:drawing>
          <wp:inline distT="0" distB="0" distL="114300" distR="114300">
            <wp:extent cx="5612765" cy="3077210"/>
            <wp:effectExtent l="0" t="0" r="6985" b="8890"/>
            <wp:docPr id="219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监督索引号53012670100010111</w:t>
      </w:r>
    </w:p>
    <w:sectPr>
      <w:footerReference w:type="default" r:id="rId9"/>
      <w:pgSz w:w="11906" w:h="16838"/>
      <w:pgMar w:top="1899" w:right="1474" w:bottom="1899" w:left="1587" w:header="851" w:footer="992" w:gutter="0"/>
      <w:pgNumType w:fmt="numberInDash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Theme="minorEastAsia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Theme="minorEastAsia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50C6D"/>
    <w:rsid w:val="001008AD"/>
    <w:rsid w:val="008420F4"/>
    <w:rsid w:val="00AE4FC4"/>
    <w:rsid w:val="00FE6186"/>
    <w:rsid w:val="017E4E30"/>
    <w:rsid w:val="021E77C0"/>
    <w:rsid w:val="022D0799"/>
    <w:rsid w:val="022D2DB8"/>
    <w:rsid w:val="02971F95"/>
    <w:rsid w:val="02D43FD5"/>
    <w:rsid w:val="02F74BC4"/>
    <w:rsid w:val="03645A3B"/>
    <w:rsid w:val="036C030D"/>
    <w:rsid w:val="03E405ED"/>
    <w:rsid w:val="049D2A67"/>
    <w:rsid w:val="04CE2F6B"/>
    <w:rsid w:val="04D24CCC"/>
    <w:rsid w:val="05574680"/>
    <w:rsid w:val="05AE00AF"/>
    <w:rsid w:val="05F3560D"/>
    <w:rsid w:val="067F248F"/>
    <w:rsid w:val="06C97BED"/>
    <w:rsid w:val="07743FB6"/>
    <w:rsid w:val="096D144A"/>
    <w:rsid w:val="0A0A74B2"/>
    <w:rsid w:val="0A573BA2"/>
    <w:rsid w:val="0B3E3E2A"/>
    <w:rsid w:val="0B566155"/>
    <w:rsid w:val="0CA872FC"/>
    <w:rsid w:val="0CEC58D7"/>
    <w:rsid w:val="0D340A62"/>
    <w:rsid w:val="0D9E660F"/>
    <w:rsid w:val="0F213647"/>
    <w:rsid w:val="0F4D14D9"/>
    <w:rsid w:val="0FD828C2"/>
    <w:rsid w:val="0FDB09F6"/>
    <w:rsid w:val="0FE04984"/>
    <w:rsid w:val="10FB5675"/>
    <w:rsid w:val="1101018E"/>
    <w:rsid w:val="110C3055"/>
    <w:rsid w:val="124E20B7"/>
    <w:rsid w:val="13167E6D"/>
    <w:rsid w:val="14820A17"/>
    <w:rsid w:val="149C0FA0"/>
    <w:rsid w:val="14B50CBF"/>
    <w:rsid w:val="153C038A"/>
    <w:rsid w:val="154A04E6"/>
    <w:rsid w:val="15BA4B53"/>
    <w:rsid w:val="15C90F99"/>
    <w:rsid w:val="15EB2200"/>
    <w:rsid w:val="160D31C6"/>
    <w:rsid w:val="16377A7C"/>
    <w:rsid w:val="166901DD"/>
    <w:rsid w:val="16DA61B2"/>
    <w:rsid w:val="16E71509"/>
    <w:rsid w:val="171E190B"/>
    <w:rsid w:val="172D14E4"/>
    <w:rsid w:val="17B01B9F"/>
    <w:rsid w:val="19971C5C"/>
    <w:rsid w:val="19FA470B"/>
    <w:rsid w:val="1A7B5525"/>
    <w:rsid w:val="1A9D5EF1"/>
    <w:rsid w:val="1B2C5260"/>
    <w:rsid w:val="1C756E32"/>
    <w:rsid w:val="1C8E046B"/>
    <w:rsid w:val="1CB872A6"/>
    <w:rsid w:val="1DA87E9C"/>
    <w:rsid w:val="1DE74A0D"/>
    <w:rsid w:val="1EA66DE7"/>
    <w:rsid w:val="1EEE3F2F"/>
    <w:rsid w:val="1EFE2D26"/>
    <w:rsid w:val="1F223C38"/>
    <w:rsid w:val="203416EE"/>
    <w:rsid w:val="203850D8"/>
    <w:rsid w:val="21297456"/>
    <w:rsid w:val="21343DCF"/>
    <w:rsid w:val="22733B2C"/>
    <w:rsid w:val="242B702C"/>
    <w:rsid w:val="242C7974"/>
    <w:rsid w:val="249B58AC"/>
    <w:rsid w:val="274E4915"/>
    <w:rsid w:val="27874BAB"/>
    <w:rsid w:val="287C7AFA"/>
    <w:rsid w:val="29037DBF"/>
    <w:rsid w:val="295962F5"/>
    <w:rsid w:val="299D4F0E"/>
    <w:rsid w:val="2A1C755D"/>
    <w:rsid w:val="2B352B9A"/>
    <w:rsid w:val="2BCF06EF"/>
    <w:rsid w:val="2BD56CFE"/>
    <w:rsid w:val="2C983C86"/>
    <w:rsid w:val="2CA53B7C"/>
    <w:rsid w:val="2DE43665"/>
    <w:rsid w:val="2E2C18B5"/>
    <w:rsid w:val="2E7658A3"/>
    <w:rsid w:val="2EF66AC9"/>
    <w:rsid w:val="2F1C7AEB"/>
    <w:rsid w:val="2F4C0EB7"/>
    <w:rsid w:val="30A93D56"/>
    <w:rsid w:val="313D7C1A"/>
    <w:rsid w:val="31B95A05"/>
    <w:rsid w:val="31DF751A"/>
    <w:rsid w:val="32243665"/>
    <w:rsid w:val="32363E75"/>
    <w:rsid w:val="326A1E37"/>
    <w:rsid w:val="32CF3720"/>
    <w:rsid w:val="32EF0726"/>
    <w:rsid w:val="33167C0E"/>
    <w:rsid w:val="333C449F"/>
    <w:rsid w:val="33781334"/>
    <w:rsid w:val="348002B4"/>
    <w:rsid w:val="34AD6102"/>
    <w:rsid w:val="35F24777"/>
    <w:rsid w:val="36583DE1"/>
    <w:rsid w:val="366600F3"/>
    <w:rsid w:val="37686E66"/>
    <w:rsid w:val="38713645"/>
    <w:rsid w:val="39753DDB"/>
    <w:rsid w:val="39844104"/>
    <w:rsid w:val="399379CC"/>
    <w:rsid w:val="399A52FA"/>
    <w:rsid w:val="39A60A1E"/>
    <w:rsid w:val="3A3518D2"/>
    <w:rsid w:val="3AA25D1C"/>
    <w:rsid w:val="3AB65C87"/>
    <w:rsid w:val="3B097FAE"/>
    <w:rsid w:val="3B0B1765"/>
    <w:rsid w:val="3B576154"/>
    <w:rsid w:val="3B596621"/>
    <w:rsid w:val="3BAD6D34"/>
    <w:rsid w:val="3D5E532B"/>
    <w:rsid w:val="3D7C2E4A"/>
    <w:rsid w:val="3DAA4513"/>
    <w:rsid w:val="3DF264D7"/>
    <w:rsid w:val="3DF63126"/>
    <w:rsid w:val="3E7E3F2A"/>
    <w:rsid w:val="3E7F40DA"/>
    <w:rsid w:val="3F1B3CBE"/>
    <w:rsid w:val="40640A0C"/>
    <w:rsid w:val="4078427A"/>
    <w:rsid w:val="408E2BD4"/>
    <w:rsid w:val="40AD6FDC"/>
    <w:rsid w:val="421279B4"/>
    <w:rsid w:val="42E55912"/>
    <w:rsid w:val="4300695C"/>
    <w:rsid w:val="4319757F"/>
    <w:rsid w:val="43B712F8"/>
    <w:rsid w:val="44577B7C"/>
    <w:rsid w:val="448C36BE"/>
    <w:rsid w:val="451D1776"/>
    <w:rsid w:val="45866FB2"/>
    <w:rsid w:val="45BF6B59"/>
    <w:rsid w:val="45DD59B3"/>
    <w:rsid w:val="46024BF4"/>
    <w:rsid w:val="46030B2E"/>
    <w:rsid w:val="46174C63"/>
    <w:rsid w:val="463900A6"/>
    <w:rsid w:val="463E3834"/>
    <w:rsid w:val="47663BA8"/>
    <w:rsid w:val="479078A0"/>
    <w:rsid w:val="48176E62"/>
    <w:rsid w:val="488556B9"/>
    <w:rsid w:val="49283682"/>
    <w:rsid w:val="498D7E40"/>
    <w:rsid w:val="499E601E"/>
    <w:rsid w:val="4AFA3FF7"/>
    <w:rsid w:val="4B111024"/>
    <w:rsid w:val="4B271D70"/>
    <w:rsid w:val="4B5126D9"/>
    <w:rsid w:val="4B5E760F"/>
    <w:rsid w:val="4B6064C4"/>
    <w:rsid w:val="4BFD2771"/>
    <w:rsid w:val="4C435BCB"/>
    <w:rsid w:val="4C9D2365"/>
    <w:rsid w:val="4CE37C68"/>
    <w:rsid w:val="4DC72567"/>
    <w:rsid w:val="4DC761F1"/>
    <w:rsid w:val="4EB91BFE"/>
    <w:rsid w:val="4F064E1E"/>
    <w:rsid w:val="4FC22236"/>
    <w:rsid w:val="50080A63"/>
    <w:rsid w:val="51753676"/>
    <w:rsid w:val="518B2493"/>
    <w:rsid w:val="518F6ADA"/>
    <w:rsid w:val="51D02E32"/>
    <w:rsid w:val="52836ECC"/>
    <w:rsid w:val="52BB41AF"/>
    <w:rsid w:val="52DC1BAA"/>
    <w:rsid w:val="53190294"/>
    <w:rsid w:val="538F33A4"/>
    <w:rsid w:val="5427786F"/>
    <w:rsid w:val="547A23A7"/>
    <w:rsid w:val="54E3617D"/>
    <w:rsid w:val="55A25115"/>
    <w:rsid w:val="55B27C6E"/>
    <w:rsid w:val="55DA6C2F"/>
    <w:rsid w:val="56757388"/>
    <w:rsid w:val="567D278F"/>
    <w:rsid w:val="57376453"/>
    <w:rsid w:val="573E785E"/>
    <w:rsid w:val="57E44083"/>
    <w:rsid w:val="588251FD"/>
    <w:rsid w:val="59A253A0"/>
    <w:rsid w:val="59FA7538"/>
    <w:rsid w:val="5AA36BCB"/>
    <w:rsid w:val="5B2B3E34"/>
    <w:rsid w:val="5B6B2F6B"/>
    <w:rsid w:val="5C81544C"/>
    <w:rsid w:val="5C99119C"/>
    <w:rsid w:val="5CB22892"/>
    <w:rsid w:val="5CEC1B55"/>
    <w:rsid w:val="5DE13E84"/>
    <w:rsid w:val="5E68084C"/>
    <w:rsid w:val="5EF809AE"/>
    <w:rsid w:val="5F433710"/>
    <w:rsid w:val="5F9B3D19"/>
    <w:rsid w:val="5FC43367"/>
    <w:rsid w:val="5FD54BD3"/>
    <w:rsid w:val="60327A1D"/>
    <w:rsid w:val="608D45B8"/>
    <w:rsid w:val="60AA7FFD"/>
    <w:rsid w:val="60D53667"/>
    <w:rsid w:val="60D80581"/>
    <w:rsid w:val="62B0284D"/>
    <w:rsid w:val="636D5180"/>
    <w:rsid w:val="639834BC"/>
    <w:rsid w:val="642207F1"/>
    <w:rsid w:val="64A43133"/>
    <w:rsid w:val="653E3B33"/>
    <w:rsid w:val="65694839"/>
    <w:rsid w:val="658F1199"/>
    <w:rsid w:val="673B382E"/>
    <w:rsid w:val="67FA2788"/>
    <w:rsid w:val="6804355C"/>
    <w:rsid w:val="684A6C12"/>
    <w:rsid w:val="687B565A"/>
    <w:rsid w:val="69735168"/>
    <w:rsid w:val="6AB613ED"/>
    <w:rsid w:val="6BE4564F"/>
    <w:rsid w:val="6C8F618F"/>
    <w:rsid w:val="6CB50C6D"/>
    <w:rsid w:val="6CC514B7"/>
    <w:rsid w:val="6D2B74CE"/>
    <w:rsid w:val="6D674B03"/>
    <w:rsid w:val="6E923E24"/>
    <w:rsid w:val="6E9710EB"/>
    <w:rsid w:val="6EBF5287"/>
    <w:rsid w:val="70BC6AB4"/>
    <w:rsid w:val="70FA0B71"/>
    <w:rsid w:val="71116A05"/>
    <w:rsid w:val="71934C3E"/>
    <w:rsid w:val="71E57AEB"/>
    <w:rsid w:val="72F26B56"/>
    <w:rsid w:val="73026F3B"/>
    <w:rsid w:val="73294718"/>
    <w:rsid w:val="737E672A"/>
    <w:rsid w:val="744D6AC8"/>
    <w:rsid w:val="753E1458"/>
    <w:rsid w:val="75DC42D3"/>
    <w:rsid w:val="76E978F4"/>
    <w:rsid w:val="77655E82"/>
    <w:rsid w:val="779042B9"/>
    <w:rsid w:val="77BF6C02"/>
    <w:rsid w:val="781A61B4"/>
    <w:rsid w:val="782124A7"/>
    <w:rsid w:val="789A5BAB"/>
    <w:rsid w:val="78A62814"/>
    <w:rsid w:val="7A5C690D"/>
    <w:rsid w:val="7AAF6CA8"/>
    <w:rsid w:val="7AB9269B"/>
    <w:rsid w:val="7AED2F46"/>
    <w:rsid w:val="7B2725A9"/>
    <w:rsid w:val="7C6B5C7A"/>
    <w:rsid w:val="7CA77DD5"/>
    <w:rsid w:val="7CA96376"/>
    <w:rsid w:val="7D052D14"/>
    <w:rsid w:val="7E610BFD"/>
    <w:rsid w:val="7F337A39"/>
    <w:rsid w:val="7F510154"/>
    <w:rsid w:val="7FE31A1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39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 w:unhideWhenUsed="0" w:qFormat="1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next w:val="Normal"/>
    <w:qFormat/>
    <w:pPr>
      <w:ind w:firstLine="200" w:firstLineChars="200"/>
    </w:pPr>
  </w:style>
  <w:style w:type="paragraph" w:styleId="BodyText">
    <w:name w:val="Body Text"/>
    <w:basedOn w:val="Normal"/>
    <w:next w:val="TOC5"/>
    <w:qFormat/>
    <w:pPr>
      <w:spacing w:after="120"/>
    </w:pPr>
    <w:rPr>
      <w:rFonts w:ascii="Calibri" w:eastAsia="宋体" w:hAnsi="Calibri" w:cs="Times New Roman"/>
    </w:rPr>
  </w:style>
  <w:style w:type="paragraph" w:styleId="TOC5">
    <w:name w:val="toc 5"/>
    <w:basedOn w:val="Normal"/>
    <w:next w:val="Normal"/>
    <w:uiPriority w:val="39"/>
    <w:unhideWhenUsed/>
    <w:qFormat/>
    <w:pPr>
      <w:ind w:left="840"/>
      <w:jc w:val="left"/>
    </w:pPr>
    <w:rPr>
      <w:rFonts w:ascii="Calibri" w:eastAsia="宋体" w:hAnsi="Calibri" w:cs="Calibri"/>
      <w:sz w:val="18"/>
      <w:szCs w:val="18"/>
    </w:rPr>
  </w:style>
  <w:style w:type="paragraph" w:styleId="BalloonText">
    <w:name w:val="Balloon Text"/>
    <w:basedOn w:val="Normal"/>
    <w:semiHidden/>
    <w:qFormat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Title">
    <w:name w:val="Title"/>
    <w:basedOn w:val="Normal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eastAsia="宋体" w:hAnsi="Arial" w:cs="Times New Roman"/>
      <w:b/>
      <w:sz w:val="32"/>
    </w:rPr>
  </w:style>
  <w:style w:type="character" w:customStyle="1" w:styleId="CharCharChar">
    <w:name w:val="Char Char Char"/>
    <w:basedOn w:val="DefaultParagraphFont"/>
    <w:qFormat/>
    <w:rPr>
      <w:rFonts w:ascii="仿宋_GB2312" w:eastAsia="仿宋_GB2312" w:cs="Times New Roman"/>
      <w:kern w:val="2"/>
      <w:sz w:val="32"/>
      <w:lang w:val="en-US" w:eastAsia="zh-CN"/>
    </w:rPr>
  </w:style>
  <w:style w:type="paragraph" w:customStyle="1" w:styleId="1">
    <w:name w:val="无间隔1"/>
    <w:next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缩进1"/>
    <w:basedOn w:val="Normal"/>
    <w:qFormat/>
    <w:pPr>
      <w:ind w:firstLine="420" w:firstLineChars="200"/>
    </w:pPr>
    <w:rPr>
      <w:rFonts w:ascii="Calibri" w:eastAsia="宋体" w:hAnsi="Calibri" w:cs="Times New Roman"/>
    </w:rPr>
  </w:style>
  <w:style w:type="paragraph" w:customStyle="1" w:styleId="Default">
    <w:name w:val="Default"/>
    <w:basedOn w:val="Normal"/>
    <w:uiPriority w:val="99"/>
    <w:qFormat/>
    <w:pPr>
      <w:autoSpaceDE w:val="0"/>
      <w:autoSpaceDN w:val="0"/>
      <w:adjustRightInd w:val="0"/>
      <w:jc w:val="left"/>
    </w:pPr>
    <w:rPr>
      <w:rFonts w:ascii="方正小标宋简体" w:eastAsia="方正小标宋简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hart" Target="charts/chart1.xml" /><Relationship Id="rId6" Type="http://schemas.openxmlformats.org/officeDocument/2006/relationships/chart" Target="charts/chart2.xml" /><Relationship Id="rId7" Type="http://schemas.openxmlformats.org/officeDocument/2006/relationships/chart" Target="charts/chart3.xml" /><Relationship Id="rId8" Type="http://schemas.openxmlformats.org/officeDocument/2006/relationships/chart" Target="charts/chart4.xml" /><Relationship Id="rId9" Type="http://schemas.openxmlformats.org/officeDocument/2006/relationships/footer" Target="footer1.xml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oleObject" Target="file:///D:\&#39044;&#31639;&#31185;\Y&#39044;&#31639;&#25253;&#21578;\2022\&#30707;&#26519;&#24413;&#26063;&#33258;&#27835;&#21439;2021&#24180;&#22320;&#26041;&#36130;&#25919;&#39044;&#31639;&#25191;&#34892;&#24773;&#20917;&#21644;2022&#24180;&#22320;&#26041;&#36130;&#25919;&#39044;&#31639;&#33609;&#26696;&#25253;&#21578;&#65293;&#27491;&#24335;&#31295;&#20154;&#22823;\&#39044;&#31639;&#25253;&#21578;&#38468;&#22270;.xls" TargetMode="External" /></Relationships>
</file>

<file path=word/charts/_rels/chart2.xml.rels>&#65279;<?xml version="1.0" encoding="utf-8" standalone="yes"?><Relationships xmlns="http://schemas.openxmlformats.org/package/2006/relationships"><Relationship Id="rId1" Type="http://schemas.openxmlformats.org/officeDocument/2006/relationships/oleObject" Target="file:///D:\&#39044;&#31639;&#31185;\Y&#39044;&#31639;&#25253;&#21578;\2022\&#30707;&#26519;&#24413;&#26063;&#33258;&#27835;&#21439;2021&#24180;&#22320;&#26041;&#36130;&#25919;&#39044;&#31639;&#25191;&#34892;&#24773;&#20917;&#21644;2022&#24180;&#22320;&#26041;&#36130;&#25919;&#39044;&#31639;&#33609;&#26696;&#25253;&#21578;&#65293;&#27491;&#24335;&#31295;&#20154;&#22823;\&#39044;&#31639;&#25253;&#21578;&#38468;&#22270;.xls" TargetMode="External" /></Relationships>
</file>

<file path=word/charts/_rels/chart3.xml.rels>&#65279;<?xml version="1.0" encoding="utf-8" standalone="yes"?><Relationships xmlns="http://schemas.openxmlformats.org/package/2006/relationships"><Relationship Id="rId1" Type="http://schemas.openxmlformats.org/officeDocument/2006/relationships/oleObject" Target="file:///D:\&#39044;&#31639;&#31185;\Y&#39044;&#31639;&#25253;&#21578;\2022\&#30707;&#26519;&#24413;&#26063;&#33258;&#27835;&#21439;2021&#24180;&#22320;&#26041;&#36130;&#25919;&#39044;&#31639;&#25191;&#34892;&#24773;&#20917;&#21644;2022&#24180;&#22320;&#26041;&#36130;&#25919;&#39044;&#31639;&#33609;&#26696;&#25253;&#21578;&#65293;&#27491;&#24335;&#31295;&#20154;&#22823;\&#39044;&#31639;&#25253;&#21578;&#38468;&#22270;.xls" TargetMode="External" /></Relationships>
</file>

<file path=word/charts/_rels/chart4.xml.rels>&#65279;<?xml version="1.0" encoding="utf-8" standalone="yes"?><Relationships xmlns="http://schemas.openxmlformats.org/package/2006/relationships"><Relationship Id="rId1" Type="http://schemas.openxmlformats.org/officeDocument/2006/relationships/oleObject" Target="file:///D:\&#39044;&#31639;&#31185;\Y&#39044;&#31639;&#25253;&#21578;\2022\&#30707;&#26519;&#24413;&#26063;&#33258;&#27835;&#21439;2021&#24180;&#22320;&#26041;&#36130;&#25919;&#39044;&#31639;&#25191;&#34892;&#24773;&#20917;&#21644;2022&#24180;&#22320;&#26041;&#36130;&#25919;&#39044;&#31639;&#33609;&#26696;&#25253;&#21578;&#65293;&#27491;&#24335;&#31295;&#20154;&#22823;\&#39044;&#31639;&#25253;&#21578;&#38468;&#22270;.xls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solidFill>
              <a:srgbClr val="9999FF"/>
            </a:solidFill>
            <a:ln w="3175">
              <a:noFill/>
            </a:ln>
          </c:spPr>
          <c:explosion val="25"/>
          <c:dPt>
            <c:idx val="0"/>
            <c:bubble3D val="0"/>
            <c:explosion val="25"/>
            <c:spPr>
              <a:solidFill>
                <a:schemeClr val="accent2">
                  <a:alpha val="100000"/>
                </a:schemeClr>
              </a:solidFill>
              <a:ln w="9525">
                <a:noFill/>
              </a:ln>
            </c:spPr>
          </c:dPt>
          <c:dPt>
            <c:idx val="1"/>
            <c:bubble3D val="0"/>
            <c:explosion val="25"/>
            <c:spPr>
              <a:solidFill>
                <a:srgbClr val="993366">
                  <a:alpha val="100000"/>
                </a:srgbClr>
              </a:solidFill>
              <a:ln w="9525">
                <a:noFill/>
              </a:ln>
            </c:spPr>
          </c:dPt>
          <c:dPt>
            <c:idx val="2"/>
            <c:bubble3D val="0"/>
            <c:explosion val="18"/>
            <c:spPr>
              <a:gradFill rotWithShape="0">
                <a:gsLst>
                  <a:gs pos="0">
                    <a:srgbClr val="9EE256"/>
                  </a:gs>
                  <a:gs pos="100000">
                    <a:srgbClr val="52762D"/>
                  </a:gs>
                </a:gsLst>
                <a:lin ang="5400000" scaled="0"/>
              </a:gradFill>
              <a:ln w="3175">
                <a:noFill/>
              </a:ln>
              <a:effectLst/>
            </c:spPr>
          </c:dPt>
          <c:dPt>
            <c:idx val="3"/>
            <c:bubble3D val="0"/>
            <c:explosion val="10"/>
            <c:spPr>
              <a:gradFill rotWithShape="0"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5400000" scaled="0"/>
              </a:gradFill>
              <a:ln w="3175">
                <a:noFill/>
              </a:ln>
              <a:effectLst/>
            </c:spPr>
          </c:dPt>
          <c:dPt>
            <c:idx val="4"/>
            <c:bubble3D val="0"/>
            <c:explosion val="25"/>
            <c:spPr>
              <a:solidFill>
                <a:schemeClr val="accent4">
                  <a:alpha val="100000"/>
                </a:schemeClr>
              </a:solidFill>
              <a:ln w="9525">
                <a:noFill/>
              </a:ln>
            </c:spPr>
          </c:dPt>
          <c:dPt>
            <c:idx val="5"/>
            <c:bubble3D val="0"/>
            <c:explosion val="25"/>
            <c:spPr>
              <a:solidFill>
                <a:srgbClr val="9999FF"/>
              </a:solidFill>
              <a:ln w="3175">
                <a:noFill/>
              </a:ln>
            </c:spPr>
          </c:dPt>
          <c:dLbls>
            <c:dLbl>
              <c:idx val="0"/>
              <c:layout>
                <c:manualLayout>
                  <c:x val="0.0562035477250884"/>
                  <c:y val="0.0992264971224614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175019739109519"/>
                  <c:y val="0.00382877024402008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387553361834161"/>
                  <c:y val="-0.193008842322463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214050745053455"/>
                  <c:y val="-0.00461991704672476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0269463307787163"/>
                  <c:y val="-0.02017582824941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rgbClr val="000000"/>
                        </a:solidFill>
                        <a:latin typeface="Arial" panose="020B0604020202020204" charset="-122"/>
                        <a:ea typeface="Arial" panose="020B0604020202020204" charset="-122"/>
                        <a:cs typeface="Arial" panose="020B0604020202020204" charset="-122"/>
                      </a:defRPr>
                    </a:pPr>
                    <a:r>
                      <a:rPr sz="800" b="0" i="0" u="none" strike="noStrike" baseline="0">
                        <a:solidFill>
                          <a:srgbClr val="000000"/>
                        </a:solidFill>
                        <a:latin typeface="Arial" panose="020B0604020202020204" charset="-122"/>
                        <a:ea typeface="Arial" panose="020B0604020202020204" charset="-122"/>
                        <a:cs typeface="Arial" panose="020B0604020202020204" charset="-122"/>
                      </a:rPr>
                      <a:t>调入资金，67,01</a:t>
                    </a:r>
                    <a:r>
                      <a:rPr lang="en-US" altLang="zh-CN" sz="800" b="0" i="0" u="none" strike="noStrike" baseline="0">
                        <a:solidFill>
                          <a:srgbClr val="000000"/>
                        </a:solidFill>
                        <a:latin typeface="Arial" panose="020B0604020202020204" pitchFamily="7" charset="0"/>
                        <a:ea typeface="Arial" panose="020B0604020202020204" pitchFamily="7" charset="0"/>
                        <a:cs typeface="Arial" panose="020B0604020202020204" pitchFamily="7" charset="0"/>
                      </a:rPr>
                      <a:t>1, 22%</a:t>
                    </a:r>
                    <a:endParaRPr lang="en-US" altLang="zh-CN"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%" sourceLinked="0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  <c15:leaderLines>
                  <c:spPr>
                    <a:ln w="9525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c:spPr>
                </c15:leaderLines>
              </c:ext>
            </c:extLst>
          </c:dLbls>
          <c:cat>
            <c:strRef>
              <c:f>[预算报告附图.xls]报告附图!$K$3:$K$8</c:f>
              <c:strCache>
                <c:ptCount val="6"/>
                <c:pt idx="0">
                  <c:v>税收收入</c:v>
                </c:pt>
                <c:pt idx="1">
                  <c:v>非税收入</c:v>
                </c:pt>
                <c:pt idx="2">
                  <c:v>转移性收入</c:v>
                </c:pt>
                <c:pt idx="3">
                  <c:v>上年结转</c:v>
                </c:pt>
                <c:pt idx="4">
                  <c:v>调入资金</c:v>
                </c:pt>
                <c:pt idx="5">
                  <c:v>置换政府一般债券收入</c:v>
                </c:pt>
              </c:strCache>
            </c:strRef>
          </c:cat>
          <c:val>
            <c:numRef>
              <c:f>[预算报告附图.xls]报告附图!$L$3:$L$8</c:f>
              <c:numCache>
                <c:formatCode>#,##0_ </c:formatCode>
                <c:ptCount val="6"/>
                <c:pt idx="0">
                  <c:v>51182</c:v>
                </c:pt>
                <c:pt idx="1">
                  <c:v>14671</c:v>
                </c:pt>
                <c:pt idx="2">
                  <c:v>145091</c:v>
                </c:pt>
                <c:pt idx="3">
                  <c:v>2107</c:v>
                </c:pt>
                <c:pt idx="4">
                  <c:v>26497</c:v>
                </c:pt>
                <c:pt idx="5">
                  <c:v>28800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plotVisOnly val="1"/>
    <c:dispBlanksAs val="zero"/>
    <c:showDLblsOverMax val="0"/>
  </c:chart>
  <c:spPr>
    <a:noFill/>
    <a:ln w="6350">
      <a:noFill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43029754497115"/>
          <c:y val="0.0263109811803399"/>
          <c:w val="0.8725"/>
          <c:h val="0.7637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</a:ln>
          </c:spPr>
          <c:invertIfNegative val="0"/>
          <c:dLbls>
            <c:delete val="1"/>
          </c:dLbls>
          <c:cat>
            <c:strRef>
              <c:f>[预算报告附图.xls]报告附图!$K$21:$K$42</c:f>
              <c:strCache>
                <c:ptCount val="22"/>
                <c:pt idx="0">
                  <c:v>教育</c:v>
                </c:pt>
                <c:pt idx="1">
                  <c:v>农林水</c:v>
                </c:pt>
                <c:pt idx="2">
                  <c:v>社会就业</c:v>
                </c:pt>
                <c:pt idx="3">
                  <c:v>公共服务</c:v>
                </c:pt>
                <c:pt idx="4">
                  <c:v>文化传媒</c:v>
                </c:pt>
                <c:pt idx="5">
                  <c:v>卫生健康</c:v>
                </c:pt>
                <c:pt idx="6">
                  <c:v>公共安全</c:v>
                </c:pt>
                <c:pt idx="7">
                  <c:v>城乡社区</c:v>
                </c:pt>
                <c:pt idx="8">
                  <c:v>住房保障</c:v>
                </c:pt>
                <c:pt idx="9">
                  <c:v>债务还本支出</c:v>
                </c:pt>
                <c:pt idx="10">
                  <c:v>节能环保</c:v>
                </c:pt>
                <c:pt idx="11">
                  <c:v>科学技术</c:v>
                </c:pt>
                <c:pt idx="12">
                  <c:v>债务付息</c:v>
                </c:pt>
                <c:pt idx="13">
                  <c:v>防灾应急</c:v>
                </c:pt>
                <c:pt idx="14">
                  <c:v>自然资源海洋</c:v>
                </c:pt>
                <c:pt idx="15">
                  <c:v>交通运输</c:v>
                </c:pt>
                <c:pt idx="16">
                  <c:v>资源勘探</c:v>
                </c:pt>
                <c:pt idx="17">
                  <c:v>商业服务</c:v>
                </c:pt>
                <c:pt idx="18">
                  <c:v>粮油储备</c:v>
                </c:pt>
                <c:pt idx="19">
                  <c:v>金融</c:v>
                </c:pt>
                <c:pt idx="20">
                  <c:v>国防</c:v>
                </c:pt>
                <c:pt idx="21">
                  <c:v>债务发行费</c:v>
                </c:pt>
              </c:strCache>
            </c:strRef>
          </c:cat>
          <c:val>
            <c:numRef>
              <c:f>[预算报告附图.xls]报告附图!$L$21:$L$42</c:f>
              <c:numCache>
                <c:formatCode>#,##0_ </c:formatCode>
                <c:ptCount val="22"/>
                <c:pt idx="0">
                  <c:v>62804</c:v>
                </c:pt>
                <c:pt idx="1">
                  <c:v>40656</c:v>
                </c:pt>
                <c:pt idx="2">
                  <c:v>32099</c:v>
                </c:pt>
                <c:pt idx="3">
                  <c:v>23509</c:v>
                </c:pt>
                <c:pt idx="4">
                  <c:v>14249</c:v>
                </c:pt>
                <c:pt idx="5">
                  <c:v>12991</c:v>
                </c:pt>
                <c:pt idx="6">
                  <c:v>12912</c:v>
                </c:pt>
                <c:pt idx="7">
                  <c:v>10286</c:v>
                </c:pt>
                <c:pt idx="8">
                  <c:v>6094</c:v>
                </c:pt>
                <c:pt idx="9">
                  <c:v>3510</c:v>
                </c:pt>
                <c:pt idx="10">
                  <c:v>3344</c:v>
                </c:pt>
                <c:pt idx="11">
                  <c:v>3272</c:v>
                </c:pt>
                <c:pt idx="12">
                  <c:v>2208</c:v>
                </c:pt>
                <c:pt idx="13">
                  <c:v>1936</c:v>
                </c:pt>
                <c:pt idx="14">
                  <c:v>1715</c:v>
                </c:pt>
                <c:pt idx="15">
                  <c:v>1638</c:v>
                </c:pt>
                <c:pt idx="16">
                  <c:v>1290</c:v>
                </c:pt>
                <c:pt idx="17">
                  <c:v>675</c:v>
                </c:pt>
                <c:pt idx="18">
                  <c:v>343</c:v>
                </c:pt>
                <c:pt idx="19">
                  <c:v>41</c:v>
                </c:pt>
                <c:pt idx="20">
                  <c:v>40</c:v>
                </c:pt>
                <c:pt idx="2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687141383"/>
        <c:axId val="244369826"/>
      </c:barChart>
      <c:catAx>
        <c:axId val="68714138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>
            <a:solidFill>
              <a:srgbClr val="000000">
                <a:alpha val="100000"/>
              </a:srgbClr>
            </a:solidFill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44369826"/>
        <c:crosses val="autoZero"/>
        <c:auto val="1"/>
        <c:lblAlgn val="ctr"/>
        <c:lblOffset val="100"/>
        <c:noMultiLvlLbl val="0"/>
      </c:catAx>
      <c:valAx>
        <c:axId val="24436982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>
                  <a:alpha val="100000"/>
                </a:srgbClr>
              </a:solidFill>
              <a:round/>
            </a:ln>
          </c:spPr>
        </c:majorGridlines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87141383"/>
        <c:crosses val="autoZero"/>
        <c:crossBetween val="between"/>
      </c:valAx>
      <c:spPr>
        <a:solidFill>
          <a:srgbClr val="C0C0C0">
            <a:alpha val="100000"/>
          </a:srgbClr>
        </a:solidFill>
        <a:ln w="12700">
          <a:solidFill>
            <a:srgbClr val="808080">
              <a:alpha val="100000"/>
            </a:srgbClr>
          </a:solidFill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>
      <a:noFill/>
      <a:round/>
    </a:ln>
  </c:spPr>
  <c:txPr>
    <a:bodyPr rot="0" wrap="square" anchor="ctr" anchorCtr="1"/>
    <a:lstStyle/>
    <a:p>
      <a:pPr>
        <a:defRPr lang="zh-CN" sz="95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Pt>
            <c:idx val="0"/>
            <c:bubble3D val="0"/>
            <c:explosion val="25"/>
          </c:dPt>
          <c:dPt>
            <c:idx val="1"/>
            <c:bubble3D val="0"/>
            <c:explosion val="25"/>
          </c:dPt>
          <c:dPt>
            <c:idx val="2"/>
            <c:bubble3D val="0"/>
            <c:explosion val="9"/>
            <c:spPr>
              <a:gradFill rotWithShape="0"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lin ang="5400000" scaled="0"/>
              </a:gradFill>
            </c:spPr>
          </c:dPt>
          <c:dPt>
            <c:idx val="3"/>
            <c:bubble3D val="0"/>
            <c:explosion val="22"/>
          </c:dPt>
          <c:dPt>
            <c:idx val="4"/>
            <c:bubble3D val="0"/>
            <c:explosion val="24"/>
          </c:dPt>
          <c:dPt>
            <c:idx val="5"/>
            <c:bubble3D val="0"/>
            <c:explosion val="25"/>
          </c:dPt>
          <c:dLbls>
            <c:dLbl>
              <c:idx val="0"/>
              <c:layout>
                <c:manualLayout>
                  <c:x val="0.059811038552818"/>
                  <c:y val="0.0717241384624797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156789128553001"/>
                  <c:y val="-0.27972576438497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0990785953727204"/>
                  <c:y val="0.0731088898416638"/>
                </c:manualLayout>
              </c:layout>
              <c:numFmt formatCode="0%" sourceLinked="0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08105485078622"/>
                  <c:y val="0.0266074975140578"/>
                </c:manualLayout>
              </c:layout>
              <c:numFmt formatCode="0%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633396943792754"/>
                  <c:y val="0.000557066270028614"/>
                </c:manualLayout>
              </c:layout>
              <c:numFmt formatCode="0%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  <c15:leaderLines>
                  <c:spPr>
                    <a:ln w="9525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c:spPr>
                </c15:leaderLines>
              </c:ext>
            </c:extLst>
          </c:dLbls>
          <c:cat>
            <c:strRef>
              <c:f>'[预算报告附图.xls]报告附图 (2)'!$K$3:$K$8</c:f>
              <c:strCache>
                <c:ptCount val="6"/>
                <c:pt idx="0">
                  <c:v>税收收入</c:v>
                </c:pt>
                <c:pt idx="1">
                  <c:v>非税收入</c:v>
                </c:pt>
                <c:pt idx="2">
                  <c:v>转移性收入</c:v>
                </c:pt>
                <c:pt idx="3">
                  <c:v>调入资金</c:v>
                </c:pt>
                <c:pt idx="4">
                  <c:v>上年结转</c:v>
                </c:pt>
                <c:pt idx="5">
                  <c:v>置换政府一般债券收入</c:v>
                </c:pt>
              </c:strCache>
            </c:strRef>
          </c:cat>
          <c:val>
            <c:numRef>
              <c:f>'[预算报告附图.xls]报告附图 (2)'!$L$3:$L$8</c:f>
              <c:numCache>
                <c:formatCode>#,##0_ </c:formatCode>
                <c:ptCount val="6"/>
                <c:pt idx="0">
                  <c:v>55388</c:v>
                </c:pt>
                <c:pt idx="1">
                  <c:v>13100</c:v>
                </c:pt>
                <c:pt idx="2">
                  <c:v>126804</c:v>
                </c:pt>
                <c:pt idx="3">
                  <c:v>74433</c:v>
                </c:pt>
                <c:pt idx="4" formatCode="General">
                  <c:v>3382</c:v>
                </c:pt>
                <c:pt idx="5" formatCode="General">
                  <c:v>3880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plotVisOnly val="1"/>
    <c:dispBlanksAs val="zero"/>
    <c:showDLblsOverMax val="0"/>
  </c:chart>
  <c:spPr>
    <a:noFill/>
    <a:ln w="6350">
      <a:noFill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6"/>
          <c:y val="0.0715"/>
          <c:w val="0.8725"/>
          <c:h val="0.7422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</a:ln>
          </c:spPr>
          <c:invertIfNegative val="0"/>
          <c:dLbls>
            <c:delete val="1"/>
          </c:dLbls>
          <c:cat>
            <c:strRef>
              <c:f>'[预算报告附图.xls]报告附图 (2)'!$K$18:$K$40</c:f>
              <c:strCache>
                <c:ptCount val="23"/>
                <c:pt idx="0">
                  <c:v>教育</c:v>
                </c:pt>
                <c:pt idx="1">
                  <c:v>农林水</c:v>
                </c:pt>
                <c:pt idx="2">
                  <c:v>社会就业</c:v>
                </c:pt>
                <c:pt idx="3">
                  <c:v>卫生健康</c:v>
                </c:pt>
                <c:pt idx="4">
                  <c:v>其他支出</c:v>
                </c:pt>
                <c:pt idx="5">
                  <c:v>公共服务</c:v>
                </c:pt>
                <c:pt idx="6">
                  <c:v>公共安全</c:v>
                </c:pt>
                <c:pt idx="7">
                  <c:v>住房保障</c:v>
                </c:pt>
                <c:pt idx="8">
                  <c:v>城乡社区</c:v>
                </c:pt>
                <c:pt idx="9">
                  <c:v>文化传媒</c:v>
                </c:pt>
                <c:pt idx="10">
                  <c:v>债务还本支出</c:v>
                </c:pt>
                <c:pt idx="11">
                  <c:v>科学技术</c:v>
                </c:pt>
                <c:pt idx="12">
                  <c:v>节能环保</c:v>
                </c:pt>
                <c:pt idx="13">
                  <c:v>交通运输</c:v>
                </c:pt>
                <c:pt idx="14">
                  <c:v>债务付息</c:v>
                </c:pt>
                <c:pt idx="15">
                  <c:v>自然资源海洋</c:v>
                </c:pt>
                <c:pt idx="16">
                  <c:v>预备费</c:v>
                </c:pt>
                <c:pt idx="17">
                  <c:v>商业服务</c:v>
                </c:pt>
                <c:pt idx="18">
                  <c:v>防灾应急</c:v>
                </c:pt>
                <c:pt idx="19">
                  <c:v>资源勘探</c:v>
                </c:pt>
                <c:pt idx="20">
                  <c:v>粮油储备</c:v>
                </c:pt>
                <c:pt idx="21">
                  <c:v>国防</c:v>
                </c:pt>
                <c:pt idx="22">
                  <c:v>债务发行费</c:v>
                </c:pt>
              </c:strCache>
            </c:strRef>
          </c:cat>
          <c:val>
            <c:numRef>
              <c:f>'[预算报告附图.xls]报告附图 (2)'!$L$18:$L$40</c:f>
              <c:numCache>
                <c:formatCode>#,##0_ </c:formatCode>
                <c:ptCount val="23"/>
                <c:pt idx="0">
                  <c:v>60622</c:v>
                </c:pt>
                <c:pt idx="1">
                  <c:v>44502</c:v>
                </c:pt>
                <c:pt idx="2">
                  <c:v>36699</c:v>
                </c:pt>
                <c:pt idx="3">
                  <c:v>26529</c:v>
                </c:pt>
                <c:pt idx="4">
                  <c:v>23074</c:v>
                </c:pt>
                <c:pt idx="5">
                  <c:v>20902</c:v>
                </c:pt>
                <c:pt idx="6">
                  <c:v>10705</c:v>
                </c:pt>
                <c:pt idx="7">
                  <c:v>7065</c:v>
                </c:pt>
                <c:pt idx="8">
                  <c:v>5739</c:v>
                </c:pt>
                <c:pt idx="9">
                  <c:v>4810</c:v>
                </c:pt>
                <c:pt idx="10">
                  <c:v>3000</c:v>
                </c:pt>
                <c:pt idx="11">
                  <c:v>2969</c:v>
                </c:pt>
                <c:pt idx="12">
                  <c:v>2831</c:v>
                </c:pt>
                <c:pt idx="13">
                  <c:v>2425</c:v>
                </c:pt>
                <c:pt idx="14">
                  <c:v>2300</c:v>
                </c:pt>
                <c:pt idx="15">
                  <c:v>2030</c:v>
                </c:pt>
                <c:pt idx="16">
                  <c:v>2000</c:v>
                </c:pt>
                <c:pt idx="17">
                  <c:v>1520</c:v>
                </c:pt>
                <c:pt idx="18">
                  <c:v>1407</c:v>
                </c:pt>
                <c:pt idx="19">
                  <c:v>180</c:v>
                </c:pt>
                <c:pt idx="20">
                  <c:v>180</c:v>
                </c:pt>
                <c:pt idx="21">
                  <c:v>82</c:v>
                </c:pt>
                <c:pt idx="2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90954626"/>
        <c:axId val="951665068"/>
      </c:barChart>
      <c:catAx>
        <c:axId val="29095462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>
            <a:solidFill>
              <a:srgbClr val="000000">
                <a:alpha val="100000"/>
              </a:srgbClr>
            </a:solidFill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51665068"/>
        <c:crosses val="autoZero"/>
        <c:auto val="1"/>
        <c:lblAlgn val="ctr"/>
        <c:lblOffset val="100"/>
        <c:noMultiLvlLbl val="0"/>
      </c:catAx>
      <c:valAx>
        <c:axId val="9516650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>
                  <a:alpha val="100000"/>
                </a:srgbClr>
              </a:solidFill>
              <a:round/>
            </a:ln>
          </c:spPr>
        </c:majorGridlines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90954626"/>
        <c:crosses val="autoZero"/>
        <c:crossBetween val="between"/>
      </c:valAx>
      <c:spPr>
        <a:solidFill>
          <a:srgbClr val="C0C0C0">
            <a:alpha val="100000"/>
          </a:srgbClr>
        </a:solidFill>
        <a:ln w="12700">
          <a:solidFill>
            <a:srgbClr val="808080">
              <a:alpha val="100000"/>
            </a:srgbClr>
          </a:solidFill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>
      <a:noFill/>
      <a:round/>
    </a:ln>
  </c:spPr>
  <c:txPr>
    <a:bodyPr rot="0" wrap="square" anchor="ctr" anchorCtr="1"/>
    <a:lstStyle/>
    <a:p>
      <a:pPr>
        <a:defRPr lang="zh-CN" sz="95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7949</Words>
  <Characters>8354</Characters>
  <Application>Microsoft Office Word</Application>
  <DocSecurity>0</DocSecurity>
  <Lines>0</Lines>
  <Paragraphs>0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  届人大  次会议文件（）</dc:title>
  <dc:creator>Administrator</dc:creator>
  <cp:lastModifiedBy>HPXQW-JH8J8X8RHC</cp:lastModifiedBy>
  <cp:revision>0</cp:revision>
  <cp:lastPrinted>2021-12-27T13:52:00Z</cp:lastPrinted>
  <dcterms:created xsi:type="dcterms:W3CDTF">2021-11-28T09:06:00Z</dcterms:created>
  <dcterms:modified xsi:type="dcterms:W3CDTF">2022-01-08T08:45:46Z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