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_GBK" w:hAnsi="黑体" w:eastAsia="方正小标宋_GBK" w:cs="宋体"/>
          <w:bCs/>
          <w:sz w:val="36"/>
          <w:szCs w:val="36"/>
        </w:rPr>
      </w:pPr>
      <w:r>
        <w:rPr>
          <w:rFonts w:hint="eastAsia" w:ascii="方正小标宋_GBK" w:hAnsi="黑体" w:eastAsia="方正小标宋_GBK" w:cs="宋体"/>
          <w:bCs/>
          <w:sz w:val="36"/>
          <w:szCs w:val="36"/>
        </w:rPr>
        <w:t>石林彝族自治县人民政府</w:t>
      </w:r>
      <w:bookmarkStart w:id="0" w:name="_GoBack"/>
      <w:bookmarkEnd w:id="0"/>
      <w:r>
        <w:rPr>
          <w:rFonts w:hint="eastAsia" w:ascii="方正小标宋_GBK" w:hAnsi="黑体" w:eastAsia="方正小标宋_GBK" w:cs="宋体"/>
          <w:bCs/>
          <w:sz w:val="36"/>
          <w:szCs w:val="36"/>
        </w:rPr>
        <w:t>第二批清理规范的县政府部门行政审批</w:t>
      </w:r>
    </w:p>
    <w:p>
      <w:pPr>
        <w:spacing w:line="0" w:lineRule="atLeast"/>
        <w:jc w:val="center"/>
        <w:rPr>
          <w:rFonts w:hint="eastAsia" w:ascii="方正小标宋_GBK" w:hAnsi="黑体" w:eastAsia="方正小标宋_GBK" w:cs="宋体"/>
          <w:bCs/>
          <w:sz w:val="36"/>
          <w:szCs w:val="36"/>
        </w:rPr>
      </w:pPr>
      <w:r>
        <w:rPr>
          <w:rFonts w:hint="eastAsia" w:ascii="方正小标宋_GBK" w:hAnsi="黑体" w:eastAsia="方正小标宋_GBK" w:cs="宋体"/>
          <w:bCs/>
          <w:sz w:val="36"/>
          <w:szCs w:val="36"/>
        </w:rPr>
        <w:t>中介服务事项目录</w:t>
      </w:r>
    </w:p>
    <w:p>
      <w:pPr>
        <w:spacing w:line="0" w:lineRule="atLeast"/>
        <w:jc w:val="center"/>
        <w:rPr>
          <w:rFonts w:hint="eastAsia" w:ascii="楷体" w:hAnsi="楷体" w:eastAsia="楷体" w:cs="宋体"/>
          <w:bCs/>
          <w:sz w:val="32"/>
          <w:szCs w:val="32"/>
        </w:rPr>
      </w:pPr>
      <w:r>
        <w:rPr>
          <w:rFonts w:hint="eastAsia" w:ascii="楷体" w:hAnsi="楷体" w:eastAsia="楷体" w:cs="宋体"/>
          <w:bCs/>
          <w:sz w:val="32"/>
          <w:szCs w:val="32"/>
        </w:rPr>
        <w:t>（共5项）</w:t>
      </w:r>
    </w:p>
    <w:tbl>
      <w:tblPr>
        <w:tblStyle w:val="2"/>
        <w:tblW w:w="1375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5"/>
        <w:gridCol w:w="1701"/>
        <w:gridCol w:w="1560"/>
        <w:gridCol w:w="3681"/>
        <w:gridCol w:w="1407"/>
        <w:gridCol w:w="3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710"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序号</w:t>
            </w:r>
          </w:p>
        </w:tc>
        <w:tc>
          <w:tcPr>
            <w:tcW w:w="1275" w:type="dxa"/>
            <w:noWrap w:val="0"/>
            <w:vAlign w:val="center"/>
          </w:tcPr>
          <w:p>
            <w:pPr>
              <w:spacing w:line="0" w:lineRule="atLeast"/>
              <w:jc w:val="center"/>
              <w:rPr>
                <w:rFonts w:hint="eastAsia" w:ascii="黑体" w:hAnsi="黑体" w:eastAsia="黑体" w:cs="宋体"/>
                <w:b/>
                <w:bCs/>
              </w:rPr>
            </w:pPr>
            <w:r>
              <w:rPr>
                <w:rFonts w:hint="eastAsia" w:ascii="黑体" w:hAnsi="黑体" w:eastAsia="黑体" w:cs="宋体"/>
                <w:b/>
                <w:bCs/>
              </w:rPr>
              <w:t>中介服务</w:t>
            </w:r>
          </w:p>
          <w:p>
            <w:pPr>
              <w:spacing w:line="0" w:lineRule="atLeast"/>
              <w:jc w:val="center"/>
              <w:rPr>
                <w:rFonts w:ascii="黑体" w:hAnsi="黑体" w:eastAsia="黑体" w:cs="宋体"/>
                <w:b/>
                <w:bCs/>
              </w:rPr>
            </w:pPr>
            <w:r>
              <w:rPr>
                <w:rFonts w:hint="eastAsia" w:ascii="黑体" w:hAnsi="黑体" w:eastAsia="黑体" w:cs="宋体"/>
                <w:b/>
                <w:bCs/>
              </w:rPr>
              <w:t>事项名称</w:t>
            </w:r>
          </w:p>
        </w:tc>
        <w:tc>
          <w:tcPr>
            <w:tcW w:w="1701"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涉及的行政</w:t>
            </w:r>
          </w:p>
          <w:p>
            <w:pPr>
              <w:spacing w:line="0" w:lineRule="atLeast"/>
              <w:jc w:val="center"/>
              <w:rPr>
                <w:rFonts w:ascii="黑体" w:hAnsi="黑体" w:eastAsia="黑体" w:cs="宋体"/>
                <w:b/>
                <w:bCs/>
              </w:rPr>
            </w:pPr>
            <w:r>
              <w:rPr>
                <w:rFonts w:hint="eastAsia" w:ascii="黑体" w:hAnsi="黑体" w:eastAsia="黑体" w:cs="宋体"/>
                <w:b/>
                <w:bCs/>
              </w:rPr>
              <w:t>审批事项名称</w:t>
            </w:r>
          </w:p>
        </w:tc>
        <w:tc>
          <w:tcPr>
            <w:tcW w:w="1560"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审批部门</w:t>
            </w:r>
          </w:p>
        </w:tc>
        <w:tc>
          <w:tcPr>
            <w:tcW w:w="3681"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中介服务设定依据</w:t>
            </w:r>
          </w:p>
        </w:tc>
        <w:tc>
          <w:tcPr>
            <w:tcW w:w="1407"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中介服务实施机构</w:t>
            </w:r>
          </w:p>
        </w:tc>
        <w:tc>
          <w:tcPr>
            <w:tcW w:w="3417" w:type="dxa"/>
            <w:noWrap w:val="0"/>
            <w:vAlign w:val="center"/>
          </w:tcPr>
          <w:p>
            <w:pPr>
              <w:spacing w:line="0" w:lineRule="atLeast"/>
              <w:jc w:val="center"/>
              <w:rPr>
                <w:rFonts w:ascii="黑体" w:hAnsi="黑体" w:eastAsia="黑体" w:cs="宋体"/>
                <w:b/>
                <w:bCs/>
              </w:rPr>
            </w:pPr>
            <w:r>
              <w:rPr>
                <w:rFonts w:hint="eastAsia" w:ascii="黑体" w:hAnsi="黑体" w:eastAsia="黑体" w:cs="宋体"/>
                <w:b/>
                <w:bCs/>
              </w:rPr>
              <w:t>处理决定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3751" w:type="dxa"/>
            <w:gridSpan w:val="7"/>
            <w:noWrap w:val="0"/>
            <w:vAlign w:val="center"/>
          </w:tcPr>
          <w:p>
            <w:pPr>
              <w:spacing w:line="0" w:lineRule="atLeast"/>
              <w:jc w:val="center"/>
            </w:pPr>
            <w:r>
              <w:rPr>
                <w:rFonts w:hint="eastAsia"/>
                <w:b/>
                <w:bCs/>
              </w:rPr>
              <w:t>一、因行政许可取消而取消的中介服务事项（1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3" w:hRule="atLeast"/>
        </w:trPr>
        <w:tc>
          <w:tcPr>
            <w:tcW w:w="710" w:type="dxa"/>
            <w:noWrap w:val="0"/>
            <w:vAlign w:val="center"/>
          </w:tcPr>
          <w:p>
            <w:pPr>
              <w:spacing w:line="0" w:lineRule="atLeast"/>
              <w:jc w:val="center"/>
              <w:rPr>
                <w:rFonts w:ascii="宋体" w:hAnsi="宋体"/>
              </w:rPr>
            </w:pPr>
            <w:r>
              <w:rPr>
                <w:rFonts w:hint="eastAsia" w:ascii="宋体" w:hAnsi="宋体"/>
              </w:rPr>
              <w:t>1</w:t>
            </w:r>
          </w:p>
        </w:tc>
        <w:tc>
          <w:tcPr>
            <w:tcW w:w="1275" w:type="dxa"/>
            <w:noWrap w:val="0"/>
            <w:vAlign w:val="center"/>
          </w:tcPr>
          <w:p>
            <w:pPr>
              <w:spacing w:line="0" w:lineRule="atLeast"/>
              <w:rPr>
                <w:rFonts w:ascii="宋体" w:hAnsi="宋体"/>
              </w:rPr>
            </w:pPr>
            <w:r>
              <w:rPr>
                <w:rFonts w:hint="eastAsia" w:ascii="宋体" w:hAnsi="宋体"/>
              </w:rPr>
              <w:t>环境保护验收检测报告或调查报告编制</w:t>
            </w:r>
          </w:p>
        </w:tc>
        <w:tc>
          <w:tcPr>
            <w:tcW w:w="1701" w:type="dxa"/>
            <w:noWrap w:val="0"/>
            <w:vAlign w:val="center"/>
          </w:tcPr>
          <w:p>
            <w:pPr>
              <w:spacing w:line="0" w:lineRule="atLeast"/>
              <w:rPr>
                <w:rFonts w:ascii="宋体" w:hAnsi="宋体"/>
              </w:rPr>
            </w:pPr>
            <w:r>
              <w:rPr>
                <w:rFonts w:hint="eastAsia" w:ascii="宋体" w:hAnsi="宋体"/>
              </w:rPr>
              <w:t>建设项目环境保护设施竣工验收</w:t>
            </w:r>
          </w:p>
        </w:tc>
        <w:tc>
          <w:tcPr>
            <w:tcW w:w="1560" w:type="dxa"/>
            <w:noWrap w:val="0"/>
            <w:vAlign w:val="center"/>
          </w:tcPr>
          <w:p>
            <w:pPr>
              <w:spacing w:line="0" w:lineRule="atLeast"/>
              <w:rPr>
                <w:rFonts w:ascii="宋体" w:hAnsi="宋体"/>
              </w:rPr>
            </w:pPr>
            <w:r>
              <w:rPr>
                <w:rFonts w:hint="eastAsia" w:ascii="宋体" w:hAnsi="宋体"/>
              </w:rPr>
              <w:t>县环境保护局</w:t>
            </w:r>
          </w:p>
        </w:tc>
        <w:tc>
          <w:tcPr>
            <w:tcW w:w="3681" w:type="dxa"/>
            <w:noWrap w:val="0"/>
            <w:vAlign w:val="center"/>
          </w:tcPr>
          <w:p>
            <w:pPr>
              <w:spacing w:line="0" w:lineRule="atLeast"/>
              <w:rPr>
                <w:rFonts w:ascii="宋体" w:hAnsi="宋体"/>
              </w:rPr>
            </w:pPr>
            <w:r>
              <w:rPr>
                <w:rFonts w:hint="eastAsia" w:ascii="宋体" w:hAnsi="宋体"/>
              </w:rPr>
              <w:t>《建设项目环境保护管理条例》（国务院令第253号）</w:t>
            </w:r>
          </w:p>
          <w:p>
            <w:pPr>
              <w:spacing w:line="0" w:lineRule="atLeast"/>
              <w:rPr>
                <w:rFonts w:ascii="宋体" w:hAnsi="宋体"/>
              </w:rPr>
            </w:pPr>
            <w:r>
              <w:rPr>
                <w:rFonts w:hint="eastAsia" w:ascii="宋体" w:hAnsi="宋体"/>
              </w:rPr>
              <w:t>《建设项目竣工环境保护验收管理办法》（2001年12月27日国家环境保护总局令第13号）</w:t>
            </w:r>
          </w:p>
          <w:p>
            <w:pPr>
              <w:spacing w:line="0" w:lineRule="atLeast"/>
              <w:rPr>
                <w:rFonts w:ascii="宋体" w:hAnsi="宋体"/>
              </w:rPr>
            </w:pPr>
            <w:r>
              <w:rPr>
                <w:rFonts w:hint="eastAsia" w:ascii="宋体" w:hAnsi="宋体"/>
              </w:rPr>
              <w:t>《环境保护部关于印发&lt;环境保护部建设项目“三同时”监督检查和竣工环保验收管理规程（试行）&gt;的通知》（环发〔2009〕150号）</w:t>
            </w:r>
          </w:p>
        </w:tc>
        <w:tc>
          <w:tcPr>
            <w:tcW w:w="1407" w:type="dxa"/>
            <w:noWrap w:val="0"/>
            <w:vAlign w:val="center"/>
          </w:tcPr>
          <w:p>
            <w:pPr>
              <w:spacing w:line="0" w:lineRule="atLeast"/>
              <w:rPr>
                <w:rFonts w:ascii="宋体" w:hAnsi="宋体"/>
              </w:rPr>
            </w:pPr>
            <w:r>
              <w:rPr>
                <w:rFonts w:hint="eastAsia" w:ascii="宋体" w:hAnsi="宋体"/>
              </w:rPr>
              <w:t>经环境保护行政主管部门批准有资质的环境监测站或环境放射性检测站</w:t>
            </w:r>
          </w:p>
        </w:tc>
        <w:tc>
          <w:tcPr>
            <w:tcW w:w="3417" w:type="dxa"/>
            <w:noWrap w:val="0"/>
            <w:vAlign w:val="center"/>
          </w:tcPr>
          <w:p>
            <w:pPr>
              <w:spacing w:line="0" w:lineRule="atLeast"/>
              <w:rPr>
                <w:rFonts w:ascii="宋体" w:hAnsi="宋体"/>
              </w:rPr>
            </w:pPr>
            <w:r>
              <w:rPr>
                <w:rFonts w:hint="eastAsia" w:ascii="宋体" w:hAnsi="宋体"/>
              </w:rPr>
              <w:t>按照《云南省人民政府关于调整一批行政许可事项的决定》（云政发〔2018〕28号），取消“建设项目环境保护设施竣工验收”，推行“双随机、一公开”抽查，加强建设项目环境保护事中事后监管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3751" w:type="dxa"/>
            <w:gridSpan w:val="7"/>
            <w:noWrap w:val="0"/>
            <w:vAlign w:val="center"/>
          </w:tcPr>
          <w:p>
            <w:pPr>
              <w:spacing w:line="0" w:lineRule="atLeast"/>
              <w:jc w:val="center"/>
              <w:rPr>
                <w:rFonts w:hint="eastAsia"/>
              </w:rPr>
            </w:pPr>
            <w:r>
              <w:rPr>
                <w:rFonts w:hint="eastAsia"/>
                <w:b/>
                <w:bCs/>
              </w:rPr>
              <w:t>二、不再作为行政审批受理或许可条件的中介服务事项（2项）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ascii="宋体" w:hAnsi="宋体"/>
              </w:rPr>
            </w:pPr>
            <w:r>
              <w:rPr>
                <w:rFonts w:hint="eastAsia" w:ascii="宋体" w:hAnsi="宋体"/>
              </w:rPr>
              <w:t>2</w:t>
            </w:r>
          </w:p>
        </w:tc>
        <w:tc>
          <w:tcPr>
            <w:tcW w:w="1275" w:type="dxa"/>
            <w:noWrap w:val="0"/>
            <w:vAlign w:val="center"/>
          </w:tcPr>
          <w:p>
            <w:pPr>
              <w:spacing w:line="0" w:lineRule="atLeast"/>
              <w:rPr>
                <w:rFonts w:ascii="宋体" w:hAnsi="宋体"/>
              </w:rPr>
            </w:pPr>
            <w:r>
              <w:rPr>
                <w:rFonts w:hint="eastAsia" w:ascii="宋体" w:hAnsi="宋体"/>
              </w:rPr>
              <w:t>矿产资源勘查实施方案编制</w:t>
            </w:r>
          </w:p>
        </w:tc>
        <w:tc>
          <w:tcPr>
            <w:tcW w:w="1701" w:type="dxa"/>
            <w:noWrap w:val="0"/>
            <w:vAlign w:val="center"/>
          </w:tcPr>
          <w:p>
            <w:pPr>
              <w:spacing w:line="0" w:lineRule="atLeast"/>
              <w:rPr>
                <w:rFonts w:ascii="宋体" w:hAnsi="宋体"/>
              </w:rPr>
            </w:pPr>
            <w:r>
              <w:rPr>
                <w:rFonts w:hint="eastAsia" w:ascii="宋体" w:hAnsi="宋体"/>
              </w:rPr>
              <w:t>探矿权延续登记（探矿权新立、变更、延续、保留和注销登记的子项）</w:t>
            </w:r>
          </w:p>
        </w:tc>
        <w:tc>
          <w:tcPr>
            <w:tcW w:w="1560" w:type="dxa"/>
            <w:noWrap w:val="0"/>
            <w:vAlign w:val="center"/>
          </w:tcPr>
          <w:p>
            <w:pPr>
              <w:spacing w:line="0" w:lineRule="atLeast"/>
              <w:rPr>
                <w:rFonts w:ascii="宋体" w:hAnsi="宋体"/>
              </w:rPr>
            </w:pPr>
            <w:r>
              <w:rPr>
                <w:rFonts w:hint="eastAsia" w:ascii="宋体" w:hAnsi="宋体"/>
              </w:rPr>
              <w:t>县国土资源局</w:t>
            </w:r>
          </w:p>
        </w:tc>
        <w:tc>
          <w:tcPr>
            <w:tcW w:w="3681" w:type="dxa"/>
            <w:noWrap w:val="0"/>
            <w:vAlign w:val="center"/>
          </w:tcPr>
          <w:p>
            <w:pPr>
              <w:spacing w:line="0" w:lineRule="atLeast"/>
              <w:rPr>
                <w:rFonts w:hint="eastAsia" w:ascii="宋体" w:hAnsi="宋体"/>
              </w:rPr>
            </w:pPr>
            <w:r>
              <w:rPr>
                <w:rFonts w:hint="eastAsia" w:ascii="宋体" w:hAnsi="宋体"/>
              </w:rPr>
              <w:t>《国土资源部办公厅关于规范矿产资源勘查实施方案管理工作的通知》（国土资厅发</w:t>
            </w:r>
            <w:r>
              <w:rPr>
                <w:rFonts w:hint="eastAsia" w:ascii="宋体" w:hAnsi="宋体" w:cs="宋体"/>
              </w:rPr>
              <w:t>〔2010〕29号</w:t>
            </w:r>
            <w:r>
              <w:rPr>
                <w:rFonts w:hint="eastAsia" w:ascii="宋体" w:hAnsi="宋体"/>
              </w:rPr>
              <w:t>）</w:t>
            </w:r>
          </w:p>
          <w:p>
            <w:pPr>
              <w:spacing w:line="0" w:lineRule="atLeast"/>
              <w:rPr>
                <w:rFonts w:ascii="宋体" w:hAnsi="宋体"/>
              </w:rPr>
            </w:pPr>
          </w:p>
        </w:tc>
        <w:tc>
          <w:tcPr>
            <w:tcW w:w="1407" w:type="dxa"/>
            <w:noWrap w:val="0"/>
            <w:vAlign w:val="center"/>
          </w:tcPr>
          <w:p>
            <w:pPr>
              <w:spacing w:line="0" w:lineRule="atLeast"/>
              <w:rPr>
                <w:rFonts w:ascii="宋体" w:hAnsi="宋体"/>
              </w:rPr>
            </w:pPr>
            <w:r>
              <w:rPr>
                <w:rFonts w:hint="eastAsia" w:ascii="宋体" w:hAnsi="宋体"/>
              </w:rPr>
              <w:t>具有相应地质勘查资质的项目承担单位</w:t>
            </w:r>
          </w:p>
        </w:tc>
        <w:tc>
          <w:tcPr>
            <w:tcW w:w="3417" w:type="dxa"/>
            <w:noWrap w:val="0"/>
            <w:vAlign w:val="center"/>
          </w:tcPr>
          <w:p>
            <w:pPr>
              <w:spacing w:line="0" w:lineRule="atLeast"/>
              <w:rPr>
                <w:rFonts w:ascii="宋体" w:hAnsi="宋体"/>
              </w:rPr>
            </w:pPr>
            <w:r>
              <w:rPr>
                <w:rFonts w:hint="eastAsia" w:ascii="宋体" w:hAnsi="宋体"/>
              </w:rPr>
              <w:t>不再要求申请人提交经评审通过的矿产资源勘查实施方案，由国土资源行政主管部门自行编制或委托有关机构编制勘查实施方案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2" w:hRule="atLeast"/>
        </w:trPr>
        <w:tc>
          <w:tcPr>
            <w:tcW w:w="710" w:type="dxa"/>
            <w:noWrap w:val="0"/>
            <w:vAlign w:val="center"/>
          </w:tcPr>
          <w:p>
            <w:pPr>
              <w:spacing w:line="0" w:lineRule="atLeast"/>
              <w:jc w:val="center"/>
              <w:rPr>
                <w:rFonts w:ascii="宋体" w:hAnsi="宋体"/>
              </w:rPr>
            </w:pPr>
            <w:r>
              <w:rPr>
                <w:rFonts w:hint="eastAsia" w:ascii="宋体" w:hAnsi="宋体"/>
              </w:rPr>
              <w:t>3</w:t>
            </w:r>
          </w:p>
        </w:tc>
        <w:tc>
          <w:tcPr>
            <w:tcW w:w="1275" w:type="dxa"/>
            <w:noWrap w:val="0"/>
            <w:vAlign w:val="center"/>
          </w:tcPr>
          <w:p>
            <w:pPr>
              <w:spacing w:line="0" w:lineRule="atLeast"/>
              <w:rPr>
                <w:rFonts w:ascii="宋体" w:hAnsi="宋体"/>
              </w:rPr>
            </w:pPr>
            <w:r>
              <w:rPr>
                <w:rFonts w:hint="eastAsia" w:ascii="宋体" w:hAnsi="宋体"/>
              </w:rPr>
              <w:t>特种设备作业人员考试</w:t>
            </w:r>
          </w:p>
        </w:tc>
        <w:tc>
          <w:tcPr>
            <w:tcW w:w="1701" w:type="dxa"/>
            <w:noWrap w:val="0"/>
            <w:vAlign w:val="center"/>
          </w:tcPr>
          <w:p>
            <w:pPr>
              <w:spacing w:line="0" w:lineRule="atLeast"/>
              <w:rPr>
                <w:rFonts w:ascii="宋体" w:hAnsi="宋体"/>
              </w:rPr>
            </w:pPr>
            <w:r>
              <w:rPr>
                <w:rFonts w:hint="eastAsia" w:ascii="宋体" w:hAnsi="宋体"/>
              </w:rPr>
              <w:t>特种设备作业人员资格认定</w:t>
            </w:r>
          </w:p>
        </w:tc>
        <w:tc>
          <w:tcPr>
            <w:tcW w:w="1560" w:type="dxa"/>
            <w:noWrap w:val="0"/>
            <w:vAlign w:val="center"/>
          </w:tcPr>
          <w:p>
            <w:pPr>
              <w:spacing w:line="0" w:lineRule="atLeast"/>
              <w:rPr>
                <w:rFonts w:hint="eastAsia" w:ascii="宋体" w:hAnsi="宋体"/>
              </w:rPr>
            </w:pPr>
            <w:r>
              <w:rPr>
                <w:rFonts w:hint="eastAsia" w:ascii="宋体" w:hAnsi="宋体"/>
              </w:rPr>
              <w:t>县市场监管局</w:t>
            </w:r>
          </w:p>
        </w:tc>
        <w:tc>
          <w:tcPr>
            <w:tcW w:w="3681" w:type="dxa"/>
            <w:noWrap w:val="0"/>
            <w:vAlign w:val="center"/>
          </w:tcPr>
          <w:p>
            <w:pPr>
              <w:spacing w:line="0" w:lineRule="atLeast"/>
              <w:rPr>
                <w:rFonts w:hint="eastAsia" w:ascii="宋体" w:hAnsi="宋体"/>
              </w:rPr>
            </w:pPr>
            <w:r>
              <w:rPr>
                <w:rFonts w:hint="eastAsia" w:ascii="宋体" w:hAnsi="宋体"/>
              </w:rPr>
              <w:t>《中华人民共和国特种设备安全法》</w:t>
            </w:r>
          </w:p>
          <w:p>
            <w:pPr>
              <w:spacing w:line="0" w:lineRule="atLeast"/>
              <w:rPr>
                <w:rFonts w:hint="eastAsia" w:ascii="宋体" w:hAnsi="宋体"/>
              </w:rPr>
            </w:pPr>
            <w:r>
              <w:rPr>
                <w:rFonts w:hint="eastAsia" w:ascii="宋体" w:hAnsi="宋体"/>
              </w:rPr>
              <w:t>《特种设备作业人员考核规则》（TSGZ6001—2013）</w:t>
            </w:r>
          </w:p>
          <w:p>
            <w:pPr>
              <w:spacing w:line="0" w:lineRule="atLeast"/>
              <w:rPr>
                <w:rFonts w:ascii="宋体" w:hAnsi="宋体"/>
              </w:rPr>
            </w:pPr>
          </w:p>
        </w:tc>
        <w:tc>
          <w:tcPr>
            <w:tcW w:w="1407" w:type="dxa"/>
            <w:noWrap w:val="0"/>
            <w:vAlign w:val="center"/>
          </w:tcPr>
          <w:p>
            <w:pPr>
              <w:spacing w:line="0" w:lineRule="atLeast"/>
              <w:rPr>
                <w:rFonts w:ascii="宋体" w:hAnsi="宋体"/>
              </w:rPr>
            </w:pPr>
            <w:r>
              <w:rPr>
                <w:rFonts w:hint="eastAsia" w:ascii="宋体" w:hAnsi="宋体"/>
              </w:rPr>
              <w:t>审批部门指定并公布的考试机构</w:t>
            </w:r>
          </w:p>
        </w:tc>
        <w:tc>
          <w:tcPr>
            <w:tcW w:w="3417" w:type="dxa"/>
            <w:noWrap w:val="0"/>
            <w:vAlign w:val="center"/>
          </w:tcPr>
          <w:p>
            <w:pPr>
              <w:spacing w:line="0" w:lineRule="atLeast"/>
              <w:rPr>
                <w:rFonts w:ascii="宋体" w:hAnsi="宋体"/>
              </w:rPr>
            </w:pPr>
            <w:r>
              <w:rPr>
                <w:rFonts w:hint="eastAsia" w:ascii="宋体" w:hAnsi="宋体"/>
              </w:rPr>
              <w:t>不再要求申请人委托有关机构提供考试服务，改由审批部门委托有关机构对申请人进行考试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3751" w:type="dxa"/>
            <w:gridSpan w:val="7"/>
            <w:noWrap w:val="0"/>
            <w:vAlign w:val="center"/>
          </w:tcPr>
          <w:p>
            <w:pPr>
              <w:spacing w:line="0" w:lineRule="atLeast"/>
              <w:jc w:val="center"/>
            </w:pPr>
            <w:r>
              <w:rPr>
                <w:rFonts w:hint="eastAsia"/>
                <w:b/>
                <w:bCs/>
              </w:rPr>
              <w:t>三、不再作为强制性的中介服务事项（1项）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3" w:hRule="atLeast"/>
        </w:trPr>
        <w:tc>
          <w:tcPr>
            <w:tcW w:w="710" w:type="dxa"/>
            <w:noWrap w:val="0"/>
            <w:vAlign w:val="center"/>
          </w:tcPr>
          <w:p>
            <w:pPr>
              <w:spacing w:line="0" w:lineRule="atLeast"/>
              <w:jc w:val="center"/>
              <w:rPr>
                <w:rFonts w:ascii="宋体" w:hAnsi="宋体"/>
              </w:rPr>
            </w:pPr>
            <w:r>
              <w:rPr>
                <w:rFonts w:hint="eastAsia" w:ascii="宋体" w:hAnsi="宋体"/>
              </w:rPr>
              <w:t>4</w:t>
            </w:r>
          </w:p>
        </w:tc>
        <w:tc>
          <w:tcPr>
            <w:tcW w:w="1275" w:type="dxa"/>
            <w:noWrap w:val="0"/>
            <w:vAlign w:val="center"/>
          </w:tcPr>
          <w:p>
            <w:pPr>
              <w:spacing w:line="0" w:lineRule="atLeast"/>
              <w:rPr>
                <w:rFonts w:ascii="宋体" w:hAnsi="宋体"/>
              </w:rPr>
            </w:pPr>
            <w:r>
              <w:rPr>
                <w:rFonts w:hint="eastAsia" w:ascii="宋体" w:hAnsi="宋体"/>
              </w:rPr>
              <w:t>固定资产投资项目节能报告编制</w:t>
            </w:r>
          </w:p>
        </w:tc>
        <w:tc>
          <w:tcPr>
            <w:tcW w:w="1701" w:type="dxa"/>
            <w:noWrap w:val="0"/>
            <w:vAlign w:val="center"/>
          </w:tcPr>
          <w:p>
            <w:pPr>
              <w:spacing w:line="0" w:lineRule="atLeast"/>
              <w:rPr>
                <w:rFonts w:ascii="宋体" w:hAnsi="宋体"/>
              </w:rPr>
            </w:pPr>
            <w:r>
              <w:rPr>
                <w:rFonts w:hint="eastAsia" w:ascii="宋体" w:hAnsi="宋体"/>
              </w:rPr>
              <w:t>固定资产投资项目节能审查</w:t>
            </w:r>
          </w:p>
        </w:tc>
        <w:tc>
          <w:tcPr>
            <w:tcW w:w="1560" w:type="dxa"/>
            <w:noWrap w:val="0"/>
            <w:vAlign w:val="center"/>
          </w:tcPr>
          <w:p>
            <w:pPr>
              <w:spacing w:line="0" w:lineRule="atLeast"/>
              <w:rPr>
                <w:rFonts w:ascii="宋体" w:hAnsi="宋体"/>
              </w:rPr>
            </w:pPr>
            <w:r>
              <w:rPr>
                <w:rFonts w:hint="eastAsia" w:ascii="宋体" w:hAnsi="宋体"/>
              </w:rPr>
              <w:t>县发展和改革局</w:t>
            </w:r>
          </w:p>
        </w:tc>
        <w:tc>
          <w:tcPr>
            <w:tcW w:w="3681" w:type="dxa"/>
            <w:noWrap w:val="0"/>
            <w:vAlign w:val="center"/>
          </w:tcPr>
          <w:p>
            <w:pPr>
              <w:spacing w:line="0" w:lineRule="atLeast"/>
              <w:rPr>
                <w:rFonts w:ascii="宋体" w:hAnsi="宋体"/>
              </w:rPr>
            </w:pPr>
            <w:r>
              <w:rPr>
                <w:rFonts w:hint="eastAsia" w:ascii="宋体" w:hAnsi="宋体"/>
              </w:rPr>
              <w:t>《固定资产投资项目节能审查办法》（2016年11月27日国家发展改革委令第44号）</w:t>
            </w:r>
          </w:p>
        </w:tc>
        <w:tc>
          <w:tcPr>
            <w:tcW w:w="1407" w:type="dxa"/>
            <w:noWrap w:val="0"/>
            <w:vAlign w:val="center"/>
          </w:tcPr>
          <w:p>
            <w:pPr>
              <w:spacing w:line="0" w:lineRule="atLeast"/>
              <w:rPr>
                <w:rFonts w:ascii="宋体" w:hAnsi="宋体"/>
              </w:rPr>
            </w:pPr>
            <w:r>
              <w:rPr>
                <w:rFonts w:hint="eastAsia" w:ascii="宋体" w:hAnsi="宋体"/>
              </w:rPr>
              <w:t>具有相应资质或专业能力的机构</w:t>
            </w:r>
          </w:p>
        </w:tc>
        <w:tc>
          <w:tcPr>
            <w:tcW w:w="3417" w:type="dxa"/>
            <w:noWrap w:val="0"/>
            <w:vAlign w:val="center"/>
          </w:tcPr>
          <w:p>
            <w:pPr>
              <w:spacing w:line="0" w:lineRule="atLeast"/>
              <w:rPr>
                <w:rFonts w:ascii="宋体" w:hAnsi="宋体"/>
                <w:spacing w:val="-5"/>
              </w:rPr>
            </w:pPr>
            <w:r>
              <w:rPr>
                <w:rFonts w:hint="eastAsia" w:ascii="宋体" w:hAnsi="宋体"/>
                <w:spacing w:val="-5"/>
              </w:rPr>
              <w:t>申请人可按照要求自行编制节能报告，也可委托有关机构编制，审批部门不得以任何形式要求申请人必须委托特定中介机构提供服务；保留审批部门现有的固定资产投资项目节能报告技术评估、评审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3751" w:type="dxa"/>
            <w:gridSpan w:val="7"/>
            <w:noWrap w:val="0"/>
            <w:vAlign w:val="center"/>
          </w:tcPr>
          <w:p>
            <w:pPr>
              <w:spacing w:line="0" w:lineRule="atLeast"/>
              <w:jc w:val="center"/>
            </w:pPr>
            <w:r>
              <w:rPr>
                <w:rFonts w:hint="eastAsia"/>
                <w:b/>
                <w:bCs/>
              </w:rPr>
              <w:t>四、不得指定中介机构的中介服务事项（1项）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9" w:hRule="atLeast"/>
        </w:trPr>
        <w:tc>
          <w:tcPr>
            <w:tcW w:w="710" w:type="dxa"/>
            <w:noWrap w:val="0"/>
            <w:vAlign w:val="center"/>
          </w:tcPr>
          <w:p>
            <w:pPr>
              <w:spacing w:line="0" w:lineRule="atLeast"/>
              <w:jc w:val="center"/>
              <w:rPr>
                <w:rFonts w:ascii="宋体" w:hAnsi="宋体"/>
              </w:rPr>
            </w:pPr>
            <w:r>
              <w:rPr>
                <w:rFonts w:hint="eastAsia" w:ascii="宋体" w:hAnsi="宋体"/>
              </w:rPr>
              <w:t>5</w:t>
            </w:r>
          </w:p>
        </w:tc>
        <w:tc>
          <w:tcPr>
            <w:tcW w:w="1275" w:type="dxa"/>
            <w:noWrap w:val="0"/>
            <w:vAlign w:val="center"/>
          </w:tcPr>
          <w:p>
            <w:pPr>
              <w:spacing w:line="0" w:lineRule="atLeast"/>
              <w:rPr>
                <w:rFonts w:ascii="宋体" w:hAnsi="宋体"/>
              </w:rPr>
            </w:pPr>
            <w:r>
              <w:rPr>
                <w:rFonts w:hint="eastAsia" w:ascii="宋体" w:hAnsi="宋体"/>
              </w:rPr>
              <w:t>道路运输车辆燃料消耗量检测</w:t>
            </w:r>
          </w:p>
        </w:tc>
        <w:tc>
          <w:tcPr>
            <w:tcW w:w="1701" w:type="dxa"/>
            <w:noWrap w:val="0"/>
            <w:vAlign w:val="center"/>
          </w:tcPr>
          <w:p>
            <w:pPr>
              <w:spacing w:line="0" w:lineRule="atLeast"/>
              <w:rPr>
                <w:rFonts w:ascii="宋体" w:hAnsi="宋体"/>
              </w:rPr>
            </w:pPr>
            <w:r>
              <w:rPr>
                <w:rFonts w:hint="eastAsia" w:ascii="宋体" w:hAnsi="宋体"/>
              </w:rPr>
              <w:t>道路旅客运输经营许可</w:t>
            </w:r>
          </w:p>
        </w:tc>
        <w:tc>
          <w:tcPr>
            <w:tcW w:w="1560" w:type="dxa"/>
            <w:noWrap w:val="0"/>
            <w:vAlign w:val="center"/>
          </w:tcPr>
          <w:p>
            <w:pPr>
              <w:spacing w:line="0" w:lineRule="atLeast"/>
              <w:rPr>
                <w:rFonts w:ascii="宋体" w:hAnsi="宋体"/>
              </w:rPr>
            </w:pPr>
            <w:r>
              <w:rPr>
                <w:rFonts w:hint="eastAsia" w:ascii="宋体" w:hAnsi="宋体"/>
              </w:rPr>
              <w:t>县运管分局</w:t>
            </w:r>
          </w:p>
        </w:tc>
        <w:tc>
          <w:tcPr>
            <w:tcW w:w="3681" w:type="dxa"/>
            <w:noWrap w:val="0"/>
            <w:vAlign w:val="center"/>
          </w:tcPr>
          <w:p>
            <w:pPr>
              <w:spacing w:line="0" w:lineRule="atLeast"/>
              <w:rPr>
                <w:rFonts w:hint="eastAsia" w:ascii="宋体" w:hAnsi="宋体"/>
              </w:rPr>
            </w:pPr>
            <w:r>
              <w:rPr>
                <w:rFonts w:hint="eastAsia" w:ascii="宋体" w:hAnsi="宋体"/>
              </w:rPr>
              <w:t>《中华人民共和国节约能源法》</w:t>
            </w:r>
          </w:p>
          <w:p>
            <w:pPr>
              <w:spacing w:line="0" w:lineRule="atLeast"/>
              <w:rPr>
                <w:rFonts w:ascii="宋体" w:hAnsi="宋体"/>
              </w:rPr>
            </w:pPr>
            <w:r>
              <w:rPr>
                <w:rFonts w:hint="eastAsia" w:ascii="宋体" w:hAnsi="宋体"/>
              </w:rPr>
              <w:t>《道路运输车辆燃料消耗量检测和监督管理办法》（2009年6月26日交通运输部令第11号）</w:t>
            </w:r>
          </w:p>
        </w:tc>
        <w:tc>
          <w:tcPr>
            <w:tcW w:w="1407" w:type="dxa"/>
            <w:noWrap w:val="0"/>
            <w:vAlign w:val="center"/>
          </w:tcPr>
          <w:p>
            <w:pPr>
              <w:spacing w:line="0" w:lineRule="atLeast"/>
              <w:rPr>
                <w:rFonts w:ascii="宋体" w:hAnsi="宋体"/>
              </w:rPr>
            </w:pPr>
            <w:r>
              <w:rPr>
                <w:rFonts w:hint="eastAsia" w:ascii="宋体" w:hAnsi="宋体"/>
              </w:rPr>
              <w:t>汽车综合性能检测机构</w:t>
            </w:r>
          </w:p>
        </w:tc>
        <w:tc>
          <w:tcPr>
            <w:tcW w:w="3417" w:type="dxa"/>
            <w:noWrap w:val="0"/>
            <w:vAlign w:val="center"/>
          </w:tcPr>
          <w:p>
            <w:pPr>
              <w:spacing w:line="0" w:lineRule="atLeast"/>
              <w:rPr>
                <w:rFonts w:ascii="宋体" w:hAnsi="宋体"/>
              </w:rPr>
            </w:pPr>
            <w:r>
              <w:rPr>
                <w:rFonts w:hint="eastAsia" w:ascii="宋体" w:hAnsi="宋体"/>
              </w:rPr>
              <w:t>申请人可以委托具有相应资质的机动车综合性能检测机构对道路运输车辆进行燃料消耗量检测，审批部门不得以任何形式要求申请人必须委托特定中介机构提供服务</w:t>
            </w:r>
          </w:p>
        </w:tc>
      </w:tr>
    </w:tbl>
    <w:p/>
    <w:p/>
    <w:p>
      <w:pPr>
        <w:ind w:left="1"/>
        <w:rPr>
          <w:rFonts w:hint="eastAsia"/>
        </w:rPr>
      </w:pPr>
    </w:p>
    <w:p/>
    <w:sectPr>
      <w:pgSz w:w="16838" w:h="11906" w:orient="landscape"/>
      <w:pgMar w:top="1531" w:right="2098" w:bottom="1531" w:left="2098" w:header="851" w:footer="1474" w:gutter="0"/>
      <w:cols w:space="425" w:num="1"/>
      <w:docGrid w:type="linesAndChars"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D26F5"/>
    <w:rsid w:val="255B3ADA"/>
    <w:rsid w:val="348339D5"/>
    <w:rsid w:val="3FCD26F5"/>
    <w:rsid w:val="6569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2021-05-26T01:20:00Z</dcterms:created>
  <dc:creator>Administrator</dc:creator>
  <cp:lastModifiedBy>Administrator</cp:lastModifiedBy>
  <dcterms:modified xsi:type="dcterms:W3CDTF">2021-05-26T01:26:28Z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