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sz w:val="52"/>
          <w:szCs w:val="52"/>
        </w:rPr>
        <w:pict>
          <v:shape id="_x0000_s1026" o:spid="_x0000_s1026" o:spt="136" type="#_x0000_t136" style="position:absolute;left:0pt;margin-left:-19.6pt;margin-top:24.5pt;height:70.2pt;width:477pt;z-index:251658240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text="f"/>
            <v:textpath on="t" fitshape="t" fitpath="t" trim="t" xscale="f" string="石林彝族自治县行政审批制度改革工作领导小组办公室文件" style="font-family:方正小标宋简体;font-size:36pt;v-text-align:center;"/>
          </v:shape>
        </w:pic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240" w:lineRule="atLeast"/>
        <w:ind w:firstLine="358" w:firstLineChars="112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40" w:lineRule="atLeast"/>
        <w:ind w:firstLine="358" w:firstLineChars="112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40" w:lineRule="atLeast"/>
        <w:ind w:firstLine="358" w:firstLineChars="112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石审改办发〔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20〕6号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color w:val="CC0000"/>
          <w:u w:val="thick"/>
        </w:rPr>
        <w:pict>
          <v:line id="_x0000_s1027" o:spid="_x0000_s1027" o:spt="20" style="position:absolute;left:0pt;flip:y;margin-left:-17.2pt;margin-top:1.9pt;height:0pt;width:470pt;z-index:251664384;mso-width-relative:page;mso-height-relative:page;" stroked="t" coordsize="21600,21600" o:gfxdata="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zfEoLZAAAABwEAAA8AAAAAAAAA&#10;AQAgAAAAIgAAAGRycy9kb3ducmV2LnhtbFBLAQIUABQAAAAIAIdO4kAyd5Lx1wEAAJgDAAAOAAAA&#10;AAAAAAEAIAAAACgBAABkcnMvZTJvRG9jLnhtbFBLBQYAAAAABgAGAFkBAABxBQAAAAA=&#10;">
            <v:path arrowok="t"/>
            <v:fill focussize="0,0"/>
            <v:stroke weight="2.25pt" color="#FF0000"/>
            <v:imagedata o:title=""/>
            <o:lock v:ext="edit"/>
          </v:line>
        </w:pic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关于调整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行政权力事项的通知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各乡镇人民政府（街道办事处），县直各部委办局、人民团体、企事业单位：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转变政府职能</w:t>
      </w:r>
      <w:r>
        <w:rPr>
          <w:rFonts w:hint="eastAsia" w:ascii="仿宋_GB2312" w:hAnsi="仿宋_GB2312" w:eastAsia="仿宋_GB2312" w:cs="仿宋_GB2312"/>
          <w:sz w:val="32"/>
          <w:szCs w:val="32"/>
        </w:rPr>
        <w:t>，深化“放管服”改革优化营商环境，根据《云南省人民政府关于调整23项行政权力事项的决定》（云政发〔2020〕31号）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《昆明市人民政府办公室关于转发省人民政府关于调整23项行政权力事项的决定的通知》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，省人民政府决定调整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项行政权力事项,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取消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承接８项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许可改为备案１项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，结合我县实际，其中涉及取消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3项，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</w:t>
      </w:r>
      <w:r>
        <w:rPr>
          <w:rFonts w:hint="eastAsia" w:ascii="仿宋_GB2312" w:hAnsi="仿宋_GB2312" w:eastAsia="仿宋_GB2312" w:cs="仿宋_GB2312"/>
          <w:sz w:val="32"/>
          <w:szCs w:val="32"/>
        </w:rPr>
        <w:t>下要求：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color w:val="auto"/>
          <w:sz w:val="32"/>
          <w:szCs w:val="32"/>
          <w:lang w:eastAsia="zh-CN"/>
        </w:rPr>
        <w:t>一、</w:t>
      </w:r>
      <w:r>
        <w:rPr>
          <w:rFonts w:hint="eastAsia" w:ascii="仿宋_GB2312" w:eastAsia="仿宋_GB2312" w:hAnsiTheme="minorEastAsia"/>
          <w:b/>
          <w:bCs/>
          <w:color w:val="auto"/>
          <w:sz w:val="32"/>
          <w:szCs w:val="32"/>
        </w:rPr>
        <w:t>请</w:t>
      </w:r>
      <w:r>
        <w:rPr>
          <w:rFonts w:hint="eastAsia" w:ascii="仿宋_GB2312" w:eastAsia="仿宋_GB2312" w:hAnsiTheme="minorEastAsia"/>
          <w:b/>
          <w:bCs/>
          <w:color w:val="auto"/>
          <w:sz w:val="32"/>
          <w:szCs w:val="32"/>
          <w:lang w:eastAsia="zh-CN"/>
        </w:rPr>
        <w:t>县公安局、县卫健局、县林草局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认真做好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涉及取消的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3项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行政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许可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事项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衔接工作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对取消的事项，一律不得再实施或变相审批，并根据《国务院关于加强和规范事中事后监管的指导意见》（国发〔2019〕18号）要求，制定切实有效措施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加强事中事后监管，避免出现管理真空。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Cs w:val="32"/>
        </w:rPr>
        <w:t xml:space="preserve">  </w:t>
      </w:r>
      <w:r>
        <w:rPr>
          <w:rFonts w:hint="eastAsia" w:ascii="仿宋_GB2312" w:eastAsia="仿宋_GB2312"/>
          <w:b/>
          <w:bCs/>
          <w:color w:val="333333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lang w:eastAsia="zh-CN"/>
        </w:rPr>
        <w:t>二、请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单位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认真做好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涉及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调整的行政权力事项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落实和衔接工作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于2020年12月17日（星期四）前根据调整结果,同步调整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《石林县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政务服务事项基本目录(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年版)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》，权责清单、政务服务事项清单、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本地本部门政府网站、同级政务服务大厅（窗口）公布的行政权力事项，并按照规定向社会公布事中事后监管措施，加强宣传解读和督促落实。</w:t>
      </w:r>
    </w:p>
    <w:p>
      <w:pPr>
        <w:spacing w:line="560" w:lineRule="exact"/>
        <w:ind w:left="1918" w:leftChars="304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1918" w:leftChars="304" w:hanging="1280" w:hangingChars="400"/>
        <w:rPr>
          <w:rFonts w:hint="eastAsia" w:ascii="仿宋_GB2312" w:hAnsi="仿宋_GB2312" w:eastAsia="仿宋_GB2312" w:cs="Arial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附件：1.石林彝族自治县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县级部门取消</w:t>
      </w:r>
      <w:r>
        <w:rPr>
          <w:rFonts w:hint="eastAsia" w:ascii="仿宋_GB2312" w:hAnsi="仿宋_GB2312" w:eastAsia="仿宋_GB2312" w:cs="仿宋_GB2312"/>
          <w:sz w:val="32"/>
          <w:szCs w:val="32"/>
        </w:rPr>
        <w:t>的行政权力事项</w:t>
      </w:r>
      <w:r>
        <w:rPr>
          <w:rFonts w:hint="eastAsia" w:ascii="仿宋_GB2312" w:hAnsi="仿宋_GB2312" w:eastAsia="仿宋_GB2312" w:cs="Arial"/>
          <w:sz w:val="32"/>
          <w:szCs w:val="32"/>
        </w:rPr>
        <w:t xml:space="preserve"> </w:t>
      </w:r>
    </w:p>
    <w:p>
      <w:pPr>
        <w:spacing w:line="560" w:lineRule="exact"/>
        <w:ind w:left="1918" w:leftChars="304" w:hanging="1280" w:hangingChars="400"/>
        <w:rPr>
          <w:rFonts w:hint="eastAsia" w:ascii="仿宋_GB2312" w:hAnsi="仿宋_GB2312" w:eastAsia="仿宋_GB2312" w:cs="Arial"/>
          <w:sz w:val="32"/>
          <w:szCs w:val="32"/>
        </w:rPr>
      </w:pPr>
      <w:r>
        <w:rPr>
          <w:rFonts w:hint="eastAsia" w:ascii="仿宋_GB2312" w:hAnsi="仿宋_GB2312" w:eastAsia="仿宋_GB2312" w:cs="Arial"/>
          <w:sz w:val="32"/>
          <w:szCs w:val="32"/>
        </w:rPr>
        <w:t xml:space="preserve">      2.</w:t>
      </w:r>
      <w:r>
        <w:rPr>
          <w:rFonts w:hint="eastAsia" w:ascii="仿宋_GB2312" w:eastAsia="仿宋_GB2312"/>
          <w:sz w:val="32"/>
          <w:szCs w:val="32"/>
        </w:rPr>
        <w:t>云南省人民政府关于调整23项行政权力事项的决定（云政发〔2020〕31号）</w:t>
      </w:r>
    </w:p>
    <w:p>
      <w:pPr>
        <w:spacing w:line="560" w:lineRule="exact"/>
        <w:rPr>
          <w:rFonts w:hint="eastAsia" w:ascii="仿宋_GB2312" w:hAnsi="仿宋_GB2312" w:eastAsia="仿宋_GB2312" w:cs="Arial"/>
          <w:sz w:val="32"/>
          <w:szCs w:val="32"/>
        </w:rPr>
      </w:pPr>
    </w:p>
    <w:p>
      <w:pPr>
        <w:spacing w:line="560" w:lineRule="exact"/>
        <w:ind w:firstLine="320" w:firstLineChars="1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石林彝族自治县行政审批制度改革</w:t>
      </w:r>
    </w:p>
    <w:p>
      <w:pPr>
        <w:spacing w:line="560" w:lineRule="exact"/>
        <w:ind w:firstLine="320" w:firstLineChars="100"/>
        <w:jc w:val="right"/>
        <w:rPr>
          <w:rFonts w:hint="eastAsia" w:ascii="仿宋_GB2312" w:hAnsi="仿宋_GB2312" w:eastAsia="仿宋_GB2312" w:cs="Arial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工作领导小组办公室</w:t>
      </w:r>
    </w:p>
    <w:p>
      <w:pPr>
        <w:spacing w:line="560" w:lineRule="exact"/>
        <w:ind w:firstLine="63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spacing w:line="560" w:lineRule="exact"/>
        <w:ind w:firstLine="5760" w:firstLineChars="1800"/>
        <w:rPr>
          <w:rFonts w:hint="eastAsia" w:ascii="仿宋_GB2312" w:eastAsia="仿宋_GB2312" w:cs="Arial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2020年12月9日</w:t>
      </w:r>
    </w:p>
    <w:p>
      <w:pPr>
        <w:spacing w:line="560" w:lineRule="exact"/>
        <w:ind w:firstLine="420" w:firstLineChars="200"/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both"/>
        <w:rPr>
          <w:rFonts w:ascii="方正小标宋简体" w:hAnsi="黑体" w:eastAsia="方正小标宋简体" w:cs="仿宋_GB2312"/>
          <w:sz w:val="44"/>
          <w:szCs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hint="eastAsia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附件</w:t>
      </w:r>
      <w:r>
        <w:rPr>
          <w:rFonts w:hint="eastAsia"/>
          <w:color w:val="000000"/>
          <w:sz w:val="30"/>
          <w:szCs w:val="30"/>
        </w:rPr>
        <w:t>1</w:t>
      </w:r>
    </w:p>
    <w:p>
      <w:pPr>
        <w:jc w:val="center"/>
        <w:rPr>
          <w:rFonts w:hint="eastAsia" w:ascii="方正小标宋简体" w:hAnsi="黑体" w:eastAsia="方正小标宋简体" w:cs="仿宋_GB2312"/>
          <w:sz w:val="36"/>
          <w:szCs w:val="36"/>
        </w:rPr>
      </w:pPr>
      <w:r>
        <w:rPr>
          <w:rFonts w:hint="eastAsia" w:ascii="方正小标宋简体" w:hAnsi="黑体" w:eastAsia="方正小标宋简体" w:cs="仿宋_GB2312"/>
          <w:sz w:val="36"/>
          <w:szCs w:val="36"/>
        </w:rPr>
        <w:t>石林彝族自治县</w:t>
      </w:r>
      <w:r>
        <w:rPr>
          <w:rFonts w:hint="eastAsia" w:ascii="方正小标宋简体" w:hAnsi="黑体" w:eastAsia="方正小标宋简体" w:cs="仿宋_GB2312"/>
          <w:sz w:val="36"/>
          <w:szCs w:val="36"/>
          <w:lang w:eastAsia="zh-CN"/>
        </w:rPr>
        <w:t>县级部门取消</w:t>
      </w:r>
      <w:r>
        <w:rPr>
          <w:rFonts w:hint="eastAsia" w:ascii="方正小标宋简体" w:hAnsi="黑体" w:eastAsia="方正小标宋简体" w:cs="仿宋_GB2312"/>
          <w:sz w:val="36"/>
          <w:szCs w:val="36"/>
        </w:rPr>
        <w:t>的行政权力事项</w:t>
      </w:r>
    </w:p>
    <w:tbl>
      <w:tblPr>
        <w:tblStyle w:val="8"/>
        <w:tblW w:w="1475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1417"/>
        <w:gridCol w:w="1134"/>
        <w:gridCol w:w="1560"/>
        <w:gridCol w:w="1275"/>
        <w:gridCol w:w="4078"/>
        <w:gridCol w:w="31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ascii="FZHei-B01" w:hAnsi="FZHei-B01" w:eastAsia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方正小标宋简体" w:hAnsi="黑体" w:eastAsia="方正小标宋简体" w:cs="仿宋_GB2312"/>
                <w:b/>
                <w:szCs w:val="21"/>
              </w:rPr>
            </w:pPr>
            <w:r>
              <w:rPr>
                <w:rFonts w:ascii="FZHei-B01" w:hAnsi="FZHei-B01" w:eastAsia="宋体" w:cs="宋体"/>
                <w:b/>
                <w:color w:val="000000"/>
                <w:kern w:val="0"/>
                <w:szCs w:val="21"/>
              </w:rPr>
              <w:t>事项名称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ascii="FZHei-B01" w:hAnsi="FZHei-B01" w:eastAsia="宋体" w:cs="宋体"/>
                <w:b/>
                <w:color w:val="000000"/>
                <w:kern w:val="0"/>
                <w:szCs w:val="21"/>
              </w:rPr>
              <w:t>实施部门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ascii="FZHei-B01" w:hAnsi="FZHei-B01" w:eastAsia="宋体" w:cs="宋体"/>
                <w:b/>
                <w:color w:val="000000"/>
                <w:kern w:val="0"/>
                <w:szCs w:val="21"/>
              </w:rPr>
              <w:t>及行使层级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方正小标宋简体" w:hAnsi="黑体" w:eastAsia="方正小标宋简体" w:cs="仿宋_GB2312"/>
                <w:b/>
                <w:szCs w:val="21"/>
              </w:rPr>
            </w:pPr>
            <w:r>
              <w:rPr>
                <w:rFonts w:ascii="FZHei-B01" w:hAnsi="FZHei-B01" w:eastAsia="宋体" w:cs="宋体"/>
                <w:b/>
                <w:color w:val="000000"/>
                <w:kern w:val="0"/>
                <w:szCs w:val="21"/>
              </w:rPr>
              <w:t>事项类型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ascii="FZHei-B01" w:hAnsi="FZHei-B01" w:eastAsia="宋体" w:cs="宋体"/>
                <w:b/>
                <w:color w:val="000000"/>
                <w:kern w:val="0"/>
                <w:szCs w:val="21"/>
              </w:rPr>
              <w:t>设定依据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方正小标宋简体" w:hAnsi="黑体" w:eastAsia="方正小标宋简体" w:cs="仿宋_GB2312"/>
                <w:b/>
                <w:szCs w:val="21"/>
              </w:rPr>
            </w:pPr>
            <w:r>
              <w:rPr>
                <w:rFonts w:ascii="FZHei-B01" w:hAnsi="FZHei-B01" w:eastAsia="宋体" w:cs="宋体"/>
                <w:b/>
                <w:color w:val="000000"/>
                <w:kern w:val="0"/>
                <w:szCs w:val="21"/>
              </w:rPr>
              <w:t>调整方式</w:t>
            </w:r>
          </w:p>
        </w:tc>
        <w:tc>
          <w:tcPr>
            <w:tcW w:w="40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ascii="FZHei-B01" w:hAnsi="FZHei-B01" w:eastAsia="宋体" w:cs="宋体"/>
                <w:b/>
                <w:color w:val="000000"/>
                <w:kern w:val="0"/>
                <w:szCs w:val="21"/>
              </w:rPr>
              <w:t>加强事中事后监管措施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 w:ascii="方正小标宋简体" w:hAnsi="黑体" w:eastAsia="方正小标宋简体" w:cs="仿宋_GB2312"/>
                <w:b/>
                <w:szCs w:val="21"/>
              </w:rPr>
            </w:pPr>
            <w:r>
              <w:rPr>
                <w:rFonts w:ascii="FZHei-B01" w:hAnsi="FZHei-B01" w:eastAsia="宋体" w:cs="宋体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Cs w:val="21"/>
              </w:rPr>
            </w:pPr>
            <w:r>
              <w:rPr>
                <w:rFonts w:hint="eastAsia" w:ascii="仿宋_GB2312" w:hAnsi="黑体" w:eastAsia="仿宋_GB2312" w:cs="仿宋_GB2312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 w:cs="仿宋_GB2312"/>
                <w:szCs w:val="21"/>
              </w:rPr>
            </w:pPr>
            <w:r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  <w:t>典当业特种行业许可证核发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  <w:t>公安机关</w:t>
            </w:r>
          </w:p>
          <w:p>
            <w:pPr>
              <w:jc w:val="center"/>
              <w:rPr>
                <w:rFonts w:hint="eastAsia" w:ascii="仿宋_GB2312" w:hAnsi="黑体" w:eastAsia="仿宋_GB2312" w:cs="仿宋_GB2312"/>
                <w:szCs w:val="21"/>
              </w:rPr>
            </w:pPr>
            <w:r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  <w:t>（县）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Cs w:val="21"/>
              </w:rPr>
            </w:pPr>
            <w:r>
              <w:rPr>
                <w:rFonts w:hint="eastAsia" w:ascii="仿宋_GB2312" w:hAnsi="黑体" w:eastAsia="仿宋_GB2312" w:cs="仿宋_GB2312"/>
                <w:szCs w:val="21"/>
              </w:rPr>
              <w:t>行政许可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  <w:t>《国务院对确需保留的行政审批项目设定行政许可的决定》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  <w:t>《典当管理办法》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  <w:t>《云南省人民政府关于调整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112</w:t>
            </w:r>
            <w:r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  <w:t>项涉及州级及以下行政权力事项的决定》（云政发〔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2020</w:t>
            </w:r>
            <w:r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21</w:t>
            </w:r>
            <w:r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  <w:t>号）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Cs w:val="21"/>
              </w:rPr>
            </w:pPr>
            <w:r>
              <w:rPr>
                <w:rFonts w:hint="eastAsia" w:ascii="仿宋_GB2312" w:hAnsi="FZFSK--GBK1-0" w:eastAsia="仿宋_GB2312"/>
                <w:color w:val="000000"/>
                <w:szCs w:val="21"/>
              </w:rPr>
              <w:t>取消</w:t>
            </w:r>
          </w:p>
        </w:tc>
        <w:tc>
          <w:tcPr>
            <w:tcW w:w="4078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  <w:t>取消许可后，公安机关和有关部门要通过以下措施加强监管：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  <w:t>．省级地方金融监管部门应当将办理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  <w:t>设立典当行及分支机构审批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  <w:t>（含设立、变更、注销）的信息在作出审批决定后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  <w:t>个工作日内推送至省级公安机关，公安机关据此将典当行及分支机构纳入监管范围，依法实施监管</w:t>
            </w:r>
          </w:p>
          <w:p>
            <w:pPr>
              <w:widowControl/>
              <w:jc w:val="left"/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  <w:t>．通过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  <w:t>双随机、一公开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  <w:t>监管等方式，加强对典当行的治安管理，及时化解风险隐患，发现违法犯罪活动要依法查处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黑体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黑体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黑体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黑体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黑体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黑体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黑体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黑体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黑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ascii="FZHei-B01" w:hAnsi="FZHei-B01" w:eastAsia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方正小标宋简体" w:hAnsi="黑体" w:eastAsia="方正小标宋简体" w:cs="仿宋_GB2312"/>
                <w:b/>
                <w:szCs w:val="21"/>
              </w:rPr>
            </w:pPr>
            <w:r>
              <w:rPr>
                <w:rFonts w:ascii="FZHei-B01" w:hAnsi="FZHei-B01" w:eastAsia="宋体" w:cs="宋体"/>
                <w:b/>
                <w:color w:val="000000"/>
                <w:kern w:val="0"/>
                <w:szCs w:val="21"/>
              </w:rPr>
              <w:t>事项名称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ascii="FZHei-B01" w:hAnsi="FZHei-B01" w:eastAsia="宋体" w:cs="宋体"/>
                <w:b/>
                <w:color w:val="000000"/>
                <w:kern w:val="0"/>
                <w:szCs w:val="21"/>
              </w:rPr>
              <w:t>实施部门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ascii="FZHei-B01" w:hAnsi="FZHei-B01" w:eastAsia="宋体" w:cs="宋体"/>
                <w:b/>
                <w:color w:val="000000"/>
                <w:kern w:val="0"/>
                <w:szCs w:val="21"/>
              </w:rPr>
              <w:t>及行使层级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方正小标宋简体" w:hAnsi="黑体" w:eastAsia="方正小标宋简体" w:cs="仿宋_GB2312"/>
                <w:b/>
                <w:szCs w:val="21"/>
              </w:rPr>
            </w:pPr>
            <w:r>
              <w:rPr>
                <w:rFonts w:ascii="FZHei-B01" w:hAnsi="FZHei-B01" w:eastAsia="宋体" w:cs="宋体"/>
                <w:b/>
                <w:color w:val="000000"/>
                <w:kern w:val="0"/>
                <w:szCs w:val="21"/>
              </w:rPr>
              <w:t>事项类型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ascii="FZHei-B01" w:hAnsi="FZHei-B01" w:eastAsia="宋体" w:cs="宋体"/>
                <w:b/>
                <w:color w:val="000000"/>
                <w:kern w:val="0"/>
                <w:szCs w:val="21"/>
              </w:rPr>
              <w:t>设定依据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方正小标宋简体" w:hAnsi="黑体" w:eastAsia="方正小标宋简体" w:cs="仿宋_GB2312"/>
                <w:b/>
                <w:szCs w:val="21"/>
              </w:rPr>
            </w:pPr>
            <w:r>
              <w:rPr>
                <w:rFonts w:ascii="FZHei-B01" w:hAnsi="FZHei-B01" w:eastAsia="宋体" w:cs="宋体"/>
                <w:b/>
                <w:color w:val="000000"/>
                <w:kern w:val="0"/>
                <w:szCs w:val="21"/>
              </w:rPr>
              <w:t>调整方式</w:t>
            </w:r>
          </w:p>
        </w:tc>
        <w:tc>
          <w:tcPr>
            <w:tcW w:w="40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ascii="FZHei-B01" w:hAnsi="FZHei-B01" w:eastAsia="宋体" w:cs="宋体"/>
                <w:b/>
                <w:color w:val="000000"/>
                <w:kern w:val="0"/>
                <w:szCs w:val="21"/>
              </w:rPr>
              <w:t>加强事中事后监管措施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 w:ascii="方正小标宋简体" w:hAnsi="黑体" w:eastAsia="方正小标宋简体" w:cs="仿宋_GB2312"/>
                <w:b/>
                <w:szCs w:val="21"/>
              </w:rPr>
            </w:pPr>
            <w:r>
              <w:rPr>
                <w:rFonts w:ascii="FZHei-B01" w:hAnsi="FZHei-B01" w:eastAsia="宋体" w:cs="宋体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Cs w:val="21"/>
              </w:rPr>
            </w:pPr>
            <w:r>
              <w:rPr>
                <w:rFonts w:hint="eastAsia" w:ascii="仿宋_GB2312" w:hAnsi="黑体" w:eastAsia="仿宋_GB2312" w:cs="仿宋_GB2312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 w:cs="仿宋_GB2312"/>
                <w:szCs w:val="21"/>
              </w:rPr>
            </w:pPr>
            <w:r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  <w:t>医疗机构设置审批（含港澳台）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  <w:t>卫生健康部门（省、州、</w:t>
            </w:r>
          </w:p>
          <w:p>
            <w:pPr>
              <w:jc w:val="center"/>
              <w:rPr>
                <w:rFonts w:hint="eastAsia" w:ascii="仿宋_GB2312" w:hAnsi="黑体" w:eastAsia="仿宋_GB2312" w:cs="仿宋_GB2312"/>
                <w:szCs w:val="21"/>
              </w:rPr>
            </w:pPr>
            <w:r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  <w:t>县）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Cs w:val="21"/>
              </w:rPr>
            </w:pPr>
            <w:r>
              <w:rPr>
                <w:rFonts w:hint="eastAsia" w:ascii="仿宋_GB2312" w:hAnsi="黑体" w:eastAsia="仿宋_GB2312" w:cs="仿宋_GB2312"/>
                <w:szCs w:val="21"/>
              </w:rPr>
              <w:t>行政许可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  <w:t>《医疗机构管理条例》</w:t>
            </w:r>
          </w:p>
          <w:p>
            <w:pPr>
              <w:widowControl/>
              <w:jc w:val="left"/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  <w:t>《国务院关于取消和下放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50</w:t>
            </w:r>
            <w:r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  <w:t>项行政审批项目等事项的决定》（国发〔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2013</w:t>
            </w:r>
            <w:r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27</w:t>
            </w:r>
            <w:r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  <w:t>号）</w:t>
            </w:r>
          </w:p>
          <w:p>
            <w:pPr>
              <w:widowControl/>
              <w:jc w:val="left"/>
              <w:rPr>
                <w:rFonts w:hint="eastAsia" w:ascii="仿宋_GB2312" w:hAnsi="黑体" w:eastAsia="仿宋_GB2312" w:cs="仿宋_GB2312"/>
                <w:szCs w:val="21"/>
              </w:rPr>
            </w:pPr>
            <w:r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  <w:t>《云南省人民政府关于赋予昆明市行使部分省级行政职权的决定》（云政发〔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2018</w:t>
            </w:r>
            <w:r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36</w:t>
            </w:r>
            <w:r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  <w:t>号）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rPr>
                <w:rFonts w:hint="eastAsia" w:ascii="仿宋_GB2312" w:hAnsi="黑体" w:eastAsia="仿宋_GB2312" w:cs="仿宋_GB2312"/>
                <w:szCs w:val="21"/>
              </w:rPr>
            </w:pPr>
            <w:r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  <w:t>部分取消。除三级医院、三级妇幼保健院、急救中心、急救站、临床检验中心、中外合资合作医疗机构、港澳台独资医疗机构外，其余医疗机构不再核发《设置医疗机构批准书》</w:t>
            </w:r>
          </w:p>
        </w:tc>
        <w:tc>
          <w:tcPr>
            <w:tcW w:w="4078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  <w:t>部分取消许可后，卫生健康部门要通过以下措施加强监管：</w:t>
            </w:r>
          </w:p>
          <w:p>
            <w:pPr>
              <w:widowControl/>
              <w:jc w:val="left"/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  <w:t>．完善医疗机构设置规划方式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,</w:t>
            </w:r>
            <w:r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  <w:t>对社会办医疗机构实行指导性规划。加强对社会资本投资医疗机构的服务，同时注意防止以服务之名行审批之实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  <w:t>．严格实施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  <w:t>医疗机构执业登记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  <w:t>，并将审批结果向社会公开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  <w:t>．开展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  <w:t>双随机、一公开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  <w:t>监管、重点监管等，畅通投诉举报渠道，依法处理医患纠纷和医疗事故，加大对医疗机构的监督检查力度，发现违法违规行为要依法查处并向社会公开结果</w:t>
            </w:r>
          </w:p>
          <w:p>
            <w:pPr>
              <w:widowControl/>
              <w:jc w:val="left"/>
              <w:rPr>
                <w:rFonts w:hint="eastAsia" w:ascii="仿宋_GB2312" w:hAnsi="黑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  <w:t>．依法实施信用监管，如实记录违法失信行为，实施差异化监管措施，对严重违法的医疗机构及其从业人员实行行业禁入</w:t>
            </w:r>
          </w:p>
        </w:tc>
        <w:tc>
          <w:tcPr>
            <w:tcW w:w="3195" w:type="dxa"/>
            <w:vAlign w:val="center"/>
          </w:tcPr>
          <w:p>
            <w:pPr>
              <w:widowControl/>
              <w:jc w:val="left"/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  <w:t>部分取消后，各级权限调整情况如下：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  <w:t>．省级权限调整为：三级医院、三级妇幼保健院、省级临床检验中心、中外合资合作医疗机构、港澳台独资医疗机构的设置审批（昆明市行政区域范围内的三级医院、三级妇幼保健院、中外合资合作医疗机构、港澳台独资医疗机构由昆明市审批）</w:t>
            </w:r>
          </w:p>
          <w:p>
            <w:pPr>
              <w:widowControl/>
              <w:jc w:val="left"/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  <w:t>．州级及以下权限调整为：三级医院、三级妇幼保健院、中外合资合作医疗机构、港澳台独资医疗机构初审转报；急救中心、急救站审批；昆明市行政区域内的三级医院、三级妇幼保健院、中外合资合作医疗机构、港澳台独资医疗机构由昆明市审批</w:t>
            </w:r>
          </w:p>
          <w:p>
            <w:pPr>
              <w:widowControl/>
              <w:jc w:val="left"/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黑体" w:eastAsia="仿宋_GB2312" w:cs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ascii="FZHei-B01" w:hAnsi="FZHei-B01" w:eastAsia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方正小标宋简体" w:hAnsi="黑体" w:eastAsia="方正小标宋简体" w:cs="仿宋_GB2312"/>
                <w:b/>
                <w:szCs w:val="21"/>
              </w:rPr>
            </w:pPr>
            <w:r>
              <w:rPr>
                <w:rFonts w:ascii="FZHei-B01" w:hAnsi="FZHei-B01" w:eastAsia="宋体" w:cs="宋体"/>
                <w:b/>
                <w:color w:val="000000"/>
                <w:kern w:val="0"/>
                <w:szCs w:val="21"/>
              </w:rPr>
              <w:t>事项名称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ascii="FZHei-B01" w:hAnsi="FZHei-B01" w:eastAsia="宋体" w:cs="宋体"/>
                <w:b/>
                <w:color w:val="000000"/>
                <w:kern w:val="0"/>
                <w:szCs w:val="21"/>
              </w:rPr>
              <w:t>实施部门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ascii="FZHei-B01" w:hAnsi="FZHei-B01" w:eastAsia="宋体" w:cs="宋体"/>
                <w:b/>
                <w:color w:val="000000"/>
                <w:kern w:val="0"/>
                <w:szCs w:val="21"/>
              </w:rPr>
              <w:t>及行使层级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方正小标宋简体" w:hAnsi="黑体" w:eastAsia="方正小标宋简体" w:cs="仿宋_GB2312"/>
                <w:b/>
                <w:szCs w:val="21"/>
              </w:rPr>
            </w:pPr>
            <w:r>
              <w:rPr>
                <w:rFonts w:ascii="FZHei-B01" w:hAnsi="FZHei-B01" w:eastAsia="宋体" w:cs="宋体"/>
                <w:b/>
                <w:color w:val="000000"/>
                <w:kern w:val="0"/>
                <w:szCs w:val="21"/>
              </w:rPr>
              <w:t>事项类型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ascii="FZHei-B01" w:hAnsi="FZHei-B01" w:eastAsia="宋体" w:cs="宋体"/>
                <w:b/>
                <w:color w:val="000000"/>
                <w:kern w:val="0"/>
                <w:szCs w:val="21"/>
              </w:rPr>
              <w:t>设定依据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方正小标宋简体" w:hAnsi="黑体" w:eastAsia="方正小标宋简体" w:cs="仿宋_GB2312"/>
                <w:b/>
                <w:szCs w:val="21"/>
              </w:rPr>
            </w:pPr>
            <w:r>
              <w:rPr>
                <w:rFonts w:ascii="FZHei-B01" w:hAnsi="FZHei-B01" w:eastAsia="宋体" w:cs="宋体"/>
                <w:b/>
                <w:color w:val="000000"/>
                <w:kern w:val="0"/>
                <w:szCs w:val="21"/>
              </w:rPr>
              <w:t>调整方式</w:t>
            </w:r>
          </w:p>
        </w:tc>
        <w:tc>
          <w:tcPr>
            <w:tcW w:w="40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ascii="FZHei-B01" w:hAnsi="FZHei-B01" w:eastAsia="宋体" w:cs="宋体"/>
                <w:b/>
                <w:color w:val="000000"/>
                <w:kern w:val="0"/>
                <w:szCs w:val="21"/>
              </w:rPr>
              <w:t>加强事中事后监管措施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 w:ascii="方正小标宋简体" w:hAnsi="黑体" w:eastAsia="方正小标宋简体" w:cs="仿宋_GB2312"/>
                <w:b/>
                <w:szCs w:val="21"/>
              </w:rPr>
            </w:pPr>
            <w:r>
              <w:rPr>
                <w:rFonts w:ascii="FZHei-B01" w:hAnsi="FZHei-B01" w:eastAsia="宋体" w:cs="宋体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Cs w:val="21"/>
              </w:rPr>
            </w:pPr>
            <w:r>
              <w:rPr>
                <w:rFonts w:hint="eastAsia" w:ascii="仿宋_GB2312" w:hAnsi="黑体" w:eastAsia="仿宋_GB2312" w:cs="仿宋_GB2312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  <w:t>外国人进入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  <w:t>自然保护区</w:t>
            </w:r>
          </w:p>
          <w:p>
            <w:pPr>
              <w:widowControl/>
              <w:jc w:val="left"/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  <w:t>审批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  <w:t>林草部门（州、县）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Cs w:val="21"/>
              </w:rPr>
            </w:pPr>
            <w:r>
              <w:rPr>
                <w:rFonts w:hint="eastAsia" w:ascii="仿宋_GB2312" w:hAnsi="黑体" w:eastAsia="仿宋_GB2312" w:cs="仿宋_GB2312"/>
                <w:szCs w:val="21"/>
              </w:rPr>
              <w:t>行政许可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  <w:t>《中华人民共和国自然保护区条例》</w:t>
            </w:r>
          </w:p>
          <w:p>
            <w:pPr>
              <w:widowControl/>
              <w:jc w:val="left"/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  <w:t>《云南省人民政府关于调整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482</w:t>
            </w:r>
            <w:r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  <w:t>项涉及省级行政权力事项的决定》（云政发〔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2020</w:t>
            </w:r>
            <w:r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16</w:t>
            </w:r>
            <w:r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  <w:t>号）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FZFSK--GBK1-0" w:eastAsia="仿宋_GB2312"/>
                <w:color w:val="000000"/>
                <w:szCs w:val="21"/>
              </w:rPr>
              <w:t>取消</w:t>
            </w:r>
          </w:p>
        </w:tc>
        <w:tc>
          <w:tcPr>
            <w:tcW w:w="4078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  <w:t>取消许可后，林草部门要通过以下措施加强监管：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  <w:t>．加强对自然保护区的日常监管，指导自然保护区管理机构对进入保护区的外国人加强管理。发现违法违规行为要依法查处并向社会公开结果，发现涉嫌犯罪活动要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  <w:t>及时移送司法机关处理</w:t>
            </w:r>
          </w:p>
          <w:p>
            <w:pPr>
              <w:widowControl/>
              <w:jc w:val="left"/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  <w:t>．严格实施猎捕野生动物、采伐或采集野生植物、出口野生动植物及其产品等方面的许可管理，防止资源流失</w:t>
            </w:r>
          </w:p>
        </w:tc>
        <w:tc>
          <w:tcPr>
            <w:tcW w:w="3195" w:type="dxa"/>
            <w:vAlign w:val="center"/>
          </w:tcPr>
          <w:p>
            <w:pPr>
              <w:widowControl/>
              <w:jc w:val="left"/>
              <w:rPr>
                <w:rFonts w:hint="eastAsia" w:ascii="仿宋_GB2312" w:hAnsi="FZFSK--GBK1-0" w:eastAsia="仿宋_GB2312" w:cs="宋体"/>
                <w:color w:val="000000"/>
                <w:kern w:val="0"/>
                <w:szCs w:val="21"/>
              </w:rPr>
            </w:pPr>
          </w:p>
        </w:tc>
      </w:tr>
    </w:tbl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sectPr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ZHei-B01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Theme="minorEastAsia" w:hAnsi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/>
                    <w:sz w:val="28"/>
                    <w:szCs w:val="28"/>
                  </w:rPr>
                  <w:t>- 5 -</w:t>
                </w:r>
                <w:r>
                  <w:rPr>
                    <w:rFonts w:hint="eastAsia" w:asciiTheme="minorEastAsia" w:hAnsi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B5BFC"/>
    <w:rsid w:val="00240F27"/>
    <w:rsid w:val="00276153"/>
    <w:rsid w:val="00306077"/>
    <w:rsid w:val="00463290"/>
    <w:rsid w:val="004808DF"/>
    <w:rsid w:val="005871C5"/>
    <w:rsid w:val="00B86E11"/>
    <w:rsid w:val="00BA0C5E"/>
    <w:rsid w:val="00BC77A5"/>
    <w:rsid w:val="00C2390B"/>
    <w:rsid w:val="00D26D63"/>
    <w:rsid w:val="00D61D1F"/>
    <w:rsid w:val="00D90AFF"/>
    <w:rsid w:val="00EB0E7C"/>
    <w:rsid w:val="00EE1E89"/>
    <w:rsid w:val="01E02CDB"/>
    <w:rsid w:val="02E14886"/>
    <w:rsid w:val="049B749A"/>
    <w:rsid w:val="056932E0"/>
    <w:rsid w:val="094619C4"/>
    <w:rsid w:val="0D2D3EDD"/>
    <w:rsid w:val="13667158"/>
    <w:rsid w:val="15A05181"/>
    <w:rsid w:val="1640014F"/>
    <w:rsid w:val="1BF7020B"/>
    <w:rsid w:val="1C0B2712"/>
    <w:rsid w:val="1F7F5964"/>
    <w:rsid w:val="23945300"/>
    <w:rsid w:val="24E236C5"/>
    <w:rsid w:val="26932BFD"/>
    <w:rsid w:val="2731045B"/>
    <w:rsid w:val="28E0093B"/>
    <w:rsid w:val="2B87565E"/>
    <w:rsid w:val="2F0F7F93"/>
    <w:rsid w:val="308E2775"/>
    <w:rsid w:val="34EE2EEE"/>
    <w:rsid w:val="3B273E2D"/>
    <w:rsid w:val="3CAC52CF"/>
    <w:rsid w:val="403A1EAB"/>
    <w:rsid w:val="416737A5"/>
    <w:rsid w:val="457A01CE"/>
    <w:rsid w:val="48164903"/>
    <w:rsid w:val="4F3B1513"/>
    <w:rsid w:val="51ED22DD"/>
    <w:rsid w:val="5D0D49B0"/>
    <w:rsid w:val="5DFD3300"/>
    <w:rsid w:val="629542FB"/>
    <w:rsid w:val="645C6B2F"/>
    <w:rsid w:val="66A55090"/>
    <w:rsid w:val="6AC609A8"/>
    <w:rsid w:val="6EBF7D32"/>
    <w:rsid w:val="713A0E3C"/>
    <w:rsid w:val="724E4B6E"/>
    <w:rsid w:val="72E42836"/>
    <w:rsid w:val="74FF6617"/>
    <w:rsid w:val="752B7B5D"/>
    <w:rsid w:val="761E2B01"/>
    <w:rsid w:val="78940A23"/>
    <w:rsid w:val="7F9E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580" w:lineRule="exact"/>
      <w:jc w:val="center"/>
    </w:pPr>
    <w:rPr>
      <w:rFonts w:ascii="方正小标宋_GBK" w:eastAsia="方正小标宋_GBK"/>
      <w:sz w:val="44"/>
      <w:szCs w:val="4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 2"/>
    <w:basedOn w:val="1"/>
    <w:qFormat/>
    <w:uiPriority w:val="0"/>
    <w:pPr>
      <w:spacing w:line="600" w:lineRule="exact"/>
      <w:ind w:right="697" w:rightChars="332"/>
    </w:pPr>
    <w:rPr>
      <w:rFonts w:ascii="仿宋_GB2312" w:eastAsia="仿宋_GB2312"/>
      <w:sz w:val="32"/>
      <w:szCs w:val="32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公文标题"/>
    <w:basedOn w:val="1"/>
    <w:qFormat/>
    <w:uiPriority w:val="0"/>
    <w:pPr>
      <w:spacing w:line="580" w:lineRule="exact"/>
      <w:ind w:firstLine="3896" w:firstLineChars="904"/>
    </w:pPr>
    <w:rPr>
      <w:rFonts w:ascii="方正小标宋_GBK" w:hAnsi="华文中宋" w:eastAsia="方正小标宋_GBK" w:cs="宋体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5</Pages>
  <Words>294</Words>
  <Characters>1678</Characters>
  <Lines>13</Lines>
  <Paragraphs>3</Paragraphs>
  <TotalTime>8</TotalTime>
  <ScaleCrop>false</ScaleCrop>
  <LinksUpToDate>false</LinksUpToDate>
  <CharactersWithSpaces>1969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2020-12-09T05:23:43Z</cp:lastPrinted>
  <dcterms:modified xsi:type="dcterms:W3CDTF">2020-12-09T05:24:49Z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