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>
      <w:pPr>
        <w:ind w:firstLine="1108" w:firstLineChars="3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石林县交通运输局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</w:rPr>
        <w:t>（执法主体全称）</w:t>
      </w:r>
    </w:p>
    <w:p>
      <w:pPr>
        <w:ind w:firstLine="2393" w:firstLineChars="7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2019年度行政执法情况汇总表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  <w:lang w:val="en-US" w:eastAsia="zh-CN"/>
        </w:rPr>
        <w:t>2020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 xml:space="preserve"> 月 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5"/>
        <w:gridCol w:w="1065"/>
        <w:gridCol w:w="1066"/>
        <w:gridCol w:w="1065"/>
        <w:gridCol w:w="1066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执法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类别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行政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许可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行政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处罚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行政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强制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行政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检查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行政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征收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行政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征用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行政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裁决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数量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745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left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本机关2019年度共办理行政处罚类案件6起，其中，超限运输2起，损坏公路附属设施1起，损坏公路路面及公路附属设施1起，泼洒染路面1起，占用公路路产1起，均已办结并形成卷宗存档。</w:t>
            </w:r>
          </w:p>
          <w:p>
            <w:pPr>
              <w:jc w:val="left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行政许可类事件共2起，均已受理完毕。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填表说明：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1.各单位汇总的执法案件数据必须是当年已经办结的案件数据。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2.委托执法的有关数据由委托机关汇总公开。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3.本表汇总数据为2019年1月1日至2019年12月31日。</w:t>
      </w:r>
    </w:p>
    <w:p>
      <w:r>
        <w:rPr>
          <w:rFonts w:hint="eastAsia"/>
          <w:sz w:val="32"/>
          <w:szCs w:val="32"/>
        </w:rPr>
        <w:t>4.备注栏填写本机关行政执法职权行使情况。（包括本机关具有的行政执法职权及职权行使情况小结）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D0A5D"/>
    <w:rsid w:val="0F0E6FE4"/>
    <w:rsid w:val="1E3D0A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2020-02-28T06:41:00Z</dcterms:created>
  <dc:creator></dc:creator>
  <cp:lastModifiedBy>sumnr_</cp:lastModifiedBy>
  <dcterms:modified xsi:type="dcterms:W3CDTF">2020-02-28T08:04:40Z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