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石林县民政局</w:t>
      </w: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left="0" w:right="0" w:firstLine="482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2019年以来，石林县民政局在县政府信息公开办的领导下，认真围绕重点工作和年度目标任务，按照“应公开、尽公开”的要求，扎实有序推进政务公开工作落实。根据《中华人民共和国政府信息公开条例》的有关规定和石林县人民政府信息公开办公室关于编制2019年度信息公开年度报告的要求，现将我局2019年（2019年1月1日—12月31日）政府信息公开年度报告编制和公布工作有关情况报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left="0" w:right="0" w:firstLine="482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fill="FFFFFF"/>
          <w:lang w:val="en-US" w:eastAsia="zh-CN" w:bidi="ar"/>
        </w:rPr>
        <w:t>加强组织领导。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我局认真贯彻落实《中华人民共和国政府信息公开条例》、云南省政务公开相关规定和县委、县人民政府有关文件和会议精神，将政务公开工作列入重要议事日程，由分管办公室的副局长分管，办公室负责，政府信息公开工作同其他工作一起同部署同落实，及时公开政府信息，做到人员到位、责任到位，一级抓一级，层层抓落实，为政府信息公开工作长期有效地开展提供了组织保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（二）明确工作制度。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一是坚持“公正、公平、合法、真实、便民、及时、便于监督”的政府信息公开原则，严格按照政府信息公开的工作要求，落实各项信息公开工作，推动政务服务的政府信息公开工作不断深入。二是按照“应公开、尽公开”要求，依托县政府信息公开门户网站，及时更新机构职能、政府信息公开指南和公开目录，将规范性文件按照政府信息公开要求和程序予以公布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（三）突出公开重点。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按照民政局政信息务公开的工作安排，突出抓好重点环节，抓好重点工作的公开，严格履行公开程序，保证了群众的知情权、参与权、监督权，不断提升政务信息公开质量。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2"/>
        <w:tblW w:w="84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880"/>
        <w:gridCol w:w="1880"/>
        <w:gridCol w:w="2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本年新制作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本年新公开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规章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cs="Calibri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规范性文件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其他对外管理服务事项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行政强制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3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行政事业性收费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采购项目数量</w:t>
            </w:r>
          </w:p>
        </w:tc>
        <w:tc>
          <w:tcPr>
            <w:tcW w:w="3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采购总金额（单位：万元）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政府集中采购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2"/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20"/>
        <w:gridCol w:w="2000"/>
        <w:gridCol w:w="1034"/>
        <w:gridCol w:w="940"/>
        <w:gridCol w:w="940"/>
        <w:gridCol w:w="940"/>
        <w:gridCol w:w="940"/>
        <w:gridCol w:w="940"/>
        <w:gridCol w:w="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（一）予以公开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（三）不予公开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1.属于国家秘密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both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2.其他法律行政法规禁止公开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3.危及“三安全一稳定”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4.保护第三方合法权益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5.属于三类内部事务信息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6.属于四类过程性信息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7.属于行政执法案卷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8.属于行政查询事项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（四）无法提供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1.本机关不掌握相关政府信息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2.没有现成信息需要另行制作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3.补正后申请内容仍不明确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（五）不予处理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1.信访举报投诉类申请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3.要求提供公开出版物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4.无正当理由大量反复申请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5.要求行政机关确认或重新出具已获取信息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（六）其他处理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 w:firstLine="646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（七）总计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2"/>
        <w:tblW w:w="102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46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left="0" w:right="0" w:firstLine="482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若对报告有任何疑问，请与石林县民政局办公室联系，联系电话：0871—67796690。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left="0" w:right="0" w:firstLine="482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left="0" w:right="0" w:firstLine="482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left="0" w:right="0" w:firstLine="482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left="0" w:right="0" w:firstLine="5846" w:firstLineChars="1827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石林县民政局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50" w:lineRule="atLeast"/>
        <w:ind w:right="0" w:firstLine="5760" w:firstLineChars="18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fill="FFFFFF"/>
          <w:lang w:val="en-US" w:eastAsia="zh-CN" w:bidi="ar"/>
        </w:rPr>
        <w:t>2020年2月27日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21CDEB"/>
    <w:multiLevelType w:val="singleLevel"/>
    <w:tmpl w:val="B721CD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F6B1E"/>
    <w:rsid w:val="0F1F6B1E"/>
    <w:rsid w:val="100B1D91"/>
    <w:rsid w:val="19A51548"/>
    <w:rsid w:val="1E0B3591"/>
    <w:rsid w:val="40806CBD"/>
    <w:rsid w:val="43537BC7"/>
    <w:rsid w:val="450967AA"/>
    <w:rsid w:val="567D59A5"/>
    <w:rsid w:val="5B2C09FC"/>
    <w:rsid w:val="6EEA0DF5"/>
    <w:rsid w:val="719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646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2020-02-20T08:32:00Z</dcterms:created>
  <dc:creator>谢贤华</dc:creator>
  <cp:lastModifiedBy>Administrator</cp:lastModifiedBy>
  <cp:lastPrinted>2020-02-28T06:34:00Z</cp:lastPrinted>
  <dcterms:modified xsi:type="dcterms:W3CDTF">2020-02-28T08:15:17Z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