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B7" w:rsidRPr="007E67B7" w:rsidRDefault="007E67B7" w:rsidP="007E67B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E67B7">
        <w:rPr>
          <w:rFonts w:ascii="方正小标宋简体" w:eastAsia="方正小标宋简体" w:hint="eastAsia"/>
          <w:sz w:val="44"/>
          <w:szCs w:val="44"/>
        </w:rPr>
        <w:t>石林彝族自治县统计局</w:t>
      </w:r>
    </w:p>
    <w:p w:rsidR="007E67B7" w:rsidRPr="007E67B7" w:rsidRDefault="007E67B7" w:rsidP="007E67B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E67B7">
        <w:rPr>
          <w:rFonts w:ascii="方正小标宋简体" w:eastAsia="方正小标宋简体" w:hint="eastAsia"/>
          <w:sz w:val="44"/>
          <w:szCs w:val="44"/>
        </w:rPr>
        <w:t>2019年度政府信息公开工作年度报告</w:t>
      </w:r>
    </w:p>
    <w:p w:rsidR="007E67B7" w:rsidRPr="00EF4099" w:rsidRDefault="007E67B7" w:rsidP="007E67B7">
      <w:pPr>
        <w:spacing w:line="560" w:lineRule="exact"/>
      </w:pPr>
    </w:p>
    <w:p w:rsidR="007E67B7" w:rsidRPr="00EF4099" w:rsidRDefault="007E67B7" w:rsidP="007E67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总体情况</w:t>
      </w:r>
    </w:p>
    <w:p w:rsidR="007E67B7" w:rsidRDefault="007E67B7" w:rsidP="007E67B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174F">
        <w:rPr>
          <w:rFonts w:eastAsia="仿宋_GB2312" w:hint="eastAsia"/>
          <w:sz w:val="32"/>
          <w:szCs w:val="32"/>
        </w:rPr>
        <w:t>我局的政府信息和政务公开工作，以习近平新时代中国特色社会主义思想为指导，全面贯彻党的十九大、十九届二中、三中、四中全会精神，</w:t>
      </w:r>
      <w:r w:rsidR="00E257DF">
        <w:rPr>
          <w:rFonts w:eastAsia="仿宋_GB2312" w:hint="eastAsia"/>
          <w:sz w:val="32"/>
          <w:szCs w:val="32"/>
        </w:rPr>
        <w:t>严格</w:t>
      </w:r>
      <w:r w:rsidRPr="009E174F">
        <w:rPr>
          <w:rFonts w:eastAsia="仿宋_GB2312" w:hint="eastAsia"/>
          <w:sz w:val="32"/>
          <w:szCs w:val="32"/>
        </w:rPr>
        <w:t>按照</w:t>
      </w:r>
      <w:r w:rsidR="00E257DF">
        <w:rPr>
          <w:rFonts w:eastAsia="仿宋_GB2312" w:hint="eastAsia"/>
          <w:sz w:val="32"/>
          <w:szCs w:val="32"/>
        </w:rPr>
        <w:t>《中共中央办公厅</w:t>
      </w:r>
      <w:r w:rsidR="00E257DF">
        <w:rPr>
          <w:rFonts w:eastAsia="仿宋_GB2312" w:hint="eastAsia"/>
          <w:sz w:val="32"/>
          <w:szCs w:val="32"/>
        </w:rPr>
        <w:t xml:space="preserve"> </w:t>
      </w:r>
      <w:r w:rsidR="00E257DF">
        <w:rPr>
          <w:rFonts w:eastAsia="仿宋_GB2312" w:hint="eastAsia"/>
          <w:sz w:val="32"/>
          <w:szCs w:val="32"/>
        </w:rPr>
        <w:t>国务院办公厅印发</w:t>
      </w:r>
      <w:r w:rsidR="00E257DF">
        <w:rPr>
          <w:rFonts w:eastAsia="仿宋_GB2312" w:hint="eastAsia"/>
          <w:sz w:val="32"/>
          <w:szCs w:val="32"/>
        </w:rPr>
        <w:t>&lt;</w:t>
      </w:r>
      <w:r w:rsidR="00E257DF">
        <w:rPr>
          <w:rFonts w:eastAsia="仿宋_GB2312" w:hint="eastAsia"/>
          <w:sz w:val="32"/>
          <w:szCs w:val="32"/>
        </w:rPr>
        <w:t>关于全面推进政务公开工作的意见</w:t>
      </w:r>
      <w:r w:rsidR="00E257DF">
        <w:rPr>
          <w:rFonts w:eastAsia="仿宋_GB2312" w:hint="eastAsia"/>
          <w:sz w:val="32"/>
          <w:szCs w:val="32"/>
        </w:rPr>
        <w:t>&gt;</w:t>
      </w:r>
      <w:r w:rsidR="00E257DF">
        <w:rPr>
          <w:rFonts w:eastAsia="仿宋_GB2312" w:hint="eastAsia"/>
          <w:sz w:val="32"/>
          <w:szCs w:val="32"/>
        </w:rPr>
        <w:t>的通知》及《中华人民共和国政府信息公开条例》的规定及省、市、县相关文件精神，紧扣统计工作实际，</w:t>
      </w:r>
      <w:r w:rsidR="00E257DF" w:rsidRPr="009E174F">
        <w:rPr>
          <w:rFonts w:eastAsia="仿宋_GB2312" w:hint="eastAsia"/>
          <w:sz w:val="32"/>
          <w:szCs w:val="32"/>
        </w:rPr>
        <w:t>加大信息公开力度，健全公开机制、明确公开重点、细化公开内容、规范公开程序、增强公开实效，将公开透明贯穿统计工作全过程，进一步规范开展统计工作的各项行为，着力打造阳光统计、法治统计和服务型统计，提升</w:t>
      </w:r>
      <w:r w:rsidR="00E257DF">
        <w:rPr>
          <w:rFonts w:eastAsia="仿宋_GB2312" w:hint="eastAsia"/>
          <w:sz w:val="32"/>
          <w:szCs w:val="32"/>
        </w:rPr>
        <w:t>统计</w:t>
      </w:r>
      <w:r w:rsidR="00E257DF" w:rsidRPr="009E174F">
        <w:rPr>
          <w:rFonts w:eastAsia="仿宋_GB2312" w:hint="eastAsia"/>
          <w:sz w:val="32"/>
          <w:szCs w:val="32"/>
        </w:rPr>
        <w:t>公信力</w:t>
      </w:r>
      <w:r w:rsidR="00E257DF">
        <w:rPr>
          <w:rFonts w:eastAsia="仿宋_GB2312" w:hint="eastAsia"/>
          <w:sz w:val="32"/>
          <w:szCs w:val="32"/>
        </w:rPr>
        <w:t>。</w:t>
      </w:r>
    </w:p>
    <w:p w:rsidR="00E257DF" w:rsidRDefault="00E257DF" w:rsidP="00E257D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B4138">
        <w:rPr>
          <w:rFonts w:ascii="楷体_GB2312" w:eastAsia="楷体_GB2312" w:hint="eastAsia"/>
          <w:sz w:val="32"/>
          <w:szCs w:val="32"/>
        </w:rPr>
        <w:t>（一）加强组织领导。</w:t>
      </w:r>
      <w:r>
        <w:rPr>
          <w:rFonts w:eastAsia="仿宋_GB2312" w:hint="eastAsia"/>
          <w:sz w:val="32"/>
          <w:szCs w:val="32"/>
        </w:rPr>
        <w:t>一是</w:t>
      </w:r>
      <w:r w:rsidRPr="009E174F">
        <w:rPr>
          <w:rFonts w:ascii="仿宋_GB2312" w:eastAsia="仿宋_GB2312" w:hint="eastAsia"/>
          <w:sz w:val="32"/>
          <w:szCs w:val="32"/>
        </w:rPr>
        <w:t>明确了政府信息与政务公开工作的分管领导和具体联络员，负责政务公开工作的组织、协调和实施，抓好统计系统内部政务公开工作的落实</w:t>
      </w:r>
      <w:r>
        <w:rPr>
          <w:rFonts w:ascii="仿宋_GB2312" w:eastAsia="仿宋_GB2312" w:hint="eastAsia"/>
          <w:sz w:val="32"/>
          <w:szCs w:val="32"/>
        </w:rPr>
        <w:t>；二是按照要求，</w:t>
      </w:r>
      <w:r w:rsidRPr="009E174F">
        <w:rPr>
          <w:rFonts w:ascii="仿宋_GB2312" w:eastAsia="仿宋_GB2312" w:hint="eastAsia"/>
          <w:sz w:val="32"/>
          <w:szCs w:val="32"/>
        </w:rPr>
        <w:t>安排工作人员加入石林政务信息公开工作群，及时掌握相关部门的工作要求，加强部门之间的沟通交流，促进政务公开工作取得实效</w:t>
      </w:r>
      <w:r>
        <w:rPr>
          <w:rFonts w:ascii="仿宋_GB2312" w:eastAsia="仿宋_GB2312" w:hint="eastAsia"/>
          <w:sz w:val="32"/>
          <w:szCs w:val="32"/>
        </w:rPr>
        <w:t>；三是</w:t>
      </w:r>
      <w:r w:rsidR="008358D4">
        <w:rPr>
          <w:rFonts w:ascii="仿宋_GB2312" w:eastAsia="仿宋_GB2312" w:hint="eastAsia"/>
          <w:sz w:val="32"/>
          <w:szCs w:val="32"/>
        </w:rPr>
        <w:t>召开党组（班子）会议，将政务信息公开工作列入议题，要求各科室积极配合，对需要公开达到公开条件的相关信息，积极与政务公开工作人员对接，按照公开要求，做好信息公开保密审查工作。</w:t>
      </w:r>
    </w:p>
    <w:p w:rsidR="008358D4" w:rsidRPr="008358D4" w:rsidRDefault="008358D4" w:rsidP="00E257D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B4138">
        <w:rPr>
          <w:rFonts w:ascii="楷体_GB2312" w:eastAsia="楷体_GB2312" w:hint="eastAsia"/>
          <w:sz w:val="32"/>
          <w:szCs w:val="32"/>
        </w:rPr>
        <w:t>（二）完善工作机制。</w:t>
      </w:r>
      <w:r w:rsidR="00FA1B51" w:rsidRPr="00FA1B51">
        <w:rPr>
          <w:rFonts w:ascii="仿宋_GB2312" w:eastAsia="仿宋_GB2312" w:hint="eastAsia"/>
          <w:sz w:val="32"/>
          <w:szCs w:val="32"/>
        </w:rPr>
        <w:t>一是</w:t>
      </w:r>
      <w:r w:rsidRPr="009E174F">
        <w:rPr>
          <w:rFonts w:eastAsia="仿宋_GB2312" w:hint="eastAsia"/>
          <w:sz w:val="32"/>
          <w:szCs w:val="32"/>
        </w:rPr>
        <w:t>我局没有专门的政务网站，</w:t>
      </w:r>
      <w:r w:rsidRPr="009E174F">
        <w:rPr>
          <w:rFonts w:eastAsia="仿宋_GB2312" w:hint="eastAsia"/>
          <w:sz w:val="32"/>
          <w:szCs w:val="32"/>
        </w:rPr>
        <w:lastRenderedPageBreak/>
        <w:t>信息公开的主要渠道是</w:t>
      </w:r>
      <w:r>
        <w:rPr>
          <w:rFonts w:eastAsia="仿宋_GB2312" w:hint="eastAsia"/>
          <w:sz w:val="32"/>
          <w:szCs w:val="32"/>
        </w:rPr>
        <w:t>石林彝族自治县人民政府</w:t>
      </w:r>
      <w:r w:rsidRPr="009E174F">
        <w:rPr>
          <w:rFonts w:eastAsia="仿宋_GB2312" w:hint="eastAsia"/>
          <w:sz w:val="32"/>
          <w:szCs w:val="32"/>
        </w:rPr>
        <w:t>网，</w:t>
      </w:r>
      <w:r>
        <w:rPr>
          <w:rFonts w:eastAsia="仿宋_GB2312" w:hint="eastAsia"/>
          <w:sz w:val="32"/>
          <w:szCs w:val="32"/>
        </w:rPr>
        <w:t>安排一名</w:t>
      </w:r>
      <w:r w:rsidRPr="009E174F">
        <w:rPr>
          <w:rFonts w:eastAsia="仿宋_GB2312" w:hint="eastAsia"/>
          <w:sz w:val="32"/>
          <w:szCs w:val="32"/>
        </w:rPr>
        <w:t>办公室工作人员</w:t>
      </w:r>
      <w:r>
        <w:rPr>
          <w:rFonts w:eastAsia="仿宋_GB2312" w:hint="eastAsia"/>
          <w:sz w:val="32"/>
          <w:szCs w:val="32"/>
        </w:rPr>
        <w:t>具体负责信息公开</w:t>
      </w:r>
      <w:r w:rsidRPr="009E174F">
        <w:rPr>
          <w:rFonts w:eastAsia="仿宋_GB2312" w:hint="eastAsia"/>
          <w:sz w:val="32"/>
          <w:szCs w:val="32"/>
        </w:rPr>
        <w:t>及县长热线办交办的工作，年内我局</w:t>
      </w:r>
      <w:r w:rsidR="00DC1E0B">
        <w:rPr>
          <w:rFonts w:eastAsia="仿宋_GB2312" w:hint="eastAsia"/>
          <w:sz w:val="32"/>
          <w:szCs w:val="32"/>
        </w:rPr>
        <w:t>没有接到县长热线转办事项</w:t>
      </w:r>
      <w:r w:rsidR="00FA1B51">
        <w:rPr>
          <w:rFonts w:eastAsia="仿宋_GB2312" w:hint="eastAsia"/>
          <w:sz w:val="32"/>
          <w:szCs w:val="32"/>
        </w:rPr>
        <w:t>。二是认真履行政府信息公开保密审查制度，坚持“先审核后公开”、“谁公开谁审核、谁审核谁负责”的原则，明确审查程序和责任人，妥善处理公开和保密的关系，既防止因公开不当导致失密、泄密的问题，又保证公民、法人和其他组织的知情权。</w:t>
      </w:r>
    </w:p>
    <w:p w:rsidR="00E257DF" w:rsidRPr="00DC1E0B" w:rsidRDefault="00DC1E0B" w:rsidP="00DC1E0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B4138">
        <w:rPr>
          <w:rFonts w:ascii="楷体_GB2312" w:eastAsia="楷体_GB2312" w:hint="eastAsia"/>
          <w:sz w:val="32"/>
          <w:szCs w:val="32"/>
        </w:rPr>
        <w:t>（三）切实做好政府信息公开工作。</w:t>
      </w:r>
      <w:r w:rsidRPr="009E174F">
        <w:rPr>
          <w:rFonts w:ascii="仿宋_GB2312" w:eastAsia="仿宋_GB2312" w:hAnsi="黑体" w:hint="eastAsia"/>
          <w:sz w:val="32"/>
          <w:szCs w:val="32"/>
        </w:rPr>
        <w:t>2019年，我局在石林彝族自治县人民政府网站</w:t>
      </w:r>
      <w:r w:rsidRPr="00DC1E0B">
        <w:rPr>
          <w:rFonts w:ascii="仿宋_GB2312" w:eastAsia="仿宋_GB2312" w:hAnsi="黑体" w:hint="eastAsia"/>
          <w:sz w:val="32"/>
          <w:szCs w:val="32"/>
        </w:rPr>
        <w:t>（</w:t>
      </w:r>
      <w:hyperlink r:id="rId6" w:history="1">
        <w:r w:rsidRPr="00DC1E0B">
          <w:rPr>
            <w:rStyle w:val="a3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http://kmsl.gov.cn）更新信息13</w:t>
        </w:r>
      </w:hyperlink>
      <w:r w:rsidRPr="00DC1E0B">
        <w:rPr>
          <w:rFonts w:ascii="仿宋_GB2312" w:eastAsia="仿宋_GB2312" w:hAnsi="黑体" w:hint="eastAsia"/>
          <w:sz w:val="32"/>
          <w:szCs w:val="32"/>
        </w:rPr>
        <w:t>条</w:t>
      </w:r>
      <w:r w:rsidRPr="009E174F">
        <w:rPr>
          <w:rFonts w:ascii="仿宋_GB2312" w:eastAsia="仿宋_GB2312" w:hAnsi="黑体" w:hint="eastAsia"/>
          <w:sz w:val="32"/>
          <w:szCs w:val="32"/>
        </w:rPr>
        <w:t>，</w:t>
      </w:r>
      <w:r w:rsidRPr="009E174F">
        <w:rPr>
          <w:rFonts w:ascii="仿宋_GB2312" w:eastAsia="仿宋_GB2312" w:hint="eastAsia"/>
          <w:sz w:val="32"/>
          <w:szCs w:val="32"/>
        </w:rPr>
        <w:t>“石林统计”政务微博公开及转发共8篇，党政主要负责人接受石林电视台专访2次</w:t>
      </w:r>
      <w:r>
        <w:rPr>
          <w:rFonts w:ascii="仿宋_GB2312" w:eastAsia="仿宋_GB2312" w:hint="eastAsia"/>
          <w:sz w:val="32"/>
          <w:szCs w:val="32"/>
        </w:rPr>
        <w:t>。</w:t>
      </w:r>
      <w:r w:rsidRPr="009E174F">
        <w:rPr>
          <w:rFonts w:ascii="仿宋_GB2312" w:eastAsia="仿宋_GB2312" w:hAnsi="黑体" w:hint="eastAsia"/>
          <w:sz w:val="32"/>
          <w:szCs w:val="32"/>
        </w:rPr>
        <w:t>一年来，我局</w:t>
      </w:r>
      <w:r>
        <w:rPr>
          <w:rFonts w:ascii="仿宋_GB2312" w:eastAsia="仿宋_GB2312" w:hAnsi="黑体" w:hint="eastAsia"/>
          <w:sz w:val="32"/>
          <w:szCs w:val="32"/>
        </w:rPr>
        <w:t>在办公区域内设立了宣传栏，对</w:t>
      </w:r>
      <w:r w:rsidRPr="009E174F">
        <w:rPr>
          <w:rFonts w:ascii="仿宋_GB2312" w:eastAsia="仿宋_GB2312" w:hAnsi="黑体" w:hint="eastAsia"/>
          <w:sz w:val="32"/>
          <w:szCs w:val="32"/>
        </w:rPr>
        <w:t>党费收缴情况，党员积分，党员民主评议结果，公务员、机关工勤人员及事业单位工作人员年度考核结果，巡察公告及整改结果通报等</w:t>
      </w:r>
      <w:r>
        <w:rPr>
          <w:rFonts w:ascii="仿宋_GB2312" w:eastAsia="仿宋_GB2312" w:hAnsi="黑体" w:hint="eastAsia"/>
          <w:sz w:val="32"/>
          <w:szCs w:val="32"/>
        </w:rPr>
        <w:t>进行了公示</w:t>
      </w:r>
      <w:r w:rsidRPr="009E174F">
        <w:rPr>
          <w:rFonts w:ascii="仿宋_GB2312" w:eastAsia="仿宋_GB2312" w:hAnsi="黑体" w:hint="eastAsia"/>
          <w:sz w:val="32"/>
          <w:szCs w:val="32"/>
        </w:rPr>
        <w:t>。在</w:t>
      </w:r>
      <w:r>
        <w:rPr>
          <w:rFonts w:ascii="仿宋_GB2312" w:eastAsia="仿宋_GB2312" w:hAnsi="黑体" w:hint="eastAsia"/>
          <w:sz w:val="32"/>
          <w:szCs w:val="32"/>
        </w:rPr>
        <w:t>石林彝族自治县人民</w:t>
      </w:r>
      <w:r w:rsidRPr="009E174F">
        <w:rPr>
          <w:rFonts w:ascii="仿宋_GB2312" w:eastAsia="仿宋_GB2312" w:hAnsi="黑体" w:hint="eastAsia"/>
          <w:sz w:val="32"/>
          <w:szCs w:val="32"/>
        </w:rPr>
        <w:t>政府网站公开了统计信息、财政预决算、最新工作情况、脱贫攻坚、扫黑除恶、第四次全国经济普查相关的重点工作信息。</w:t>
      </w:r>
    </w:p>
    <w:p w:rsidR="007E67B7" w:rsidRPr="00EF4099" w:rsidRDefault="007E67B7" w:rsidP="007E67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8480" w:type="dxa"/>
        <w:tblInd w:w="93" w:type="dxa"/>
        <w:tblLook w:val="0000"/>
      </w:tblPr>
      <w:tblGrid>
        <w:gridCol w:w="2720"/>
        <w:gridCol w:w="1880"/>
        <w:gridCol w:w="1880"/>
        <w:gridCol w:w="2000"/>
      </w:tblGrid>
      <w:tr w:rsidR="007E67B7" w:rsidRPr="00EF4099" w:rsidTr="005329A3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第二十条第（一）项</w:t>
            </w:r>
          </w:p>
        </w:tc>
      </w:tr>
      <w:tr w:rsidR="007E67B7" w:rsidRPr="00EF4099" w:rsidTr="005329A3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本年新制作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本年新公开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对外公开总数量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cs="Calibri"/>
                <w:bCs/>
                <w:color w:val="000000"/>
                <w:kern w:val="0"/>
              </w:rPr>
            </w:pPr>
            <w:r w:rsidRPr="004B4138">
              <w:rPr>
                <w:rFonts w:cs="Calibri" w:hint="eastAsia"/>
                <w:bCs/>
                <w:color w:val="000000"/>
                <w:kern w:val="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cs="Calibri"/>
                <w:bCs/>
                <w:color w:val="000000"/>
                <w:kern w:val="0"/>
              </w:rPr>
            </w:pPr>
            <w:r w:rsidRPr="004B4138">
              <w:rPr>
                <w:rFonts w:cs="Calibri" w:hint="eastAsia"/>
                <w:bCs/>
                <w:color w:val="000000"/>
                <w:kern w:val="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cs="Calibri"/>
                <w:bCs/>
                <w:color w:val="000000"/>
                <w:kern w:val="0"/>
              </w:rPr>
            </w:pPr>
            <w:r w:rsidRPr="004B4138">
              <w:rPr>
                <w:rFonts w:cs="Calibri" w:hint="eastAsia"/>
                <w:bCs/>
                <w:color w:val="000000"/>
                <w:kern w:val="0"/>
              </w:rPr>
              <w:t>0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第二十条第（五）项</w:t>
            </w:r>
          </w:p>
        </w:tc>
      </w:tr>
      <w:tr w:rsidR="007E67B7" w:rsidRPr="00EF4099" w:rsidTr="005329A3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402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第二十条第（六）项</w:t>
            </w:r>
          </w:p>
        </w:tc>
      </w:tr>
      <w:tr w:rsidR="007E67B7" w:rsidRPr="00EF4099" w:rsidTr="005329A3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第二十条第（八）项</w:t>
            </w:r>
          </w:p>
        </w:tc>
      </w:tr>
      <w:tr w:rsidR="007E67B7" w:rsidRPr="00EF4099" w:rsidTr="005329A3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第二十条第（九）项</w:t>
            </w:r>
          </w:p>
        </w:tc>
      </w:tr>
      <w:tr w:rsidR="007E67B7" w:rsidRPr="00EF4099" w:rsidTr="005329A3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采购总金额（单位：万元）</w:t>
            </w:r>
          </w:p>
        </w:tc>
      </w:tr>
      <w:tr w:rsidR="007E67B7" w:rsidRPr="00EF4099" w:rsidTr="005329A3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政府集中采购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DC1E0B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7E67B7" w:rsidRPr="00EF4099" w:rsidRDefault="007E67B7" w:rsidP="007E67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E67B7" w:rsidRPr="00EF4099" w:rsidRDefault="007E67B7" w:rsidP="007E67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收到和处理政府信息公开申请情况</w:t>
      </w:r>
    </w:p>
    <w:tbl>
      <w:tblPr>
        <w:tblW w:w="10040" w:type="dxa"/>
        <w:jc w:val="center"/>
        <w:tblLook w:val="0000"/>
      </w:tblPr>
      <w:tblGrid>
        <w:gridCol w:w="680"/>
        <w:gridCol w:w="920"/>
        <w:gridCol w:w="2000"/>
        <w:gridCol w:w="1034"/>
        <w:gridCol w:w="940"/>
        <w:gridCol w:w="940"/>
        <w:gridCol w:w="940"/>
        <w:gridCol w:w="940"/>
        <w:gridCol w:w="940"/>
        <w:gridCol w:w="706"/>
      </w:tblGrid>
      <w:tr w:rsidR="007E67B7" w:rsidRPr="00EF4099" w:rsidTr="005329A3">
        <w:trPr>
          <w:trHeight w:val="499"/>
          <w:jc w:val="center"/>
        </w:trPr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7E67B7" w:rsidRPr="00EF4099" w:rsidTr="005329A3">
        <w:trPr>
          <w:trHeight w:val="499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E67B7" w:rsidRPr="00EF4099" w:rsidTr="005329A3">
        <w:trPr>
          <w:trHeight w:val="945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E67B7" w:rsidRPr="00EF4099" w:rsidTr="005329A3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  <w:r w:rsidR="007E67B7"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4B4138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0</w:t>
            </w:r>
            <w:r w:rsidR="007E67B7" w:rsidRPr="004B4138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4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（一）予以公开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10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1.属于国家秘密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4B4138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4B4138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2.其他法律行政法规禁止公开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4B4138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4B4138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3.危及“三安全一稳定”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4.保护第三方合法权益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5.属于三类内部事务信息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6.属于四类过程性信息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7.属于行政执法案卷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8.属于行政查询事项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1.本机关不掌握相关政府信息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2.没有现成信息需要另行制作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4B413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3.补正后申请内容仍不明确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1.信访举报投诉类申请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3.要求提供公开出版物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4.无正当理由大量反复申请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E67B7" w:rsidRPr="00EF4099" w:rsidTr="005329A3">
        <w:trPr>
          <w:trHeight w:val="8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5.要求行政机关确认或重新出具已获取信息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7B7" w:rsidRPr="00EF4099" w:rsidTr="005329A3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4B4138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7E67B7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E67B7" w:rsidRPr="00EF4099" w:rsidRDefault="007E67B7" w:rsidP="007E67B7">
      <w:pPr>
        <w:spacing w:line="560" w:lineRule="exact"/>
      </w:pPr>
    </w:p>
    <w:p w:rsidR="007E67B7" w:rsidRPr="00EF4099" w:rsidRDefault="007E67B7" w:rsidP="007E67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10200" w:type="dxa"/>
        <w:jc w:val="center"/>
        <w:tblLook w:val="000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E67B7" w:rsidRPr="00EF4099" w:rsidTr="005329A3">
        <w:trPr>
          <w:trHeight w:val="702"/>
          <w:jc w:val="center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 w:rsidR="007E67B7" w:rsidRPr="00EF4099" w:rsidTr="005329A3">
        <w:trPr>
          <w:trHeight w:val="7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 w:rsidR="007E67B7" w:rsidRPr="00EF4099" w:rsidTr="005329A3">
        <w:trPr>
          <w:trHeight w:val="1999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:rsidR="007E67B7" w:rsidRPr="00EF4099" w:rsidTr="005329A3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7B7" w:rsidRPr="00EF4099" w:rsidRDefault="007E67B7" w:rsidP="005329A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4B4138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7E67B7" w:rsidRPr="00EF4099" w:rsidRDefault="007E67B7" w:rsidP="007E67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4B4138" w:rsidRPr="009E174F" w:rsidRDefault="004B4138" w:rsidP="004B413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E174F">
        <w:rPr>
          <w:rFonts w:ascii="仿宋_GB2312" w:eastAsia="仿宋_GB2312" w:hint="eastAsia"/>
          <w:sz w:val="32"/>
          <w:szCs w:val="32"/>
        </w:rPr>
        <w:lastRenderedPageBreak/>
        <w:t>2019年，我局政府信息公开工作取得了一定成效，但仍然存在与新形势新要求不相适应的问题，主要表现在信息公开内容要进一步完善、信息更新还不够及时。</w:t>
      </w:r>
    </w:p>
    <w:p w:rsidR="004B4138" w:rsidRPr="009E174F" w:rsidRDefault="004B4138" w:rsidP="004B413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E174F">
        <w:rPr>
          <w:rFonts w:ascii="仿宋_GB2312" w:eastAsia="仿宋_GB2312" w:hint="eastAsia"/>
          <w:sz w:val="32"/>
          <w:szCs w:val="32"/>
        </w:rPr>
        <w:t>改进措施：一是加强学习。认真学习《中华人民共和国政府信息公开条例》，正确把握和深刻理解条例的相关要求，做好政府信息公开工作；二是规范政务公开工作内容。按照“公开为常态，不公开为例外”的原则，做好公开和不予公开两类政府信息的界定，进一步梳理我局产生的各类信息、统计分析、统计内参、公报等，</w:t>
      </w:r>
      <w:r w:rsidR="00FA1B51">
        <w:rPr>
          <w:rFonts w:ascii="仿宋_GB2312" w:eastAsia="仿宋_GB2312" w:hint="eastAsia"/>
          <w:sz w:val="32"/>
          <w:szCs w:val="32"/>
        </w:rPr>
        <w:t>层层核实校对信息，严格执行信息公开保密审查相关制度，</w:t>
      </w:r>
      <w:r w:rsidRPr="009E174F">
        <w:rPr>
          <w:rFonts w:ascii="仿宋_GB2312" w:eastAsia="仿宋_GB2312" w:hint="eastAsia"/>
          <w:sz w:val="32"/>
          <w:szCs w:val="32"/>
        </w:rPr>
        <w:t>及时更新，保证公开信息的</w:t>
      </w:r>
      <w:r w:rsidR="00FA1B51">
        <w:rPr>
          <w:rFonts w:ascii="仿宋_GB2312" w:eastAsia="仿宋_GB2312" w:hint="eastAsia"/>
          <w:sz w:val="32"/>
          <w:szCs w:val="32"/>
        </w:rPr>
        <w:t>时效性</w:t>
      </w:r>
      <w:r w:rsidRPr="009E174F">
        <w:rPr>
          <w:rFonts w:ascii="仿宋_GB2312" w:eastAsia="仿宋_GB2312" w:hint="eastAsia"/>
          <w:sz w:val="32"/>
          <w:szCs w:val="32"/>
        </w:rPr>
        <w:t>和准确性，确保政府信息公开工作按照既定的工作流程有效运作，更好地履行政务公开便民服务的职责。</w:t>
      </w:r>
    </w:p>
    <w:p w:rsidR="007E67B7" w:rsidRDefault="007E67B7" w:rsidP="007E67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4B4138" w:rsidRPr="004B4138" w:rsidRDefault="004B4138" w:rsidP="007E67B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B4138">
        <w:rPr>
          <w:rFonts w:ascii="仿宋_GB2312" w:eastAsia="仿宋_GB2312" w:hAnsi="黑体" w:hint="eastAsia"/>
          <w:sz w:val="32"/>
          <w:szCs w:val="32"/>
        </w:rPr>
        <w:t>无</w:t>
      </w:r>
    </w:p>
    <w:p w:rsidR="00033C0C" w:rsidRPr="007E67B7" w:rsidRDefault="00033C0C"/>
    <w:sectPr w:rsidR="00033C0C" w:rsidRPr="007E67B7" w:rsidSect="00033C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F4" w:rsidRDefault="00E576F4" w:rsidP="004B4138">
      <w:r>
        <w:separator/>
      </w:r>
    </w:p>
  </w:endnote>
  <w:endnote w:type="continuationSeparator" w:id="1">
    <w:p w:rsidR="00E576F4" w:rsidRDefault="00E576F4" w:rsidP="004B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38" w:rsidRDefault="004B4138">
    <w:pPr>
      <w:pStyle w:val="a5"/>
      <w:jc w:val="center"/>
    </w:pPr>
    <w:r w:rsidRPr="004B4138">
      <w:rPr>
        <w:rFonts w:asciiTheme="minorEastAsia" w:eastAsiaTheme="minorEastAsia" w:hAnsiTheme="minorEastAsia" w:hint="eastAsia"/>
        <w:sz w:val="24"/>
        <w:szCs w:val="24"/>
      </w:rPr>
      <w:t>-</w:t>
    </w:r>
    <w:sdt>
      <w:sdtPr>
        <w:rPr>
          <w:rFonts w:asciiTheme="minorEastAsia" w:eastAsiaTheme="minorEastAsia" w:hAnsiTheme="minorEastAsia"/>
          <w:sz w:val="24"/>
          <w:szCs w:val="24"/>
        </w:rPr>
        <w:id w:val="25420925"/>
        <w:docPartObj>
          <w:docPartGallery w:val="Page Numbers (Bottom of Page)"/>
          <w:docPartUnique/>
        </w:docPartObj>
      </w:sdtPr>
      <w:sdtEndPr>
        <w:rPr>
          <w:rFonts w:ascii="Times New Roman" w:eastAsia="宋体" w:hAnsi="Times New Roman"/>
          <w:sz w:val="18"/>
          <w:szCs w:val="18"/>
        </w:rPr>
      </w:sdtEndPr>
      <w:sdtContent>
        <w:r w:rsidR="005E4D76" w:rsidRPr="004B4138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4B4138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="005E4D76" w:rsidRPr="004B4138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FA1B51" w:rsidRPr="00FA1B51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2</w:t>
        </w:r>
        <w:r w:rsidR="005E4D76" w:rsidRPr="004B4138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 w:rsidRPr="004B4138">
          <w:rPr>
            <w:rFonts w:asciiTheme="minorEastAsia" w:eastAsiaTheme="minorEastAsia" w:hAnsiTheme="minorEastAsia" w:hint="eastAsia"/>
            <w:sz w:val="24"/>
            <w:szCs w:val="24"/>
          </w:rPr>
          <w:t>-</w:t>
        </w:r>
      </w:sdtContent>
    </w:sdt>
  </w:p>
  <w:p w:rsidR="004B4138" w:rsidRDefault="004B41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F4" w:rsidRDefault="00E576F4" w:rsidP="004B4138">
      <w:r>
        <w:separator/>
      </w:r>
    </w:p>
  </w:footnote>
  <w:footnote w:type="continuationSeparator" w:id="1">
    <w:p w:rsidR="00E576F4" w:rsidRDefault="00E576F4" w:rsidP="004B4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7B7"/>
    <w:rsid w:val="00033C0C"/>
    <w:rsid w:val="004B4138"/>
    <w:rsid w:val="005E4D76"/>
    <w:rsid w:val="007E67B7"/>
    <w:rsid w:val="008358D4"/>
    <w:rsid w:val="00BA7C1C"/>
    <w:rsid w:val="00DC1E0B"/>
    <w:rsid w:val="00E257DF"/>
    <w:rsid w:val="00E576F4"/>
    <w:rsid w:val="00F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CharCharChar">
    <w:name w:val="Char Char Char Char1 Char Char Char Char Char Char"/>
    <w:basedOn w:val="a"/>
    <w:rsid w:val="007E67B7"/>
    <w:pPr>
      <w:ind w:rightChars="100" w:right="240" w:firstLine="480"/>
    </w:pPr>
    <w:rPr>
      <w:rFonts w:ascii="ˎ̥" w:eastAsia="Times New Roman" w:hAnsi="ˎ̥" w:cs="宋体"/>
      <w:color w:val="51585D"/>
      <w:kern w:val="0"/>
      <w:sz w:val="28"/>
      <w:szCs w:val="18"/>
    </w:rPr>
  </w:style>
  <w:style w:type="character" w:styleId="a3">
    <w:name w:val="Hyperlink"/>
    <w:basedOn w:val="a0"/>
    <w:uiPriority w:val="99"/>
    <w:unhideWhenUsed/>
    <w:rsid w:val="00DC1E0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B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1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1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msl.gov.cn&#65289;&#26356;&#26032;&#20449;&#24687;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2020-01-21T07:23:00Z</dcterms:created>
  <dcterms:modified xsi:type="dcterms:W3CDTF">2020-01-21T08:53:00Z</dcterms:modified>
</cp:coreProperties>
</file>