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jc w:val="center"/>
        <w:rPr>
          <w:rFonts w:ascii="方正小标宋简体" w:hAnsi="宋体" w:eastAsia="方正小标宋简体" w:cs="宋体"/>
          <w:kern w:val="0"/>
          <w:sz w:val="44"/>
        </w:rPr>
      </w:pPr>
      <w:r>
        <w:rPr>
          <w:rFonts w:hint="eastAsia" w:ascii="方正小标宋简体" w:hAnsi="宋体" w:eastAsia="方正小标宋简体" w:cs="宋体"/>
          <w:kern w:val="0"/>
          <w:sz w:val="44"/>
        </w:rPr>
        <w:t>石林县环保局关于对</w:t>
      </w:r>
    </w:p>
    <w:p>
      <w:pPr>
        <w:widowControl/>
        <w:snapToGrid w:val="0"/>
        <w:spacing w:before="100" w:beforeAutospacing="1" w:after="100" w:afterAutospacing="1"/>
        <w:jc w:val="center"/>
        <w:rPr>
          <w:rFonts w:ascii="方正小标宋简体" w:hAnsi="宋体" w:eastAsia="方正小标宋简体" w:cs="宋体"/>
          <w:kern w:val="0"/>
          <w:sz w:val="44"/>
        </w:rPr>
      </w:pPr>
      <w:r>
        <w:rPr>
          <w:rFonts w:hint="eastAsia" w:ascii="方正小标宋简体" w:hAnsi="宋体" w:eastAsia="方正小标宋简体" w:cs="宋体"/>
          <w:kern w:val="0"/>
          <w:sz w:val="44"/>
          <w:szCs w:val="44"/>
        </w:rPr>
        <w:t>《</w:t>
      </w:r>
      <w:r>
        <w:rPr>
          <w:rFonts w:hint="eastAsia" w:ascii="方正大标宋简体" w:hAnsi="方正大标宋简体" w:eastAsia="方正大标宋简体" w:cs="方正大标宋简体"/>
          <w:bCs/>
          <w:color w:val="000000"/>
          <w:sz w:val="44"/>
          <w:szCs w:val="44"/>
        </w:rPr>
        <w:t>云南正荣石材石雕有限公司石材加工厂改扩建项目</w:t>
      </w:r>
      <w:r>
        <w:rPr>
          <w:rFonts w:hint="eastAsia" w:ascii="方正小标宋简体" w:eastAsia="方正小标宋简体"/>
          <w:kern w:val="0"/>
          <w:sz w:val="44"/>
          <w:szCs w:val="44"/>
        </w:rPr>
        <w:t>》</w:t>
      </w:r>
      <w:r>
        <w:rPr>
          <w:rFonts w:hint="eastAsia" w:ascii="方正小标宋简体" w:hAnsi="宋体" w:eastAsia="方正小标宋简体" w:cs="宋体"/>
          <w:kern w:val="0"/>
          <w:sz w:val="44"/>
        </w:rPr>
        <w:t>环境影响评价文件拟审批情况的公示</w:t>
      </w:r>
      <w:bookmarkStart w:id="0" w:name="_GoBack"/>
      <w:bookmarkEnd w:id="0"/>
    </w:p>
    <w:p>
      <w:pPr>
        <w:widowControl/>
        <w:snapToGrid w:val="0"/>
        <w:spacing w:line="480" w:lineRule="auto"/>
        <w:ind w:firstLine="560"/>
        <w:rPr>
          <w:rFonts w:ascii="仿宋_GB2312" w:hAnsi="宋体" w:eastAsia="仿宋_GB2312"/>
          <w:kern w:val="0"/>
          <w:sz w:val="28"/>
          <w:szCs w:val="28"/>
        </w:rPr>
      </w:pPr>
      <w:r>
        <w:rPr>
          <w:rFonts w:hint="eastAsia" w:ascii="仿宋_GB2312" w:hAnsi="宋体" w:eastAsia="仿宋_GB2312"/>
          <w:kern w:val="0"/>
          <w:sz w:val="28"/>
          <w:szCs w:val="28"/>
        </w:rPr>
        <w:t>根据建设项目环境影响评价审批程序及信息公开要求，经审议，我局拟对以下项目作出审批意见，现将有关情况予以公示。</w:t>
      </w:r>
    </w:p>
    <w:p>
      <w:pPr>
        <w:widowControl/>
        <w:snapToGrid w:val="0"/>
        <w:spacing w:line="480" w:lineRule="auto"/>
        <w:ind w:firstLine="420"/>
        <w:rPr>
          <w:rFonts w:ascii="仿宋_GB2312" w:hAnsi="宋体" w:eastAsia="仿宋_GB2312"/>
          <w:kern w:val="0"/>
          <w:sz w:val="28"/>
          <w:szCs w:val="28"/>
        </w:rPr>
      </w:pPr>
      <w:r>
        <w:rPr>
          <w:rFonts w:hint="eastAsia" w:ascii="仿宋_GB2312" w:hAnsi="宋体" w:eastAsia="仿宋_GB2312"/>
          <w:kern w:val="0"/>
          <w:sz w:val="28"/>
          <w:szCs w:val="28"/>
        </w:rPr>
        <w:t>联系电话：0871-67798412,0871-68226553（省投资项目审批服务中心受理窗口）</w:t>
      </w:r>
    </w:p>
    <w:p>
      <w:pPr>
        <w:widowControl/>
        <w:snapToGrid w:val="0"/>
        <w:spacing w:line="480" w:lineRule="auto"/>
        <w:ind w:firstLine="420"/>
        <w:rPr>
          <w:rFonts w:ascii="仿宋_GB2312" w:hAnsi="宋体" w:eastAsia="仿宋_GB2312"/>
          <w:kern w:val="0"/>
          <w:sz w:val="28"/>
          <w:szCs w:val="28"/>
        </w:rPr>
      </w:pPr>
      <w:r>
        <w:rPr>
          <w:rFonts w:hint="eastAsia" w:ascii="仿宋_GB2312" w:hAnsi="宋体" w:eastAsia="仿宋_GB2312"/>
          <w:kern w:val="0"/>
          <w:sz w:val="28"/>
          <w:szCs w:val="28"/>
        </w:rPr>
        <w:t>传真：0871-67798412</w:t>
      </w:r>
    </w:p>
    <w:p>
      <w:pPr>
        <w:widowControl/>
        <w:snapToGrid w:val="0"/>
        <w:spacing w:line="480" w:lineRule="auto"/>
        <w:ind w:firstLine="420"/>
        <w:rPr>
          <w:rFonts w:ascii="仿宋_GB2312" w:hAnsi="宋体" w:eastAsia="仿宋_GB2312"/>
          <w:kern w:val="0"/>
          <w:sz w:val="28"/>
          <w:szCs w:val="28"/>
        </w:rPr>
      </w:pPr>
      <w:r>
        <w:rPr>
          <w:rFonts w:hint="eastAsia" w:ascii="仿宋_GB2312" w:hAnsi="宋体" w:eastAsia="仿宋_GB2312"/>
          <w:kern w:val="0"/>
          <w:sz w:val="28"/>
          <w:szCs w:val="28"/>
        </w:rPr>
        <w:t>通讯地址：石林县天奇路1号</w:t>
      </w:r>
    </w:p>
    <w:p>
      <w:pPr>
        <w:widowControl/>
        <w:snapToGrid w:val="0"/>
        <w:spacing w:line="480" w:lineRule="auto"/>
        <w:ind w:firstLine="420"/>
        <w:rPr>
          <w:rFonts w:ascii="仿宋_GB2312" w:hAnsi="宋体" w:eastAsia="仿宋_GB2312"/>
          <w:kern w:val="0"/>
          <w:sz w:val="28"/>
          <w:szCs w:val="28"/>
        </w:rPr>
      </w:pPr>
      <w:r>
        <w:rPr>
          <w:rFonts w:hint="eastAsia" w:ascii="仿宋_GB2312" w:hAnsi="宋体" w:eastAsia="仿宋_GB2312"/>
          <w:kern w:val="0"/>
          <w:sz w:val="28"/>
          <w:szCs w:val="28"/>
        </w:rPr>
        <w:t>邮编：652200</w:t>
      </w:r>
    </w:p>
    <w:p>
      <w:pPr>
        <w:widowControl/>
        <w:snapToGrid w:val="0"/>
        <w:spacing w:line="480" w:lineRule="auto"/>
        <w:ind w:firstLine="420"/>
        <w:rPr>
          <w:rFonts w:ascii="仿宋_GB2312" w:hAnsi="宋体" w:eastAsia="仿宋_GB2312"/>
          <w:kern w:val="0"/>
          <w:sz w:val="28"/>
          <w:szCs w:val="28"/>
        </w:rPr>
      </w:pPr>
    </w:p>
    <w:p>
      <w:pPr>
        <w:widowControl/>
        <w:snapToGrid w:val="0"/>
        <w:spacing w:line="480" w:lineRule="auto"/>
        <w:ind w:firstLine="420"/>
        <w:rPr>
          <w:rFonts w:ascii="仿宋_GB2312" w:hAnsi="宋体" w:eastAsia="仿宋_GB2312"/>
          <w:kern w:val="0"/>
          <w:sz w:val="28"/>
          <w:szCs w:val="28"/>
        </w:rPr>
      </w:pPr>
    </w:p>
    <w:p>
      <w:pPr>
        <w:widowControl/>
        <w:snapToGrid w:val="0"/>
        <w:spacing w:line="480" w:lineRule="auto"/>
        <w:ind w:firstLine="420"/>
        <w:rPr>
          <w:rFonts w:ascii="仿宋_GB2312" w:hAnsi="宋体" w:eastAsia="仿宋_GB2312"/>
          <w:kern w:val="0"/>
          <w:sz w:val="28"/>
          <w:szCs w:val="28"/>
        </w:rPr>
      </w:pPr>
    </w:p>
    <w:tbl>
      <w:tblPr>
        <w:tblStyle w:val="10"/>
        <w:tblW w:w="15135" w:type="dxa"/>
        <w:tblInd w:w="0" w:type="dxa"/>
        <w:tblLayout w:type="fixed"/>
        <w:tblCellMar>
          <w:top w:w="0" w:type="dxa"/>
          <w:left w:w="0" w:type="dxa"/>
          <w:bottom w:w="0" w:type="dxa"/>
          <w:right w:w="0" w:type="dxa"/>
        </w:tblCellMar>
      </w:tblPr>
      <w:tblGrid>
        <w:gridCol w:w="538"/>
        <w:gridCol w:w="993"/>
        <w:gridCol w:w="911"/>
        <w:gridCol w:w="895"/>
        <w:gridCol w:w="911"/>
        <w:gridCol w:w="2913"/>
        <w:gridCol w:w="7974"/>
      </w:tblGrid>
      <w:tr>
        <w:tblPrEx>
          <w:tblLayout w:type="fixed"/>
          <w:tblCellMar>
            <w:top w:w="0" w:type="dxa"/>
            <w:left w:w="0" w:type="dxa"/>
            <w:bottom w:w="0" w:type="dxa"/>
            <w:right w:w="0" w:type="dxa"/>
          </w:tblCellMar>
        </w:tblPrEx>
        <w:tc>
          <w:tcPr>
            <w:tcW w:w="5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序号</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项目名称</w:t>
            </w:r>
          </w:p>
        </w:tc>
        <w:tc>
          <w:tcPr>
            <w:tcW w:w="9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建设地点</w:t>
            </w:r>
          </w:p>
        </w:tc>
        <w:tc>
          <w:tcPr>
            <w:tcW w:w="8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建设单位</w:t>
            </w:r>
          </w:p>
        </w:tc>
        <w:tc>
          <w:tcPr>
            <w:tcW w:w="9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环评机构</w:t>
            </w:r>
          </w:p>
        </w:tc>
        <w:tc>
          <w:tcPr>
            <w:tcW w:w="29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项目概况</w:t>
            </w:r>
          </w:p>
        </w:tc>
        <w:tc>
          <w:tcPr>
            <w:tcW w:w="79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主要环境影响及预防或者减轻不良环境影响的对策和措施</w:t>
            </w:r>
          </w:p>
        </w:tc>
      </w:tr>
      <w:tr>
        <w:tblPrEx>
          <w:tblLayout w:type="fixed"/>
          <w:tblCellMar>
            <w:top w:w="0" w:type="dxa"/>
            <w:left w:w="0" w:type="dxa"/>
            <w:bottom w:w="0" w:type="dxa"/>
            <w:right w:w="0" w:type="dxa"/>
          </w:tblCellMar>
        </w:tblPrEx>
        <w:trPr>
          <w:trHeight w:val="6627" w:hRule="atLeast"/>
        </w:trPr>
        <w:tc>
          <w:tcPr>
            <w:tcW w:w="53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仿宋_GB2312" w:hAnsi="宋体" w:eastAsia="仿宋_GB2312"/>
                <w:bCs/>
                <w:kern w:val="0"/>
                <w:sz w:val="24"/>
              </w:rPr>
            </w:pPr>
            <w:r>
              <w:rPr>
                <w:rFonts w:hint="eastAsia" w:ascii="宋体" w:hAnsi="宋体"/>
                <w:bCs/>
                <w:color w:val="000000"/>
                <w:sz w:val="24"/>
              </w:rPr>
              <w:t>云南正荣石材石雕有限公司石材加工厂改扩建项目</w:t>
            </w:r>
          </w:p>
        </w:tc>
        <w:tc>
          <w:tcPr>
            <w:tcW w:w="9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宋体" w:hAnsi="宋体"/>
                <w:color w:val="000000"/>
                <w:sz w:val="24"/>
              </w:rPr>
              <w:t>石林县鹿阜街道办路美邑村</w:t>
            </w:r>
          </w:p>
        </w:tc>
        <w:tc>
          <w:tcPr>
            <w:tcW w:w="8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宋体" w:hAnsi="宋体"/>
                <w:color w:val="000000"/>
                <w:sz w:val="24"/>
              </w:rPr>
              <w:t>云南正荣石材石雕有限公司</w:t>
            </w:r>
          </w:p>
        </w:tc>
        <w:tc>
          <w:tcPr>
            <w:tcW w:w="9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宋体" w:hAnsi="宋体" w:cs="宋体"/>
                <w:kern w:val="0"/>
                <w:sz w:val="24"/>
              </w:rPr>
              <w:t>临沧尚德环境技术有限公司</w:t>
            </w:r>
          </w:p>
        </w:tc>
        <w:tc>
          <w:tcPr>
            <w:tcW w:w="291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520" w:lineRule="exact"/>
              <w:rPr>
                <w:color w:val="000000"/>
              </w:rPr>
            </w:pPr>
            <w:r>
              <w:rPr>
                <w:rFonts w:hint="eastAsia" w:cs="宋体"/>
                <w:color w:val="000000"/>
                <w:sz w:val="24"/>
              </w:rPr>
              <w:t>项目</w:t>
            </w:r>
            <w:r>
              <w:rPr>
                <w:rFonts w:hint="eastAsia" w:cs="宋体"/>
                <w:sz w:val="24"/>
              </w:rPr>
              <w:t>于1997年投入运营</w:t>
            </w:r>
            <w:r>
              <w:rPr>
                <w:rFonts w:hint="eastAsia" w:cs="宋体"/>
                <w:color w:val="000000"/>
                <w:sz w:val="24"/>
              </w:rPr>
              <w:t>占地面积</w:t>
            </w:r>
            <w:r>
              <w:rPr>
                <w:rFonts w:hint="eastAsia" w:ascii="宋体" w:hAnsi="宋体"/>
                <w:color w:val="000000"/>
                <w:sz w:val="24"/>
              </w:rPr>
              <w:t>4329.9</w:t>
            </w:r>
            <w:r>
              <w:rPr>
                <w:rFonts w:hint="eastAsia" w:cs="宋体"/>
                <w:color w:val="000000"/>
                <w:sz w:val="24"/>
              </w:rPr>
              <w:t>m</w:t>
            </w:r>
            <w:r>
              <w:rPr>
                <w:rFonts w:hint="eastAsia" w:cs="宋体"/>
                <w:color w:val="000000"/>
                <w:sz w:val="24"/>
                <w:vertAlign w:val="superscript"/>
              </w:rPr>
              <w:t>2</w:t>
            </w:r>
            <w:r>
              <w:rPr>
                <w:rFonts w:hint="eastAsia" w:cs="宋体"/>
                <w:color w:val="000000"/>
                <w:sz w:val="24"/>
              </w:rPr>
              <w:t>，</w:t>
            </w:r>
            <w:r>
              <w:rPr>
                <w:color w:val="000000"/>
              </w:rPr>
              <w:t>年生产工程薄板15万m</w:t>
            </w:r>
            <w:r>
              <w:rPr>
                <w:color w:val="000000"/>
                <w:vertAlign w:val="superscript"/>
              </w:rPr>
              <w:t>2</w:t>
            </w:r>
            <w:r>
              <w:rPr>
                <w:color w:val="000000"/>
              </w:rPr>
              <w:t>、路沿石5万m</w:t>
            </w:r>
            <w:r>
              <w:rPr>
                <w:color w:val="000000"/>
                <w:vertAlign w:val="superscript"/>
              </w:rPr>
              <w:t>2</w:t>
            </w:r>
            <w:r>
              <w:rPr>
                <w:color w:val="000000"/>
              </w:rPr>
              <w:t>、流水石5万m</w:t>
            </w:r>
            <w:r>
              <w:rPr>
                <w:color w:val="000000"/>
                <w:vertAlign w:val="superscript"/>
              </w:rPr>
              <w:t>2</w:t>
            </w:r>
          </w:p>
          <w:p>
            <w:pPr>
              <w:widowControl/>
              <w:jc w:val="center"/>
              <w:rPr>
                <w:rFonts w:ascii="仿宋_GB2312" w:hAnsi="宋体" w:eastAsia="仿宋_GB2312"/>
                <w:kern w:val="0"/>
                <w:sz w:val="28"/>
                <w:szCs w:val="28"/>
              </w:rPr>
            </w:pPr>
          </w:p>
        </w:tc>
        <w:tc>
          <w:tcPr>
            <w:tcW w:w="797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440" w:lineRule="exact"/>
              <w:ind w:firstLine="480"/>
              <w:rPr>
                <w:rFonts w:ascii="Calibri" w:hAnsi="Calibri"/>
                <w:b/>
                <w:color w:val="000000"/>
                <w:sz w:val="24"/>
              </w:rPr>
            </w:pPr>
            <w:r>
              <w:rPr>
                <w:b/>
                <w:color w:val="000000"/>
                <w:sz w:val="24"/>
              </w:rPr>
              <w:t>1</w:t>
            </w:r>
            <w:r>
              <w:rPr>
                <w:rFonts w:hint="eastAsia" w:cs="宋体"/>
                <w:b/>
                <w:color w:val="000000"/>
                <w:sz w:val="24"/>
              </w:rPr>
              <w:t>、运营期废气对空气环境影响的缓解措施</w:t>
            </w:r>
          </w:p>
          <w:p>
            <w:pPr>
              <w:pStyle w:val="13"/>
              <w:spacing w:after="0" w:line="534" w:lineRule="exact"/>
              <w:rPr>
                <w:szCs w:val="36"/>
              </w:rPr>
            </w:pPr>
            <w:r>
              <w:rPr>
                <w:rFonts w:hint="eastAsia" w:cs="宋体"/>
                <w:szCs w:val="36"/>
              </w:rPr>
              <w:t>（</w:t>
            </w:r>
            <w:r>
              <w:rPr>
                <w:szCs w:val="36"/>
              </w:rPr>
              <w:t>1</w:t>
            </w:r>
            <w:r>
              <w:rPr>
                <w:rFonts w:hint="eastAsia" w:cs="宋体"/>
                <w:szCs w:val="36"/>
              </w:rPr>
              <w:t>）抛光车间封闭作业。</w:t>
            </w:r>
          </w:p>
          <w:p>
            <w:pPr>
              <w:pStyle w:val="13"/>
              <w:spacing w:after="0" w:line="534" w:lineRule="exact"/>
              <w:rPr>
                <w:szCs w:val="36"/>
              </w:rPr>
            </w:pPr>
            <w:r>
              <w:rPr>
                <w:rFonts w:hint="eastAsia" w:cs="宋体"/>
                <w:szCs w:val="36"/>
              </w:rPr>
              <w:t>（</w:t>
            </w:r>
            <w:r>
              <w:rPr>
                <w:szCs w:val="36"/>
              </w:rPr>
              <w:t>2</w:t>
            </w:r>
            <w:r>
              <w:rPr>
                <w:rFonts w:hint="eastAsia" w:cs="宋体"/>
                <w:szCs w:val="36"/>
              </w:rPr>
              <w:t>）对于主要运输道路、仓库和破碎区无组织粉尘应加强管理，及时清扫，并采取洒水降尘的方式，确保厂界粉尘无组织监控点的稳定达标；</w:t>
            </w:r>
          </w:p>
          <w:p>
            <w:pPr>
              <w:pStyle w:val="13"/>
              <w:spacing w:after="0" w:line="520" w:lineRule="exact"/>
              <w:rPr>
                <w:szCs w:val="36"/>
              </w:rPr>
            </w:pPr>
            <w:r>
              <w:rPr>
                <w:rFonts w:hint="eastAsia" w:cs="宋体"/>
                <w:szCs w:val="36"/>
              </w:rPr>
              <w:t>（</w:t>
            </w:r>
            <w:r>
              <w:rPr>
                <w:szCs w:val="36"/>
              </w:rPr>
              <w:t>3</w:t>
            </w:r>
            <w:r>
              <w:rPr>
                <w:rFonts w:hint="eastAsia" w:cs="宋体"/>
                <w:szCs w:val="36"/>
              </w:rPr>
              <w:t>）对于食堂油烟，采用油烟净化器，炒菜油烟废气由排烟管引至食堂房顶排放，净化后的油烟尾气容易扩散，对周围环境的影响较轻。</w:t>
            </w:r>
          </w:p>
          <w:p>
            <w:pPr>
              <w:spacing w:line="440" w:lineRule="exact"/>
              <w:ind w:firstLine="480"/>
              <w:rPr>
                <w:rFonts w:ascii="宋体" w:hAnsi="宋体" w:cs="宋体"/>
                <w:b/>
                <w:color w:val="000000"/>
                <w:sz w:val="24"/>
              </w:rPr>
            </w:pPr>
            <w:r>
              <w:rPr>
                <w:rFonts w:hint="eastAsia" w:ascii="宋体" w:hAnsi="宋体" w:cs="宋体"/>
                <w:b/>
                <w:color w:val="000000"/>
                <w:sz w:val="24"/>
              </w:rPr>
              <w:t>2、运营期对水环境影响的缓解措施</w:t>
            </w:r>
          </w:p>
          <w:p>
            <w:pPr>
              <w:pStyle w:val="2"/>
              <w:widowControl/>
              <w:spacing w:line="520" w:lineRule="exact"/>
              <w:ind w:firstLine="480" w:firstLineChars="200"/>
              <w:rPr>
                <w:color w:val="000000"/>
                <w:szCs w:val="24"/>
              </w:rPr>
            </w:pPr>
            <w:r>
              <w:rPr>
                <w:rFonts w:hint="eastAsia" w:hAnsi="宋体" w:cs="宋体"/>
                <w:color w:val="000000"/>
                <w:szCs w:val="24"/>
              </w:rPr>
              <w:t>（</w:t>
            </w:r>
            <w:r>
              <w:rPr>
                <w:color w:val="000000"/>
                <w:szCs w:val="24"/>
              </w:rPr>
              <w:t>1</w:t>
            </w:r>
            <w:r>
              <w:rPr>
                <w:rFonts w:hint="eastAsia" w:hAnsi="宋体" w:cs="宋体"/>
                <w:color w:val="000000"/>
                <w:szCs w:val="24"/>
              </w:rPr>
              <w:t>）项目拟设置的污水处理设施应同主体工程同时设计、同时施工、同时投入使用，污水处理设施竣工后应经过环保部门验收达标后方可投入运行。</w:t>
            </w:r>
          </w:p>
          <w:p>
            <w:pPr>
              <w:pStyle w:val="2"/>
              <w:widowControl/>
              <w:spacing w:line="520" w:lineRule="exact"/>
              <w:ind w:firstLine="480" w:firstLineChars="200"/>
              <w:rPr>
                <w:rFonts w:hAnsi="宋体"/>
                <w:color w:val="000000"/>
                <w:szCs w:val="24"/>
              </w:rPr>
            </w:pPr>
            <w:r>
              <w:rPr>
                <w:rFonts w:hint="eastAsia" w:hAnsi="宋体" w:cs="宋体"/>
                <w:color w:val="000000"/>
                <w:szCs w:val="24"/>
              </w:rPr>
              <w:t>（</w:t>
            </w:r>
            <w:r>
              <w:rPr>
                <w:rFonts w:hAnsi="宋体"/>
                <w:color w:val="000000"/>
                <w:szCs w:val="24"/>
              </w:rPr>
              <w:t>2</w:t>
            </w:r>
            <w:r>
              <w:rPr>
                <w:rFonts w:hint="eastAsia" w:hAnsi="宋体" w:cs="宋体"/>
                <w:color w:val="000000"/>
                <w:szCs w:val="24"/>
              </w:rPr>
              <w:t>）项目生活废水经化粪池预处理后。</w:t>
            </w:r>
            <w:r>
              <w:rPr>
                <w:rFonts w:hint="eastAsia" w:cs="宋体"/>
                <w:color w:val="000000"/>
                <w:szCs w:val="24"/>
              </w:rPr>
              <w:t>食堂的餐饮废水需经隔油池预处理后可混同生活污水一同用于农田施肥。</w:t>
            </w:r>
          </w:p>
          <w:p>
            <w:pPr>
              <w:pStyle w:val="2"/>
              <w:widowControl/>
              <w:spacing w:line="520" w:lineRule="exact"/>
              <w:ind w:firstLine="480" w:firstLineChars="200"/>
              <w:rPr>
                <w:rFonts w:hAnsi="宋体"/>
                <w:color w:val="000000"/>
                <w:szCs w:val="24"/>
              </w:rPr>
            </w:pPr>
            <w:r>
              <w:rPr>
                <w:rFonts w:hint="eastAsia" w:hAnsi="宋体" w:cs="宋体"/>
                <w:color w:val="000000"/>
                <w:szCs w:val="24"/>
              </w:rPr>
              <w:t>（</w:t>
            </w:r>
            <w:r>
              <w:rPr>
                <w:rFonts w:hAnsi="宋体"/>
                <w:color w:val="000000"/>
                <w:szCs w:val="24"/>
              </w:rPr>
              <w:t>3</w:t>
            </w:r>
            <w:r>
              <w:rPr>
                <w:rFonts w:hint="eastAsia" w:hAnsi="宋体" w:cs="宋体"/>
                <w:color w:val="000000"/>
                <w:szCs w:val="24"/>
              </w:rPr>
              <w:t>）根据排水体制，项目厂区内建设雨污分流制，排污口建设规范化。</w:t>
            </w:r>
          </w:p>
          <w:p>
            <w:pPr>
              <w:pStyle w:val="2"/>
              <w:widowControl/>
              <w:spacing w:line="520" w:lineRule="exact"/>
              <w:ind w:firstLine="480" w:firstLineChars="200"/>
              <w:rPr>
                <w:rFonts w:hAnsi="宋体"/>
                <w:color w:val="000000"/>
                <w:szCs w:val="24"/>
              </w:rPr>
            </w:pPr>
            <w:r>
              <w:rPr>
                <w:rFonts w:hint="eastAsia" w:cs="宋体"/>
              </w:rPr>
              <w:t>（</w:t>
            </w:r>
            <w:r>
              <w:t>4</w:t>
            </w:r>
            <w:r>
              <w:rPr>
                <w:rFonts w:hint="eastAsia" w:cs="宋体"/>
              </w:rPr>
              <w:t>）全厂工业废水须经隔油沉淀池处</w:t>
            </w:r>
            <w:r>
              <w:rPr>
                <w:rFonts w:hint="eastAsia" w:cs="宋体"/>
                <w:color w:val="000000"/>
              </w:rPr>
              <w:t>理后循环利用，沉淀池的容积</w:t>
            </w:r>
            <w:r>
              <w:rPr>
                <w:rFonts w:hint="eastAsia" w:ascii="宋体" w:hAnsi="宋体" w:cs="宋体"/>
                <w:color w:val="000000"/>
              </w:rPr>
              <w:t>≥</w:t>
            </w:r>
            <w:r>
              <w:rPr>
                <w:color w:val="000000"/>
              </w:rPr>
              <w:t>100m</w:t>
            </w:r>
            <w:r>
              <w:rPr>
                <w:color w:val="000000"/>
                <w:vertAlign w:val="superscript"/>
              </w:rPr>
              <w:t>3</w:t>
            </w:r>
            <w:r>
              <w:rPr>
                <w:rFonts w:hint="eastAsia" w:cs="宋体"/>
                <w:color w:val="000000"/>
              </w:rPr>
              <w:t>，</w:t>
            </w:r>
            <w:r>
              <w:rPr>
                <w:rFonts w:hint="eastAsia" w:cs="宋体"/>
              </w:rPr>
              <w:t>处理停留时间不得低于</w:t>
            </w:r>
            <w:r>
              <w:t>24h</w:t>
            </w:r>
            <w:r>
              <w:rPr>
                <w:rFonts w:hint="eastAsia" w:cs="宋体"/>
              </w:rPr>
              <w:t>。</w:t>
            </w:r>
          </w:p>
          <w:p>
            <w:pPr>
              <w:spacing w:line="440" w:lineRule="exact"/>
              <w:ind w:firstLine="480"/>
              <w:rPr>
                <w:rFonts w:ascii="宋体" w:hAnsi="宋体" w:cs="宋体"/>
                <w:b/>
                <w:color w:val="000000"/>
                <w:sz w:val="24"/>
              </w:rPr>
            </w:pPr>
            <w:r>
              <w:rPr>
                <w:rFonts w:hint="eastAsia" w:ascii="宋体" w:hAnsi="宋体" w:cs="宋体"/>
                <w:b/>
                <w:color w:val="000000"/>
                <w:sz w:val="24"/>
              </w:rPr>
              <w:t>3、运营期对声环境影响的缓解措施</w:t>
            </w:r>
          </w:p>
          <w:p>
            <w:pPr>
              <w:snapToGrid w:val="0"/>
              <w:spacing w:line="360" w:lineRule="auto"/>
              <w:ind w:firstLine="480" w:firstLineChars="200"/>
              <w:rPr>
                <w:rFonts w:ascii="Calibri" w:hAnsi="Calibri"/>
                <w:color w:val="000000"/>
                <w:sz w:val="24"/>
              </w:rPr>
            </w:pPr>
            <w:r>
              <w:rPr>
                <w:rFonts w:hint="eastAsia" w:cs="宋体"/>
                <w:color w:val="000000"/>
                <w:sz w:val="24"/>
              </w:rPr>
              <w:t>项目设备选型时，应优选节能低噪声设备。对高噪声设备安装防震垫、厂区围墙加设隔声材料等。确保厂界噪声达到</w:t>
            </w:r>
            <w:r>
              <w:rPr>
                <w:color w:val="000000"/>
                <w:sz w:val="24"/>
              </w:rPr>
              <w:t>GB12348-2008</w:t>
            </w:r>
            <w:r>
              <w:rPr>
                <w:rFonts w:hint="eastAsia" w:cs="宋体"/>
                <w:color w:val="000000"/>
                <w:sz w:val="24"/>
              </w:rPr>
              <w:t>《工业企业厂界环境噪声排放标准》</w:t>
            </w:r>
            <w:r>
              <w:rPr>
                <w:color w:val="000000"/>
                <w:sz w:val="24"/>
              </w:rPr>
              <w:t>2</w:t>
            </w:r>
            <w:r>
              <w:rPr>
                <w:rFonts w:hint="eastAsia" w:cs="宋体"/>
                <w:color w:val="000000"/>
                <w:sz w:val="24"/>
              </w:rPr>
              <w:t>类标准要求。</w:t>
            </w:r>
            <w:r>
              <w:rPr>
                <w:color w:val="000000"/>
                <w:sz w:val="24"/>
              </w:rPr>
              <w:t xml:space="preserve"> </w:t>
            </w:r>
          </w:p>
          <w:p>
            <w:pPr>
              <w:spacing w:line="440" w:lineRule="exact"/>
              <w:ind w:firstLine="480"/>
              <w:rPr>
                <w:rFonts w:ascii="宋体" w:hAnsi="宋体" w:cs="宋体"/>
                <w:b/>
                <w:color w:val="000000"/>
                <w:sz w:val="24"/>
              </w:rPr>
            </w:pPr>
            <w:r>
              <w:rPr>
                <w:rFonts w:hint="eastAsia" w:ascii="宋体" w:hAnsi="宋体" w:cs="宋体"/>
                <w:b/>
                <w:color w:val="000000"/>
                <w:sz w:val="24"/>
              </w:rPr>
              <w:t>4、运营期</w:t>
            </w:r>
            <w:r>
              <w:rPr>
                <w:rFonts w:hint="eastAsia" w:cs="宋体"/>
                <w:b/>
                <w:color w:val="000000"/>
                <w:sz w:val="24"/>
              </w:rPr>
              <w:t>固废对</w:t>
            </w:r>
            <w:r>
              <w:rPr>
                <w:rFonts w:hint="eastAsia" w:ascii="宋体" w:hAnsi="宋体" w:cs="宋体"/>
                <w:b/>
                <w:color w:val="000000"/>
                <w:sz w:val="24"/>
              </w:rPr>
              <w:t>环境影响的缓解措施</w:t>
            </w:r>
          </w:p>
          <w:p>
            <w:pPr>
              <w:spacing w:line="540" w:lineRule="exact"/>
              <w:ind w:firstLine="480" w:firstLineChars="200"/>
              <w:rPr>
                <w:rFonts w:ascii="Calibri" w:hAnsi="Calibri"/>
                <w:color w:val="000000"/>
                <w:sz w:val="24"/>
              </w:rPr>
            </w:pPr>
            <w:r>
              <w:rPr>
                <w:rFonts w:hint="eastAsia" w:cs="宋体"/>
                <w:color w:val="000000"/>
                <w:sz w:val="24"/>
              </w:rPr>
              <w:t>（</w:t>
            </w:r>
            <w:r>
              <w:rPr>
                <w:color w:val="000000"/>
                <w:sz w:val="24"/>
              </w:rPr>
              <w:t>1</w:t>
            </w:r>
            <w:r>
              <w:rPr>
                <w:rFonts w:hint="eastAsia" w:cs="宋体"/>
                <w:color w:val="000000"/>
                <w:sz w:val="24"/>
              </w:rPr>
              <w:t>）一般工业固废集中处置前需临时存放场所，应符合</w:t>
            </w:r>
            <w:r>
              <w:rPr>
                <w:color w:val="000000"/>
                <w:sz w:val="24"/>
              </w:rPr>
              <w:t>GB18599-2001</w:t>
            </w:r>
            <w:r>
              <w:rPr>
                <w:rFonts w:hint="eastAsia" w:cs="宋体"/>
                <w:color w:val="000000"/>
                <w:sz w:val="24"/>
              </w:rPr>
              <w:t>《一般工业固体废物贮存、处置场污染控制标准》的临时堆场内。</w:t>
            </w:r>
          </w:p>
          <w:p>
            <w:pPr>
              <w:spacing w:line="540" w:lineRule="exact"/>
              <w:ind w:firstLine="480" w:firstLineChars="200"/>
              <w:rPr>
                <w:rFonts w:ascii="Calibri" w:hAnsi="Calibri"/>
                <w:color w:val="000000"/>
                <w:sz w:val="24"/>
              </w:rPr>
            </w:pPr>
            <w:r>
              <w:rPr>
                <w:rFonts w:hint="eastAsia" w:cs="宋体"/>
                <w:color w:val="000000"/>
                <w:sz w:val="24"/>
              </w:rPr>
              <w:t>（</w:t>
            </w:r>
            <w:r>
              <w:rPr>
                <w:color w:val="000000"/>
                <w:sz w:val="24"/>
              </w:rPr>
              <w:t>2</w:t>
            </w:r>
            <w:r>
              <w:rPr>
                <w:rFonts w:hint="eastAsia" w:cs="宋体"/>
                <w:color w:val="000000"/>
                <w:sz w:val="24"/>
              </w:rPr>
              <w:t>）对于切割边角料的临时堆场应采取防雨棚，挡风墙等措施，确保少量残余废液不直接外排进入周边水体。</w:t>
            </w:r>
          </w:p>
          <w:p>
            <w:pPr>
              <w:spacing w:line="540" w:lineRule="exact"/>
              <w:ind w:firstLine="480" w:firstLineChars="200"/>
              <w:rPr>
                <w:rFonts w:ascii="Calibri" w:hAnsi="Calibri"/>
                <w:color w:val="000000"/>
                <w:sz w:val="24"/>
              </w:rPr>
            </w:pPr>
            <w:r>
              <w:rPr>
                <w:rFonts w:hint="eastAsia" w:cs="宋体"/>
                <w:color w:val="000000"/>
                <w:sz w:val="24"/>
              </w:rPr>
              <w:t>（</w:t>
            </w:r>
            <w:r>
              <w:rPr>
                <w:color w:val="000000"/>
                <w:sz w:val="24"/>
              </w:rPr>
              <w:t>2</w:t>
            </w:r>
            <w:r>
              <w:rPr>
                <w:rFonts w:hint="eastAsia" w:cs="宋体"/>
                <w:color w:val="000000"/>
                <w:sz w:val="24"/>
              </w:rPr>
              <w:t>）对于干化场、沉淀池应做好防渗，避免废液污水外排、下渗。干石浆堆场应采取防雨棚，挡风墙、围堰等措施。</w:t>
            </w:r>
          </w:p>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 xml:space="preserve">                                                                                              </w:t>
            </w:r>
          </w:p>
        </w:tc>
      </w:tr>
    </w:tbl>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88141F2"/>
    <w:rsid w:val="000345AF"/>
    <w:rsid w:val="001220B8"/>
    <w:rsid w:val="00222FBE"/>
    <w:rsid w:val="00234486"/>
    <w:rsid w:val="002B0D50"/>
    <w:rsid w:val="003A0213"/>
    <w:rsid w:val="004337E2"/>
    <w:rsid w:val="00461344"/>
    <w:rsid w:val="00487136"/>
    <w:rsid w:val="004D2487"/>
    <w:rsid w:val="005A6146"/>
    <w:rsid w:val="005C1C20"/>
    <w:rsid w:val="00730CF7"/>
    <w:rsid w:val="007F7B9C"/>
    <w:rsid w:val="00823A07"/>
    <w:rsid w:val="008C3B6B"/>
    <w:rsid w:val="00947FDB"/>
    <w:rsid w:val="00B64030"/>
    <w:rsid w:val="00CA76C0"/>
    <w:rsid w:val="00D346F2"/>
    <w:rsid w:val="00D5172B"/>
    <w:rsid w:val="00D9112F"/>
    <w:rsid w:val="00DA39B3"/>
    <w:rsid w:val="00DC3797"/>
    <w:rsid w:val="00DD6767"/>
    <w:rsid w:val="00DF064C"/>
    <w:rsid w:val="00E3373A"/>
    <w:rsid w:val="00EB668C"/>
    <w:rsid w:val="00F34086"/>
    <w:rsid w:val="00F73E44"/>
    <w:rsid w:val="00FB35E3"/>
    <w:rsid w:val="0FA32C44"/>
    <w:rsid w:val="16295CC8"/>
    <w:rsid w:val="20697FA7"/>
    <w:rsid w:val="288141F2"/>
    <w:rsid w:val="5DB70682"/>
    <w:rsid w:val="79325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link w:val="14"/>
    <w:qFormat/>
    <w:uiPriority w:val="0"/>
    <w:pPr>
      <w:ind w:firstLine="420"/>
    </w:pPr>
    <w:rPr>
      <w:sz w:val="24"/>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character" w:styleId="8">
    <w:name w:val="FollowedHyperlink"/>
    <w:basedOn w:val="6"/>
    <w:uiPriority w:val="0"/>
    <w:rPr>
      <w:color w:val="800080"/>
      <w:u w:val="single"/>
    </w:rPr>
  </w:style>
  <w:style w:type="character" w:styleId="9">
    <w:name w:val="Hyperlink"/>
    <w:basedOn w:val="6"/>
    <w:qFormat/>
    <w:uiPriority w:val="0"/>
    <w:rPr>
      <w:rFonts w:ascii="Arial" w:hAnsi="Arial" w:cs="Arial"/>
      <w:color w:val="0000FF"/>
      <w:u w:val="single"/>
    </w:rPr>
  </w:style>
  <w:style w:type="character" w:customStyle="1" w:styleId="11">
    <w:name w:val="页脚 Char"/>
    <w:basedOn w:val="6"/>
    <w:link w:val="3"/>
    <w:uiPriority w:val="0"/>
    <w:rPr>
      <w:kern w:val="2"/>
      <w:sz w:val="18"/>
      <w:szCs w:val="18"/>
    </w:rPr>
  </w:style>
  <w:style w:type="character" w:customStyle="1" w:styleId="12">
    <w:name w:val="页眉 Char"/>
    <w:basedOn w:val="6"/>
    <w:link w:val="4"/>
    <w:uiPriority w:val="0"/>
    <w:rPr>
      <w:kern w:val="2"/>
      <w:sz w:val="18"/>
      <w:szCs w:val="18"/>
    </w:rPr>
  </w:style>
  <w:style w:type="paragraph" w:customStyle="1" w:styleId="13">
    <w:name w:val="君邦正文"/>
    <w:basedOn w:val="1"/>
    <w:link w:val="15"/>
    <w:uiPriority w:val="0"/>
    <w:pPr>
      <w:widowControl/>
      <w:snapToGrid w:val="0"/>
      <w:spacing w:after="60" w:line="360" w:lineRule="auto"/>
      <w:ind w:firstLine="480" w:firstLineChars="200"/>
    </w:pPr>
    <w:rPr>
      <w:bCs/>
      <w:kern w:val="0"/>
      <w:sz w:val="24"/>
      <w:szCs w:val="20"/>
    </w:rPr>
  </w:style>
  <w:style w:type="character" w:customStyle="1" w:styleId="14">
    <w:name w:val="正文缩进 Char"/>
    <w:basedOn w:val="6"/>
    <w:link w:val="2"/>
    <w:uiPriority w:val="0"/>
    <w:rPr>
      <w:kern w:val="2"/>
      <w:sz w:val="24"/>
    </w:rPr>
  </w:style>
  <w:style w:type="character" w:customStyle="1" w:styleId="15">
    <w:name w:val="君邦正文 Char"/>
    <w:basedOn w:val="6"/>
    <w:link w:val="13"/>
    <w:uiPriority w:val="0"/>
    <w:rPr>
      <w:bCs/>
      <w:snapToGrid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0707;&#26519;&#21439;&#32593;&#19978;&#20844;&#31034;\&#30707;&#26519;&#21439;&#32593;&#19978;&#20844;&#31034;\&#25311;&#23457;&#25209;&#20844;&#31034;&#27169;&#26495;.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拟审批公示模板</Template>
  <Pages>3</Pages>
  <Words>167</Words>
  <Characters>955</Characters>
  <Lines>7</Lines>
  <Paragraphs>2</Paragraphs>
  <TotalTime>0</TotalTime>
  <ScaleCrop>false</ScaleCrop>
  <LinksUpToDate>false</LinksUpToDate>
  <CharactersWithSpaces>1120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2018-08-30T06:43:00Z</dcterms:created>
  <dc:creator>向阳花</dc:creator>
  <cp:lastModifiedBy>小丫</cp:lastModifiedBy>
  <dcterms:modified xsi:type="dcterms:W3CDTF">2018-09-12T02:42:52Z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