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before="100" w:beforeAutospacing="1" w:after="100" w:afterAutospacing="1"/>
        <w:jc w:val="center"/>
        <w:rPr>
          <w:rFonts w:ascii="方正小标宋简体" w:hAnsi="宋体" w:eastAsia="方正小标宋简体" w:cs="宋体"/>
          <w:kern w:val="0"/>
          <w:sz w:val="44"/>
        </w:rPr>
      </w:pPr>
      <w:r>
        <w:rPr>
          <w:rFonts w:hint="eastAsia" w:ascii="方正小标宋简体" w:hAnsi="宋体" w:eastAsia="方正小标宋简体" w:cs="宋体"/>
          <w:kern w:val="0"/>
          <w:sz w:val="44"/>
        </w:rPr>
        <w:t>石林县环保局关于对</w:t>
      </w:r>
    </w:p>
    <w:p>
      <w:pPr>
        <w:widowControl/>
        <w:snapToGrid w:val="0"/>
        <w:spacing w:before="100" w:beforeAutospacing="1" w:after="100" w:afterAutospacing="1"/>
        <w:jc w:val="center"/>
        <w:rPr>
          <w:rFonts w:ascii="方正小标宋简体" w:hAnsi="宋体" w:eastAsia="方正小标宋简体" w:cs="宋体"/>
          <w:kern w:val="0"/>
          <w:sz w:val="44"/>
        </w:rPr>
      </w:pPr>
      <w:bookmarkStart w:id="0" w:name="_GoBack"/>
      <w:bookmarkEnd w:id="0"/>
      <w:r>
        <w:rPr>
          <w:rFonts w:hint="eastAsia" w:ascii="方正小标宋简体" w:eastAsia="方正小标宋简体"/>
          <w:kern w:val="0"/>
          <w:sz w:val="44"/>
          <w:szCs w:val="44"/>
        </w:rPr>
        <w:t>《</w:t>
      </w:r>
      <w:r>
        <w:rPr>
          <w:rFonts w:hint="eastAsia" w:ascii="方正大标宋简体" w:hAnsi="方正大标宋简体" w:eastAsia="方正大标宋简体" w:cs="方正大标宋简体"/>
          <w:sz w:val="44"/>
          <w:szCs w:val="44"/>
        </w:rPr>
        <w:t>石林赫石工贸有限公司碎石生产系统改扩建项目</w:t>
      </w:r>
      <w:r>
        <w:rPr>
          <w:rFonts w:hint="eastAsia" w:ascii="方正小标宋简体" w:eastAsia="方正小标宋简体"/>
          <w:kern w:val="0"/>
          <w:sz w:val="44"/>
          <w:szCs w:val="44"/>
        </w:rPr>
        <w:t>》</w:t>
      </w:r>
      <w:r>
        <w:rPr>
          <w:rFonts w:hint="eastAsia" w:ascii="方正小标宋简体" w:hAnsi="宋体" w:eastAsia="方正小标宋简体" w:cs="宋体"/>
          <w:kern w:val="0"/>
          <w:sz w:val="44"/>
        </w:rPr>
        <w:t>环境影响评价文件拟审批情况的公示</w:t>
      </w:r>
    </w:p>
    <w:p>
      <w:pPr>
        <w:widowControl/>
        <w:snapToGrid w:val="0"/>
        <w:spacing w:line="480" w:lineRule="auto"/>
        <w:ind w:firstLine="560"/>
        <w:rPr>
          <w:rFonts w:ascii="仿宋_GB2312" w:hAnsi="宋体" w:eastAsia="仿宋_GB2312"/>
          <w:kern w:val="0"/>
          <w:sz w:val="28"/>
          <w:szCs w:val="28"/>
        </w:rPr>
      </w:pPr>
      <w:r>
        <w:rPr>
          <w:rFonts w:hint="eastAsia" w:ascii="仿宋_GB2312" w:hAnsi="宋体" w:eastAsia="仿宋_GB2312"/>
          <w:kern w:val="0"/>
          <w:sz w:val="28"/>
          <w:szCs w:val="28"/>
        </w:rPr>
        <w:t>根据建设项目环境影响评价审批程序及信息公开要求，经审议，我局拟对以下项目作出审批意见，现将有关情况予以公示。</w:t>
      </w:r>
    </w:p>
    <w:p>
      <w:pPr>
        <w:widowControl/>
        <w:snapToGrid w:val="0"/>
        <w:spacing w:line="480" w:lineRule="auto"/>
        <w:ind w:firstLine="420"/>
        <w:rPr>
          <w:rFonts w:ascii="仿宋_GB2312" w:hAnsi="宋体" w:eastAsia="仿宋_GB2312"/>
          <w:kern w:val="0"/>
          <w:sz w:val="28"/>
          <w:szCs w:val="28"/>
        </w:rPr>
      </w:pPr>
      <w:r>
        <w:rPr>
          <w:rFonts w:hint="eastAsia" w:ascii="仿宋_GB2312" w:hAnsi="宋体" w:eastAsia="仿宋_GB2312"/>
          <w:kern w:val="0"/>
          <w:sz w:val="28"/>
          <w:szCs w:val="28"/>
        </w:rPr>
        <w:t>联系电话：0871-67798412,0871-68226553（省投资项目审批服务中心受理窗口）</w:t>
      </w:r>
    </w:p>
    <w:p>
      <w:pPr>
        <w:widowControl/>
        <w:snapToGrid w:val="0"/>
        <w:spacing w:line="480" w:lineRule="auto"/>
        <w:ind w:firstLine="420"/>
        <w:rPr>
          <w:rFonts w:ascii="仿宋_GB2312" w:hAnsi="宋体" w:eastAsia="仿宋_GB2312"/>
          <w:kern w:val="0"/>
          <w:sz w:val="28"/>
          <w:szCs w:val="28"/>
        </w:rPr>
      </w:pPr>
      <w:r>
        <w:rPr>
          <w:rFonts w:hint="eastAsia" w:ascii="仿宋_GB2312" w:hAnsi="宋体" w:eastAsia="仿宋_GB2312"/>
          <w:kern w:val="0"/>
          <w:sz w:val="28"/>
          <w:szCs w:val="28"/>
        </w:rPr>
        <w:t>传真：0871-67798412</w:t>
      </w:r>
    </w:p>
    <w:p>
      <w:pPr>
        <w:widowControl/>
        <w:snapToGrid w:val="0"/>
        <w:spacing w:line="480" w:lineRule="auto"/>
        <w:ind w:firstLine="420"/>
        <w:rPr>
          <w:rFonts w:ascii="仿宋_GB2312" w:hAnsi="宋体" w:eastAsia="仿宋_GB2312"/>
          <w:kern w:val="0"/>
          <w:sz w:val="28"/>
          <w:szCs w:val="28"/>
        </w:rPr>
      </w:pPr>
      <w:r>
        <w:rPr>
          <w:rFonts w:hint="eastAsia" w:ascii="仿宋_GB2312" w:hAnsi="宋体" w:eastAsia="仿宋_GB2312"/>
          <w:kern w:val="0"/>
          <w:sz w:val="28"/>
          <w:szCs w:val="28"/>
        </w:rPr>
        <w:t>通讯地址：石林县天奇路1号</w:t>
      </w:r>
    </w:p>
    <w:p>
      <w:pPr>
        <w:widowControl/>
        <w:snapToGrid w:val="0"/>
        <w:spacing w:line="480" w:lineRule="auto"/>
        <w:ind w:firstLine="420"/>
        <w:rPr>
          <w:rFonts w:ascii="仿宋_GB2312" w:hAnsi="宋体" w:eastAsia="仿宋_GB2312"/>
          <w:kern w:val="0"/>
          <w:sz w:val="28"/>
          <w:szCs w:val="28"/>
        </w:rPr>
      </w:pPr>
      <w:r>
        <w:rPr>
          <w:rFonts w:hint="eastAsia" w:ascii="仿宋_GB2312" w:hAnsi="宋体" w:eastAsia="仿宋_GB2312"/>
          <w:kern w:val="0"/>
          <w:sz w:val="28"/>
          <w:szCs w:val="28"/>
        </w:rPr>
        <w:t>邮编：652200</w:t>
      </w:r>
    </w:p>
    <w:p>
      <w:pPr>
        <w:widowControl/>
        <w:snapToGrid w:val="0"/>
        <w:spacing w:line="480" w:lineRule="auto"/>
        <w:ind w:firstLine="420"/>
        <w:rPr>
          <w:rFonts w:ascii="仿宋_GB2312" w:hAnsi="宋体" w:eastAsia="仿宋_GB2312"/>
          <w:kern w:val="0"/>
          <w:sz w:val="28"/>
          <w:szCs w:val="28"/>
        </w:rPr>
      </w:pPr>
    </w:p>
    <w:p>
      <w:pPr>
        <w:widowControl/>
        <w:snapToGrid w:val="0"/>
        <w:spacing w:line="480" w:lineRule="auto"/>
        <w:ind w:firstLine="420"/>
        <w:rPr>
          <w:rFonts w:ascii="仿宋_GB2312" w:hAnsi="宋体" w:eastAsia="仿宋_GB2312"/>
          <w:kern w:val="0"/>
          <w:sz w:val="28"/>
          <w:szCs w:val="28"/>
        </w:rPr>
      </w:pPr>
    </w:p>
    <w:p>
      <w:pPr>
        <w:widowControl/>
        <w:snapToGrid w:val="0"/>
        <w:spacing w:line="480" w:lineRule="auto"/>
        <w:ind w:firstLine="420"/>
        <w:rPr>
          <w:rFonts w:ascii="仿宋_GB2312" w:hAnsi="宋体" w:eastAsia="仿宋_GB2312"/>
          <w:kern w:val="0"/>
          <w:sz w:val="28"/>
          <w:szCs w:val="28"/>
        </w:rPr>
      </w:pPr>
    </w:p>
    <w:tbl>
      <w:tblPr>
        <w:tblStyle w:val="7"/>
        <w:tblW w:w="15135" w:type="dxa"/>
        <w:tblInd w:w="0" w:type="dxa"/>
        <w:tblLayout w:type="fixed"/>
        <w:tblCellMar>
          <w:top w:w="0" w:type="dxa"/>
          <w:left w:w="0" w:type="dxa"/>
          <w:bottom w:w="0" w:type="dxa"/>
          <w:right w:w="0" w:type="dxa"/>
        </w:tblCellMar>
      </w:tblPr>
      <w:tblGrid>
        <w:gridCol w:w="538"/>
        <w:gridCol w:w="993"/>
        <w:gridCol w:w="911"/>
        <w:gridCol w:w="895"/>
        <w:gridCol w:w="911"/>
        <w:gridCol w:w="2913"/>
        <w:gridCol w:w="7974"/>
      </w:tblGrid>
      <w:tr>
        <w:tblPrEx>
          <w:tblLayout w:type="fixed"/>
          <w:tblCellMar>
            <w:top w:w="0" w:type="dxa"/>
            <w:left w:w="0" w:type="dxa"/>
            <w:bottom w:w="0" w:type="dxa"/>
            <w:right w:w="0" w:type="dxa"/>
          </w:tblCellMar>
        </w:tblPrEx>
        <w:tc>
          <w:tcPr>
            <w:tcW w:w="53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仿宋_GB2312" w:hAnsi="宋体" w:eastAsia="仿宋_GB2312"/>
                <w:kern w:val="0"/>
                <w:sz w:val="28"/>
                <w:szCs w:val="28"/>
              </w:rPr>
            </w:pPr>
            <w:r>
              <w:rPr>
                <w:rFonts w:hint="eastAsia" w:ascii="仿宋_GB2312" w:hAnsi="宋体" w:eastAsia="仿宋_GB2312"/>
                <w:kern w:val="0"/>
                <w:sz w:val="28"/>
                <w:szCs w:val="28"/>
              </w:rPr>
              <w:t>序号</w:t>
            </w:r>
          </w:p>
        </w:tc>
        <w:tc>
          <w:tcPr>
            <w:tcW w:w="99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仿宋_GB2312" w:hAnsi="宋体" w:eastAsia="仿宋_GB2312"/>
                <w:kern w:val="0"/>
                <w:sz w:val="28"/>
                <w:szCs w:val="28"/>
              </w:rPr>
            </w:pPr>
            <w:r>
              <w:rPr>
                <w:rFonts w:hint="eastAsia" w:ascii="仿宋_GB2312" w:hAnsi="宋体" w:eastAsia="仿宋_GB2312"/>
                <w:kern w:val="0"/>
                <w:sz w:val="28"/>
                <w:szCs w:val="28"/>
              </w:rPr>
              <w:t>项目名称</w:t>
            </w:r>
          </w:p>
        </w:tc>
        <w:tc>
          <w:tcPr>
            <w:tcW w:w="91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仿宋_GB2312" w:hAnsi="宋体" w:eastAsia="仿宋_GB2312"/>
                <w:kern w:val="0"/>
                <w:sz w:val="28"/>
                <w:szCs w:val="28"/>
              </w:rPr>
            </w:pPr>
            <w:r>
              <w:rPr>
                <w:rFonts w:hint="eastAsia" w:ascii="仿宋_GB2312" w:hAnsi="宋体" w:eastAsia="仿宋_GB2312"/>
                <w:kern w:val="0"/>
                <w:sz w:val="28"/>
                <w:szCs w:val="28"/>
              </w:rPr>
              <w:t>建设地点</w:t>
            </w:r>
          </w:p>
        </w:tc>
        <w:tc>
          <w:tcPr>
            <w:tcW w:w="89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仿宋_GB2312" w:hAnsi="宋体" w:eastAsia="仿宋_GB2312"/>
                <w:kern w:val="0"/>
                <w:sz w:val="28"/>
                <w:szCs w:val="28"/>
              </w:rPr>
            </w:pPr>
            <w:r>
              <w:rPr>
                <w:rFonts w:hint="eastAsia" w:ascii="仿宋_GB2312" w:hAnsi="宋体" w:eastAsia="仿宋_GB2312"/>
                <w:kern w:val="0"/>
                <w:sz w:val="28"/>
                <w:szCs w:val="28"/>
              </w:rPr>
              <w:t>建设单位</w:t>
            </w:r>
          </w:p>
        </w:tc>
        <w:tc>
          <w:tcPr>
            <w:tcW w:w="91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仿宋_GB2312" w:hAnsi="宋体" w:eastAsia="仿宋_GB2312"/>
                <w:kern w:val="0"/>
                <w:sz w:val="28"/>
                <w:szCs w:val="28"/>
              </w:rPr>
            </w:pPr>
            <w:r>
              <w:rPr>
                <w:rFonts w:hint="eastAsia" w:ascii="仿宋_GB2312" w:hAnsi="宋体" w:eastAsia="仿宋_GB2312"/>
                <w:kern w:val="0"/>
                <w:sz w:val="28"/>
                <w:szCs w:val="28"/>
              </w:rPr>
              <w:t>环评机构</w:t>
            </w:r>
          </w:p>
        </w:tc>
        <w:tc>
          <w:tcPr>
            <w:tcW w:w="291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仿宋_GB2312" w:hAnsi="宋体" w:eastAsia="仿宋_GB2312"/>
                <w:kern w:val="0"/>
                <w:sz w:val="28"/>
                <w:szCs w:val="28"/>
              </w:rPr>
            </w:pPr>
            <w:r>
              <w:rPr>
                <w:rFonts w:hint="eastAsia" w:ascii="仿宋_GB2312" w:hAnsi="宋体" w:eastAsia="仿宋_GB2312"/>
                <w:kern w:val="0"/>
                <w:sz w:val="28"/>
                <w:szCs w:val="28"/>
              </w:rPr>
              <w:t>项目概况</w:t>
            </w:r>
          </w:p>
        </w:tc>
        <w:tc>
          <w:tcPr>
            <w:tcW w:w="797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仿宋_GB2312" w:hAnsi="宋体" w:eastAsia="仿宋_GB2312"/>
                <w:kern w:val="0"/>
                <w:sz w:val="28"/>
                <w:szCs w:val="28"/>
              </w:rPr>
            </w:pPr>
            <w:r>
              <w:rPr>
                <w:rFonts w:hint="eastAsia" w:ascii="仿宋_GB2312" w:hAnsi="宋体" w:eastAsia="仿宋_GB2312"/>
                <w:kern w:val="0"/>
                <w:sz w:val="28"/>
                <w:szCs w:val="28"/>
              </w:rPr>
              <w:t>主要环境影响及预防或者减轻不良环境影响的对策和措施</w:t>
            </w:r>
          </w:p>
        </w:tc>
      </w:tr>
      <w:tr>
        <w:tblPrEx>
          <w:tblLayout w:type="fixed"/>
          <w:tblCellMar>
            <w:top w:w="0" w:type="dxa"/>
            <w:left w:w="0" w:type="dxa"/>
            <w:bottom w:w="0" w:type="dxa"/>
            <w:right w:w="0" w:type="dxa"/>
          </w:tblCellMar>
        </w:tblPrEx>
        <w:trPr>
          <w:trHeight w:val="6627" w:hRule="atLeast"/>
        </w:trPr>
        <w:tc>
          <w:tcPr>
            <w:tcW w:w="53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仿宋_GB2312" w:hAnsi="宋体" w:eastAsia="仿宋_GB2312"/>
                <w:kern w:val="0"/>
                <w:sz w:val="28"/>
                <w:szCs w:val="28"/>
              </w:rPr>
            </w:pPr>
          </w:p>
        </w:tc>
        <w:tc>
          <w:tcPr>
            <w:tcW w:w="99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ascii="宋体" w:hAnsi="宋体" w:cs="宋体"/>
                <w:kern w:val="0"/>
                <w:sz w:val="24"/>
              </w:rPr>
            </w:pPr>
            <w:r>
              <w:rPr>
                <w:rFonts w:hint="eastAsia" w:ascii="宋体" w:hAnsi="宋体" w:cs="宋体"/>
                <w:sz w:val="24"/>
              </w:rPr>
              <w:t>石林赫石工贸有限公司碎石生产系统改扩建项目</w:t>
            </w:r>
          </w:p>
        </w:tc>
        <w:tc>
          <w:tcPr>
            <w:tcW w:w="9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仿宋_GB2312" w:hAnsi="宋体" w:eastAsia="仿宋_GB2312" w:cs="宋体"/>
                <w:kern w:val="0"/>
                <w:sz w:val="28"/>
                <w:szCs w:val="28"/>
              </w:rPr>
            </w:pPr>
            <w:r>
              <w:rPr>
                <w:rFonts w:hint="eastAsia" w:ascii="瀹嬩綋" w:hAnsi="瀹嬩綋" w:eastAsia="瀹嬩綋"/>
                <w:sz w:val="24"/>
              </w:rPr>
              <w:t>石林县圭山镇糯黑村委会说枪左</w:t>
            </w:r>
          </w:p>
        </w:tc>
        <w:tc>
          <w:tcPr>
            <w:tcW w:w="89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仿宋_GB2312" w:hAnsi="宋体" w:eastAsia="仿宋_GB2312"/>
                <w:kern w:val="0"/>
                <w:sz w:val="28"/>
                <w:szCs w:val="28"/>
              </w:rPr>
            </w:pPr>
            <w:r>
              <w:rPr>
                <w:rFonts w:hint="eastAsia" w:ascii="瀹嬩綋" w:hAnsi="瀹嬩綋" w:eastAsia="瀹嬩綋"/>
                <w:sz w:val="24"/>
              </w:rPr>
              <w:t>石林赫石工贸有限公司</w:t>
            </w:r>
          </w:p>
        </w:tc>
        <w:tc>
          <w:tcPr>
            <w:tcW w:w="9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仿宋_GB2312" w:hAnsi="宋体" w:eastAsia="仿宋_GB2312"/>
                <w:kern w:val="0"/>
                <w:sz w:val="28"/>
                <w:szCs w:val="28"/>
              </w:rPr>
            </w:pPr>
            <w:r>
              <w:rPr>
                <w:rFonts w:hint="eastAsia" w:ascii="宋体" w:hAnsi="宋体" w:cs="宋体"/>
                <w:kern w:val="0"/>
                <w:sz w:val="24"/>
              </w:rPr>
              <w:t>临沧尚德环境技术有限公司</w:t>
            </w:r>
          </w:p>
        </w:tc>
        <w:tc>
          <w:tcPr>
            <w:tcW w:w="2913"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left"/>
              <w:rPr>
                <w:rFonts w:ascii="瀹嬩綋" w:hAnsi="瀹嬩綋" w:eastAsia="瀹嬩綋"/>
                <w:sz w:val="24"/>
              </w:rPr>
            </w:pPr>
            <w:r>
              <w:rPr>
                <w:rFonts w:hint="eastAsia" w:ascii="瀹嬩綋" w:hAnsi="瀹嬩綋" w:eastAsia="瀹嬩綋"/>
                <w:sz w:val="24"/>
              </w:rPr>
              <w:t>石林县圭山说枪左石灰岩矿扩大开采范围建设项目是石林赫石工贸有限公司2014 年4 月，通过昆明市土地和矿业权交易中心以协议的方式，经石林县国土资源局批复（石国</w:t>
            </w:r>
          </w:p>
          <w:p>
            <w:pPr>
              <w:jc w:val="left"/>
              <w:rPr>
                <w:rFonts w:ascii="瀹嬩綋" w:hAnsi="瀹嬩綋" w:eastAsia="瀹嬩綋"/>
                <w:sz w:val="24"/>
              </w:rPr>
            </w:pPr>
            <w:r>
              <w:rPr>
                <w:rFonts w:hint="eastAsia" w:ascii="瀹嬩綋" w:hAnsi="瀹嬩綋" w:eastAsia="瀹嬩綋"/>
                <w:sz w:val="24"/>
              </w:rPr>
              <w:t>土资矿复〔2015〕01 号）的矿区扩大建设项目。项目矿区面积0.046km</w:t>
            </w:r>
            <w:r>
              <w:rPr>
                <w:rFonts w:hint="eastAsia" w:ascii="瀹嬩綋" w:hAnsi="瀹嬩綋" w:eastAsia="瀹嬩綋"/>
                <w:sz w:val="12"/>
              </w:rPr>
              <w:t>2</w:t>
            </w:r>
            <w:r>
              <w:rPr>
                <w:rFonts w:hint="eastAsia" w:ascii="瀹嬩綋" w:hAnsi="瀹嬩綋" w:eastAsia="瀹嬩綋"/>
                <w:sz w:val="24"/>
              </w:rPr>
              <w:t>，开采标高</w:t>
            </w:r>
          </w:p>
          <w:p>
            <w:pPr>
              <w:widowControl/>
              <w:jc w:val="center"/>
              <w:rPr>
                <w:rFonts w:ascii="仿宋_GB2312" w:hAnsi="宋体" w:eastAsia="仿宋_GB2312"/>
                <w:kern w:val="0"/>
                <w:sz w:val="28"/>
                <w:szCs w:val="28"/>
              </w:rPr>
            </w:pPr>
            <w:r>
              <w:rPr>
                <w:rFonts w:hint="eastAsia" w:ascii="瀹嬩綋" w:hAnsi="瀹嬩綋" w:eastAsia="瀹嬩綋"/>
                <w:sz w:val="24"/>
              </w:rPr>
              <w:t>2069m-2009m，生产规模4.00 万m</w:t>
            </w:r>
            <w:r>
              <w:rPr>
                <w:rFonts w:hint="eastAsia" w:ascii="瀹嬩綋" w:hAnsi="瀹嬩綋" w:eastAsia="瀹嬩綋"/>
                <w:sz w:val="12"/>
              </w:rPr>
              <w:t>3</w:t>
            </w:r>
            <w:r>
              <w:rPr>
                <w:rFonts w:hint="eastAsia" w:ascii="瀹嬩綋" w:hAnsi="瀹嬩綋" w:eastAsia="瀹嬩綋"/>
                <w:sz w:val="24"/>
              </w:rPr>
              <w:t>/年。</w:t>
            </w:r>
          </w:p>
        </w:tc>
        <w:tc>
          <w:tcPr>
            <w:tcW w:w="7974"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left"/>
              <w:rPr>
                <w:rFonts w:ascii="瀹嬩綋" w:hAnsi="瀹嬩綋" w:eastAsia="瀹嬩綋"/>
                <w:sz w:val="24"/>
              </w:rPr>
            </w:pPr>
            <w:r>
              <w:rPr>
                <w:rFonts w:hint="eastAsia" w:ascii="TimesNewRoman,Bold" w:hAnsi="TimesNewRoman,Bold" w:eastAsia="TimesNewRoman,Bold"/>
                <w:b/>
                <w:sz w:val="24"/>
              </w:rPr>
              <w:t>1</w:t>
            </w:r>
            <w:r>
              <w:rPr>
                <w:rFonts w:hint="eastAsia" w:ascii="瀹嬩綋" w:hAnsi="瀹嬩綋" w:eastAsia="瀹嬩綋"/>
                <w:sz w:val="24"/>
              </w:rPr>
              <w:t>、运营期废气对空气环境影响的缓解措施</w:t>
            </w:r>
          </w:p>
          <w:p>
            <w:pPr>
              <w:jc w:val="left"/>
              <w:rPr>
                <w:rFonts w:ascii="瀹嬩綋" w:hAnsi="瀹嬩綋" w:eastAsia="瀹嬩綋"/>
                <w:sz w:val="24"/>
              </w:rPr>
            </w:pPr>
            <w:r>
              <w:rPr>
                <w:rFonts w:hint="eastAsia" w:ascii="瀹嬩綋" w:hAnsi="瀹嬩綋" w:eastAsia="瀹嬩綋"/>
                <w:sz w:val="24"/>
              </w:rPr>
              <w:t>（</w:t>
            </w:r>
            <w:r>
              <w:rPr>
                <w:rFonts w:hint="eastAsia" w:ascii="TimesNewRoman" w:hAnsi="TimesNewRoman" w:eastAsia="TimesNewRoman"/>
                <w:sz w:val="24"/>
              </w:rPr>
              <w:t>1</w:t>
            </w:r>
            <w:r>
              <w:rPr>
                <w:rFonts w:hint="eastAsia" w:ascii="瀹嬩綋" w:hAnsi="瀹嬩綋" w:eastAsia="瀹嬩綋"/>
                <w:sz w:val="24"/>
              </w:rPr>
              <w:t>）采取对主要破碎点封闭作业、洒水降尘。</w:t>
            </w:r>
          </w:p>
          <w:p>
            <w:pPr>
              <w:jc w:val="left"/>
              <w:rPr>
                <w:rFonts w:ascii="瀹嬩綋" w:hAnsi="瀹嬩綋" w:eastAsia="瀹嬩綋"/>
                <w:sz w:val="24"/>
              </w:rPr>
            </w:pPr>
            <w:r>
              <w:rPr>
                <w:rFonts w:hint="eastAsia" w:ascii="瀹嬩綋" w:hAnsi="瀹嬩綋" w:eastAsia="瀹嬩綋"/>
                <w:sz w:val="24"/>
              </w:rPr>
              <w:t>（</w:t>
            </w:r>
            <w:r>
              <w:rPr>
                <w:rFonts w:hint="eastAsia" w:ascii="TimesNewRoman" w:hAnsi="TimesNewRoman" w:eastAsia="TimesNewRoman"/>
                <w:sz w:val="24"/>
              </w:rPr>
              <w:t>2</w:t>
            </w:r>
            <w:r>
              <w:rPr>
                <w:rFonts w:hint="eastAsia" w:ascii="瀹嬩綋" w:hAnsi="瀹嬩綋" w:eastAsia="瀹嬩綋"/>
                <w:sz w:val="24"/>
              </w:rPr>
              <w:t>）对于主要运输道路、堆场洒水降尘，大风天采取覆盖措施；</w:t>
            </w:r>
          </w:p>
          <w:p>
            <w:pPr>
              <w:jc w:val="left"/>
              <w:rPr>
                <w:rFonts w:ascii="瀹嬩綋" w:hAnsi="瀹嬩綋" w:eastAsia="瀹嬩綋"/>
                <w:sz w:val="24"/>
              </w:rPr>
            </w:pPr>
            <w:r>
              <w:rPr>
                <w:rFonts w:hint="eastAsia" w:ascii="瀹嬩綋" w:hAnsi="瀹嬩綋" w:eastAsia="瀹嬩綋"/>
                <w:sz w:val="24"/>
              </w:rPr>
              <w:t>2、运营期对水环境影响的缓解措施</w:t>
            </w:r>
          </w:p>
          <w:p>
            <w:pPr>
              <w:jc w:val="left"/>
              <w:rPr>
                <w:rFonts w:ascii="瀹嬩綋" w:hAnsi="瀹嬩綋" w:eastAsia="瀹嬩綋"/>
                <w:sz w:val="24"/>
              </w:rPr>
            </w:pPr>
            <w:r>
              <w:rPr>
                <w:rFonts w:hint="eastAsia" w:ascii="瀹嬩綋" w:hAnsi="瀹嬩綋" w:eastAsia="瀹嬩綋"/>
                <w:sz w:val="24"/>
              </w:rPr>
              <w:t>（</w:t>
            </w:r>
            <w:r>
              <w:rPr>
                <w:rFonts w:hint="eastAsia" w:ascii="TimesNewRoman" w:hAnsi="TimesNewRoman" w:eastAsia="TimesNewRoman"/>
                <w:sz w:val="24"/>
              </w:rPr>
              <w:t>1</w:t>
            </w:r>
            <w:r>
              <w:rPr>
                <w:rFonts w:hint="eastAsia" w:ascii="瀹嬩綋" w:hAnsi="瀹嬩綋" w:eastAsia="瀹嬩綋"/>
                <w:sz w:val="24"/>
              </w:rPr>
              <w:t>）对场地内产生的淋滤水，根据场地情况设置截排水沟，确保该部分排水可进入沉淀池处理后回用。</w:t>
            </w:r>
          </w:p>
          <w:p>
            <w:pPr>
              <w:jc w:val="left"/>
              <w:rPr>
                <w:rFonts w:ascii="瀹嬩綋" w:hAnsi="瀹嬩綋" w:eastAsia="瀹嬩綋"/>
                <w:sz w:val="24"/>
              </w:rPr>
            </w:pPr>
            <w:r>
              <w:rPr>
                <w:rFonts w:hint="eastAsia" w:ascii="瀹嬩綋" w:hAnsi="瀹嬩綋" w:eastAsia="瀹嬩綋"/>
                <w:sz w:val="24"/>
              </w:rPr>
              <w:t>（</w:t>
            </w:r>
            <w:r>
              <w:rPr>
                <w:rFonts w:hint="eastAsia" w:ascii="TimesNewRoman" w:hAnsi="TimesNewRoman" w:eastAsia="TimesNewRoman"/>
                <w:sz w:val="24"/>
              </w:rPr>
              <w:t>2</w:t>
            </w:r>
            <w:r>
              <w:rPr>
                <w:rFonts w:hint="eastAsia" w:ascii="瀹嬩綋" w:hAnsi="瀹嬩綋" w:eastAsia="瀹嬩綋"/>
                <w:sz w:val="24"/>
              </w:rPr>
              <w:t>）应保障项目依托的生活废水处理设施的正常运行。</w:t>
            </w:r>
          </w:p>
          <w:p>
            <w:pPr>
              <w:jc w:val="left"/>
              <w:rPr>
                <w:rFonts w:ascii="瀹嬩綋" w:hAnsi="瀹嬩綋" w:eastAsia="瀹嬩綋"/>
                <w:sz w:val="24"/>
              </w:rPr>
            </w:pPr>
            <w:r>
              <w:rPr>
                <w:rFonts w:hint="eastAsia" w:ascii="瀹嬩綋" w:hAnsi="瀹嬩綋" w:eastAsia="瀹嬩綋"/>
                <w:sz w:val="24"/>
              </w:rPr>
              <w:t>3、运营期对声环境影响的缓解措施</w:t>
            </w:r>
          </w:p>
          <w:p>
            <w:pPr>
              <w:jc w:val="left"/>
              <w:rPr>
                <w:rFonts w:ascii="瀹嬩綋" w:hAnsi="瀹嬩綋" w:eastAsia="瀹嬩綋"/>
                <w:sz w:val="24"/>
              </w:rPr>
            </w:pPr>
            <w:r>
              <w:rPr>
                <w:rFonts w:hint="eastAsia" w:ascii="瀹嬩綋" w:hAnsi="瀹嬩綋" w:eastAsia="瀹嬩綋"/>
                <w:sz w:val="24"/>
              </w:rPr>
              <w:t>项目设备选型时，应优选节能低噪声设备。合理安排生产时间。确保厂界噪声达到</w:t>
            </w:r>
            <w:r>
              <w:rPr>
                <w:rFonts w:hint="eastAsia" w:ascii="TimesNewRoman" w:hAnsi="TimesNewRoman" w:eastAsia="TimesNewRoman"/>
                <w:sz w:val="24"/>
              </w:rPr>
              <w:t>GB12348-2008</w:t>
            </w:r>
            <w:r>
              <w:rPr>
                <w:rFonts w:hint="eastAsia" w:ascii="瀹嬩綋" w:hAnsi="瀹嬩綋" w:eastAsia="瀹嬩綋"/>
                <w:sz w:val="24"/>
              </w:rPr>
              <w:t>《工业企业厂界环境噪声排放标准》</w:t>
            </w:r>
            <w:r>
              <w:rPr>
                <w:rFonts w:hint="eastAsia" w:ascii="TimesNewRoman" w:hAnsi="TimesNewRoman" w:eastAsia="TimesNewRoman"/>
                <w:sz w:val="24"/>
              </w:rPr>
              <w:t xml:space="preserve">2 </w:t>
            </w:r>
            <w:r>
              <w:rPr>
                <w:rFonts w:hint="eastAsia" w:ascii="瀹嬩綋" w:hAnsi="瀹嬩綋" w:eastAsia="瀹嬩綋"/>
                <w:sz w:val="24"/>
              </w:rPr>
              <w:t>类标准要求。</w:t>
            </w:r>
          </w:p>
          <w:p>
            <w:pPr>
              <w:jc w:val="left"/>
              <w:rPr>
                <w:rFonts w:ascii="瀹嬩綋" w:hAnsi="瀹嬩綋" w:eastAsia="瀹嬩綋"/>
                <w:sz w:val="24"/>
              </w:rPr>
            </w:pPr>
            <w:r>
              <w:rPr>
                <w:rFonts w:hint="eastAsia" w:ascii="瀹嬩綋" w:hAnsi="瀹嬩綋" w:eastAsia="瀹嬩綋"/>
                <w:sz w:val="24"/>
              </w:rPr>
              <w:t>4、运营期固废对环境影响的缓解措施</w:t>
            </w:r>
          </w:p>
          <w:p>
            <w:pPr>
              <w:widowControl/>
              <w:jc w:val="center"/>
              <w:rPr>
                <w:rFonts w:ascii="仿宋_GB2312" w:hAnsi="宋体" w:eastAsia="仿宋_GB2312"/>
                <w:kern w:val="0"/>
                <w:sz w:val="28"/>
                <w:szCs w:val="28"/>
              </w:rPr>
            </w:pPr>
            <w:r>
              <w:rPr>
                <w:rFonts w:hint="eastAsia" w:ascii="瀹嬩綋" w:hAnsi="瀹嬩綋" w:eastAsia="瀹嬩綋"/>
                <w:sz w:val="24"/>
              </w:rPr>
              <w:t>生活垃圾委托环卫部门清运。机修产生的少量废机油，交资质单位处理。</w:t>
            </w:r>
            <w:r>
              <w:rPr>
                <w:rFonts w:hint="eastAsia" w:ascii="仿宋_GB2312" w:hAnsi="宋体" w:eastAsia="仿宋_GB2312"/>
                <w:kern w:val="0"/>
                <w:sz w:val="28"/>
                <w:szCs w:val="28"/>
              </w:rPr>
              <w:t xml:space="preserve">                                                                                              </w:t>
            </w:r>
          </w:p>
        </w:tc>
      </w:tr>
    </w:tbl>
    <w:p/>
    <w:sectPr>
      <w:pgSz w:w="16838" w:h="11906" w:orient="landscape"/>
      <w:pgMar w:top="1797" w:right="1440" w:bottom="1797"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瀹嬩綋">
    <w:altName w:val="宋体"/>
    <w:panose1 w:val="00000000000000000000"/>
    <w:charset w:val="86"/>
    <w:family w:val="auto"/>
    <w:pitch w:val="default"/>
    <w:sig w:usb0="00000000" w:usb1="00000000" w:usb2="00000000" w:usb3="00000000" w:csb0="00040000" w:csb1="00000000"/>
  </w:font>
  <w:font w:name="TimesNewRoman,Bold">
    <w:altName w:val="宋体"/>
    <w:panose1 w:val="00000000000000000000"/>
    <w:charset w:val="86"/>
    <w:family w:val="auto"/>
    <w:pitch w:val="default"/>
    <w:sig w:usb0="00000000" w:usb1="00000000" w:usb2="00000000" w:usb3="00000000" w:csb0="00040000" w:csb1="00000000"/>
  </w:font>
  <w:font w:name="TimesNewRoman">
    <w:altName w:val="MS Gothic"/>
    <w:panose1 w:val="00000000000000000000"/>
    <w:charset w:val="80"/>
    <w:family w:val="auto"/>
    <w:pitch w:val="default"/>
    <w:sig w:usb0="00000000" w:usb1="00000000" w:usb2="00000000" w:usb3="00000000" w:csb0="00020000" w:csb1="00000000"/>
  </w:font>
  <w:font w:name="MS Gothic">
    <w:panose1 w:val="020B0609070205080204"/>
    <w:charset w:val="80"/>
    <w:family w:val="auto"/>
    <w:pitch w:val="default"/>
    <w:sig w:usb0="A00002BF" w:usb1="68C7FCFB" w:usb2="00000010" w:usb3="00000000" w:csb0="4002009F" w:csb1="DFD70000"/>
  </w:font>
  <w:font w:name="方正大标宋简体">
    <w:panose1 w:val="03000509000000000000"/>
    <w:charset w:val="86"/>
    <w:family w:val="auto"/>
    <w:pitch w:val="default"/>
    <w:sig w:usb0="00000001" w:usb1="080E0000" w:usb2="00000000" w:usb3="00000000" w:csb0="00040000" w:csb1="00000000"/>
  </w:font>
  <w:font w:name="Lucida Sans">
    <w:panose1 w:val="020B0602030504020204"/>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345AF"/>
    <w:rsid w:val="000B72E0"/>
    <w:rsid w:val="00114527"/>
    <w:rsid w:val="001220B8"/>
    <w:rsid w:val="00172A27"/>
    <w:rsid w:val="001F6F2D"/>
    <w:rsid w:val="00234486"/>
    <w:rsid w:val="002B0D50"/>
    <w:rsid w:val="003A0213"/>
    <w:rsid w:val="004337E2"/>
    <w:rsid w:val="004D2487"/>
    <w:rsid w:val="005A6146"/>
    <w:rsid w:val="005C1C20"/>
    <w:rsid w:val="0070745C"/>
    <w:rsid w:val="00730CF7"/>
    <w:rsid w:val="007F7B9C"/>
    <w:rsid w:val="00823A07"/>
    <w:rsid w:val="008C3B6B"/>
    <w:rsid w:val="00947FDB"/>
    <w:rsid w:val="00B64030"/>
    <w:rsid w:val="00CA76C0"/>
    <w:rsid w:val="00D346F2"/>
    <w:rsid w:val="00D5172B"/>
    <w:rsid w:val="00D76BA1"/>
    <w:rsid w:val="00DA39B3"/>
    <w:rsid w:val="00DC3797"/>
    <w:rsid w:val="00DD6767"/>
    <w:rsid w:val="00DF064C"/>
    <w:rsid w:val="00EB668C"/>
    <w:rsid w:val="00F34086"/>
    <w:rsid w:val="00F73E44"/>
    <w:rsid w:val="04AA7B21"/>
    <w:rsid w:val="04AC418D"/>
    <w:rsid w:val="20697FA7"/>
    <w:rsid w:val="24CE632F"/>
    <w:rsid w:val="29E71033"/>
    <w:rsid w:val="5DB70682"/>
    <w:rsid w:val="793253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widowControl/>
      <w:spacing w:before="100" w:beforeAutospacing="1" w:after="100" w:afterAutospacing="1"/>
      <w:jc w:val="left"/>
    </w:pPr>
    <w:rPr>
      <w:rFonts w:ascii="宋体" w:hAnsi="宋体" w:cs="宋体"/>
      <w:kern w:val="0"/>
      <w:sz w:val="24"/>
    </w:rPr>
  </w:style>
  <w:style w:type="character" w:styleId="6">
    <w:name w:val="Strong"/>
    <w:basedOn w:val="5"/>
    <w:qFormat/>
    <w:uiPriority w:val="0"/>
    <w:rPr>
      <w:b/>
      <w:bCs/>
    </w:rPr>
  </w:style>
  <w:style w:type="character" w:customStyle="1" w:styleId="8">
    <w:name w:val="页脚 Char"/>
    <w:basedOn w:val="5"/>
    <w:link w:val="2"/>
    <w:qFormat/>
    <w:uiPriority w:val="0"/>
    <w:rPr>
      <w:kern w:val="2"/>
      <w:sz w:val="18"/>
      <w:szCs w:val="18"/>
    </w:rPr>
  </w:style>
  <w:style w:type="character" w:customStyle="1" w:styleId="9">
    <w:name w:val="页眉 Char"/>
    <w:basedOn w:val="5"/>
    <w:link w:val="3"/>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126</Words>
  <Characters>723</Characters>
  <Lines>6</Lines>
  <Paragraphs>1</Paragraphs>
  <TotalTime>9</TotalTime>
  <ScaleCrop>false</ScaleCrop>
  <LinksUpToDate>false</LinksUpToDate>
  <CharactersWithSpaces>848</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2018-08-30T05:46:00Z</dcterms:created>
  <dc:creator>向阳花</dc:creator>
  <cp:lastModifiedBy>小丫</cp:lastModifiedBy>
  <dcterms:modified xsi:type="dcterms:W3CDTF">2018-09-12T02:34:29Z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