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100" w:beforeAutospacing="1" w:after="100" w:afterAutospacing="1"/>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石林县环保局关于对</w:t>
      </w:r>
    </w:p>
    <w:p>
      <w:pPr>
        <w:widowControl/>
        <w:snapToGrid w:val="0"/>
        <w:spacing w:before="100" w:beforeAutospacing="1" w:after="100" w:afterAutospacing="1"/>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w:t>
      </w:r>
      <w:r>
        <w:rPr>
          <w:rFonts w:hint="eastAsia" w:ascii="方正小标宋简体" w:hAnsi="方正小标宋简体" w:eastAsia="方正小标宋简体" w:cs="方正小标宋简体"/>
          <w:b w:val="0"/>
          <w:bCs w:val="0"/>
          <w:kern w:val="0"/>
          <w:sz w:val="44"/>
          <w:szCs w:val="44"/>
        </w:rPr>
        <w:t>云南省石林县大波落黑高石头大理石（饰面用石灰岩）矿建设项目</w:t>
      </w:r>
      <w:r>
        <w:rPr>
          <w:rFonts w:hint="eastAsia" w:ascii="方正小标宋简体" w:hAnsi="方正小标宋简体" w:eastAsia="方正小标宋简体" w:cs="方正小标宋简体"/>
          <w:b w:val="0"/>
          <w:bCs w:val="0"/>
          <w:kern w:val="0"/>
          <w:sz w:val="44"/>
          <w:szCs w:val="44"/>
        </w:rPr>
        <w:t>》</w:t>
      </w:r>
    </w:p>
    <w:p>
      <w:pPr>
        <w:widowControl/>
        <w:snapToGrid w:val="0"/>
        <w:spacing w:before="100" w:beforeAutospacing="1" w:after="100" w:afterAutospacing="1"/>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环境影响评价文件拟审批情况的公示</w:t>
      </w:r>
    </w:p>
    <w:p>
      <w:pPr>
        <w:widowControl/>
        <w:snapToGrid w:val="0"/>
        <w:spacing w:line="480" w:lineRule="auto"/>
        <w:ind w:firstLine="560"/>
        <w:rPr>
          <w:rFonts w:ascii="仿宋_GB2312" w:hAnsi="宋体" w:eastAsia="仿宋_GB2312"/>
          <w:kern w:val="0"/>
          <w:sz w:val="28"/>
          <w:szCs w:val="28"/>
        </w:rPr>
      </w:pPr>
      <w:r>
        <w:rPr>
          <w:rFonts w:hint="eastAsia" w:ascii="仿宋_GB2312" w:hAnsi="宋体" w:eastAsia="仿宋_GB2312"/>
          <w:kern w:val="0"/>
          <w:sz w:val="28"/>
          <w:szCs w:val="28"/>
        </w:rPr>
        <w:t>根据建设项目环境影响评价审批程序及信息公开要求，经审议，我局拟对以下项目作出审批意见，现将有关情况予以公示。</w:t>
      </w:r>
    </w:p>
    <w:p>
      <w:pPr>
        <w:widowControl/>
        <w:snapToGrid w:val="0"/>
        <w:spacing w:line="480" w:lineRule="auto"/>
        <w:ind w:firstLine="420"/>
        <w:rPr>
          <w:rFonts w:ascii="仿宋_GB2312" w:hAnsi="宋体" w:eastAsia="仿宋_GB2312"/>
          <w:kern w:val="0"/>
          <w:sz w:val="28"/>
          <w:szCs w:val="28"/>
        </w:rPr>
      </w:pPr>
      <w:r>
        <w:rPr>
          <w:rFonts w:hint="eastAsia" w:ascii="仿宋_GB2312" w:hAnsi="宋体" w:eastAsia="仿宋_GB2312"/>
          <w:kern w:val="0"/>
          <w:sz w:val="28"/>
          <w:szCs w:val="28"/>
        </w:rPr>
        <w:t>联系电话：0871-67798412,0871-68226553（省投资项目审批服务中心受理窗口）</w:t>
      </w:r>
    </w:p>
    <w:p>
      <w:pPr>
        <w:widowControl/>
        <w:snapToGrid w:val="0"/>
        <w:spacing w:line="480" w:lineRule="auto"/>
        <w:ind w:firstLine="420"/>
        <w:rPr>
          <w:rFonts w:ascii="仿宋_GB2312" w:hAnsi="宋体" w:eastAsia="仿宋_GB2312"/>
          <w:kern w:val="0"/>
          <w:sz w:val="28"/>
          <w:szCs w:val="28"/>
        </w:rPr>
      </w:pPr>
      <w:r>
        <w:rPr>
          <w:rFonts w:hint="eastAsia" w:ascii="仿宋_GB2312" w:hAnsi="宋体" w:eastAsia="仿宋_GB2312"/>
          <w:kern w:val="0"/>
          <w:sz w:val="28"/>
          <w:szCs w:val="28"/>
        </w:rPr>
        <w:t>传真：0871-67798412</w:t>
      </w:r>
    </w:p>
    <w:p>
      <w:pPr>
        <w:widowControl/>
        <w:snapToGrid w:val="0"/>
        <w:spacing w:line="480" w:lineRule="auto"/>
        <w:ind w:firstLine="420"/>
        <w:rPr>
          <w:rFonts w:ascii="仿宋_GB2312" w:hAnsi="宋体" w:eastAsia="仿宋_GB2312"/>
          <w:kern w:val="0"/>
          <w:sz w:val="28"/>
          <w:szCs w:val="28"/>
        </w:rPr>
      </w:pPr>
      <w:r>
        <w:rPr>
          <w:rFonts w:hint="eastAsia" w:ascii="仿宋_GB2312" w:hAnsi="宋体" w:eastAsia="仿宋_GB2312"/>
          <w:kern w:val="0"/>
          <w:sz w:val="28"/>
          <w:szCs w:val="28"/>
        </w:rPr>
        <w:t>通讯地址：石林县天奇路1号</w:t>
      </w:r>
    </w:p>
    <w:p>
      <w:pPr>
        <w:widowControl/>
        <w:snapToGrid w:val="0"/>
        <w:spacing w:line="480" w:lineRule="auto"/>
        <w:ind w:firstLine="420"/>
        <w:rPr>
          <w:rFonts w:ascii="仿宋_GB2312" w:hAnsi="宋体" w:eastAsia="仿宋_GB2312"/>
          <w:kern w:val="0"/>
          <w:sz w:val="28"/>
          <w:szCs w:val="28"/>
        </w:rPr>
      </w:pPr>
      <w:r>
        <w:rPr>
          <w:rFonts w:hint="eastAsia" w:ascii="仿宋_GB2312" w:hAnsi="宋体" w:eastAsia="仿宋_GB2312"/>
          <w:kern w:val="0"/>
          <w:sz w:val="28"/>
          <w:szCs w:val="28"/>
        </w:rPr>
        <w:t>邮编：652200</w:t>
      </w:r>
    </w:p>
    <w:p>
      <w:pPr>
        <w:widowControl/>
        <w:snapToGrid w:val="0"/>
        <w:spacing w:line="480" w:lineRule="auto"/>
        <w:ind w:firstLine="420"/>
        <w:rPr>
          <w:rFonts w:ascii="仿宋_GB2312" w:hAnsi="宋体" w:eastAsia="仿宋_GB2312"/>
          <w:kern w:val="0"/>
          <w:sz w:val="28"/>
          <w:szCs w:val="28"/>
        </w:rPr>
      </w:pPr>
    </w:p>
    <w:p>
      <w:pPr>
        <w:widowControl/>
        <w:snapToGrid w:val="0"/>
        <w:spacing w:line="480" w:lineRule="auto"/>
        <w:ind w:firstLine="420"/>
        <w:rPr>
          <w:rFonts w:ascii="仿宋_GB2312" w:hAnsi="宋体" w:eastAsia="仿宋_GB2312"/>
          <w:kern w:val="0"/>
          <w:sz w:val="28"/>
          <w:szCs w:val="28"/>
        </w:rPr>
      </w:pPr>
    </w:p>
    <w:p>
      <w:pPr>
        <w:widowControl/>
        <w:snapToGrid w:val="0"/>
        <w:spacing w:line="480" w:lineRule="auto"/>
        <w:ind w:firstLine="420"/>
        <w:rPr>
          <w:rFonts w:ascii="仿宋_GB2312" w:hAnsi="宋体" w:eastAsia="仿宋_GB2312"/>
          <w:kern w:val="0"/>
          <w:sz w:val="28"/>
          <w:szCs w:val="28"/>
        </w:rPr>
      </w:pPr>
    </w:p>
    <w:tbl>
      <w:tblPr>
        <w:tblStyle w:val="9"/>
        <w:tblW w:w="15135" w:type="dxa"/>
        <w:tblInd w:w="0" w:type="dxa"/>
        <w:tblLayout w:type="fixed"/>
        <w:tblCellMar>
          <w:top w:w="0" w:type="dxa"/>
          <w:left w:w="0" w:type="dxa"/>
          <w:bottom w:w="0" w:type="dxa"/>
          <w:right w:w="0" w:type="dxa"/>
        </w:tblCellMar>
      </w:tblPr>
      <w:tblGrid>
        <w:gridCol w:w="538"/>
        <w:gridCol w:w="993"/>
        <w:gridCol w:w="911"/>
        <w:gridCol w:w="895"/>
        <w:gridCol w:w="911"/>
        <w:gridCol w:w="2913"/>
        <w:gridCol w:w="7974"/>
      </w:tblGrid>
      <w:tr>
        <w:tblPrEx>
          <w:tblLayout w:type="fixed"/>
          <w:tblCellMar>
            <w:top w:w="0" w:type="dxa"/>
            <w:left w:w="0" w:type="dxa"/>
            <w:bottom w:w="0" w:type="dxa"/>
            <w:right w:w="0" w:type="dxa"/>
          </w:tblCellMar>
        </w:tblPrEx>
        <w:tc>
          <w:tcPr>
            <w:tcW w:w="5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序号</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项目名称</w:t>
            </w:r>
          </w:p>
        </w:tc>
        <w:tc>
          <w:tcPr>
            <w:tcW w:w="9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建设地点</w:t>
            </w:r>
          </w:p>
        </w:tc>
        <w:tc>
          <w:tcPr>
            <w:tcW w:w="8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建设单位</w:t>
            </w:r>
          </w:p>
        </w:tc>
        <w:tc>
          <w:tcPr>
            <w:tcW w:w="9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环评机构</w:t>
            </w:r>
          </w:p>
        </w:tc>
        <w:tc>
          <w:tcPr>
            <w:tcW w:w="291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项目概况</w:t>
            </w:r>
          </w:p>
        </w:tc>
        <w:tc>
          <w:tcPr>
            <w:tcW w:w="79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主要环境影响及预防或者减轻不良环境影响的对策和措施</w:t>
            </w:r>
          </w:p>
        </w:tc>
      </w:tr>
      <w:tr>
        <w:tblPrEx>
          <w:tblLayout w:type="fixed"/>
          <w:tblCellMar>
            <w:top w:w="0" w:type="dxa"/>
            <w:left w:w="0" w:type="dxa"/>
            <w:bottom w:w="0" w:type="dxa"/>
            <w:right w:w="0" w:type="dxa"/>
          </w:tblCellMar>
        </w:tblPrEx>
        <w:trPr>
          <w:trHeight w:val="6627" w:hRule="atLeast"/>
        </w:trPr>
        <w:tc>
          <w:tcPr>
            <w:tcW w:w="53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1</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仿宋_GB2312" w:hAnsi="宋体" w:eastAsia="仿宋_GB2312"/>
                <w:kern w:val="0"/>
                <w:sz w:val="28"/>
                <w:szCs w:val="28"/>
              </w:rPr>
            </w:pPr>
            <w:bookmarkStart w:id="12" w:name="_GoBack"/>
            <w:r>
              <w:rPr>
                <w:rFonts w:hint="eastAsia" w:ascii="仿宋_GB2312" w:hAnsi="宋体" w:eastAsia="仿宋_GB2312"/>
                <w:kern w:val="0"/>
                <w:sz w:val="28"/>
                <w:szCs w:val="28"/>
              </w:rPr>
              <w:t>云南省石林县大波落黑高石头大理石（饰面用石灰岩）矿建设项目</w:t>
            </w:r>
            <w:bookmarkEnd w:id="12"/>
          </w:p>
        </w:tc>
        <w:tc>
          <w:tcPr>
            <w:tcW w:w="9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石林县大可乡中龙村委会</w:t>
            </w:r>
          </w:p>
        </w:tc>
        <w:tc>
          <w:tcPr>
            <w:tcW w:w="8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石林石材有限公司</w:t>
            </w:r>
          </w:p>
        </w:tc>
        <w:tc>
          <w:tcPr>
            <w:tcW w:w="9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四川锦绣中华环保科技有限公司</w:t>
            </w:r>
          </w:p>
        </w:tc>
        <w:tc>
          <w:tcPr>
            <w:tcW w:w="29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项目总投资200万元，其中新增环保投资约为70.14万元，占项目总投资的35.1%。工程占地包括露天采区、工业场地区、办公生活区、矿山运输道路、排土场（包含废石）等，总占地面积为4.94平方hm。</w:t>
            </w:r>
          </w:p>
        </w:tc>
        <w:tc>
          <w:tcPr>
            <w:tcW w:w="79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2"/>
              <w:adjustRightInd w:val="0"/>
              <w:snapToGrid w:val="0"/>
              <w:spacing w:before="0" w:after="0"/>
              <w:rPr>
                <w:rFonts w:hint="eastAsia" w:ascii="仿宋_GB2312" w:hAnsi="仿宋_GB2312" w:eastAsia="仿宋_GB2312" w:cs="仿宋_GB2312"/>
                <w:sz w:val="28"/>
                <w:szCs w:val="28"/>
              </w:rPr>
            </w:pPr>
            <w:bookmarkStart w:id="0" w:name="_Toc488161740"/>
            <w:bookmarkStart w:id="1" w:name="_Toc26271"/>
            <w:r>
              <w:rPr>
                <w:rFonts w:hint="eastAsia" w:ascii="仿宋_GB2312" w:hAnsi="仿宋_GB2312" w:eastAsia="仿宋_GB2312" w:cs="仿宋_GB2312"/>
                <w:sz w:val="28"/>
                <w:szCs w:val="28"/>
              </w:rPr>
              <w:t>1大气污染防治措施</w:t>
            </w:r>
            <w:bookmarkEnd w:id="0"/>
            <w:bookmarkEnd w:id="1"/>
          </w:p>
          <w:p>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项目产尘量较大露天采场区域分别设置1套软管洒水装置，日常生产应加强管道洒水装置的维护，保障设备能正常运行。在生产过程中，对露天采场、运输道路、表土堆场、废石场定期进行洒水降尘，在晴天及大风天气加大洒水频率，并在矿石原料和成品装卸过程中进行洒水降尘。</w:t>
            </w:r>
          </w:p>
          <w:p>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（2）堆料场设置三面围挡，上方设置顶棚，减少风蚀起尘及装卸过程中的粉尘排放量。</w:t>
            </w:r>
          </w:p>
          <w:p>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（3）剥离表土及废土石堆存过程中实行边堆存边压实的方式，遇上晴天、大风天气加大洒水频率。</w:t>
            </w:r>
          </w:p>
          <w:p>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（4）矿山爆破时，应严格控制爆破时段和用药量，采用小剂量多次用药深孔爆破的爆破方式，打孔采取湿式钻孔方式，以增加岩石的含水率，从而减少爆破过程中产生的粉尘量。</w:t>
            </w:r>
          </w:p>
          <w:p>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（5）食堂油烟经抽油烟机处理后引至房顶排放。</w:t>
            </w:r>
          </w:p>
          <w:p>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（6）运输车辆遮盖篷布，防止矿石原料及成品的撒落，减轻道路扬尘产生量。</w:t>
            </w:r>
          </w:p>
          <w:p>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（7）非正常工况时，应及时停止生产，对防治措施进行全面检查，修补破损的厂房及堆场围挡，并且按要求进行洒水措施，在污染防治措施修复正常后，再恢复生产。</w:t>
            </w:r>
          </w:p>
          <w:p>
            <w:pPr>
              <w:pStyle w:val="3"/>
              <w:adjustRightInd w:val="0"/>
              <w:snapToGrid w:val="0"/>
              <w:rPr>
                <w:rFonts w:hint="eastAsia" w:ascii="仿宋_GB2312" w:hAnsi="仿宋_GB2312" w:eastAsia="仿宋_GB2312" w:cs="仿宋_GB2312"/>
                <w:sz w:val="28"/>
                <w:szCs w:val="28"/>
              </w:rPr>
            </w:pPr>
            <w:bookmarkStart w:id="2" w:name="_Toc488161741"/>
            <w:bookmarkStart w:id="3" w:name="_Toc13265"/>
            <w:r>
              <w:rPr>
                <w:rFonts w:hint="eastAsia" w:ascii="仿宋_GB2312" w:hAnsi="仿宋_GB2312" w:eastAsia="仿宋_GB2312" w:cs="仿宋_GB2312"/>
                <w:sz w:val="28"/>
                <w:szCs w:val="28"/>
              </w:rPr>
              <w:t>2水环境污染防治措施</w:t>
            </w:r>
            <w:bookmarkEnd w:id="2"/>
            <w:bookmarkEnd w:id="3"/>
          </w:p>
          <w:p>
            <w:pPr>
              <w:adjustRightInd w:val="0"/>
              <w:snapToGrid w:val="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（1）项目</w:t>
            </w:r>
            <w:r>
              <w:rPr>
                <w:rFonts w:hint="eastAsia" w:ascii="仿宋_GB2312" w:hAnsi="仿宋_GB2312" w:eastAsia="仿宋_GB2312" w:cs="仿宋_GB2312"/>
                <w:sz w:val="28"/>
                <w:szCs w:val="28"/>
              </w:rPr>
              <w:t>办公生活区设置排水沟对生活污水进行收集，并设置1个2m</w:t>
            </w:r>
            <w:r>
              <w:rPr>
                <w:rFonts w:hint="eastAsia" w:ascii="仿宋_GB2312" w:hAnsi="仿宋_GB2312" w:eastAsia="仿宋_GB2312" w:cs="仿宋_GB2312"/>
                <w:sz w:val="28"/>
                <w:szCs w:val="28"/>
                <w:vertAlign w:val="superscript"/>
              </w:rPr>
              <w:t>3</w:t>
            </w:r>
            <w:r>
              <w:rPr>
                <w:rFonts w:hint="eastAsia" w:ascii="仿宋_GB2312" w:hAnsi="仿宋_GB2312" w:eastAsia="仿宋_GB2312" w:cs="仿宋_GB2312"/>
                <w:sz w:val="28"/>
                <w:szCs w:val="28"/>
              </w:rPr>
              <w:t>沉淀池、1个2m</w:t>
            </w:r>
            <w:r>
              <w:rPr>
                <w:rFonts w:hint="eastAsia" w:ascii="仿宋_GB2312" w:hAnsi="仿宋_GB2312" w:eastAsia="仿宋_GB2312" w:cs="仿宋_GB2312"/>
                <w:sz w:val="28"/>
                <w:szCs w:val="28"/>
                <w:vertAlign w:val="superscript"/>
              </w:rPr>
              <w:t>3</w:t>
            </w:r>
            <w:r>
              <w:rPr>
                <w:rFonts w:hint="eastAsia" w:ascii="仿宋_GB2312" w:hAnsi="仿宋_GB2312" w:eastAsia="仿宋_GB2312" w:cs="仿宋_GB2312"/>
                <w:sz w:val="28"/>
                <w:szCs w:val="28"/>
              </w:rPr>
              <w:t>隔油池和1个20m</w:t>
            </w:r>
            <w:r>
              <w:rPr>
                <w:rFonts w:hint="eastAsia" w:ascii="仿宋_GB2312" w:hAnsi="仿宋_GB2312" w:eastAsia="仿宋_GB2312" w:cs="仿宋_GB2312"/>
                <w:sz w:val="28"/>
                <w:szCs w:val="28"/>
                <w:vertAlign w:val="superscript"/>
              </w:rPr>
              <w:t>3</w:t>
            </w:r>
            <w:r>
              <w:rPr>
                <w:rFonts w:hint="eastAsia" w:ascii="仿宋_GB2312" w:hAnsi="仿宋_GB2312" w:eastAsia="仿宋_GB2312" w:cs="仿宋_GB2312"/>
                <w:sz w:val="28"/>
                <w:szCs w:val="28"/>
              </w:rPr>
              <w:t>的储水池，厨房废水经隔油池处理后，其余生活污水经沉淀池处理后，进入储水池储存，晴天全部回用于项目区</w:t>
            </w:r>
            <w:r>
              <w:rPr>
                <w:rFonts w:hint="eastAsia" w:ascii="仿宋_GB2312" w:hAnsi="仿宋_GB2312" w:eastAsia="仿宋_GB2312" w:cs="仿宋_GB2312"/>
                <w:bCs/>
                <w:kern w:val="0"/>
                <w:sz w:val="28"/>
                <w:szCs w:val="28"/>
              </w:rPr>
              <w:t>洒水降尘、</w:t>
            </w:r>
            <w:r>
              <w:rPr>
                <w:rFonts w:hint="eastAsia" w:ascii="仿宋_GB2312" w:hAnsi="仿宋_GB2312" w:eastAsia="仿宋_GB2312" w:cs="仿宋_GB2312"/>
                <w:sz w:val="28"/>
                <w:szCs w:val="28"/>
              </w:rPr>
              <w:t>不得外排</w:t>
            </w:r>
            <w:r>
              <w:rPr>
                <w:rFonts w:hint="eastAsia" w:ascii="仿宋_GB2312" w:hAnsi="仿宋_GB2312" w:eastAsia="仿宋_GB2312" w:cs="仿宋_GB2312"/>
                <w:kern w:val="0"/>
                <w:sz w:val="28"/>
                <w:szCs w:val="28"/>
              </w:rPr>
              <w:t>。</w:t>
            </w:r>
          </w:p>
          <w:p>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（2）结合项目水土保持方案措施，在露天采区、工业场地、矿山运输道路区、排土场修建截（排）水设施。并在</w:t>
            </w:r>
            <w:r>
              <w:rPr>
                <w:rFonts w:hint="eastAsia" w:ascii="仿宋_GB2312" w:hAnsi="仿宋_GB2312" w:eastAsia="仿宋_GB2312" w:cs="仿宋_GB2312"/>
                <w:sz w:val="28"/>
                <w:szCs w:val="28"/>
              </w:rPr>
              <w:t>采区排水沟下游设置185.0m</w:t>
            </w:r>
            <w:r>
              <w:rPr>
                <w:rFonts w:hint="eastAsia" w:ascii="仿宋_GB2312" w:hAnsi="仿宋_GB2312" w:eastAsia="仿宋_GB2312" w:cs="仿宋_GB2312"/>
                <w:sz w:val="28"/>
                <w:szCs w:val="28"/>
                <w:vertAlign w:val="superscript"/>
              </w:rPr>
              <w:t>3</w:t>
            </w:r>
            <w:r>
              <w:rPr>
                <w:rFonts w:hint="eastAsia" w:ascii="仿宋_GB2312" w:hAnsi="仿宋_GB2312" w:eastAsia="仿宋_GB2312" w:cs="仿宋_GB2312"/>
                <w:sz w:val="28"/>
                <w:szCs w:val="28"/>
              </w:rPr>
              <w:t>的沉沙池；工业场地排水沟下游设置1座19.0m</w:t>
            </w:r>
            <w:r>
              <w:rPr>
                <w:rFonts w:hint="eastAsia" w:ascii="仿宋_GB2312" w:hAnsi="仿宋_GB2312" w:eastAsia="仿宋_GB2312" w:cs="仿宋_GB2312"/>
                <w:sz w:val="28"/>
                <w:szCs w:val="28"/>
                <w:vertAlign w:val="superscript"/>
              </w:rPr>
              <w:t>3</w:t>
            </w:r>
            <w:r>
              <w:rPr>
                <w:rFonts w:hint="eastAsia" w:ascii="仿宋_GB2312" w:hAnsi="仿宋_GB2312" w:eastAsia="仿宋_GB2312" w:cs="仿宋_GB2312"/>
                <w:sz w:val="28"/>
                <w:szCs w:val="28"/>
              </w:rPr>
              <w:t>的沉沙池；矿山运输道路区排水沟下游设置1座19.0m</w:t>
            </w:r>
            <w:r>
              <w:rPr>
                <w:rFonts w:hint="eastAsia" w:ascii="仿宋_GB2312" w:hAnsi="仿宋_GB2312" w:eastAsia="仿宋_GB2312" w:cs="仿宋_GB2312"/>
                <w:sz w:val="28"/>
                <w:szCs w:val="28"/>
                <w:vertAlign w:val="superscript"/>
              </w:rPr>
              <w:t>3</w:t>
            </w:r>
            <w:r>
              <w:rPr>
                <w:rFonts w:hint="eastAsia" w:ascii="仿宋_GB2312" w:hAnsi="仿宋_GB2312" w:eastAsia="仿宋_GB2312" w:cs="仿宋_GB2312"/>
                <w:sz w:val="28"/>
                <w:szCs w:val="28"/>
              </w:rPr>
              <w:t>的沉沙池；</w:t>
            </w:r>
            <w:r>
              <w:rPr>
                <w:rFonts w:hint="eastAsia" w:ascii="仿宋_GB2312" w:hAnsi="仿宋_GB2312" w:eastAsia="仿宋_GB2312" w:cs="仿宋_GB2312"/>
                <w:kern w:val="0"/>
                <w:sz w:val="28"/>
                <w:szCs w:val="28"/>
              </w:rPr>
              <w:t>排土场</w:t>
            </w:r>
            <w:r>
              <w:rPr>
                <w:rFonts w:hint="eastAsia" w:ascii="仿宋_GB2312" w:hAnsi="仿宋_GB2312" w:eastAsia="仿宋_GB2312" w:cs="仿宋_GB2312"/>
                <w:sz w:val="28"/>
                <w:szCs w:val="28"/>
              </w:rPr>
              <w:t>排水沟</w:t>
            </w:r>
            <w:r>
              <w:rPr>
                <w:rFonts w:hint="eastAsia" w:ascii="仿宋_GB2312" w:hAnsi="仿宋_GB2312" w:eastAsia="仿宋_GB2312" w:cs="仿宋_GB2312"/>
                <w:kern w:val="0"/>
                <w:sz w:val="28"/>
                <w:szCs w:val="28"/>
              </w:rPr>
              <w:t>下游</w:t>
            </w:r>
            <w:r>
              <w:rPr>
                <w:rFonts w:hint="eastAsia" w:ascii="仿宋_GB2312" w:hAnsi="仿宋_GB2312" w:eastAsia="仿宋_GB2312" w:cs="仿宋_GB2312"/>
                <w:sz w:val="28"/>
                <w:szCs w:val="28"/>
              </w:rPr>
              <w:t>设置1座13.0m</w:t>
            </w:r>
            <w:r>
              <w:rPr>
                <w:rFonts w:hint="eastAsia" w:ascii="仿宋_GB2312" w:hAnsi="仿宋_GB2312" w:eastAsia="仿宋_GB2312" w:cs="仿宋_GB2312"/>
                <w:sz w:val="28"/>
                <w:szCs w:val="28"/>
                <w:vertAlign w:val="superscript"/>
              </w:rPr>
              <w:t>3</w:t>
            </w:r>
            <w:r>
              <w:rPr>
                <w:rFonts w:hint="eastAsia" w:ascii="仿宋_GB2312" w:hAnsi="仿宋_GB2312" w:eastAsia="仿宋_GB2312" w:cs="仿宋_GB2312"/>
                <w:sz w:val="28"/>
                <w:szCs w:val="28"/>
              </w:rPr>
              <w:t>的沉沙池，对项目内各区的淋滤水进行收集及沉淀处理，沉淀处理后，一部分回用于项目内洒水降尘，回用不完的排入西侧箐沟。</w:t>
            </w:r>
          </w:p>
          <w:p>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sz w:val="28"/>
                <w:szCs w:val="28"/>
              </w:rPr>
              <w:t>设置污水及雨水回用系统，将回用管道引到用水区域。</w:t>
            </w:r>
          </w:p>
          <w:p>
            <w:pPr>
              <w:pStyle w:val="3"/>
              <w:adjustRightInd w:val="0"/>
              <w:snapToGrid w:val="0"/>
              <w:rPr>
                <w:rFonts w:hint="eastAsia" w:ascii="仿宋_GB2312" w:hAnsi="仿宋_GB2312" w:eastAsia="仿宋_GB2312" w:cs="仿宋_GB2312"/>
                <w:sz w:val="28"/>
                <w:szCs w:val="28"/>
              </w:rPr>
            </w:pPr>
            <w:bookmarkStart w:id="4" w:name="_Toc488161742"/>
            <w:bookmarkStart w:id="5" w:name="_Toc15099"/>
            <w:r>
              <w:rPr>
                <w:rFonts w:hint="eastAsia" w:ascii="仿宋_GB2312" w:hAnsi="仿宋_GB2312" w:eastAsia="仿宋_GB2312" w:cs="仿宋_GB2312"/>
                <w:sz w:val="28"/>
                <w:szCs w:val="28"/>
              </w:rPr>
              <w:t>3噪声污染防治措施</w:t>
            </w:r>
            <w:bookmarkEnd w:id="4"/>
            <w:bookmarkEnd w:id="5"/>
          </w:p>
          <w:p>
            <w:pPr>
              <w:adjustRightInd w:val="0"/>
              <w:snapToGrid w:val="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凿岩机</w:t>
            </w:r>
            <w:r>
              <w:rPr>
                <w:rFonts w:hint="eastAsia" w:ascii="仿宋_GB2312" w:hAnsi="仿宋_GB2312" w:eastAsia="仿宋_GB2312" w:cs="仿宋_GB2312"/>
                <w:sz w:val="28"/>
                <w:szCs w:val="28"/>
              </w:rPr>
              <w:t>、刚石绳锯机等</w:t>
            </w:r>
            <w:r>
              <w:rPr>
                <w:rFonts w:hint="eastAsia" w:ascii="仿宋_GB2312" w:hAnsi="仿宋_GB2312" w:eastAsia="仿宋_GB2312" w:cs="仿宋_GB2312"/>
                <w:kern w:val="0"/>
                <w:sz w:val="28"/>
                <w:szCs w:val="28"/>
              </w:rPr>
              <w:t>装置消声通道，防止内部噪声向外辐射，同时在给料板和进料漏斗的传动表面与机架外壳覆盖阻尼材料，减少噪声的辐射面积。</w:t>
            </w:r>
          </w:p>
          <w:p>
            <w:pPr>
              <w:widowControl/>
              <w:adjustRightInd w:val="0"/>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（2）紧固设备上的所有部件，</w:t>
            </w:r>
            <w:r>
              <w:rPr>
                <w:rFonts w:hint="eastAsia" w:ascii="仿宋_GB2312" w:hAnsi="仿宋_GB2312" w:eastAsia="仿宋_GB2312" w:cs="仿宋_GB2312"/>
                <w:sz w:val="28"/>
                <w:szCs w:val="28"/>
              </w:rPr>
              <w:t>噪声设备要注意润滑，并对老化和性能降低的旧设备进行及时更换</w:t>
            </w:r>
            <w:r>
              <w:rPr>
                <w:rFonts w:hint="eastAsia" w:ascii="仿宋_GB2312" w:hAnsi="仿宋_GB2312" w:eastAsia="仿宋_GB2312" w:cs="仿宋_GB2312"/>
                <w:kern w:val="0"/>
                <w:sz w:val="28"/>
                <w:szCs w:val="28"/>
              </w:rPr>
              <w:t>，避免因个别部件的松动而产生的额外振动。</w:t>
            </w:r>
          </w:p>
          <w:p>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（3）对所有接触噪声的操作人员采取配带防声耳塞等个人防护措施，以降低噪声对现场人员的影响。</w:t>
            </w:r>
          </w:p>
          <w:p>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（4）运输成品车辆在行驶过程中经过沿路的村庄时，应减速慢行、禁止鸣笛；</w:t>
            </w:r>
          </w:p>
          <w:p>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（5）矿山爆破前，需提前通知周围村民及企业，减少爆破声对村民和企业的影响。</w:t>
            </w:r>
          </w:p>
          <w:p>
            <w:pPr>
              <w:pStyle w:val="3"/>
              <w:adjustRightInd w:val="0"/>
              <w:snapToGrid w:val="0"/>
              <w:rPr>
                <w:rFonts w:hint="eastAsia" w:ascii="仿宋_GB2312" w:hAnsi="仿宋_GB2312" w:eastAsia="仿宋_GB2312" w:cs="仿宋_GB2312"/>
                <w:sz w:val="28"/>
                <w:szCs w:val="28"/>
              </w:rPr>
            </w:pPr>
            <w:bookmarkStart w:id="6" w:name="_Toc18859"/>
            <w:bookmarkStart w:id="7" w:name="_Toc488161743"/>
            <w:r>
              <w:rPr>
                <w:rFonts w:hint="eastAsia" w:ascii="仿宋_GB2312" w:hAnsi="仿宋_GB2312" w:eastAsia="仿宋_GB2312" w:cs="仿宋_GB2312"/>
                <w:sz w:val="28"/>
                <w:szCs w:val="28"/>
              </w:rPr>
              <w:t>4固体废弃物防治对策措施</w:t>
            </w:r>
            <w:bookmarkEnd w:id="6"/>
            <w:bookmarkEnd w:id="7"/>
          </w:p>
          <w:p>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（1）设置混凝土防渗生活垃圾收集池，对生活垃圾进行收集堆存，并定期交由环卫部门进行处理，不得随意丢弃或焚烧。</w:t>
            </w:r>
          </w:p>
          <w:p>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（2）剥离表土堆存于项目内的表土堆场内，排土场设置</w:t>
            </w:r>
            <w:r>
              <w:rPr>
                <w:rFonts w:hint="eastAsia" w:ascii="仿宋_GB2312" w:hAnsi="仿宋_GB2312" w:eastAsia="仿宋_GB2312" w:cs="仿宋_GB2312"/>
                <w:snapToGrid w:val="0"/>
                <w:sz w:val="28"/>
                <w:szCs w:val="28"/>
              </w:rPr>
              <w:t>干砌石挡墙，</w:t>
            </w:r>
            <w:r>
              <w:rPr>
                <w:rFonts w:hint="eastAsia" w:ascii="仿宋_GB2312" w:hAnsi="仿宋_GB2312" w:eastAsia="仿宋_GB2312" w:cs="仿宋_GB2312"/>
                <w:sz w:val="28"/>
                <w:szCs w:val="28"/>
              </w:rPr>
              <w:t>堆土结束后，及时复土植被。</w:t>
            </w:r>
          </w:p>
          <w:p>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（3）采矿产生的土石方集中堆存于项目内的排土场内，排土场设置拦渣坝，后期土石方回填于采空区。</w:t>
            </w:r>
          </w:p>
          <w:p>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（4）设置防雨淋、防扬散、防渗漏的危废暂存间，用于存放项目产生的废机油，危废暂存间由专人进行管理，并设置警示标志，产生的废机油应委托有资质单位进行合法处置。</w:t>
            </w:r>
          </w:p>
          <w:p>
            <w:pPr>
              <w:pStyle w:val="3"/>
              <w:adjustRightInd w:val="0"/>
              <w:snapToGrid w:val="0"/>
              <w:rPr>
                <w:rFonts w:hint="eastAsia" w:ascii="仿宋_GB2312" w:hAnsi="仿宋_GB2312" w:eastAsia="仿宋_GB2312" w:cs="仿宋_GB2312"/>
                <w:sz w:val="28"/>
                <w:szCs w:val="28"/>
              </w:rPr>
            </w:pPr>
            <w:bookmarkStart w:id="8" w:name="_Toc488161744"/>
            <w:bookmarkStart w:id="9" w:name="_Toc8135"/>
            <w:r>
              <w:rPr>
                <w:rFonts w:hint="eastAsia" w:ascii="仿宋_GB2312" w:hAnsi="仿宋_GB2312" w:eastAsia="仿宋_GB2312" w:cs="仿宋_GB2312"/>
                <w:sz w:val="28"/>
                <w:szCs w:val="28"/>
              </w:rPr>
              <w:t>5生态环境影响防治对策措施</w:t>
            </w:r>
            <w:bookmarkEnd w:id="8"/>
            <w:bookmarkEnd w:id="9"/>
          </w:p>
          <w:p>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（1）严格按照采矿许可证的开采范围进行开采，禁止随意扩大开采范围。</w:t>
            </w:r>
          </w:p>
          <w:p>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（2）加强生态环境保护宣传，提高员工的生态环境保护意识，严禁滥砍滥伐，禁止猎杀野生动植物，注意生产及生活用火安全，严防森林火灾发生。</w:t>
            </w:r>
          </w:p>
          <w:p>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（3）为减轻采矿对生态环境的影响，必须采取分区开采、逐步回填、及时恢复植被的边开采边恢复的方式，把对生态环境的影响降至最低。</w:t>
            </w:r>
          </w:p>
          <w:p>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（4）项目营运过程中，必须严格贯彻落实各项水土保持措施，减轻水土流失对环境的影响。</w:t>
            </w:r>
          </w:p>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（5）工程矿山开采区截水沟240m，平台排水沟600m；办公生活区排水沟47m；道路区排水沟1000m，排土场区挡墙52m，截水沟90m。</w:t>
            </w:r>
          </w:p>
          <w:p>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（6）采空区绿化2000m</w:t>
            </w:r>
            <w:r>
              <w:rPr>
                <w:rFonts w:hint="eastAsia"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rPr>
              <w:t>；办公生活区绿化200m</w:t>
            </w:r>
            <w:r>
              <w:rPr>
                <w:rFonts w:hint="eastAsia"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rPr>
              <w:t>。</w:t>
            </w:r>
          </w:p>
          <w:p>
            <w:pPr>
              <w:pStyle w:val="3"/>
              <w:adjustRightInd w:val="0"/>
              <w:snapToGrid w:val="0"/>
              <w:rPr>
                <w:rFonts w:hint="eastAsia" w:ascii="仿宋_GB2312" w:hAnsi="仿宋_GB2312" w:eastAsia="仿宋_GB2312" w:cs="仿宋_GB2312"/>
                <w:sz w:val="28"/>
                <w:szCs w:val="28"/>
              </w:rPr>
            </w:pPr>
            <w:bookmarkStart w:id="10" w:name="_Toc488161745"/>
            <w:bookmarkStart w:id="11" w:name="_Toc2780"/>
            <w:r>
              <w:rPr>
                <w:rFonts w:hint="eastAsia" w:ascii="仿宋_GB2312" w:hAnsi="仿宋_GB2312" w:eastAsia="仿宋_GB2312" w:cs="仿宋_GB2312"/>
                <w:sz w:val="28"/>
                <w:szCs w:val="28"/>
              </w:rPr>
              <w:t>6环境风险防范措施</w:t>
            </w:r>
            <w:bookmarkEnd w:id="10"/>
            <w:bookmarkEnd w:id="11"/>
          </w:p>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a、排土场（废石场）防洪。对区域气象资料进行落实，对废石场及上游设施防洪标准和防洪设施统筹考虑和协调。</w:t>
            </w:r>
          </w:p>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b、加强堆场区上部危岩体、滑坡体、断裂带等不良工程地质情况的研究和监测，建立预警机制和应急救援措施。</w:t>
            </w:r>
          </w:p>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c、矿山建设和生产期废土废石管理，建设和生产期应加强废土石的规范堆存和管理，避免向坡面倾卸废石，产生泥石流隐患，影响堆场安全。</w:t>
            </w:r>
          </w:p>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d、加强生产、生活用水管理，杜绝谷坡、岸坡冲刷。</w:t>
            </w:r>
          </w:p>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e、加强矿区总图规划和总平面布置，如果必须在废石场上游布置设施应充分考虑对堆场区安全的影响，保护植被和自然地形。</w:t>
            </w:r>
          </w:p>
          <w:p>
            <w:pPr>
              <w:tabs>
                <w:tab w:val="right" w:pos="8306"/>
              </w:tabs>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f、为了防范于未然，生产经营单位负责组织建立、健全废石场安全生产责任制，制定完备的安全生产规章制度和操作规程，实施安全管理。</w:t>
            </w:r>
          </w:p>
          <w:p>
            <w:pPr>
              <w:tabs>
                <w:tab w:val="right" w:pos="8306"/>
              </w:tabs>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g、生产经营单位应当保证废石场具备安全生产条件所必需的资金投入，配备相应的安全管理机构或者安全管理人员，并配备与工作需要相适应的专业技术人员或者具有相应工作能力的人员。</w:t>
            </w:r>
          </w:p>
          <w:p>
            <w:pPr>
              <w:tabs>
                <w:tab w:val="right" w:pos="8306"/>
              </w:tabs>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h、生产经营单位应当针对垮塌等生产安全事故和重大险情制定应急救援预案，并进行预案演练。</w:t>
            </w:r>
          </w:p>
          <w:p>
            <w:pPr>
              <w:tabs>
                <w:tab w:val="right" w:pos="8306"/>
              </w:tabs>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i、急组织机构收到报警讯息后应立即通知厂内职工和附近的居民。</w:t>
            </w:r>
          </w:p>
          <w:p>
            <w:pPr>
              <w:tabs>
                <w:tab w:val="right" w:pos="8306"/>
              </w:tabs>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j、排土场（废石场）拦渣坝一旦垮塌，应迅速撤离人员到安全区，并设置禁戒区，严格限制无关人员进入。</w:t>
            </w:r>
          </w:p>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k、向当地环保部门及时汇报情况。</w:t>
            </w:r>
          </w:p>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l、汛前、汛期准备工作。</w:t>
            </w:r>
          </w:p>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①加强汛前、汛期、安全工作的领导，安全防汛制度，落实安全责任，克服麻痹思想和侥幸心理。</w:t>
            </w:r>
          </w:p>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②根据汛情情况，做好值班巡查工作，成立一支抢险队伍，明确任务。</w:t>
            </w:r>
          </w:p>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③根据汛情规模和险情大小，准备好必备的防汛工具和器材。特大暴雨时要确保人员安全。</w:t>
            </w:r>
          </w:p>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④要及时收听本地天气预报的雨量资料来预测洪水。</w:t>
            </w:r>
          </w:p>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m、抢险工作</w:t>
            </w:r>
          </w:p>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①单位应成立抢险安全组委会，该组委会应落实安全隐患治理工作，抢险和工程救护，发现重大事故隐患和险情要及时向有关安全生产监察管理部门报告。</w:t>
            </w:r>
          </w:p>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②根据水情做好抢险设备。</w:t>
            </w:r>
          </w:p>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③加强巡查。早发现，早处理，早解决，实现转危为安。</w:t>
            </w:r>
          </w:p>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n、建立领导值班制度</w:t>
            </w:r>
          </w:p>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矿区领导及值班长在遇有大雨、暴雨、连雨天时，必须到斜坡道、环山渠、截洪沟等容易发生险情的地方进行观察，发现险情及时报告。</w:t>
            </w:r>
          </w:p>
          <w:p>
            <w:pPr>
              <w:pStyle w:val="2"/>
              <w:keepLines w:val="0"/>
              <w:adjustRightInd w:val="0"/>
              <w:snapToGrid w:val="0"/>
              <w:spacing w:beforeLines="50" w:after="0"/>
              <w:rPr>
                <w:rFonts w:ascii="仿宋_GB2312" w:hAnsi="宋体" w:eastAsia="仿宋_GB2312"/>
                <w:kern w:val="0"/>
                <w:sz w:val="28"/>
                <w:szCs w:val="28"/>
              </w:rPr>
            </w:pPr>
            <w:r>
              <w:rPr>
                <w:rFonts w:hint="eastAsia" w:ascii="仿宋_GB2312" w:hAnsi="仿宋_GB2312" w:eastAsia="仿宋_GB2312" w:cs="仿宋_GB2312"/>
                <w:kern w:val="0"/>
                <w:sz w:val="28"/>
                <w:szCs w:val="28"/>
              </w:rPr>
              <w:t xml:space="preserve">                                                     </w:t>
            </w:r>
            <w:r>
              <w:rPr>
                <w:rFonts w:hint="eastAsia" w:ascii="仿宋_GB2312" w:hAnsi="宋体" w:eastAsia="仿宋_GB2312"/>
                <w:kern w:val="0"/>
                <w:sz w:val="28"/>
                <w:szCs w:val="28"/>
              </w:rPr>
              <w:t xml:space="preserve">                              </w:t>
            </w:r>
          </w:p>
        </w:tc>
      </w:tr>
    </w:tbl>
    <w:p/>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2B4004C"/>
    <w:rsid w:val="000345AF"/>
    <w:rsid w:val="001220B8"/>
    <w:rsid w:val="00234486"/>
    <w:rsid w:val="002B0D50"/>
    <w:rsid w:val="003A0213"/>
    <w:rsid w:val="004337E2"/>
    <w:rsid w:val="004D2487"/>
    <w:rsid w:val="005A6146"/>
    <w:rsid w:val="005C1C20"/>
    <w:rsid w:val="006C21C8"/>
    <w:rsid w:val="00730CF7"/>
    <w:rsid w:val="007F7B9C"/>
    <w:rsid w:val="00823A07"/>
    <w:rsid w:val="008C3B6B"/>
    <w:rsid w:val="00947FDB"/>
    <w:rsid w:val="00B64030"/>
    <w:rsid w:val="00CA76C0"/>
    <w:rsid w:val="00D346F2"/>
    <w:rsid w:val="00D5172B"/>
    <w:rsid w:val="00DA39B3"/>
    <w:rsid w:val="00DC3797"/>
    <w:rsid w:val="00DD6767"/>
    <w:rsid w:val="00DF064C"/>
    <w:rsid w:val="00E3410A"/>
    <w:rsid w:val="00EB668C"/>
    <w:rsid w:val="00F34086"/>
    <w:rsid w:val="00F73E44"/>
    <w:rsid w:val="00FF4EC3"/>
    <w:rsid w:val="20697FA7"/>
    <w:rsid w:val="28D81EEA"/>
    <w:rsid w:val="3285743A"/>
    <w:rsid w:val="5DB70682"/>
    <w:rsid w:val="62B4004C"/>
    <w:rsid w:val="79325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qFormat/>
    <w:uiPriority w:val="0"/>
    <w:pPr>
      <w:keepNext/>
      <w:keepLines/>
      <w:spacing w:before="260" w:after="260" w:line="360" w:lineRule="auto"/>
      <w:outlineLvl w:val="1"/>
    </w:pPr>
    <w:rPr>
      <w:b/>
      <w:bCs/>
      <w:sz w:val="32"/>
      <w:szCs w:val="32"/>
    </w:rPr>
  </w:style>
  <w:style w:type="paragraph" w:styleId="3">
    <w:name w:val="heading 3"/>
    <w:basedOn w:val="1"/>
    <w:next w:val="1"/>
    <w:link w:val="13"/>
    <w:qFormat/>
    <w:uiPriority w:val="0"/>
    <w:pPr>
      <w:keepNext/>
      <w:keepLines/>
      <w:spacing w:line="360" w:lineRule="auto"/>
      <w:outlineLvl w:val="2"/>
    </w:pPr>
    <w:rPr>
      <w:b/>
      <w:bCs/>
      <w:kern w:val="0"/>
      <w:sz w:val="28"/>
      <w:szCs w:val="28"/>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bCs/>
    </w:rPr>
  </w:style>
  <w:style w:type="character" w:customStyle="1" w:styleId="10">
    <w:name w:val="页脚 Char"/>
    <w:basedOn w:val="7"/>
    <w:link w:val="4"/>
    <w:uiPriority w:val="0"/>
    <w:rPr>
      <w:kern w:val="2"/>
      <w:sz w:val="18"/>
      <w:szCs w:val="18"/>
    </w:rPr>
  </w:style>
  <w:style w:type="character" w:customStyle="1" w:styleId="11">
    <w:name w:val="页眉 Char"/>
    <w:basedOn w:val="7"/>
    <w:link w:val="5"/>
    <w:uiPriority w:val="0"/>
    <w:rPr>
      <w:kern w:val="2"/>
      <w:sz w:val="18"/>
      <w:szCs w:val="18"/>
    </w:rPr>
  </w:style>
  <w:style w:type="character" w:customStyle="1" w:styleId="12">
    <w:name w:val="标题 2 Char"/>
    <w:basedOn w:val="7"/>
    <w:link w:val="2"/>
    <w:qFormat/>
    <w:uiPriority w:val="0"/>
    <w:rPr>
      <w:b/>
      <w:bCs/>
      <w:kern w:val="2"/>
      <w:sz w:val="32"/>
      <w:szCs w:val="32"/>
    </w:rPr>
  </w:style>
  <w:style w:type="character" w:customStyle="1" w:styleId="13">
    <w:name w:val="标题 3 Char"/>
    <w:basedOn w:val="7"/>
    <w:link w:val="3"/>
    <w:qFormat/>
    <w:uiPriority w:val="0"/>
    <w:rPr>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0707;&#26519;&#21439;&#32593;&#19978;&#20844;&#31034;\&#30707;&#26519;&#21439;&#32593;&#19978;&#20844;&#31034;\&#25311;&#23457;&#25209;&#20844;&#31034;&#27169;&#26495;.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拟审批公示模板</Template>
  <Pages>6</Pages>
  <Words>449</Words>
  <Characters>2565</Characters>
  <Lines>21</Lines>
  <Paragraphs>6</Paragraphs>
  <TotalTime>0</TotalTime>
  <ScaleCrop>false</ScaleCrop>
  <LinksUpToDate>false</LinksUpToDate>
  <CharactersWithSpaces>3008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2018-04-23T05:11:00Z</dcterms:created>
  <dc:creator>向阳花</dc:creator>
  <cp:lastModifiedBy>小丫</cp:lastModifiedBy>
  <dcterms:modified xsi:type="dcterms:W3CDTF">2018-04-24T07:27:10Z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